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620A" w14:textId="26FEAFDD" w:rsidR="00927C79" w:rsidRDefault="00927C79"/>
    <w:p w14:paraId="2F866D41" w14:textId="3E2293A7" w:rsidR="00A167D1" w:rsidRDefault="00A167D1" w:rsidP="00795170">
      <w:pPr>
        <w:spacing w:after="120" w:line="276" w:lineRule="auto"/>
        <w:jc w:val="both"/>
        <w:rPr>
          <w:color w:val="005193"/>
          <w:sz w:val="30"/>
          <w:szCs w:val="30"/>
          <w:lang w:val="pl-PL"/>
        </w:rPr>
      </w:pPr>
    </w:p>
    <w:p w14:paraId="67C7212F" w14:textId="76C8B80F" w:rsidR="00795170" w:rsidRDefault="00795170" w:rsidP="00795170">
      <w:pPr>
        <w:spacing w:after="120" w:line="276" w:lineRule="auto"/>
        <w:jc w:val="both"/>
        <w:rPr>
          <w:color w:val="005193"/>
          <w:sz w:val="30"/>
          <w:szCs w:val="30"/>
          <w:lang w:val="pl-PL"/>
        </w:rPr>
      </w:pPr>
      <w:r w:rsidRPr="00795170">
        <w:rPr>
          <w:color w:val="005193"/>
          <w:sz w:val="30"/>
          <w:szCs w:val="30"/>
          <w:lang w:val="pl-PL"/>
        </w:rPr>
        <w:t xml:space="preserve">Wstępne wybrane szacunkowe skonsolidowane dane finansowe Grupy Kapitałowej Selvita S.A. za II kwartał 2022 roku oraz 6 miesięcy 2022 roku.  </w:t>
      </w:r>
    </w:p>
    <w:p w14:paraId="1B23D26B" w14:textId="77777777" w:rsidR="00BE678A" w:rsidRDefault="00BE678A" w:rsidP="00795170">
      <w:pPr>
        <w:spacing w:after="120" w:line="276" w:lineRule="auto"/>
        <w:jc w:val="both"/>
        <w:rPr>
          <w:rFonts w:ascii="Open Sans" w:hAnsi="Open Sans" w:cs="Open Sans"/>
          <w:color w:val="000000" w:themeColor="text1"/>
          <w:sz w:val="20"/>
          <w:szCs w:val="20"/>
          <w:lang w:val="pl-PL"/>
        </w:rPr>
      </w:pPr>
    </w:p>
    <w:p w14:paraId="11682C03" w14:textId="41D4B607" w:rsidR="00795170" w:rsidRDefault="00795170" w:rsidP="00795170">
      <w:pPr>
        <w:spacing w:after="120" w:line="276" w:lineRule="auto"/>
        <w:jc w:val="both"/>
        <w:rPr>
          <w:rFonts w:ascii="Open Sans" w:hAnsi="Open Sans" w:cs="Open Sans"/>
          <w:color w:val="000000" w:themeColor="text1"/>
          <w:sz w:val="20"/>
          <w:szCs w:val="20"/>
          <w:lang w:val="pl-PL"/>
        </w:rPr>
      </w:pPr>
      <w:r w:rsidRPr="4ABA617F">
        <w:rPr>
          <w:rFonts w:ascii="Open Sans" w:hAnsi="Open Sans" w:cs="Open Sans"/>
          <w:color w:val="000000" w:themeColor="text1"/>
          <w:sz w:val="20"/>
          <w:szCs w:val="20"/>
          <w:lang w:val="pl-PL"/>
        </w:rPr>
        <w:t xml:space="preserve">Zarząd Selvita S.A. z siedzibą w Krakowie </w:t>
      </w:r>
      <w:r w:rsidRPr="00795170">
        <w:rPr>
          <w:rFonts w:ascii="Open Sans" w:hAnsi="Open Sans" w:cs="Open Sans"/>
          <w:color w:val="000000" w:themeColor="text1"/>
          <w:sz w:val="20"/>
          <w:szCs w:val="20"/>
          <w:lang w:val="pl-PL"/>
        </w:rPr>
        <w:t xml:space="preserve">podaje do publicznej wiadomości wstępne wybrane szacunkowe skonsolidowane dane finansowe Grupy Kapitałowej Selvita S.A. za II kwartał 2022 roku i 6 miesięcy 2022 roku wraz z danymi porównawczymi.  </w:t>
      </w:r>
    </w:p>
    <w:p w14:paraId="2C31213E" w14:textId="77777777" w:rsidR="00BE678A" w:rsidRDefault="00BE678A" w:rsidP="00795170">
      <w:pPr>
        <w:spacing w:after="120" w:line="276" w:lineRule="auto"/>
        <w:jc w:val="both"/>
        <w:rPr>
          <w:rFonts w:ascii="Open Sans" w:hAnsi="Open Sans" w:cs="Open Sans"/>
          <w:b/>
          <w:bCs/>
          <w:color w:val="000000" w:themeColor="text1"/>
          <w:sz w:val="20"/>
          <w:szCs w:val="20"/>
          <w:u w:val="single"/>
          <w:lang w:val="pl-PL"/>
        </w:rPr>
      </w:pPr>
    </w:p>
    <w:p w14:paraId="6C55A62D" w14:textId="484C24EB" w:rsidR="00795170" w:rsidRDefault="00795170" w:rsidP="00795170">
      <w:pPr>
        <w:spacing w:after="120" w:line="276" w:lineRule="auto"/>
        <w:jc w:val="both"/>
        <w:rPr>
          <w:rFonts w:ascii="Open Sans" w:hAnsi="Open Sans" w:cs="Open Sans"/>
          <w:b/>
          <w:bCs/>
          <w:color w:val="000000" w:themeColor="text1"/>
          <w:sz w:val="20"/>
          <w:szCs w:val="20"/>
          <w:u w:val="single"/>
          <w:lang w:val="pl-PL"/>
        </w:rPr>
      </w:pPr>
      <w:r>
        <w:rPr>
          <w:rFonts w:ascii="Open Sans" w:hAnsi="Open Sans" w:cs="Open Sans"/>
          <w:b/>
          <w:bCs/>
          <w:color w:val="000000" w:themeColor="text1"/>
          <w:sz w:val="20"/>
          <w:szCs w:val="20"/>
          <w:u w:val="single"/>
          <w:lang w:val="pl-PL"/>
        </w:rPr>
        <w:t>Podsumowanie:</w:t>
      </w:r>
    </w:p>
    <w:p w14:paraId="63B6E9FD" w14:textId="3F24D1D9"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r w:rsidRPr="00A167D1">
        <w:rPr>
          <w:rFonts w:ascii="Open Sans" w:hAnsi="Open Sans" w:cs="Open Sans"/>
          <w:b/>
          <w:bCs/>
          <w:color w:val="000000" w:themeColor="text1"/>
          <w:sz w:val="20"/>
          <w:szCs w:val="20"/>
          <w:lang w:val="pl-PL"/>
        </w:rPr>
        <w:t xml:space="preserve">Grupa Selvita S.A. osiągnęła w pierwszym półroczu 2022 r. skonsolidowane przychody z działalności operacyjnej w wysokości 199,0 mln zł, co oznacza wzrost o 40% r/r;  </w:t>
      </w:r>
    </w:p>
    <w:p w14:paraId="35BD6AEB" w14:textId="6660A773"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r w:rsidRPr="00A167D1">
        <w:rPr>
          <w:rFonts w:ascii="Open Sans" w:hAnsi="Open Sans" w:cs="Open Sans"/>
          <w:b/>
          <w:bCs/>
          <w:color w:val="000000" w:themeColor="text1"/>
          <w:sz w:val="20"/>
          <w:szCs w:val="20"/>
          <w:lang w:val="pl-PL"/>
        </w:rPr>
        <w:t>EBITDA i zysk netto Grupy (bez uwzględnienia wpływu niegotówkowego programu motywacyjnego) wyniosły odpowiednio 56,2 mln zł oraz 32,8 mln zł, wobec 35,2 mln zł oraz 18,3 mln zł rok wcześniej;</w:t>
      </w:r>
    </w:p>
    <w:p w14:paraId="3EBB7B3C" w14:textId="2E033F4D"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r w:rsidRPr="00A167D1">
        <w:rPr>
          <w:rFonts w:ascii="Open Sans" w:hAnsi="Open Sans" w:cs="Open Sans"/>
          <w:b/>
          <w:bCs/>
          <w:color w:val="000000" w:themeColor="text1"/>
          <w:sz w:val="20"/>
          <w:szCs w:val="20"/>
          <w:lang w:val="pl-PL"/>
        </w:rPr>
        <w:t>Przychody na rzecz klientów zewnętrznych z działalności usługowej w Polsce wyniosły 96,7 mln zł, co oznacza wzrost o 49%</w:t>
      </w:r>
      <w:r w:rsidR="1FF0A591" w:rsidRPr="00A167D1">
        <w:rPr>
          <w:rFonts w:ascii="Open Sans" w:hAnsi="Open Sans" w:cs="Open Sans"/>
          <w:b/>
          <w:bCs/>
          <w:color w:val="000000" w:themeColor="text1"/>
          <w:sz w:val="20"/>
          <w:szCs w:val="20"/>
          <w:lang w:val="pl-PL"/>
        </w:rPr>
        <w:t xml:space="preserve"> r/r</w:t>
      </w:r>
      <w:r w:rsidR="712BFF83" w:rsidRPr="00A167D1">
        <w:rPr>
          <w:rFonts w:ascii="Open Sans" w:hAnsi="Open Sans" w:cs="Open Sans"/>
          <w:b/>
          <w:bCs/>
          <w:color w:val="000000" w:themeColor="text1"/>
          <w:sz w:val="20"/>
          <w:szCs w:val="20"/>
          <w:lang w:val="pl-PL"/>
        </w:rPr>
        <w:t>;</w:t>
      </w:r>
      <w:r w:rsidRPr="00A167D1">
        <w:rPr>
          <w:rFonts w:ascii="Open Sans" w:hAnsi="Open Sans" w:cs="Open Sans"/>
          <w:b/>
          <w:bCs/>
          <w:color w:val="000000" w:themeColor="text1"/>
          <w:sz w:val="20"/>
          <w:szCs w:val="20"/>
          <w:lang w:val="pl-PL"/>
        </w:rPr>
        <w:t xml:space="preserve"> EBITDA segmentu wyniosła 29,0</w:t>
      </w:r>
      <w:r w:rsidR="00C87807">
        <w:rPr>
          <w:rFonts w:ascii="Open Sans" w:hAnsi="Open Sans" w:cs="Open Sans"/>
          <w:b/>
          <w:bCs/>
          <w:color w:val="000000" w:themeColor="text1"/>
          <w:sz w:val="20"/>
          <w:szCs w:val="20"/>
          <w:lang w:val="pl-PL"/>
        </w:rPr>
        <w:t> </w:t>
      </w:r>
      <w:r w:rsidRPr="00A167D1">
        <w:rPr>
          <w:rFonts w:ascii="Open Sans" w:hAnsi="Open Sans" w:cs="Open Sans"/>
          <w:b/>
          <w:bCs/>
          <w:color w:val="000000" w:themeColor="text1"/>
          <w:sz w:val="20"/>
          <w:szCs w:val="20"/>
          <w:lang w:val="pl-PL"/>
        </w:rPr>
        <w:t>mln zł przy marży 28,6% (bez wpływu programu motywacyjnego);</w:t>
      </w:r>
    </w:p>
    <w:p w14:paraId="397379AD" w14:textId="4B3E45AF"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r w:rsidRPr="00A167D1">
        <w:rPr>
          <w:rFonts w:ascii="Open Sans" w:hAnsi="Open Sans" w:cs="Open Sans"/>
          <w:b/>
          <w:bCs/>
          <w:color w:val="000000" w:themeColor="text1"/>
          <w:sz w:val="20"/>
          <w:szCs w:val="20"/>
          <w:lang w:val="pl-PL"/>
        </w:rPr>
        <w:t>Przychody z tytułu usług realizowanych w Chorwacji wyniosły 75,0 mln zł, co daje wzrost o 27% r/r. a marża EBITDA utrzymała się na wysokim poziomie 31,1% (23,3</w:t>
      </w:r>
      <w:r w:rsidR="00C87807">
        <w:rPr>
          <w:rFonts w:ascii="Open Sans" w:hAnsi="Open Sans" w:cs="Open Sans"/>
          <w:b/>
          <w:bCs/>
          <w:color w:val="000000" w:themeColor="text1"/>
          <w:sz w:val="20"/>
          <w:szCs w:val="20"/>
          <w:lang w:val="pl-PL"/>
        </w:rPr>
        <w:t> </w:t>
      </w:r>
      <w:r w:rsidRPr="00A167D1">
        <w:rPr>
          <w:rFonts w:ascii="Open Sans" w:hAnsi="Open Sans" w:cs="Open Sans"/>
          <w:b/>
          <w:bCs/>
          <w:color w:val="000000" w:themeColor="text1"/>
          <w:sz w:val="20"/>
          <w:szCs w:val="20"/>
          <w:lang w:val="pl-PL"/>
        </w:rPr>
        <w:t>mln</w:t>
      </w:r>
      <w:r w:rsidR="00C87807">
        <w:rPr>
          <w:rFonts w:ascii="Open Sans" w:hAnsi="Open Sans" w:cs="Open Sans"/>
          <w:b/>
          <w:bCs/>
          <w:color w:val="000000" w:themeColor="text1"/>
          <w:sz w:val="20"/>
          <w:szCs w:val="20"/>
          <w:lang w:val="pl-PL"/>
        </w:rPr>
        <w:t> </w:t>
      </w:r>
      <w:r w:rsidRPr="00A167D1">
        <w:rPr>
          <w:rFonts w:ascii="Open Sans" w:hAnsi="Open Sans" w:cs="Open Sans"/>
          <w:b/>
          <w:bCs/>
          <w:color w:val="000000" w:themeColor="text1"/>
          <w:sz w:val="20"/>
          <w:szCs w:val="20"/>
          <w:lang w:val="pl-PL"/>
        </w:rPr>
        <w:t>zł);</w:t>
      </w:r>
    </w:p>
    <w:p w14:paraId="1E0FA343" w14:textId="678AA07C"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r w:rsidRPr="00A167D1">
        <w:rPr>
          <w:rFonts w:ascii="Open Sans" w:hAnsi="Open Sans" w:cs="Open Sans"/>
          <w:b/>
          <w:bCs/>
          <w:color w:val="000000" w:themeColor="text1"/>
          <w:sz w:val="20"/>
          <w:szCs w:val="20"/>
          <w:lang w:val="pl-PL"/>
        </w:rPr>
        <w:t xml:space="preserve">Przychody segmentu </w:t>
      </w:r>
      <w:proofErr w:type="spellStart"/>
      <w:r w:rsidRPr="00A167D1">
        <w:rPr>
          <w:rFonts w:ascii="Open Sans" w:hAnsi="Open Sans" w:cs="Open Sans"/>
          <w:b/>
          <w:bCs/>
          <w:color w:val="000000" w:themeColor="text1"/>
          <w:sz w:val="20"/>
          <w:szCs w:val="20"/>
          <w:lang w:val="pl-PL"/>
        </w:rPr>
        <w:t>bioinformatycznego</w:t>
      </w:r>
      <w:proofErr w:type="spellEnd"/>
      <w:r w:rsidRPr="00A167D1">
        <w:rPr>
          <w:rFonts w:ascii="Open Sans" w:hAnsi="Open Sans" w:cs="Open Sans"/>
          <w:b/>
          <w:bCs/>
          <w:color w:val="000000" w:themeColor="text1"/>
          <w:sz w:val="20"/>
          <w:szCs w:val="20"/>
          <w:lang w:val="pl-PL"/>
        </w:rPr>
        <w:t xml:space="preserve"> Grupy wyniosły 22,6 mln zł i wzrosły o 55% r/r. EBITDA zwiększyła się z 2,8 mln zł w roku ubiegłym do 3,9 mln zł w 2022 r. przy marży 17,3%;</w:t>
      </w:r>
    </w:p>
    <w:p w14:paraId="09E8ED8C" w14:textId="4DA037C0" w:rsidR="00795170" w:rsidRPr="00A167D1" w:rsidRDefault="00795170" w:rsidP="00A167D1">
      <w:pPr>
        <w:pStyle w:val="Akapitzlist"/>
        <w:numPr>
          <w:ilvl w:val="0"/>
          <w:numId w:val="24"/>
        </w:numPr>
        <w:spacing w:after="120" w:line="276" w:lineRule="auto"/>
        <w:jc w:val="both"/>
        <w:rPr>
          <w:rFonts w:ascii="Open Sans" w:hAnsi="Open Sans" w:cs="Open Sans"/>
          <w:b/>
          <w:bCs/>
          <w:color w:val="000000" w:themeColor="text1"/>
          <w:sz w:val="20"/>
          <w:szCs w:val="20"/>
          <w:lang w:val="pl-PL"/>
        </w:rPr>
      </w:pPr>
      <w:proofErr w:type="spellStart"/>
      <w:r w:rsidRPr="00A167D1">
        <w:rPr>
          <w:rFonts w:ascii="Open Sans" w:hAnsi="Open Sans" w:cs="Open Sans"/>
          <w:b/>
          <w:bCs/>
          <w:color w:val="000000" w:themeColor="text1"/>
          <w:sz w:val="20"/>
          <w:szCs w:val="20"/>
          <w:lang w:val="pl-PL"/>
        </w:rPr>
        <w:t>Backlog</w:t>
      </w:r>
      <w:proofErr w:type="spellEnd"/>
      <w:r w:rsidRPr="00A167D1">
        <w:rPr>
          <w:rFonts w:ascii="Open Sans" w:hAnsi="Open Sans" w:cs="Open Sans"/>
          <w:b/>
          <w:bCs/>
          <w:color w:val="000000" w:themeColor="text1"/>
          <w:sz w:val="20"/>
          <w:szCs w:val="20"/>
          <w:lang w:val="pl-PL"/>
        </w:rPr>
        <w:t xml:space="preserve"> na dzień 02.09.2022 </w:t>
      </w:r>
      <w:r w:rsidR="60415B1F" w:rsidRPr="00A167D1">
        <w:rPr>
          <w:rFonts w:ascii="Open Sans" w:hAnsi="Open Sans" w:cs="Open Sans"/>
          <w:b/>
          <w:bCs/>
          <w:color w:val="000000" w:themeColor="text1"/>
          <w:sz w:val="20"/>
          <w:szCs w:val="20"/>
          <w:lang w:val="pl-PL"/>
        </w:rPr>
        <w:t xml:space="preserve">r. </w:t>
      </w:r>
      <w:r w:rsidR="007C1E0F">
        <w:rPr>
          <w:rFonts w:ascii="Open Sans" w:hAnsi="Open Sans" w:cs="Open Sans"/>
          <w:b/>
          <w:bCs/>
          <w:color w:val="000000" w:themeColor="text1"/>
          <w:sz w:val="20"/>
          <w:szCs w:val="20"/>
          <w:lang w:val="pl-PL"/>
        </w:rPr>
        <w:t xml:space="preserve">wynosi </w:t>
      </w:r>
      <w:r w:rsidRPr="00A167D1">
        <w:rPr>
          <w:rFonts w:ascii="Open Sans" w:hAnsi="Open Sans" w:cs="Open Sans"/>
          <w:b/>
          <w:bCs/>
          <w:color w:val="000000" w:themeColor="text1"/>
          <w:sz w:val="20"/>
          <w:szCs w:val="20"/>
          <w:lang w:val="pl-PL"/>
        </w:rPr>
        <w:t xml:space="preserve">358,9 mln zł i jest o 32% wyższy niż wartość zakontraktowanego portfela zamówień wynikających z podpisanych kontraktów handlowych oraz umów o dotacje w dniu 16.09.2021 r.  </w:t>
      </w:r>
    </w:p>
    <w:p w14:paraId="10EC8D1B" w14:textId="73D50124" w:rsidR="007C1E0F" w:rsidRDefault="007C1E0F" w:rsidP="00D67680">
      <w:pPr>
        <w:spacing w:after="120" w:line="276" w:lineRule="auto"/>
        <w:rPr>
          <w:rFonts w:ascii="Open Sans" w:hAnsi="Open Sans" w:cs="Open Sans"/>
          <w:b/>
          <w:bCs/>
          <w:sz w:val="20"/>
          <w:szCs w:val="20"/>
          <w:u w:val="single"/>
          <w:lang w:val="pl-PL"/>
        </w:rPr>
      </w:pPr>
    </w:p>
    <w:p w14:paraId="4D99B611" w14:textId="1CEA8AE9" w:rsidR="00BE678A" w:rsidRDefault="00BE678A" w:rsidP="00D67680">
      <w:pPr>
        <w:spacing w:after="120" w:line="276" w:lineRule="auto"/>
        <w:rPr>
          <w:rFonts w:ascii="Open Sans" w:hAnsi="Open Sans" w:cs="Open Sans"/>
          <w:b/>
          <w:bCs/>
          <w:sz w:val="20"/>
          <w:szCs w:val="20"/>
          <w:u w:val="single"/>
          <w:lang w:val="pl-PL"/>
        </w:rPr>
      </w:pPr>
    </w:p>
    <w:p w14:paraId="6CDFD339" w14:textId="61B735F4" w:rsidR="00BE678A" w:rsidRDefault="00BE678A" w:rsidP="00D67680">
      <w:pPr>
        <w:spacing w:after="120" w:line="276" w:lineRule="auto"/>
        <w:rPr>
          <w:rFonts w:ascii="Open Sans" w:hAnsi="Open Sans" w:cs="Open Sans"/>
          <w:b/>
          <w:bCs/>
          <w:sz w:val="20"/>
          <w:szCs w:val="20"/>
          <w:u w:val="single"/>
          <w:lang w:val="pl-PL"/>
        </w:rPr>
      </w:pPr>
    </w:p>
    <w:p w14:paraId="4C9DC268" w14:textId="5B37F7C8" w:rsidR="00BE678A" w:rsidRDefault="00BE678A" w:rsidP="00D67680">
      <w:pPr>
        <w:spacing w:after="120" w:line="276" w:lineRule="auto"/>
        <w:rPr>
          <w:rFonts w:ascii="Open Sans" w:hAnsi="Open Sans" w:cs="Open Sans"/>
          <w:b/>
          <w:bCs/>
          <w:sz w:val="20"/>
          <w:szCs w:val="20"/>
          <w:u w:val="single"/>
          <w:lang w:val="pl-PL"/>
        </w:rPr>
      </w:pPr>
    </w:p>
    <w:p w14:paraId="0D2991FF" w14:textId="0ED28B0D" w:rsidR="00BE678A" w:rsidRDefault="00BE678A" w:rsidP="00D67680">
      <w:pPr>
        <w:spacing w:after="120" w:line="276" w:lineRule="auto"/>
        <w:rPr>
          <w:rFonts w:ascii="Open Sans" w:hAnsi="Open Sans" w:cs="Open Sans"/>
          <w:b/>
          <w:bCs/>
          <w:sz w:val="20"/>
          <w:szCs w:val="20"/>
          <w:u w:val="single"/>
          <w:lang w:val="pl-PL"/>
        </w:rPr>
      </w:pPr>
    </w:p>
    <w:p w14:paraId="3E2D3A07" w14:textId="6818033F" w:rsidR="00BE678A" w:rsidRDefault="00BE678A" w:rsidP="00D67680">
      <w:pPr>
        <w:spacing w:after="120" w:line="276" w:lineRule="auto"/>
        <w:rPr>
          <w:rFonts w:ascii="Open Sans" w:hAnsi="Open Sans" w:cs="Open Sans"/>
          <w:b/>
          <w:bCs/>
          <w:sz w:val="20"/>
          <w:szCs w:val="20"/>
          <w:u w:val="single"/>
          <w:lang w:val="pl-PL"/>
        </w:rPr>
      </w:pPr>
    </w:p>
    <w:p w14:paraId="7C416685" w14:textId="7406E5F6" w:rsidR="00BE678A" w:rsidRDefault="00BE678A" w:rsidP="00D67680">
      <w:pPr>
        <w:spacing w:after="120" w:line="276" w:lineRule="auto"/>
        <w:rPr>
          <w:rFonts w:ascii="Open Sans" w:hAnsi="Open Sans" w:cs="Open Sans"/>
          <w:b/>
          <w:bCs/>
          <w:sz w:val="20"/>
          <w:szCs w:val="20"/>
          <w:u w:val="single"/>
          <w:lang w:val="pl-PL"/>
        </w:rPr>
      </w:pPr>
    </w:p>
    <w:p w14:paraId="47B11311" w14:textId="6F354106" w:rsidR="00BE678A" w:rsidRDefault="00BE678A" w:rsidP="00D67680">
      <w:pPr>
        <w:spacing w:after="120" w:line="276" w:lineRule="auto"/>
        <w:rPr>
          <w:rFonts w:ascii="Open Sans" w:hAnsi="Open Sans" w:cs="Open Sans"/>
          <w:b/>
          <w:bCs/>
          <w:sz w:val="20"/>
          <w:szCs w:val="20"/>
          <w:u w:val="single"/>
          <w:lang w:val="pl-PL"/>
        </w:rPr>
      </w:pPr>
    </w:p>
    <w:p w14:paraId="690C78D1" w14:textId="1E83CAA9" w:rsidR="00BE678A" w:rsidRDefault="00BE678A" w:rsidP="00D67680">
      <w:pPr>
        <w:spacing w:after="120" w:line="276" w:lineRule="auto"/>
        <w:rPr>
          <w:rFonts w:ascii="Open Sans" w:hAnsi="Open Sans" w:cs="Open Sans"/>
          <w:b/>
          <w:bCs/>
          <w:sz w:val="20"/>
          <w:szCs w:val="20"/>
          <w:u w:val="single"/>
          <w:lang w:val="pl-PL"/>
        </w:rPr>
      </w:pPr>
    </w:p>
    <w:p w14:paraId="41027BFA" w14:textId="77777777" w:rsidR="00BE678A" w:rsidRDefault="00BE678A" w:rsidP="00D67680">
      <w:pPr>
        <w:spacing w:after="120" w:line="276" w:lineRule="auto"/>
        <w:rPr>
          <w:rFonts w:ascii="Open Sans" w:hAnsi="Open Sans" w:cs="Open Sans"/>
          <w:b/>
          <w:bCs/>
          <w:sz w:val="20"/>
          <w:szCs w:val="20"/>
          <w:u w:val="single"/>
          <w:lang w:val="pl-PL"/>
        </w:rPr>
      </w:pPr>
    </w:p>
    <w:p w14:paraId="194E1499" w14:textId="77777777" w:rsidR="00BE678A" w:rsidRDefault="00BE678A" w:rsidP="00D67680">
      <w:pPr>
        <w:spacing w:after="120" w:line="276" w:lineRule="auto"/>
        <w:rPr>
          <w:rFonts w:ascii="Open Sans" w:hAnsi="Open Sans" w:cs="Open Sans"/>
          <w:b/>
          <w:bCs/>
          <w:sz w:val="20"/>
          <w:szCs w:val="20"/>
          <w:u w:val="single"/>
          <w:lang w:val="pl-PL"/>
        </w:rPr>
      </w:pPr>
    </w:p>
    <w:p w14:paraId="1D4A4B51" w14:textId="296B6D55" w:rsidR="00795170" w:rsidRDefault="00795170" w:rsidP="00D67680">
      <w:pPr>
        <w:spacing w:after="120" w:line="276" w:lineRule="auto"/>
        <w:rPr>
          <w:rFonts w:ascii="Open Sans" w:hAnsi="Open Sans" w:cs="Open Sans"/>
          <w:b/>
          <w:bCs/>
          <w:sz w:val="20"/>
          <w:szCs w:val="20"/>
          <w:u w:val="single"/>
          <w:lang w:val="pl-PL"/>
        </w:rPr>
      </w:pPr>
      <w:r w:rsidRPr="00795170">
        <w:rPr>
          <w:rFonts w:ascii="Open Sans" w:hAnsi="Open Sans" w:cs="Open Sans"/>
          <w:b/>
          <w:bCs/>
          <w:sz w:val="20"/>
          <w:szCs w:val="20"/>
          <w:u w:val="single"/>
          <w:lang w:val="pl-PL"/>
        </w:rPr>
        <w:t>Dane liczbowe:</w:t>
      </w:r>
    </w:p>
    <w:p w14:paraId="100FC141" w14:textId="5AAFD647" w:rsidR="00EE30D2" w:rsidRDefault="00EE30D2" w:rsidP="00D67680">
      <w:pPr>
        <w:spacing w:after="120" w:line="276" w:lineRule="auto"/>
        <w:rPr>
          <w:rFonts w:ascii="Open Sans" w:hAnsi="Open Sans" w:cs="Open Sans"/>
          <w:b/>
          <w:bCs/>
          <w:sz w:val="20"/>
          <w:szCs w:val="20"/>
          <w:u w:val="single"/>
          <w:lang w:val="pl-PL"/>
        </w:rPr>
      </w:pPr>
      <w:r w:rsidRPr="00EE30D2">
        <w:rPr>
          <w:noProof/>
        </w:rPr>
        <w:drawing>
          <wp:inline distT="0" distB="0" distL="0" distR="0" wp14:anchorId="1D85451D" wp14:editId="2121D169">
            <wp:extent cx="5335270" cy="4223168"/>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5688" cy="4231415"/>
                    </a:xfrm>
                    <a:prstGeom prst="rect">
                      <a:avLst/>
                    </a:prstGeom>
                    <a:noFill/>
                    <a:ln>
                      <a:noFill/>
                    </a:ln>
                  </pic:spPr>
                </pic:pic>
              </a:graphicData>
            </a:graphic>
          </wp:inline>
        </w:drawing>
      </w:r>
    </w:p>
    <w:p w14:paraId="3BCE475D" w14:textId="057F33BD" w:rsidR="00795170" w:rsidRDefault="00795170" w:rsidP="00D67680">
      <w:pPr>
        <w:spacing w:after="120" w:line="276" w:lineRule="auto"/>
        <w:rPr>
          <w:rFonts w:ascii="Open Sans" w:hAnsi="Open Sans" w:cs="Open Sans"/>
          <w:b/>
          <w:bCs/>
          <w:sz w:val="20"/>
          <w:szCs w:val="20"/>
          <w:u w:val="single"/>
          <w:lang w:val="pl-PL"/>
        </w:rPr>
      </w:pPr>
    </w:p>
    <w:p w14:paraId="52F32FF6" w14:textId="3D1E043C" w:rsidR="00323A0A" w:rsidRDefault="00EE30D2" w:rsidP="00795170">
      <w:pPr>
        <w:spacing w:after="120" w:line="276" w:lineRule="auto"/>
        <w:jc w:val="both"/>
        <w:rPr>
          <w:rFonts w:ascii="Open Sans" w:hAnsi="Open Sans" w:cs="Open Sans"/>
          <w:color w:val="000000" w:themeColor="text1"/>
          <w:sz w:val="20"/>
          <w:szCs w:val="20"/>
          <w:lang w:val="pl-PL"/>
        </w:rPr>
      </w:pPr>
      <w:r w:rsidRPr="00EE30D2">
        <w:rPr>
          <w:noProof/>
        </w:rPr>
        <w:drawing>
          <wp:anchor distT="0" distB="0" distL="114300" distR="114300" simplePos="0" relativeHeight="251658240" behindDoc="0" locked="0" layoutInCell="1" allowOverlap="1" wp14:anchorId="05690926" wp14:editId="5BC71C71">
            <wp:simplePos x="0" y="0"/>
            <wp:positionH relativeFrom="column">
              <wp:posOffset>-1298</wp:posOffset>
            </wp:positionH>
            <wp:positionV relativeFrom="paragraph">
              <wp:posOffset>3313</wp:posOffset>
            </wp:positionV>
            <wp:extent cx="5335326" cy="1287054"/>
            <wp:effectExtent l="0" t="0" r="0" b="889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5326" cy="1287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AFDE6" w14:textId="37910ED7" w:rsidR="00795170" w:rsidRPr="00795170" w:rsidRDefault="00795170" w:rsidP="00795170">
      <w:pPr>
        <w:spacing w:after="120" w:line="276" w:lineRule="auto"/>
        <w:jc w:val="both"/>
        <w:rPr>
          <w:rFonts w:ascii="Open Sans" w:hAnsi="Open Sans" w:cs="Open Sans"/>
          <w:color w:val="000000" w:themeColor="text1"/>
          <w:sz w:val="20"/>
          <w:szCs w:val="20"/>
          <w:lang w:val="pl-PL"/>
        </w:rPr>
      </w:pPr>
      <w:r w:rsidRPr="00795170">
        <w:rPr>
          <w:rFonts w:ascii="Open Sans" w:hAnsi="Open Sans" w:cs="Open Sans"/>
          <w:color w:val="000000" w:themeColor="text1"/>
          <w:sz w:val="20"/>
          <w:szCs w:val="20"/>
          <w:lang w:val="pl-PL"/>
        </w:rPr>
        <w:t xml:space="preserve">Pozostałe wybrane dane wstępne dotyczące skonsolidowanego sprawozdania finansowego na dzień 30 czerwca 2022 r.:  </w:t>
      </w:r>
    </w:p>
    <w:p w14:paraId="788B6793" w14:textId="77777777" w:rsidR="00795170" w:rsidRPr="00795170" w:rsidRDefault="00795170" w:rsidP="00795170">
      <w:pPr>
        <w:pStyle w:val="Akapitzlist"/>
        <w:numPr>
          <w:ilvl w:val="0"/>
          <w:numId w:val="23"/>
        </w:numPr>
        <w:spacing w:after="120" w:line="276" w:lineRule="auto"/>
        <w:jc w:val="both"/>
        <w:rPr>
          <w:rFonts w:ascii="Open Sans" w:hAnsi="Open Sans" w:cs="Open Sans"/>
          <w:color w:val="000000" w:themeColor="text1"/>
          <w:sz w:val="20"/>
          <w:szCs w:val="20"/>
          <w:lang w:val="pl-PL"/>
        </w:rPr>
      </w:pPr>
      <w:r w:rsidRPr="00795170">
        <w:rPr>
          <w:rFonts w:ascii="Open Sans" w:hAnsi="Open Sans" w:cs="Open Sans"/>
          <w:b/>
          <w:bCs/>
          <w:color w:val="000000" w:themeColor="text1"/>
          <w:sz w:val="20"/>
          <w:szCs w:val="20"/>
          <w:lang w:val="pl-PL"/>
        </w:rPr>
        <w:t>Środki pieniężne i ich ekwiwalenty oraz pozostałe aktywa finansowe</w:t>
      </w:r>
      <w:r w:rsidRPr="00795170">
        <w:rPr>
          <w:rFonts w:ascii="Open Sans" w:hAnsi="Open Sans" w:cs="Open Sans"/>
          <w:color w:val="000000" w:themeColor="text1"/>
          <w:sz w:val="20"/>
          <w:szCs w:val="20"/>
          <w:lang w:val="pl-PL"/>
        </w:rPr>
        <w:t xml:space="preserve">: 77,3 mln zł (spadek o 19,6 mln zł w stosunku do 31 grudnia 2021 r.) </w:t>
      </w:r>
    </w:p>
    <w:p w14:paraId="17115888" w14:textId="77777777" w:rsidR="00795170" w:rsidRPr="00795170" w:rsidRDefault="00795170" w:rsidP="00795170">
      <w:pPr>
        <w:pStyle w:val="Akapitzlist"/>
        <w:numPr>
          <w:ilvl w:val="0"/>
          <w:numId w:val="23"/>
        </w:numPr>
        <w:spacing w:after="120" w:line="276" w:lineRule="auto"/>
        <w:jc w:val="both"/>
        <w:rPr>
          <w:rFonts w:ascii="Open Sans" w:hAnsi="Open Sans" w:cs="Open Sans"/>
          <w:color w:val="000000" w:themeColor="text1"/>
          <w:sz w:val="20"/>
          <w:szCs w:val="20"/>
          <w:lang w:val="pl-PL"/>
        </w:rPr>
      </w:pPr>
      <w:r w:rsidRPr="00795170">
        <w:rPr>
          <w:rFonts w:ascii="Open Sans" w:hAnsi="Open Sans" w:cs="Open Sans"/>
          <w:b/>
          <w:bCs/>
          <w:color w:val="000000" w:themeColor="text1"/>
          <w:sz w:val="20"/>
          <w:szCs w:val="20"/>
          <w:lang w:val="pl-PL"/>
        </w:rPr>
        <w:t>Pożyczki i kredyty bankowe</w:t>
      </w:r>
      <w:r w:rsidRPr="00795170">
        <w:rPr>
          <w:rFonts w:ascii="Open Sans" w:hAnsi="Open Sans" w:cs="Open Sans"/>
          <w:color w:val="000000" w:themeColor="text1"/>
          <w:sz w:val="20"/>
          <w:szCs w:val="20"/>
          <w:lang w:val="pl-PL"/>
        </w:rPr>
        <w:t xml:space="preserve">: 88,2 mln zł (spadek o 4,0 mln zł w stosunku do 31 grudnia 2021 r.) </w:t>
      </w:r>
    </w:p>
    <w:p w14:paraId="0F7E2310" w14:textId="7148669C" w:rsidR="00795170" w:rsidRPr="00795170" w:rsidRDefault="00795170" w:rsidP="00795170">
      <w:pPr>
        <w:pStyle w:val="Akapitzlist"/>
        <w:numPr>
          <w:ilvl w:val="0"/>
          <w:numId w:val="23"/>
        </w:numPr>
        <w:spacing w:after="120" w:line="276" w:lineRule="auto"/>
        <w:jc w:val="both"/>
        <w:rPr>
          <w:rFonts w:ascii="Open Sans" w:hAnsi="Open Sans" w:cs="Open Sans"/>
          <w:color w:val="000000" w:themeColor="text1"/>
          <w:sz w:val="20"/>
          <w:szCs w:val="20"/>
          <w:lang w:val="pl-PL"/>
        </w:rPr>
      </w:pPr>
      <w:r w:rsidRPr="64154844">
        <w:rPr>
          <w:rFonts w:ascii="Open Sans" w:hAnsi="Open Sans" w:cs="Open Sans"/>
          <w:b/>
          <w:bCs/>
          <w:color w:val="000000" w:themeColor="text1"/>
          <w:sz w:val="20"/>
          <w:szCs w:val="20"/>
          <w:lang w:val="pl-PL"/>
        </w:rPr>
        <w:t>Zobowiązania z tytułu leasingu</w:t>
      </w:r>
      <w:r w:rsidRPr="64154844">
        <w:rPr>
          <w:rFonts w:ascii="Open Sans" w:hAnsi="Open Sans" w:cs="Open Sans"/>
          <w:color w:val="000000" w:themeColor="text1"/>
          <w:sz w:val="20"/>
          <w:szCs w:val="20"/>
          <w:lang w:val="pl-PL"/>
        </w:rPr>
        <w:t xml:space="preserve">: 85,0 mln zł (spadek o 2,6 mln zł w stosunku do 31 grudnia 2021 r.) </w:t>
      </w:r>
    </w:p>
    <w:p w14:paraId="4D110B82" w14:textId="77777777" w:rsidR="00BE678A" w:rsidRDefault="00BE678A" w:rsidP="00795170">
      <w:pPr>
        <w:spacing w:after="120" w:line="276" w:lineRule="auto"/>
        <w:jc w:val="both"/>
        <w:rPr>
          <w:rFonts w:ascii="Open Sans" w:hAnsi="Open Sans" w:cs="Open Sans"/>
          <w:color w:val="000000" w:themeColor="text1"/>
          <w:sz w:val="20"/>
          <w:szCs w:val="20"/>
          <w:lang w:val="pl-PL"/>
        </w:rPr>
      </w:pPr>
    </w:p>
    <w:p w14:paraId="0FCFF7A2" w14:textId="77777777" w:rsidR="00BE678A" w:rsidRDefault="00BE678A" w:rsidP="00795170">
      <w:pPr>
        <w:spacing w:after="120" w:line="276" w:lineRule="auto"/>
        <w:jc w:val="both"/>
        <w:rPr>
          <w:rFonts w:ascii="Open Sans" w:hAnsi="Open Sans" w:cs="Open Sans"/>
          <w:color w:val="000000" w:themeColor="text1"/>
          <w:sz w:val="20"/>
          <w:szCs w:val="20"/>
          <w:lang w:val="pl-PL"/>
        </w:rPr>
      </w:pPr>
    </w:p>
    <w:p w14:paraId="4979EA5A" w14:textId="77777777" w:rsidR="00BE678A" w:rsidRDefault="00BE678A" w:rsidP="00795170">
      <w:pPr>
        <w:spacing w:after="120" w:line="276" w:lineRule="auto"/>
        <w:jc w:val="both"/>
        <w:rPr>
          <w:rFonts w:ascii="Open Sans" w:hAnsi="Open Sans" w:cs="Open Sans"/>
          <w:color w:val="000000" w:themeColor="text1"/>
          <w:sz w:val="20"/>
          <w:szCs w:val="20"/>
          <w:lang w:val="pl-PL"/>
        </w:rPr>
      </w:pPr>
    </w:p>
    <w:p w14:paraId="1757F3F5" w14:textId="6D113DBA" w:rsidR="00795170" w:rsidRPr="00795170" w:rsidRDefault="00795170" w:rsidP="00795170">
      <w:pPr>
        <w:spacing w:after="120" w:line="276" w:lineRule="auto"/>
        <w:jc w:val="both"/>
        <w:rPr>
          <w:rFonts w:ascii="Open Sans" w:hAnsi="Open Sans" w:cs="Open Sans"/>
          <w:color w:val="000000" w:themeColor="text1"/>
          <w:sz w:val="20"/>
          <w:szCs w:val="20"/>
          <w:lang w:val="pl-PL"/>
        </w:rPr>
      </w:pPr>
      <w:r w:rsidRPr="00795170">
        <w:rPr>
          <w:rFonts w:ascii="Open Sans" w:hAnsi="Open Sans" w:cs="Open Sans"/>
          <w:color w:val="000000" w:themeColor="text1"/>
          <w:sz w:val="20"/>
          <w:szCs w:val="20"/>
          <w:lang w:val="pl-PL"/>
        </w:rPr>
        <w:t>Spółka informuje, że przedstawione dane finansowe są szacunkowe, a ich obliczenia zostały dokonane według aktualnej wiedzy Zarządu oraz obecnie podlegają one przeglądowi przez niezależny podmiot uprawniony do badań sprawozdań finansowych. Prezentowane dane mogą różnić się od ostatecznych danych finansowych Grupy Kapitałowej Selvita S.A. za okres 6 miesięcy 2022 roku, które zostaną opublikowane w dniu 14 września 2022 r., zgodnie z raportem bieżącym nr 23/2022</w:t>
      </w:r>
      <w:r>
        <w:rPr>
          <w:rFonts w:ascii="Open Sans" w:hAnsi="Open Sans" w:cs="Open Sans"/>
          <w:color w:val="000000" w:themeColor="text1"/>
          <w:sz w:val="20"/>
          <w:szCs w:val="20"/>
          <w:lang w:val="pl-PL"/>
        </w:rPr>
        <w:t xml:space="preserve"> z dnia 18 sierpnia 2022 r.</w:t>
      </w:r>
    </w:p>
    <w:p w14:paraId="772DB1BF" w14:textId="77777777" w:rsidR="00591B4C" w:rsidRDefault="00591B4C" w:rsidP="00795170">
      <w:pPr>
        <w:spacing w:after="120" w:line="276" w:lineRule="auto"/>
        <w:jc w:val="both"/>
        <w:rPr>
          <w:rFonts w:ascii="Open Sans" w:hAnsi="Open Sans" w:cs="Open Sans"/>
          <w:b/>
          <w:bCs/>
          <w:color w:val="000000" w:themeColor="text1"/>
          <w:sz w:val="20"/>
          <w:szCs w:val="20"/>
          <w:lang w:val="pl-PL"/>
        </w:rPr>
      </w:pPr>
    </w:p>
    <w:p w14:paraId="087E8E05" w14:textId="77777777" w:rsidR="00795170" w:rsidRPr="00795170" w:rsidRDefault="00795170" w:rsidP="00D67680">
      <w:pPr>
        <w:spacing w:after="120" w:line="276" w:lineRule="auto"/>
        <w:rPr>
          <w:rFonts w:ascii="Open Sans" w:hAnsi="Open Sans" w:cs="Open Sans"/>
          <w:b/>
          <w:bCs/>
          <w:sz w:val="20"/>
          <w:szCs w:val="20"/>
          <w:u w:val="single"/>
          <w:lang w:val="pl-PL"/>
        </w:rPr>
      </w:pPr>
    </w:p>
    <w:sectPr w:rsidR="00795170" w:rsidRPr="00795170" w:rsidSect="00801300">
      <w:headerReference w:type="default" r:id="rId12"/>
      <w:footerReference w:type="default" r:id="rId13"/>
      <w:pgSz w:w="11906" w:h="16838"/>
      <w:pgMar w:top="1417" w:right="1417" w:bottom="1417" w:left="1417" w:header="79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8489" w14:textId="77777777" w:rsidR="006B0242" w:rsidRDefault="006B0242" w:rsidP="00284C0E">
      <w:r>
        <w:separator/>
      </w:r>
    </w:p>
  </w:endnote>
  <w:endnote w:type="continuationSeparator" w:id="0">
    <w:p w14:paraId="167D2F56" w14:textId="77777777" w:rsidR="006B0242" w:rsidRDefault="006B0242" w:rsidP="0028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Open Sans Semibold">
    <w:panose1 w:val="020B0706030804020204"/>
    <w:charset w:val="EE"/>
    <w:family w:val="swiss"/>
    <w:pitch w:val="variable"/>
    <w:sig w:usb0="E00002EF" w:usb1="4000205B" w:usb2="00000028" w:usb3="00000000" w:csb0="0000019F" w:csb1="00000000"/>
  </w:font>
  <w:font w:name="Constantia">
    <w:panose1 w:val="02030602050306030303"/>
    <w:charset w:val="EE"/>
    <w:family w:val="roman"/>
    <w:pitch w:val="variable"/>
    <w:sig w:usb0="A00002EF" w:usb1="4000204B" w:usb2="00000000" w:usb3="00000000" w:csb0="0000019F" w:csb1="00000000"/>
  </w:font>
  <w:font w:name="Cera Pro">
    <w:altName w:val="Calibri"/>
    <w:charset w:val="EE"/>
    <w:family w:val="auto"/>
    <w:pitch w:val="variable"/>
    <w:sig w:usb0="00000287" w:usb1="00000001"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8514" w14:textId="56097498" w:rsidR="005C2690" w:rsidRDefault="00B25CE0">
    <w:pPr>
      <w:pStyle w:val="Stopka"/>
    </w:pPr>
    <w:r w:rsidRPr="00B54AC0">
      <w:rPr>
        <w:noProof/>
      </w:rPr>
      <mc:AlternateContent>
        <mc:Choice Requires="wpg">
          <w:drawing>
            <wp:anchor distT="0" distB="0" distL="114300" distR="114300" simplePos="0" relativeHeight="251682304" behindDoc="0" locked="0" layoutInCell="1" allowOverlap="1" wp14:anchorId="6AE14168" wp14:editId="34D37004">
              <wp:simplePos x="0" y="0"/>
              <wp:positionH relativeFrom="page">
                <wp:posOffset>-29845</wp:posOffset>
              </wp:positionH>
              <wp:positionV relativeFrom="page">
                <wp:posOffset>9927590</wp:posOffset>
              </wp:positionV>
              <wp:extent cx="2174875" cy="76200"/>
              <wp:effectExtent l="0" t="0" r="0" b="0"/>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4875" cy="76200"/>
                        <a:chOff x="0" y="14276"/>
                        <a:chExt cx="3425" cy="120"/>
                      </a:xfrm>
                    </wpg:grpSpPr>
                    <wps:wsp>
                      <wps:cNvPr id="10" name="Freeform 2"/>
                      <wps:cNvSpPr>
                        <a:spLocks/>
                      </wps:cNvSpPr>
                      <wps:spPr bwMode="auto">
                        <a:xfrm>
                          <a:off x="0" y="14276"/>
                          <a:ext cx="3272" cy="119"/>
                        </a:xfrm>
                        <a:custGeom>
                          <a:avLst/>
                          <a:gdLst>
                            <a:gd name="T0" fmla="*/ 0 w 3272"/>
                            <a:gd name="T1" fmla="+- 0 14277 14277"/>
                            <a:gd name="T2" fmla="*/ 14277 h 119"/>
                            <a:gd name="T3" fmla="*/ 0 w 3272"/>
                            <a:gd name="T4" fmla="+- 0 14392 14277"/>
                            <a:gd name="T5" fmla="*/ 14392 h 119"/>
                            <a:gd name="T6" fmla="*/ 3272 w 3272"/>
                            <a:gd name="T7" fmla="+- 0 14395 14277"/>
                            <a:gd name="T8" fmla="*/ 14395 h 119"/>
                            <a:gd name="T9" fmla="*/ 3272 w 3272"/>
                            <a:gd name="T10" fmla="+- 0 14280 14277"/>
                            <a:gd name="T11" fmla="*/ 14280 h 119"/>
                            <a:gd name="T12" fmla="*/ 0 w 3272"/>
                            <a:gd name="T13" fmla="+- 0 14277 14277"/>
                            <a:gd name="T14" fmla="*/ 14277 h 119"/>
                          </a:gdLst>
                          <a:ahLst/>
                          <a:cxnLst>
                            <a:cxn ang="0">
                              <a:pos x="T0" y="T2"/>
                            </a:cxn>
                            <a:cxn ang="0">
                              <a:pos x="T3" y="T5"/>
                            </a:cxn>
                            <a:cxn ang="0">
                              <a:pos x="T6" y="T8"/>
                            </a:cxn>
                            <a:cxn ang="0">
                              <a:pos x="T9" y="T11"/>
                            </a:cxn>
                            <a:cxn ang="0">
                              <a:pos x="T12" y="T14"/>
                            </a:cxn>
                          </a:cxnLst>
                          <a:rect l="0" t="0" r="r" b="b"/>
                          <a:pathLst>
                            <a:path w="3272" h="119">
                              <a:moveTo>
                                <a:pt x="0" y="0"/>
                              </a:moveTo>
                              <a:lnTo>
                                <a:pt x="0" y="115"/>
                              </a:lnTo>
                              <a:lnTo>
                                <a:pt x="3272" y="118"/>
                              </a:lnTo>
                              <a:lnTo>
                                <a:pt x="3272" y="3"/>
                              </a:lnTo>
                              <a:lnTo>
                                <a:pt x="0" y="0"/>
                              </a:lnTo>
                              <a:close/>
                            </a:path>
                          </a:pathLst>
                        </a:custGeom>
                        <a:solidFill>
                          <a:srgbClr val="E44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3"/>
                      <wps:cNvSpPr>
                        <a:spLocks noChangeArrowheads="1"/>
                      </wps:cNvSpPr>
                      <wps:spPr bwMode="auto">
                        <a:xfrm>
                          <a:off x="459" y="14277"/>
                          <a:ext cx="726" cy="116"/>
                        </a:xfrm>
                        <a:prstGeom prst="rect">
                          <a:avLst/>
                        </a:prstGeom>
                        <a:solidFill>
                          <a:srgbClr val="00A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4"/>
                      <wps:cNvSpPr>
                        <a:spLocks noChangeArrowheads="1"/>
                      </wps:cNvSpPr>
                      <wps:spPr bwMode="auto">
                        <a:xfrm>
                          <a:off x="0" y="14276"/>
                          <a:ext cx="460" cy="118"/>
                        </a:xfrm>
                        <a:prstGeom prst="rect">
                          <a:avLst/>
                        </a:prstGeom>
                        <a:solidFill>
                          <a:srgbClr val="F9C2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5"/>
                      <wps:cNvSpPr>
                        <a:spLocks noChangeArrowheads="1"/>
                      </wps:cNvSpPr>
                      <wps:spPr bwMode="auto">
                        <a:xfrm>
                          <a:off x="2698" y="14279"/>
                          <a:ext cx="726" cy="116"/>
                        </a:xfrm>
                        <a:prstGeom prst="rect">
                          <a:avLst/>
                        </a:prstGeom>
                        <a:solidFill>
                          <a:srgbClr val="004E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459BC2">
            <v:group id="Group 1" style="position:absolute;margin-left:-2.35pt;margin-top:781.7pt;width:171.25pt;height:6pt;z-index:251682304;mso-position-horizontal-relative:page;mso-position-vertical-relative:page" coordsize="3425,120" coordorigin=",14276" o:spid="_x0000_s1026" w14:anchorId="0CE6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">
              <v:shape id="Freeform 2" style="position:absolute;top:14276;width:3272;height:119;visibility:visible;mso-wrap-style:square;v-text-anchor:top" coordsize="3272,119" o:spid="_x0000_s1027" fillcolor="#e44398" stroked="f" path="m,l,115r3272,3l32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">
                <v:path arrowok="t" o:connecttype="custom" o:connectlocs="0,14277;0,14392;3272,14395;3272,14280;0,14277" o:connectangles="0,0,0,0,0"/>
              </v:shape>
              <v:rect id="Rectangle 3" style="position:absolute;left:459;top:14277;width:726;height:116;visibility:visible;mso-wrap-style:square;v-text-anchor:top" o:spid="_x0000_s1028" fillcolor="#00aca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"/>
              <v:rect id="Rectangle 4" style="position:absolute;top:14276;width:460;height:118;visibility:visible;mso-wrap-style:square;v-text-anchor:top" o:spid="_x0000_s1029" fillcolor="#f9c20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"/>
              <v:rect id="Rectangle 5" style="position:absolute;left:2698;top:14279;width:726;height:116;visibility:visible;mso-wrap-style:square;v-text-anchor:top" o:spid="_x0000_s1030" fillcolor="#004e9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"/>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3FD1" w14:textId="77777777" w:rsidR="006B0242" w:rsidRDefault="006B0242" w:rsidP="00284C0E">
      <w:r>
        <w:separator/>
      </w:r>
    </w:p>
  </w:footnote>
  <w:footnote w:type="continuationSeparator" w:id="0">
    <w:p w14:paraId="6BAAB1D9" w14:textId="77777777" w:rsidR="006B0242" w:rsidRDefault="006B0242" w:rsidP="00284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2119" w14:textId="2D20F4E4" w:rsidR="00284C0E" w:rsidRDefault="00284C0E">
    <w:pPr>
      <w:pStyle w:val="Nagwek"/>
    </w:pPr>
    <w:r>
      <w:rPr>
        <w:noProof/>
      </w:rPr>
      <w:drawing>
        <wp:anchor distT="0" distB="0" distL="114300" distR="114300" simplePos="0" relativeHeight="251680256" behindDoc="0" locked="0" layoutInCell="1" allowOverlap="1" wp14:anchorId="680347FA" wp14:editId="4A54706A">
          <wp:simplePos x="0" y="0"/>
          <wp:positionH relativeFrom="column">
            <wp:posOffset>3768725</wp:posOffset>
          </wp:positionH>
          <wp:positionV relativeFrom="paragraph">
            <wp:posOffset>-560705</wp:posOffset>
          </wp:positionV>
          <wp:extent cx="2176780" cy="1174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76780" cy="1174750"/>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3A9"/>
    <w:multiLevelType w:val="multilevel"/>
    <w:tmpl w:val="D9284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D62BAF"/>
    <w:multiLevelType w:val="multilevel"/>
    <w:tmpl w:val="197ACE8E"/>
    <w:lvl w:ilvl="0">
      <w:start w:val="8"/>
      <w:numFmt w:val="decimal"/>
      <w:lvlText w:val="%1."/>
      <w:lvlJc w:val="left"/>
      <w:pPr>
        <w:ind w:left="360" w:hanging="360"/>
      </w:pPr>
      <w:rPr>
        <w:rFonts w:ascii="Open Sans" w:hAnsi="Open Sans" w:cs="Open Sans" w:hint="default"/>
        <w:color w:val="FFFFFF" w:themeColor="background1"/>
      </w:rPr>
    </w:lvl>
    <w:lvl w:ilvl="1">
      <w:start w:val="1"/>
      <w:numFmt w:val="decimal"/>
      <w:lvlText w:val="%1.%2."/>
      <w:lvlJc w:val="left"/>
      <w:pPr>
        <w:ind w:left="1080"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D36156C"/>
    <w:multiLevelType w:val="multilevel"/>
    <w:tmpl w:val="59C2F4BC"/>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550" w:hanging="431"/>
      </w:pPr>
      <w:rPr>
        <w:rFonts w:cs="Times New Roman" w:hint="default"/>
        <w:b/>
        <w:color w:val="05478C"/>
      </w:rPr>
    </w:lvl>
    <w:lvl w:ilvl="2">
      <w:start w:val="1"/>
      <w:numFmt w:val="decimal"/>
      <w:lvlText w:val="%1.%2.%3"/>
      <w:lvlJc w:val="left"/>
      <w:pPr>
        <w:ind w:left="7519" w:hanging="431"/>
      </w:pPr>
      <w:rPr>
        <w:rFonts w:cs="Times New Roman" w:hint="default"/>
      </w:rPr>
    </w:lvl>
    <w:lvl w:ilvl="3">
      <w:start w:val="1"/>
      <w:numFmt w:val="decimal"/>
      <w:lvlText w:val="%1.%2.%3.%4"/>
      <w:lvlJc w:val="left"/>
      <w:pPr>
        <w:ind w:left="11063" w:hanging="431"/>
      </w:pPr>
      <w:rPr>
        <w:rFonts w:cs="Times New Roman" w:hint="default"/>
      </w:rPr>
    </w:lvl>
    <w:lvl w:ilvl="4">
      <w:start w:val="1"/>
      <w:numFmt w:val="decimal"/>
      <w:lvlText w:val="%1.%2.%3.%4.%5"/>
      <w:lvlJc w:val="left"/>
      <w:pPr>
        <w:ind w:left="14607" w:hanging="431"/>
      </w:pPr>
      <w:rPr>
        <w:rFonts w:cs="Times New Roman" w:hint="default"/>
      </w:rPr>
    </w:lvl>
    <w:lvl w:ilvl="5">
      <w:start w:val="1"/>
      <w:numFmt w:val="decimal"/>
      <w:lvlText w:val="%1.%2.%3.%4.%5.%6"/>
      <w:lvlJc w:val="left"/>
      <w:pPr>
        <w:ind w:left="18151" w:hanging="431"/>
      </w:pPr>
      <w:rPr>
        <w:rFonts w:cs="Times New Roman" w:hint="default"/>
      </w:rPr>
    </w:lvl>
    <w:lvl w:ilvl="6">
      <w:start w:val="1"/>
      <w:numFmt w:val="decimal"/>
      <w:lvlText w:val="%1.%2.%3.%4.%5.%6.%7"/>
      <w:lvlJc w:val="left"/>
      <w:pPr>
        <w:ind w:left="21695" w:hanging="431"/>
      </w:pPr>
      <w:rPr>
        <w:rFonts w:cs="Times New Roman" w:hint="default"/>
      </w:rPr>
    </w:lvl>
    <w:lvl w:ilvl="7">
      <w:start w:val="1"/>
      <w:numFmt w:val="decimal"/>
      <w:lvlText w:val="%1.%2.%3.%4.%5.%6.%7.%8"/>
      <w:lvlJc w:val="left"/>
      <w:pPr>
        <w:ind w:left="25239" w:hanging="431"/>
      </w:pPr>
      <w:rPr>
        <w:rFonts w:cs="Times New Roman" w:hint="default"/>
      </w:rPr>
    </w:lvl>
    <w:lvl w:ilvl="8">
      <w:start w:val="1"/>
      <w:numFmt w:val="decimal"/>
      <w:lvlText w:val="%1.%2.%3.%4.%5.%6.%7.%8.%9"/>
      <w:lvlJc w:val="left"/>
      <w:pPr>
        <w:ind w:left="28783" w:hanging="431"/>
      </w:pPr>
      <w:rPr>
        <w:rFonts w:cs="Times New Roman" w:hint="default"/>
      </w:rPr>
    </w:lvl>
  </w:abstractNum>
  <w:abstractNum w:abstractNumId="3" w15:restartNumberingAfterBreak="0">
    <w:nsid w:val="31327679"/>
    <w:multiLevelType w:val="hybridMultilevel"/>
    <w:tmpl w:val="BA76B3A4"/>
    <w:lvl w:ilvl="0" w:tplc="0FEC35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48991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8E1D1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A0A5F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58880E">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AE2EE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2DC3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4253B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B4AC7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D095510"/>
    <w:multiLevelType w:val="multilevel"/>
    <w:tmpl w:val="270A3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F555F73"/>
    <w:multiLevelType w:val="multilevel"/>
    <w:tmpl w:val="19AC54B8"/>
    <w:lvl w:ilvl="0">
      <w:start w:val="1"/>
      <w:numFmt w:val="decimal"/>
      <w:pStyle w:val="RyvuNagwek"/>
      <w:lvlText w:val="%1."/>
      <w:lvlJc w:val="left"/>
      <w:pPr>
        <w:ind w:left="360" w:hanging="360"/>
      </w:pPr>
      <w:rPr>
        <w:rFonts w:hint="default"/>
      </w:rPr>
    </w:lvl>
    <w:lvl w:ilvl="1">
      <w:start w:val="1"/>
      <w:numFmt w:val="decimal"/>
      <w:pStyle w:val="RyvuNagwek1"/>
      <w:lvlText w:val="%1.%2."/>
      <w:lvlJc w:val="left"/>
      <w:pPr>
        <w:ind w:left="792" w:hanging="432"/>
      </w:pPr>
    </w:lvl>
    <w:lvl w:ilvl="2">
      <w:start w:val="1"/>
      <w:numFmt w:val="decimal"/>
      <w:pStyle w:val="RyvuNagwek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C4281C"/>
    <w:multiLevelType w:val="hybridMultilevel"/>
    <w:tmpl w:val="1B4EC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66DA5"/>
    <w:multiLevelType w:val="hybridMultilevel"/>
    <w:tmpl w:val="2B3AB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7A534D1"/>
    <w:multiLevelType w:val="multilevel"/>
    <w:tmpl w:val="457E87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BCD4326"/>
    <w:multiLevelType w:val="hybridMultilevel"/>
    <w:tmpl w:val="72407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9815027">
    <w:abstractNumId w:val="0"/>
  </w:num>
  <w:num w:numId="2" w16cid:durableId="346101477">
    <w:abstractNumId w:val="0"/>
  </w:num>
  <w:num w:numId="3" w16cid:durableId="1480348043">
    <w:abstractNumId w:val="0"/>
  </w:num>
  <w:num w:numId="4" w16cid:durableId="1040009749">
    <w:abstractNumId w:val="5"/>
  </w:num>
  <w:num w:numId="5" w16cid:durableId="914977748">
    <w:abstractNumId w:val="5"/>
  </w:num>
  <w:num w:numId="6" w16cid:durableId="212740242">
    <w:abstractNumId w:val="5"/>
  </w:num>
  <w:num w:numId="7" w16cid:durableId="848370832">
    <w:abstractNumId w:val="5"/>
  </w:num>
  <w:num w:numId="8" w16cid:durableId="1194154938">
    <w:abstractNumId w:val="5"/>
  </w:num>
  <w:num w:numId="9" w16cid:durableId="1881622286">
    <w:abstractNumId w:val="2"/>
  </w:num>
  <w:num w:numId="10" w16cid:durableId="976297734">
    <w:abstractNumId w:val="2"/>
  </w:num>
  <w:num w:numId="11" w16cid:durableId="1212153979">
    <w:abstractNumId w:val="2"/>
  </w:num>
  <w:num w:numId="12" w16cid:durableId="1836799451">
    <w:abstractNumId w:val="1"/>
  </w:num>
  <w:num w:numId="13" w16cid:durableId="770468314">
    <w:abstractNumId w:val="8"/>
  </w:num>
  <w:num w:numId="14" w16cid:durableId="1783719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425684">
    <w:abstractNumId w:val="2"/>
  </w:num>
  <w:num w:numId="16" w16cid:durableId="1805125548">
    <w:abstractNumId w:val="2"/>
  </w:num>
  <w:num w:numId="17" w16cid:durableId="1289627509">
    <w:abstractNumId w:val="2"/>
  </w:num>
  <w:num w:numId="18" w16cid:durableId="63795276">
    <w:abstractNumId w:val="2"/>
  </w:num>
  <w:num w:numId="19" w16cid:durableId="322588308">
    <w:abstractNumId w:val="4"/>
  </w:num>
  <w:num w:numId="20" w16cid:durableId="1801265275">
    <w:abstractNumId w:val="2"/>
  </w:num>
  <w:num w:numId="21" w16cid:durableId="107625904">
    <w:abstractNumId w:val="7"/>
  </w:num>
  <w:num w:numId="22" w16cid:durableId="847255179">
    <w:abstractNumId w:val="3"/>
  </w:num>
  <w:num w:numId="23" w16cid:durableId="129137408">
    <w:abstractNumId w:val="9"/>
  </w:num>
  <w:num w:numId="24" w16cid:durableId="1409226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2MTW3MDc1MrUwMzVR0lEKTi0uzszPAykwqQUA4wtGcSwAAAA="/>
  </w:docVars>
  <w:rsids>
    <w:rsidRoot w:val="00284C0E"/>
    <w:rsid w:val="00041659"/>
    <w:rsid w:val="001C586D"/>
    <w:rsid w:val="00216585"/>
    <w:rsid w:val="00284C0E"/>
    <w:rsid w:val="002B7C18"/>
    <w:rsid w:val="002C1E5D"/>
    <w:rsid w:val="00323A0A"/>
    <w:rsid w:val="00345540"/>
    <w:rsid w:val="00377660"/>
    <w:rsid w:val="00391B88"/>
    <w:rsid w:val="004549C2"/>
    <w:rsid w:val="00484003"/>
    <w:rsid w:val="0048442F"/>
    <w:rsid w:val="004A725A"/>
    <w:rsid w:val="004E005C"/>
    <w:rsid w:val="004E61F7"/>
    <w:rsid w:val="00507A4A"/>
    <w:rsid w:val="00537BFD"/>
    <w:rsid w:val="0054169A"/>
    <w:rsid w:val="00562B4B"/>
    <w:rsid w:val="00591B4C"/>
    <w:rsid w:val="005C2690"/>
    <w:rsid w:val="005E2766"/>
    <w:rsid w:val="00684315"/>
    <w:rsid w:val="006B0242"/>
    <w:rsid w:val="006C4B99"/>
    <w:rsid w:val="00712412"/>
    <w:rsid w:val="007142BB"/>
    <w:rsid w:val="00725D46"/>
    <w:rsid w:val="007746C8"/>
    <w:rsid w:val="00786803"/>
    <w:rsid w:val="00795170"/>
    <w:rsid w:val="007A68BD"/>
    <w:rsid w:val="007B3EE3"/>
    <w:rsid w:val="007C1E0F"/>
    <w:rsid w:val="007F4718"/>
    <w:rsid w:val="00800825"/>
    <w:rsid w:val="00801300"/>
    <w:rsid w:val="00823234"/>
    <w:rsid w:val="00845A0B"/>
    <w:rsid w:val="00887FE4"/>
    <w:rsid w:val="008B211F"/>
    <w:rsid w:val="008E2184"/>
    <w:rsid w:val="008E549C"/>
    <w:rsid w:val="0090374E"/>
    <w:rsid w:val="00927C79"/>
    <w:rsid w:val="009412EA"/>
    <w:rsid w:val="009C20AD"/>
    <w:rsid w:val="00A167D1"/>
    <w:rsid w:val="00A66E8D"/>
    <w:rsid w:val="00A9060C"/>
    <w:rsid w:val="00AB73B2"/>
    <w:rsid w:val="00B25CE0"/>
    <w:rsid w:val="00B54AC0"/>
    <w:rsid w:val="00B82FC7"/>
    <w:rsid w:val="00BE678A"/>
    <w:rsid w:val="00C0364B"/>
    <w:rsid w:val="00C87807"/>
    <w:rsid w:val="00CC6D97"/>
    <w:rsid w:val="00CF52FD"/>
    <w:rsid w:val="00D5161E"/>
    <w:rsid w:val="00D67680"/>
    <w:rsid w:val="00D74213"/>
    <w:rsid w:val="00DB57A2"/>
    <w:rsid w:val="00DD68B9"/>
    <w:rsid w:val="00DF5F65"/>
    <w:rsid w:val="00E86D05"/>
    <w:rsid w:val="00E9005B"/>
    <w:rsid w:val="00EC592F"/>
    <w:rsid w:val="00EE30D2"/>
    <w:rsid w:val="00F05745"/>
    <w:rsid w:val="00FD663B"/>
    <w:rsid w:val="00FE208B"/>
    <w:rsid w:val="13BA2FF7"/>
    <w:rsid w:val="1FF0A591"/>
    <w:rsid w:val="257FFC44"/>
    <w:rsid w:val="25A248B2"/>
    <w:rsid w:val="271BCCA5"/>
    <w:rsid w:val="2A536D67"/>
    <w:rsid w:val="4ABA617F"/>
    <w:rsid w:val="4B58963C"/>
    <w:rsid w:val="556B84FB"/>
    <w:rsid w:val="56A4EFBE"/>
    <w:rsid w:val="60415B1F"/>
    <w:rsid w:val="64154844"/>
    <w:rsid w:val="712BFF83"/>
    <w:rsid w:val="71EC8B58"/>
    <w:rsid w:val="7A5FF1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6ECFA"/>
  <w15:chartTrackingRefBased/>
  <w15:docId w15:val="{4A616993-D987-4713-836A-0CCB218E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LV_Normalny"/>
    <w:qFormat/>
    <w:rsid w:val="00284C0E"/>
    <w:pPr>
      <w:widowControl w:val="0"/>
      <w:autoSpaceDE w:val="0"/>
      <w:autoSpaceDN w:val="0"/>
      <w:spacing w:after="0" w:line="240" w:lineRule="auto"/>
    </w:pPr>
    <w:rPr>
      <w:rFonts w:ascii="Tahoma" w:eastAsia="Tahoma" w:hAnsi="Tahoma" w:cs="Tahoma"/>
      <w:lang w:val="en-US"/>
    </w:rPr>
  </w:style>
  <w:style w:type="paragraph" w:styleId="Nagwek1">
    <w:name w:val="heading 1"/>
    <w:aliases w:val="SLV Nagłówek 1"/>
    <w:basedOn w:val="Normalny"/>
    <w:next w:val="Normalny"/>
    <w:link w:val="Nagwek1Znak"/>
    <w:autoRedefine/>
    <w:uiPriority w:val="99"/>
    <w:qFormat/>
    <w:rsid w:val="00345540"/>
    <w:pPr>
      <w:spacing w:before="480" w:after="120"/>
      <w:ind w:left="431" w:hanging="431"/>
      <w:contextualSpacing/>
      <w:outlineLvl w:val="0"/>
    </w:pPr>
    <w:rPr>
      <w:rFonts w:eastAsiaTheme="minorHAnsi" w:cs="Open Sans"/>
      <w:b/>
      <w:caps/>
      <w:noProof/>
      <w:color w:val="FFFFFF" w:themeColor="background1"/>
      <w:sz w:val="24"/>
      <w:szCs w:val="24"/>
      <w:lang w:eastAsia="en-GB"/>
    </w:rPr>
  </w:style>
  <w:style w:type="paragraph" w:styleId="Nagwek2">
    <w:name w:val="heading 2"/>
    <w:aliases w:val="SLV Nagłówek 2"/>
    <w:basedOn w:val="Normalny"/>
    <w:next w:val="Normalny"/>
    <w:link w:val="Nagwek2Znak"/>
    <w:autoRedefine/>
    <w:uiPriority w:val="99"/>
    <w:qFormat/>
    <w:rsid w:val="00CC6D97"/>
    <w:pPr>
      <w:keepNext/>
      <w:keepLines/>
      <w:spacing w:before="200" w:line="288" w:lineRule="auto"/>
      <w:outlineLvl w:val="1"/>
    </w:pPr>
    <w:rPr>
      <w:rFonts w:eastAsiaTheme="minorHAnsi" w:cs="Calibri"/>
      <w:b/>
      <w:bCs/>
      <w:color w:val="05478C"/>
      <w:szCs w:val="26"/>
      <w:lang w:eastAsia="en-GB"/>
    </w:rPr>
  </w:style>
  <w:style w:type="paragraph" w:styleId="Nagwek3">
    <w:name w:val="heading 3"/>
    <w:aliases w:val="SLV_Nagłówek 3"/>
    <w:basedOn w:val="Normalny"/>
    <w:next w:val="Normalny"/>
    <w:link w:val="Nagwek3Znak"/>
    <w:autoRedefine/>
    <w:uiPriority w:val="9"/>
    <w:unhideWhenUsed/>
    <w:qFormat/>
    <w:rsid w:val="001C586D"/>
    <w:pPr>
      <w:numPr>
        <w:ilvl w:val="2"/>
        <w:numId w:val="19"/>
      </w:numPr>
      <w:spacing w:before="200" w:line="271" w:lineRule="auto"/>
      <w:ind w:left="777" w:hanging="493"/>
      <w:outlineLvl w:val="2"/>
    </w:pPr>
    <w:rPr>
      <w:rFonts w:eastAsiaTheme="majorEastAsia" w:cstheme="majorBidi"/>
      <w:b/>
      <w:bCs/>
      <w:color w:val="002060"/>
    </w:rPr>
  </w:style>
  <w:style w:type="paragraph" w:styleId="Nagwek4">
    <w:name w:val="heading 4"/>
    <w:basedOn w:val="Normalny"/>
    <w:next w:val="Normalny"/>
    <w:link w:val="Nagwek4Znak"/>
    <w:autoRedefine/>
    <w:uiPriority w:val="99"/>
    <w:qFormat/>
    <w:rsid w:val="00345540"/>
    <w:pPr>
      <w:keepNext/>
      <w:keepLines/>
      <w:spacing w:before="200" w:line="288" w:lineRule="auto"/>
      <w:outlineLvl w:val="3"/>
    </w:pPr>
    <w:rPr>
      <w:rFonts w:eastAsiaTheme="minorHAnsi" w:cs="Calibri"/>
      <w:b/>
      <w:iCs/>
      <w:color w:val="183151"/>
      <w:lang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SLV Nagłówek 1 Znak"/>
    <w:basedOn w:val="Domylnaczcionkaakapitu"/>
    <w:link w:val="Nagwek1"/>
    <w:uiPriority w:val="99"/>
    <w:rsid w:val="00345540"/>
    <w:rPr>
      <w:rFonts w:ascii="Open Sans" w:hAnsi="Open Sans" w:cs="Open Sans"/>
      <w:b/>
      <w:caps/>
      <w:noProof/>
      <w:color w:val="FFFFFF" w:themeColor="background1"/>
      <w:sz w:val="24"/>
      <w:szCs w:val="24"/>
      <w:lang w:val="en-US" w:eastAsia="en-GB"/>
    </w:rPr>
  </w:style>
  <w:style w:type="character" w:customStyle="1" w:styleId="Nagwek2Znak">
    <w:name w:val="Nagłówek 2 Znak"/>
    <w:aliases w:val="SLV Nagłówek 2 Znak"/>
    <w:basedOn w:val="Domylnaczcionkaakapitu"/>
    <w:link w:val="Nagwek2"/>
    <w:uiPriority w:val="99"/>
    <w:rsid w:val="00CC6D97"/>
    <w:rPr>
      <w:rFonts w:ascii="Open Sans" w:hAnsi="Open Sans" w:cs="Calibri"/>
      <w:b/>
      <w:bCs/>
      <w:color w:val="05478C"/>
      <w:szCs w:val="26"/>
      <w:lang w:eastAsia="en-GB"/>
    </w:rPr>
  </w:style>
  <w:style w:type="character" w:customStyle="1" w:styleId="Nagwek3Znak">
    <w:name w:val="Nagłówek 3 Znak"/>
    <w:aliases w:val="SLV_Nagłówek 3 Znak"/>
    <w:basedOn w:val="Domylnaczcionkaakapitu"/>
    <w:link w:val="Nagwek3"/>
    <w:uiPriority w:val="9"/>
    <w:rsid w:val="001C586D"/>
    <w:rPr>
      <w:rFonts w:ascii="Open Sans" w:eastAsiaTheme="majorEastAsia" w:hAnsi="Open Sans" w:cstheme="majorBidi"/>
      <w:b/>
      <w:bCs/>
      <w:color w:val="002060"/>
      <w:sz w:val="20"/>
      <w:lang w:eastAsia="pl-PL"/>
    </w:rPr>
  </w:style>
  <w:style w:type="paragraph" w:styleId="Nagwekspisutreci">
    <w:name w:val="TOC Heading"/>
    <w:aliases w:val="SLV Spis treści"/>
    <w:next w:val="Normalny"/>
    <w:uiPriority w:val="39"/>
    <w:unhideWhenUsed/>
    <w:qFormat/>
    <w:rsid w:val="0048442F"/>
    <w:rPr>
      <w:rFonts w:ascii="Open Sans" w:eastAsiaTheme="majorEastAsia" w:hAnsi="Open Sans" w:cstheme="majorBidi"/>
      <w:b/>
      <w:color w:val="FFFFFF" w:themeColor="background1"/>
      <w:sz w:val="20"/>
      <w:szCs w:val="32"/>
      <w:lang w:eastAsia="pl-PL"/>
    </w:rPr>
  </w:style>
  <w:style w:type="paragraph" w:styleId="Stopka">
    <w:name w:val="footer"/>
    <w:basedOn w:val="Normalny"/>
    <w:link w:val="StopkaZnak"/>
    <w:autoRedefine/>
    <w:uiPriority w:val="99"/>
    <w:qFormat/>
    <w:rsid w:val="00DF5F65"/>
    <w:pPr>
      <w:tabs>
        <w:tab w:val="center" w:pos="4680"/>
        <w:tab w:val="right" w:pos="9360"/>
      </w:tabs>
    </w:pPr>
    <w:rPr>
      <w:rFonts w:ascii="Open Sans Semibold" w:eastAsiaTheme="minorHAnsi" w:hAnsi="Open Sans Semibold" w:cs="Constantia"/>
      <w:color w:val="183151"/>
      <w:sz w:val="18"/>
      <w:lang w:eastAsia="en-GB"/>
    </w:rPr>
  </w:style>
  <w:style w:type="character" w:customStyle="1" w:styleId="StopkaZnak">
    <w:name w:val="Stopka Znak"/>
    <w:basedOn w:val="Domylnaczcionkaakapitu"/>
    <w:link w:val="Stopka"/>
    <w:uiPriority w:val="99"/>
    <w:rsid w:val="00DF5F65"/>
    <w:rPr>
      <w:rFonts w:ascii="Open Sans Semibold" w:hAnsi="Open Sans Semibold" w:cs="Constantia"/>
      <w:color w:val="183151"/>
      <w:sz w:val="18"/>
      <w:lang w:eastAsia="en-GB"/>
    </w:rPr>
  </w:style>
  <w:style w:type="paragraph" w:styleId="Spistreci2">
    <w:name w:val="toc 2"/>
    <w:basedOn w:val="Normalny"/>
    <w:next w:val="Normalny"/>
    <w:autoRedefine/>
    <w:uiPriority w:val="39"/>
    <w:qFormat/>
    <w:rsid w:val="00345540"/>
    <w:pPr>
      <w:tabs>
        <w:tab w:val="left" w:pos="709"/>
        <w:tab w:val="right" w:leader="dot" w:pos="9742"/>
      </w:tabs>
      <w:spacing w:after="100" w:line="288" w:lineRule="auto"/>
      <w:ind w:left="720"/>
    </w:pPr>
    <w:rPr>
      <w:rFonts w:ascii="Open Sans Semibold" w:eastAsia="Times New Roman" w:hAnsi="Open Sans Semibold" w:cs="Constantia"/>
      <w:color w:val="FFFFFF" w:themeColor="background1"/>
      <w:lang w:val="en-GB" w:eastAsia="en-GB"/>
    </w:rPr>
  </w:style>
  <w:style w:type="paragraph" w:styleId="Spistreci1">
    <w:name w:val="toc 1"/>
    <w:aliases w:val="SLV_Spis treści 1"/>
    <w:basedOn w:val="Normalny"/>
    <w:next w:val="Normalny"/>
    <w:link w:val="Spistreci1Znak"/>
    <w:autoRedefine/>
    <w:uiPriority w:val="39"/>
    <w:qFormat/>
    <w:rsid w:val="00345540"/>
    <w:pPr>
      <w:spacing w:after="100" w:line="288" w:lineRule="auto"/>
    </w:pPr>
    <w:rPr>
      <w:rFonts w:ascii="Open Sans Semibold" w:eastAsiaTheme="minorHAnsi" w:hAnsi="Open Sans Semibold" w:cs="Constantia"/>
      <w:color w:val="FFFFFF" w:themeColor="background1"/>
      <w:lang w:eastAsia="en-GB"/>
    </w:rPr>
  </w:style>
  <w:style w:type="paragraph" w:styleId="Spistreci3">
    <w:name w:val="toc 3"/>
    <w:aliases w:val="SLV Spis treści 3"/>
    <w:basedOn w:val="Normalny"/>
    <w:next w:val="Normalny"/>
    <w:link w:val="Spistreci3Znak"/>
    <w:autoRedefine/>
    <w:uiPriority w:val="39"/>
    <w:unhideWhenUsed/>
    <w:qFormat/>
    <w:rsid w:val="00823234"/>
    <w:pPr>
      <w:spacing w:after="100"/>
      <w:ind w:left="400"/>
    </w:pPr>
    <w:rPr>
      <w:rFonts w:ascii="Open Sans Semibold" w:hAnsi="Open Sans Semibold"/>
      <w:noProof/>
      <w:color w:val="FFFFFF" w:themeColor="background1"/>
    </w:rPr>
  </w:style>
  <w:style w:type="character" w:customStyle="1" w:styleId="Spistreci3Znak">
    <w:name w:val="Spis treści 3 Znak"/>
    <w:aliases w:val="SLV Spis treści 3 Znak"/>
    <w:basedOn w:val="Domylnaczcionkaakapitu"/>
    <w:link w:val="Spistreci3"/>
    <w:uiPriority w:val="39"/>
    <w:rsid w:val="00823234"/>
    <w:rPr>
      <w:rFonts w:ascii="Open Sans Semibold" w:eastAsiaTheme="minorEastAsia" w:hAnsi="Open Sans Semibold"/>
      <w:noProof/>
      <w:color w:val="FFFFFF" w:themeColor="background1"/>
      <w:sz w:val="20"/>
      <w:lang w:eastAsia="pl-PL"/>
    </w:rPr>
  </w:style>
  <w:style w:type="paragraph" w:customStyle="1" w:styleId="StopkaRyvu">
    <w:name w:val="Stopka Ryvu"/>
    <w:basedOn w:val="Stopka"/>
    <w:autoRedefine/>
    <w:qFormat/>
    <w:rsid w:val="00A9060C"/>
    <w:pPr>
      <w:jc w:val="right"/>
    </w:pPr>
    <w:rPr>
      <w:rFonts w:ascii="Cera Pro" w:hAnsi="Cera Pro"/>
    </w:rPr>
  </w:style>
  <w:style w:type="paragraph" w:customStyle="1" w:styleId="RyvuNagwek">
    <w:name w:val="Ryvu Nagłówek"/>
    <w:basedOn w:val="Normalny"/>
    <w:next w:val="Normalny"/>
    <w:autoRedefine/>
    <w:qFormat/>
    <w:rsid w:val="00A9060C"/>
    <w:pPr>
      <w:numPr>
        <w:numId w:val="8"/>
      </w:numPr>
    </w:pPr>
    <w:rPr>
      <w:rFonts w:ascii="Cera Pro" w:hAnsi="Cera Pro" w:cstheme="minorHAnsi"/>
      <w:b/>
      <w:noProof/>
      <w:color w:val="FFFFFF" w:themeColor="background1"/>
      <w:sz w:val="28"/>
    </w:rPr>
  </w:style>
  <w:style w:type="paragraph" w:styleId="Akapitzlist">
    <w:name w:val="List Paragraph"/>
    <w:basedOn w:val="Normalny"/>
    <w:uiPriority w:val="34"/>
    <w:qFormat/>
    <w:rsid w:val="00A9060C"/>
    <w:pPr>
      <w:ind w:left="720"/>
      <w:contextualSpacing/>
    </w:pPr>
  </w:style>
  <w:style w:type="paragraph" w:customStyle="1" w:styleId="RyvuNagwek1">
    <w:name w:val="Ryvu Nagłówek 1"/>
    <w:basedOn w:val="Normalny"/>
    <w:next w:val="Normalny"/>
    <w:autoRedefine/>
    <w:qFormat/>
    <w:rsid w:val="00A9060C"/>
    <w:pPr>
      <w:numPr>
        <w:ilvl w:val="1"/>
        <w:numId w:val="8"/>
      </w:numPr>
    </w:pPr>
    <w:rPr>
      <w:rFonts w:ascii="Cera Pro" w:hAnsi="Cera Pro" w:cstheme="minorHAnsi"/>
      <w:b/>
      <w:color w:val="17375F"/>
      <w:sz w:val="24"/>
      <w:szCs w:val="24"/>
    </w:rPr>
  </w:style>
  <w:style w:type="paragraph" w:customStyle="1" w:styleId="RyvuNagwek2">
    <w:name w:val="Ryvu Nagłówek 2"/>
    <w:basedOn w:val="Akapitzlist"/>
    <w:autoRedefine/>
    <w:qFormat/>
    <w:rsid w:val="00A9060C"/>
    <w:pPr>
      <w:numPr>
        <w:ilvl w:val="2"/>
        <w:numId w:val="8"/>
      </w:numPr>
    </w:pPr>
    <w:rPr>
      <w:rFonts w:ascii="Cera Pro" w:hAnsi="Cera Pro"/>
      <w:b/>
      <w:color w:val="1F8299"/>
    </w:rPr>
  </w:style>
  <w:style w:type="paragraph" w:customStyle="1" w:styleId="Ryvunormalnytekst">
    <w:name w:val="Ryvu normalny_tekst"/>
    <w:basedOn w:val="Normalny"/>
    <w:autoRedefine/>
    <w:qFormat/>
    <w:rsid w:val="00A9060C"/>
    <w:pPr>
      <w:jc w:val="both"/>
    </w:pPr>
  </w:style>
  <w:style w:type="paragraph" w:customStyle="1" w:styleId="RyvuNagwekdotekstu">
    <w:name w:val="Ryvu Nagłówek do tekstu"/>
    <w:basedOn w:val="Normalny"/>
    <w:next w:val="Ryvunormalnytekst"/>
    <w:autoRedefine/>
    <w:qFormat/>
    <w:rsid w:val="00A9060C"/>
    <w:pPr>
      <w:jc w:val="both"/>
    </w:pPr>
    <w:rPr>
      <w:rFonts w:ascii="Open Sans Semibold" w:hAnsi="Open Sans Semibold" w:cs="Open Sans Semibold"/>
      <w:color w:val="1F8299"/>
    </w:rPr>
  </w:style>
  <w:style w:type="paragraph" w:customStyle="1" w:styleId="RyvuNagwekdotekstu2">
    <w:name w:val="Ryvu Nagłówek do tekstu_2"/>
    <w:basedOn w:val="RyvuNagwekdotekstu"/>
    <w:next w:val="Ryvunormalnytekst"/>
    <w:autoRedefine/>
    <w:qFormat/>
    <w:rsid w:val="00A9060C"/>
    <w:rPr>
      <w:color w:val="17375F"/>
    </w:rPr>
  </w:style>
  <w:style w:type="paragraph" w:customStyle="1" w:styleId="RyvuSpistreci">
    <w:name w:val="Ryvu Spis treści"/>
    <w:basedOn w:val="Normalny"/>
    <w:next w:val="Normalny"/>
    <w:autoRedefine/>
    <w:qFormat/>
    <w:rsid w:val="00A9060C"/>
    <w:rPr>
      <w:rFonts w:ascii="Cera Pro" w:hAnsi="Cera Pro"/>
      <w:b/>
      <w:noProof/>
      <w:color w:val="FFFFFF" w:themeColor="background1"/>
      <w:sz w:val="24"/>
    </w:rPr>
  </w:style>
  <w:style w:type="character" w:styleId="Hipercze">
    <w:name w:val="Hyperlink"/>
    <w:aliases w:val="Selvita Spis Treści_Hiperłącze"/>
    <w:basedOn w:val="Domylnaczcionkaakapitu"/>
    <w:uiPriority w:val="99"/>
    <w:unhideWhenUsed/>
    <w:qFormat/>
    <w:rsid w:val="00800825"/>
    <w:rPr>
      <w:rFonts w:ascii="Open Sans Semibold" w:hAnsi="Open Sans Semibold"/>
      <w:color w:val="FFFFFF" w:themeColor="background1"/>
      <w:sz w:val="18"/>
      <w:u w:val="single"/>
    </w:rPr>
  </w:style>
  <w:style w:type="character" w:customStyle="1" w:styleId="Nagwek4Znak">
    <w:name w:val="Nagłówek 4 Znak"/>
    <w:basedOn w:val="Domylnaczcionkaakapitu"/>
    <w:link w:val="Nagwek4"/>
    <w:uiPriority w:val="99"/>
    <w:rsid w:val="00345540"/>
    <w:rPr>
      <w:rFonts w:ascii="Open Sans" w:hAnsi="Open Sans" w:cs="Calibri"/>
      <w:b/>
      <w:iCs/>
      <w:color w:val="183151"/>
      <w:sz w:val="20"/>
      <w:lang w:eastAsia="en-GB"/>
    </w:rPr>
  </w:style>
  <w:style w:type="character" w:customStyle="1" w:styleId="Spistreci1Znak">
    <w:name w:val="Spis treści 1 Znak"/>
    <w:aliases w:val="SLV_Spis treści 1 Znak"/>
    <w:basedOn w:val="Domylnaczcionkaakapitu"/>
    <w:link w:val="Spistreci1"/>
    <w:uiPriority w:val="39"/>
    <w:rsid w:val="00345540"/>
    <w:rPr>
      <w:rFonts w:ascii="Open Sans Semibold" w:hAnsi="Open Sans Semibold" w:cs="Constantia"/>
      <w:color w:val="FFFFFF" w:themeColor="background1"/>
      <w:sz w:val="20"/>
      <w:lang w:eastAsia="en-GB"/>
    </w:rPr>
  </w:style>
  <w:style w:type="paragraph" w:styleId="Nagwek">
    <w:name w:val="header"/>
    <w:basedOn w:val="Normalny"/>
    <w:link w:val="NagwekZnak"/>
    <w:uiPriority w:val="99"/>
    <w:unhideWhenUsed/>
    <w:rsid w:val="00284C0E"/>
    <w:pPr>
      <w:tabs>
        <w:tab w:val="center" w:pos="4536"/>
        <w:tab w:val="right" w:pos="9072"/>
      </w:tabs>
    </w:pPr>
  </w:style>
  <w:style w:type="character" w:customStyle="1" w:styleId="NagwekZnak">
    <w:name w:val="Nagłówek Znak"/>
    <w:basedOn w:val="Domylnaczcionkaakapitu"/>
    <w:link w:val="Nagwek"/>
    <w:uiPriority w:val="99"/>
    <w:rsid w:val="00284C0E"/>
    <w:rPr>
      <w:rFonts w:ascii="Open Sans" w:eastAsiaTheme="minorEastAsia" w:hAnsi="Open Sans"/>
      <w:sz w:val="20"/>
      <w:lang w:eastAsia="pl-PL"/>
    </w:rPr>
  </w:style>
  <w:style w:type="paragraph" w:styleId="Tekstpodstawowy">
    <w:name w:val="Body Text"/>
    <w:basedOn w:val="Normalny"/>
    <w:link w:val="TekstpodstawowyZnak"/>
    <w:uiPriority w:val="1"/>
    <w:qFormat/>
    <w:rsid w:val="00284C0E"/>
    <w:rPr>
      <w:sz w:val="23"/>
      <w:szCs w:val="23"/>
    </w:rPr>
  </w:style>
  <w:style w:type="character" w:customStyle="1" w:styleId="TekstpodstawowyZnak">
    <w:name w:val="Tekst podstawowy Znak"/>
    <w:basedOn w:val="Domylnaczcionkaakapitu"/>
    <w:link w:val="Tekstpodstawowy"/>
    <w:uiPriority w:val="1"/>
    <w:rsid w:val="00284C0E"/>
    <w:rPr>
      <w:rFonts w:ascii="Tahoma" w:eastAsia="Tahoma" w:hAnsi="Tahoma" w:cs="Tahoma"/>
      <w:sz w:val="23"/>
      <w:szCs w:val="23"/>
      <w:lang w:val="en-US"/>
    </w:rPr>
  </w:style>
  <w:style w:type="paragraph" w:styleId="Poprawka">
    <w:name w:val="Revision"/>
    <w:hidden/>
    <w:uiPriority w:val="99"/>
    <w:semiHidden/>
    <w:rsid w:val="009C20AD"/>
    <w:pPr>
      <w:spacing w:after="0" w:line="240" w:lineRule="auto"/>
    </w:pPr>
    <w:rPr>
      <w:rFonts w:ascii="Tahoma" w:eastAsia="Tahoma" w:hAnsi="Tahoma" w:cs="Tahoma"/>
      <w:lang w:val="en-US"/>
    </w:rPr>
  </w:style>
  <w:style w:type="character" w:styleId="Odwoaniedokomentarza">
    <w:name w:val="annotation reference"/>
    <w:basedOn w:val="Domylnaczcionkaakapitu"/>
    <w:uiPriority w:val="99"/>
    <w:semiHidden/>
    <w:unhideWhenUsed/>
    <w:rsid w:val="00725D46"/>
    <w:rPr>
      <w:sz w:val="16"/>
      <w:szCs w:val="16"/>
    </w:rPr>
  </w:style>
  <w:style w:type="paragraph" w:styleId="Tekstkomentarza">
    <w:name w:val="annotation text"/>
    <w:basedOn w:val="Normalny"/>
    <w:link w:val="TekstkomentarzaZnak"/>
    <w:uiPriority w:val="99"/>
    <w:semiHidden/>
    <w:unhideWhenUsed/>
    <w:rsid w:val="00725D46"/>
    <w:rPr>
      <w:sz w:val="20"/>
      <w:szCs w:val="20"/>
    </w:rPr>
  </w:style>
  <w:style w:type="character" w:customStyle="1" w:styleId="TekstkomentarzaZnak">
    <w:name w:val="Tekst komentarza Znak"/>
    <w:basedOn w:val="Domylnaczcionkaakapitu"/>
    <w:link w:val="Tekstkomentarza"/>
    <w:uiPriority w:val="99"/>
    <w:semiHidden/>
    <w:rsid w:val="00725D46"/>
    <w:rPr>
      <w:rFonts w:ascii="Tahoma" w:eastAsia="Tahoma" w:hAnsi="Tahoma" w:cs="Tahoma"/>
      <w:sz w:val="20"/>
      <w:szCs w:val="20"/>
      <w:lang w:val="en-US"/>
    </w:rPr>
  </w:style>
  <w:style w:type="paragraph" w:styleId="Tematkomentarza">
    <w:name w:val="annotation subject"/>
    <w:basedOn w:val="Tekstkomentarza"/>
    <w:next w:val="Tekstkomentarza"/>
    <w:link w:val="TematkomentarzaZnak"/>
    <w:uiPriority w:val="99"/>
    <w:semiHidden/>
    <w:unhideWhenUsed/>
    <w:rsid w:val="00725D46"/>
    <w:rPr>
      <w:b/>
      <w:bCs/>
    </w:rPr>
  </w:style>
  <w:style w:type="character" w:customStyle="1" w:styleId="TematkomentarzaZnak">
    <w:name w:val="Temat komentarza Znak"/>
    <w:basedOn w:val="TekstkomentarzaZnak"/>
    <w:link w:val="Tematkomentarza"/>
    <w:uiPriority w:val="99"/>
    <w:semiHidden/>
    <w:rsid w:val="00725D46"/>
    <w:rPr>
      <w:rFonts w:ascii="Tahoma" w:eastAsia="Tahoma" w:hAnsi="Tahoma" w:cs="Tahom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9CF97E68A79246BE326D5BD014D903" ma:contentTypeVersion="12" ma:contentTypeDescription="Create a new document." ma:contentTypeScope="" ma:versionID="a348ef761aa34bdee972c8517cb3e4ca">
  <xsd:schema xmlns:xsd="http://www.w3.org/2001/XMLSchema" xmlns:xs="http://www.w3.org/2001/XMLSchema" xmlns:p="http://schemas.microsoft.com/office/2006/metadata/properties" xmlns:ns2="ea67c117-55a5-4e9c-8a30-031b8f3aefa3" xmlns:ns3="ec0ac069-d334-414a-9a6f-96604c8ca3fc" targetNamespace="http://schemas.microsoft.com/office/2006/metadata/properties" ma:root="true" ma:fieldsID="410bff9d010fe5ad38a5931f7017908a" ns2:_="" ns3:_="">
    <xsd:import namespace="ea67c117-55a5-4e9c-8a30-031b8f3aefa3"/>
    <xsd:import namespace="ec0ac069-d334-414a-9a6f-96604c8ca3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7c117-55a5-4e9c-8a30-031b8f3ae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0ac069-d334-414a-9a6f-96604c8ca3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0D810-DA20-4664-AAF6-4696C0AB7FAD}">
  <ds:schemaRefs>
    <ds:schemaRef ds:uri="http://schemas.microsoft.com/sharepoint/v3/contenttype/forms"/>
  </ds:schemaRefs>
</ds:datastoreItem>
</file>

<file path=customXml/itemProps2.xml><?xml version="1.0" encoding="utf-8"?>
<ds:datastoreItem xmlns:ds="http://schemas.openxmlformats.org/officeDocument/2006/customXml" ds:itemID="{F0D790F7-FEA0-4D92-8426-4CE272412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7c117-55a5-4e9c-8a30-031b8f3aefa3"/>
    <ds:schemaRef ds:uri="ec0ac069-d334-414a-9a6f-96604c8ca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44E85-C3F1-4A10-B1C6-30D354E126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358</Words>
  <Characters>2150</Characters>
  <Application>Microsoft Office Word</Application>
  <DocSecurity>0</DocSecurity>
  <Lines>17</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Syjud</dc:creator>
  <cp:keywords/>
  <dc:description/>
  <cp:lastModifiedBy>Dawid Radziszewski</cp:lastModifiedBy>
  <cp:revision>5</cp:revision>
  <cp:lastPrinted>2022-09-05T19:36:00Z</cp:lastPrinted>
  <dcterms:created xsi:type="dcterms:W3CDTF">2022-09-05T19:35:00Z</dcterms:created>
  <dcterms:modified xsi:type="dcterms:W3CDTF">2022-09-06T06:23:00Z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0x010100F89CF97E68A79246BE326D5BD014D903</vt:lpwstr>
  </property>
</Properties>
</file>