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E620A" w14:textId="26FEAFDD" w:rsidR="00927C79" w:rsidRDefault="00927C79"/>
    <w:p w14:paraId="13AD7F24" w14:textId="01F330FE" w:rsidR="00284C0E" w:rsidRPr="007F4718" w:rsidRDefault="00284C0E">
      <w:pPr>
        <w:rPr>
          <w:sz w:val="20"/>
          <w:szCs w:val="20"/>
        </w:rPr>
      </w:pPr>
    </w:p>
    <w:p w14:paraId="6277AC7E" w14:textId="77777777" w:rsidR="005F42C1" w:rsidRDefault="005F42C1" w:rsidP="00604AA7">
      <w:pPr>
        <w:spacing w:after="120" w:line="276" w:lineRule="auto"/>
        <w:jc w:val="both"/>
        <w:rPr>
          <w:color w:val="005193"/>
          <w:sz w:val="30"/>
          <w:szCs w:val="30"/>
          <w:lang w:val="en-GB"/>
        </w:rPr>
      </w:pPr>
    </w:p>
    <w:p w14:paraId="635B0D30" w14:textId="323AC4C2" w:rsidR="00604AA7" w:rsidRDefault="00604AA7" w:rsidP="00604AA7">
      <w:pPr>
        <w:spacing w:after="120" w:line="276" w:lineRule="auto"/>
        <w:jc w:val="both"/>
        <w:rPr>
          <w:color w:val="005193"/>
          <w:sz w:val="30"/>
          <w:szCs w:val="30"/>
          <w:lang w:val="en-GB"/>
        </w:rPr>
      </w:pPr>
      <w:r w:rsidRPr="00604AA7">
        <w:rPr>
          <w:color w:val="005193"/>
          <w:sz w:val="30"/>
          <w:szCs w:val="30"/>
          <w:lang w:val="en-GB"/>
        </w:rPr>
        <w:t xml:space="preserve">Selected preliminary consolidated financial </w:t>
      </w:r>
      <w:r>
        <w:rPr>
          <w:color w:val="005193"/>
          <w:sz w:val="30"/>
          <w:szCs w:val="30"/>
          <w:lang w:val="en-GB"/>
        </w:rPr>
        <w:t>d</w:t>
      </w:r>
      <w:r w:rsidRPr="00604AA7">
        <w:rPr>
          <w:color w:val="005193"/>
          <w:sz w:val="30"/>
          <w:szCs w:val="30"/>
          <w:lang w:val="en-GB"/>
        </w:rPr>
        <w:t xml:space="preserve">ata for Selvita Group for the </w:t>
      </w:r>
      <w:r w:rsidR="00A41ADF">
        <w:rPr>
          <w:color w:val="005193"/>
          <w:sz w:val="30"/>
          <w:szCs w:val="30"/>
          <w:lang w:val="en-GB"/>
        </w:rPr>
        <w:t>second quarter of</w:t>
      </w:r>
      <w:r w:rsidRPr="00604AA7">
        <w:rPr>
          <w:color w:val="005193"/>
          <w:sz w:val="30"/>
          <w:szCs w:val="30"/>
          <w:lang w:val="en-GB"/>
        </w:rPr>
        <w:t xml:space="preserve"> 2022 and the six-month period ended June 30th, 2022</w:t>
      </w:r>
    </w:p>
    <w:p w14:paraId="6EB7CCBA" w14:textId="2D896039" w:rsidR="00604AA7" w:rsidRDefault="00604AA7" w:rsidP="00604AA7">
      <w:pPr>
        <w:spacing w:after="120"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  <w:r w:rsidRPr="00604AA7">
        <w:rPr>
          <w:rFonts w:ascii="Open Sans" w:hAnsi="Open Sans" w:cs="Open Sans"/>
          <w:color w:val="000000" w:themeColor="text1"/>
          <w:sz w:val="20"/>
          <w:szCs w:val="20"/>
          <w:lang w:val="en-GB"/>
        </w:rPr>
        <w:t xml:space="preserve">The Management Board of Selvita S.A. with its registered office in Krakow presents selected preliminary consolidated financial data for Selvita Group for the </w:t>
      </w:r>
      <w:r w:rsidR="00A41ADF">
        <w:rPr>
          <w:rFonts w:ascii="Open Sans" w:hAnsi="Open Sans" w:cs="Open Sans"/>
          <w:color w:val="000000" w:themeColor="text1"/>
          <w:sz w:val="20"/>
          <w:szCs w:val="20"/>
          <w:lang w:val="en-GB"/>
        </w:rPr>
        <w:t>second quarter of</w:t>
      </w:r>
      <w:r w:rsidRPr="00604AA7">
        <w:rPr>
          <w:rFonts w:ascii="Open Sans" w:hAnsi="Open Sans" w:cs="Open Sans"/>
          <w:color w:val="000000" w:themeColor="text1"/>
          <w:sz w:val="20"/>
          <w:szCs w:val="20"/>
          <w:lang w:val="en-GB"/>
        </w:rPr>
        <w:t xml:space="preserve"> 2022 (Q2 2022) and the six-month period ended 30 June 2022 (H1 2022) together with comparative data.</w:t>
      </w:r>
    </w:p>
    <w:p w14:paraId="41050737" w14:textId="07C4CB99" w:rsidR="00604AA7" w:rsidRDefault="00604A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  <w:r w:rsidRPr="00604AA7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  <w:t>Summary:</w:t>
      </w:r>
    </w:p>
    <w:p w14:paraId="59BD6F31" w14:textId="01B12609" w:rsidR="00604AA7" w:rsidRPr="00604AA7" w:rsidRDefault="00604AA7" w:rsidP="00604AA7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</w:pPr>
      <w:r w:rsidRPr="181861D4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 xml:space="preserve">Selvita Group reported EUR 42.9 million of consolidated operating revenues in first half of 2022, achieving an increase of 40% y/y;  </w:t>
      </w:r>
    </w:p>
    <w:p w14:paraId="535F9C51" w14:textId="77777777" w:rsidR="00604AA7" w:rsidRPr="00604AA7" w:rsidRDefault="00604AA7" w:rsidP="00604AA7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</w:pPr>
      <w:r w:rsidRPr="00604AA7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The Group’s EBITDA and net profit (excluding the impact of the non-cash incentive program) amounted to EUR 12.1 million and EUR 7.1 million, respectively, compared to EUR 7.7 million and EUR 4.0 million for corresponding period last year;</w:t>
      </w:r>
    </w:p>
    <w:p w14:paraId="15FCB063" w14:textId="040CE96F" w:rsidR="00604AA7" w:rsidRPr="00604AA7" w:rsidRDefault="00604AA7" w:rsidP="00604AA7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</w:pPr>
      <w:r w:rsidRPr="181861D4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Commercial revenues for services executed in Poland amounted to EUR 20.8 million, which means an increase of 49%</w:t>
      </w:r>
      <w:r w:rsidR="44873946" w:rsidRPr="181861D4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 xml:space="preserve"> y/y</w:t>
      </w:r>
      <w:r w:rsidRPr="181861D4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; EBITDA</w:t>
      </w:r>
      <w:r w:rsidR="00F2EA9F" w:rsidRPr="181861D4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 xml:space="preserve"> segment</w:t>
      </w:r>
      <w:r w:rsidRPr="181861D4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 xml:space="preserve"> amounted to EUR 6.2 million, with a margin of 28.6% (without the impact of the non-cash incentive program);</w:t>
      </w:r>
    </w:p>
    <w:p w14:paraId="1A077B17" w14:textId="1CAFE9DF" w:rsidR="00604AA7" w:rsidRPr="00604AA7" w:rsidRDefault="00604AA7" w:rsidP="00604AA7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</w:pPr>
      <w:r w:rsidRPr="00604AA7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Revenues for services executed in Croatia amounted to EUR 16.2 million, which means an increase of 27% y/y, EBITDA margin remained at high level of 31.1% (EUR</w:t>
      </w:r>
      <w:r w:rsidR="005D68A7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 </w:t>
      </w:r>
      <w:r w:rsidRPr="00604AA7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5.0 million);</w:t>
      </w:r>
    </w:p>
    <w:p w14:paraId="2C09F2E1" w14:textId="23ABD6F9" w:rsidR="00604AA7" w:rsidRPr="00604AA7" w:rsidRDefault="00604AA7" w:rsidP="00604AA7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</w:pPr>
      <w:r w:rsidRPr="00604AA7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Bioinformatics segment’s revenue amounted to EUR 4.9 million and increased by 55% y/y. EBITDA increased from EUR 0.6 million in corresponding period last year to EUR</w:t>
      </w:r>
      <w:r w:rsidR="005D68A7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 </w:t>
      </w:r>
      <w:r w:rsidRPr="00604AA7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0.8 million in 2022, with a margin of 17.3%;</w:t>
      </w:r>
    </w:p>
    <w:p w14:paraId="14B76D32" w14:textId="0ACF8EDF" w:rsidR="00604AA7" w:rsidRPr="00604AA7" w:rsidRDefault="00604AA7" w:rsidP="00604AA7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</w:pPr>
      <w:r w:rsidRPr="00604AA7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 xml:space="preserve">Backlog as of September 2nd, 2022 amounted to EUR 77.3 million, 32% higher compared to the backlog which was reported on September 16th, 2021.  </w:t>
      </w:r>
    </w:p>
    <w:p w14:paraId="02BF2B4F" w14:textId="77777777" w:rsidR="005D68A7" w:rsidRDefault="005D68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40BBDEA8" w14:textId="77777777" w:rsidR="005D68A7" w:rsidRDefault="005D68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013AAAFC" w14:textId="77777777" w:rsidR="005D68A7" w:rsidRDefault="005D68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544F09CD" w14:textId="77777777" w:rsidR="005D68A7" w:rsidRDefault="005D68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340CE60B" w14:textId="77777777" w:rsidR="005D68A7" w:rsidRDefault="005D68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30EAEA5B" w14:textId="77777777" w:rsidR="005D68A7" w:rsidRDefault="005D68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3D40D5F1" w14:textId="77777777" w:rsidR="005D68A7" w:rsidRDefault="005D68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6315A183" w14:textId="77777777" w:rsidR="005D68A7" w:rsidRDefault="005D68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2C67844A" w14:textId="77777777" w:rsidR="005D68A7" w:rsidRDefault="005D68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5D65631A" w14:textId="77777777" w:rsidR="005D68A7" w:rsidRDefault="005D68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4B0656D7" w14:textId="77777777" w:rsidR="005D68A7" w:rsidRDefault="005D68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1AB4412F" w14:textId="77777777" w:rsidR="005D68A7" w:rsidRDefault="005D68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</w:p>
    <w:p w14:paraId="19D00B0C" w14:textId="552C2C81" w:rsidR="00604AA7" w:rsidRDefault="00604AA7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  <w:t>Financial data (in EUR million):</w:t>
      </w:r>
    </w:p>
    <w:p w14:paraId="5E053A95" w14:textId="2AC1AF67" w:rsidR="00604AA7" w:rsidRPr="00604AA7" w:rsidRDefault="005F42C1" w:rsidP="00604AA7">
      <w:pPr>
        <w:spacing w:after="120"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val="en-GB"/>
        </w:rPr>
      </w:pPr>
      <w:r w:rsidRPr="005F42C1">
        <w:rPr>
          <w:noProof/>
        </w:rPr>
        <w:drawing>
          <wp:inline distT="0" distB="0" distL="0" distR="0" wp14:anchorId="50788B5D" wp14:editId="499B37A4">
            <wp:extent cx="5760720" cy="472567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AC6D6" w14:textId="6C4D3526" w:rsidR="00D67680" w:rsidRDefault="00D67680" w:rsidP="00D67680">
      <w:pPr>
        <w:spacing w:after="120" w:line="276" w:lineRule="auto"/>
        <w:rPr>
          <w:rFonts w:ascii="Open Sans" w:hAnsi="Open Sans" w:cs="Open Sans"/>
          <w:sz w:val="20"/>
          <w:szCs w:val="20"/>
          <w:lang w:val="en-GB"/>
        </w:rPr>
      </w:pPr>
    </w:p>
    <w:p w14:paraId="5F7FE1BD" w14:textId="44E94E41" w:rsidR="00604AA7" w:rsidRDefault="00473A77" w:rsidP="00D67680">
      <w:pPr>
        <w:spacing w:after="120" w:line="276" w:lineRule="auto"/>
        <w:rPr>
          <w:rFonts w:ascii="Open Sans" w:hAnsi="Open Sans" w:cs="Open Sans"/>
          <w:sz w:val="20"/>
          <w:szCs w:val="20"/>
          <w:lang w:val="en-GB"/>
        </w:rPr>
      </w:pPr>
      <w:r w:rsidRPr="00473A77">
        <w:rPr>
          <w:noProof/>
        </w:rPr>
        <w:drawing>
          <wp:inline distT="0" distB="0" distL="0" distR="0" wp14:anchorId="0798EC10" wp14:editId="3304B835">
            <wp:extent cx="5276850" cy="1270353"/>
            <wp:effectExtent l="0" t="0" r="0" b="635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010" cy="127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C2968" w14:textId="77777777" w:rsidR="005F42C1" w:rsidRDefault="005F42C1" w:rsidP="00604AA7">
      <w:pPr>
        <w:spacing w:after="120"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</w:p>
    <w:p w14:paraId="44C3D44C" w14:textId="6372D7C2" w:rsidR="00604AA7" w:rsidRPr="00604AA7" w:rsidRDefault="00604AA7" w:rsidP="00604AA7">
      <w:pPr>
        <w:spacing w:after="120"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  <w:r w:rsidRPr="00604AA7">
        <w:rPr>
          <w:rFonts w:ascii="Open Sans" w:hAnsi="Open Sans" w:cs="Open Sans"/>
          <w:color w:val="000000" w:themeColor="text1"/>
          <w:sz w:val="20"/>
          <w:szCs w:val="20"/>
          <w:lang w:val="en-GB"/>
        </w:rPr>
        <w:t>Other selected preliminary consolidated financial data for the period ended June 30th, 2022:</w:t>
      </w:r>
    </w:p>
    <w:p w14:paraId="27B447F8" w14:textId="77777777" w:rsidR="00604AA7" w:rsidRPr="00604AA7" w:rsidRDefault="00604AA7" w:rsidP="00604AA7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  <w:r w:rsidRPr="00604AA7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Cash, other monetary assets and other financial assets:</w:t>
      </w:r>
      <w:r w:rsidRPr="00604AA7">
        <w:rPr>
          <w:rFonts w:ascii="Open Sans" w:hAnsi="Open Sans" w:cs="Open Sans"/>
          <w:color w:val="000000" w:themeColor="text1"/>
          <w:sz w:val="20"/>
          <w:szCs w:val="20"/>
          <w:lang w:val="en-GB"/>
        </w:rPr>
        <w:t xml:space="preserve"> EUR 16.5 million (decreased by EUR 4.6 million compared to December 31st, 2021);</w:t>
      </w:r>
    </w:p>
    <w:p w14:paraId="4A39BF33" w14:textId="77777777" w:rsidR="00604AA7" w:rsidRPr="00604AA7" w:rsidRDefault="00604AA7" w:rsidP="00604AA7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  <w:r w:rsidRPr="00604AA7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Credit facilities and loans</w:t>
      </w:r>
      <w:r w:rsidRPr="00604AA7">
        <w:rPr>
          <w:rFonts w:ascii="Open Sans" w:hAnsi="Open Sans" w:cs="Open Sans"/>
          <w:color w:val="000000" w:themeColor="text1"/>
          <w:sz w:val="20"/>
          <w:szCs w:val="20"/>
          <w:lang w:val="en-GB"/>
        </w:rPr>
        <w:t>: EUR 18.9 million (decreased by EUR 1.2 million compared to December 31st, 2021);</w:t>
      </w:r>
    </w:p>
    <w:p w14:paraId="2468D3A8" w14:textId="77777777" w:rsidR="00604AA7" w:rsidRPr="00604AA7" w:rsidRDefault="00604AA7" w:rsidP="00604AA7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  <w:r w:rsidRPr="00604AA7">
        <w:rPr>
          <w:rFonts w:ascii="Open Sans" w:hAnsi="Open Sans" w:cs="Open Sans"/>
          <w:b/>
          <w:bCs/>
          <w:color w:val="000000" w:themeColor="text1"/>
          <w:sz w:val="20"/>
          <w:szCs w:val="20"/>
          <w:lang w:val="en-GB"/>
        </w:rPr>
        <w:t>Lease liabilities</w:t>
      </w:r>
      <w:r w:rsidRPr="00604AA7">
        <w:rPr>
          <w:rFonts w:ascii="Open Sans" w:hAnsi="Open Sans" w:cs="Open Sans"/>
          <w:color w:val="000000" w:themeColor="text1"/>
          <w:sz w:val="20"/>
          <w:szCs w:val="20"/>
          <w:lang w:val="en-GB"/>
        </w:rPr>
        <w:t>: EUR 18.2 million (decreased by EUR 0.9 million compared to December 31st, 2021).</w:t>
      </w:r>
    </w:p>
    <w:p w14:paraId="648C9C7C" w14:textId="77777777" w:rsidR="00604AA7" w:rsidRPr="00BA2C7C" w:rsidRDefault="00604AA7" w:rsidP="00604AA7">
      <w:pPr>
        <w:spacing w:after="30"/>
        <w:ind w:left="77"/>
        <w:rPr>
          <w:lang w:val="en-GB"/>
        </w:rPr>
      </w:pPr>
      <w:r w:rsidRPr="00BA2C7C">
        <w:rPr>
          <w:sz w:val="20"/>
          <w:lang w:val="en-GB"/>
        </w:rPr>
        <w:t xml:space="preserve"> </w:t>
      </w:r>
    </w:p>
    <w:p w14:paraId="3E4B1E10" w14:textId="77777777" w:rsidR="005F42C1" w:rsidRDefault="005F42C1" w:rsidP="00604AA7">
      <w:pPr>
        <w:spacing w:after="120"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</w:p>
    <w:p w14:paraId="1FD1E5C7" w14:textId="56B75EB9" w:rsidR="00604AA7" w:rsidRDefault="00604AA7" w:rsidP="00604AA7">
      <w:pPr>
        <w:spacing w:after="120"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  <w:r w:rsidRPr="00604AA7">
        <w:rPr>
          <w:rFonts w:ascii="Open Sans" w:hAnsi="Open Sans" w:cs="Open Sans"/>
          <w:color w:val="000000" w:themeColor="text1"/>
          <w:sz w:val="20"/>
          <w:szCs w:val="20"/>
          <w:lang w:val="en-GB"/>
        </w:rPr>
        <w:t xml:space="preserve">The above-mentioned preliminary data has been prepared based solely on the current best knowledge of the Management Board of the Company and is currently under review by statutory </w:t>
      </w:r>
      <w:r w:rsidR="00C95AC2">
        <w:rPr>
          <w:rFonts w:ascii="Open Sans" w:hAnsi="Open Sans" w:cs="Open Sans"/>
          <w:color w:val="000000" w:themeColor="text1"/>
          <w:sz w:val="20"/>
          <w:szCs w:val="20"/>
          <w:lang w:val="en-GB"/>
        </w:rPr>
        <w:t xml:space="preserve">independent </w:t>
      </w:r>
      <w:r w:rsidRPr="00604AA7">
        <w:rPr>
          <w:rFonts w:ascii="Open Sans" w:hAnsi="Open Sans" w:cs="Open Sans"/>
          <w:color w:val="000000" w:themeColor="text1"/>
          <w:sz w:val="20"/>
          <w:szCs w:val="20"/>
          <w:lang w:val="en-GB"/>
        </w:rPr>
        <w:t>auditors. The data presented above may differ from data that is going to be included in the Selvita Group’s periodic report for 6 month period ended 30 June 2022, which will be published on September 14th, 2022, according to current report no. 23/2022 dated August 18th, 2022.</w:t>
      </w:r>
    </w:p>
    <w:p w14:paraId="1B1DD3DC" w14:textId="77777777" w:rsidR="00604AA7" w:rsidRPr="00604AA7" w:rsidRDefault="00604AA7" w:rsidP="00604AA7">
      <w:pPr>
        <w:spacing w:after="120"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  <w:lang w:val="en-GB"/>
        </w:rPr>
      </w:pPr>
    </w:p>
    <w:sectPr w:rsidR="00604AA7" w:rsidRPr="00604AA7" w:rsidSect="00801300">
      <w:headerReference w:type="default" r:id="rId12"/>
      <w:footerReference w:type="default" r:id="rId13"/>
      <w:pgSz w:w="11906" w:h="16838"/>
      <w:pgMar w:top="1417" w:right="1417" w:bottom="1417" w:left="1417" w:header="79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CEDAC" w14:textId="77777777" w:rsidR="008C02C5" w:rsidRDefault="008C02C5" w:rsidP="00284C0E">
      <w:r>
        <w:separator/>
      </w:r>
    </w:p>
  </w:endnote>
  <w:endnote w:type="continuationSeparator" w:id="0">
    <w:p w14:paraId="62D06C6B" w14:textId="77777777" w:rsidR="008C02C5" w:rsidRDefault="008C02C5" w:rsidP="00284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era Pro">
    <w:altName w:val="Calibri"/>
    <w:charset w:val="EE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8514" w14:textId="2A2523A7" w:rsidR="005C2690" w:rsidRDefault="00B25CE0">
    <w:pPr>
      <w:pStyle w:val="Stopka"/>
    </w:pPr>
    <w:r w:rsidRPr="00B54AC0">
      <w:rPr>
        <w:noProof/>
      </w:rPr>
      <mc:AlternateContent>
        <mc:Choice Requires="wpg">
          <w:drawing>
            <wp:anchor distT="0" distB="0" distL="114300" distR="114300" simplePos="0" relativeHeight="251682304" behindDoc="0" locked="0" layoutInCell="1" allowOverlap="1" wp14:anchorId="6AE14168" wp14:editId="34D37004">
              <wp:simplePos x="0" y="0"/>
              <wp:positionH relativeFrom="page">
                <wp:posOffset>-29845</wp:posOffset>
              </wp:positionH>
              <wp:positionV relativeFrom="page">
                <wp:posOffset>9927590</wp:posOffset>
              </wp:positionV>
              <wp:extent cx="2174875" cy="76200"/>
              <wp:effectExtent l="0" t="0" r="0" b="0"/>
              <wp:wrapNone/>
              <wp:docPr id="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74875" cy="76200"/>
                        <a:chOff x="0" y="14276"/>
                        <a:chExt cx="3425" cy="120"/>
                      </a:xfrm>
                    </wpg:grpSpPr>
                    <wps:wsp>
                      <wps:cNvPr id="10" name="Freeform 2"/>
                      <wps:cNvSpPr>
                        <a:spLocks/>
                      </wps:cNvSpPr>
                      <wps:spPr bwMode="auto">
                        <a:xfrm>
                          <a:off x="0" y="14276"/>
                          <a:ext cx="3272" cy="119"/>
                        </a:xfrm>
                        <a:custGeom>
                          <a:avLst/>
                          <a:gdLst>
                            <a:gd name="T0" fmla="*/ 0 w 3272"/>
                            <a:gd name="T1" fmla="+- 0 14277 14277"/>
                            <a:gd name="T2" fmla="*/ 14277 h 119"/>
                            <a:gd name="T3" fmla="*/ 0 w 3272"/>
                            <a:gd name="T4" fmla="+- 0 14392 14277"/>
                            <a:gd name="T5" fmla="*/ 14392 h 119"/>
                            <a:gd name="T6" fmla="*/ 3272 w 3272"/>
                            <a:gd name="T7" fmla="+- 0 14395 14277"/>
                            <a:gd name="T8" fmla="*/ 14395 h 119"/>
                            <a:gd name="T9" fmla="*/ 3272 w 3272"/>
                            <a:gd name="T10" fmla="+- 0 14280 14277"/>
                            <a:gd name="T11" fmla="*/ 14280 h 119"/>
                            <a:gd name="T12" fmla="*/ 0 w 3272"/>
                            <a:gd name="T13" fmla="+- 0 14277 14277"/>
                            <a:gd name="T14" fmla="*/ 14277 h 119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3272" h="119">
                              <a:moveTo>
                                <a:pt x="0" y="0"/>
                              </a:moveTo>
                              <a:lnTo>
                                <a:pt x="0" y="115"/>
                              </a:lnTo>
                              <a:lnTo>
                                <a:pt x="3272" y="118"/>
                              </a:lnTo>
                              <a:lnTo>
                                <a:pt x="3272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3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3"/>
                      <wps:cNvSpPr>
                        <a:spLocks noChangeArrowheads="1"/>
                      </wps:cNvSpPr>
                      <wps:spPr bwMode="auto">
                        <a:xfrm>
                          <a:off x="459" y="14277"/>
                          <a:ext cx="726" cy="116"/>
                        </a:xfrm>
                        <a:prstGeom prst="rect">
                          <a:avLst/>
                        </a:prstGeom>
                        <a:solidFill>
                          <a:srgbClr val="00AC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4"/>
                      <wps:cNvSpPr>
                        <a:spLocks noChangeArrowheads="1"/>
                      </wps:cNvSpPr>
                      <wps:spPr bwMode="auto">
                        <a:xfrm>
                          <a:off x="0" y="14276"/>
                          <a:ext cx="460" cy="118"/>
                        </a:xfrm>
                        <a:prstGeom prst="rect">
                          <a:avLst/>
                        </a:prstGeom>
                        <a:solidFill>
                          <a:srgbClr val="F9C2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5"/>
                      <wps:cNvSpPr>
                        <a:spLocks noChangeArrowheads="1"/>
                      </wps:cNvSpPr>
                      <wps:spPr bwMode="auto">
                        <a:xfrm>
                          <a:off x="2698" y="14279"/>
                          <a:ext cx="726" cy="116"/>
                        </a:xfrm>
                        <a:prstGeom prst="rect">
                          <a:avLst/>
                        </a:prstGeom>
                        <a:solidFill>
                          <a:srgbClr val="004E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0405942D">
            <v:group id="Group 1" style="position:absolute;margin-left:-2.35pt;margin-top:781.7pt;width:171.25pt;height:6pt;z-index:251682304;mso-position-horizontal-relative:page;mso-position-vertical-relative:page" coordsize="3425,120" coordorigin=",14276" o:spid="_x0000_s1026" w14:anchorId="46BF7A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">
              <v:shape id="Freeform 2" style="position:absolute;top:14276;width:3272;height:119;visibility:visible;mso-wrap-style:square;v-text-anchor:top" coordsize="3272,119" o:spid="_x0000_s1027" fillcolor="#e44398" stroked="f" path="m,l,115r3272,3l3272,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">
                <v:path arrowok="t" o:connecttype="custom" o:connectlocs="0,14277;0,14392;3272,14395;3272,14280;0,14277" o:connectangles="0,0,0,0,0"/>
              </v:shape>
              <v:rect id="Rectangle 3" style="position:absolute;left:459;top:14277;width:726;height:116;visibility:visible;mso-wrap-style:square;v-text-anchor:top" o:spid="_x0000_s1028" fillcolor="#00aca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"/>
              <v:rect id="Rectangle 4" style="position:absolute;top:14276;width:460;height:118;visibility:visible;mso-wrap-style:square;v-text-anchor:top" o:spid="_x0000_s1029" fillcolor="#f9c20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"/>
              <v:rect id="Rectangle 5" style="position:absolute;left:2698;top:14279;width:726;height:116;visibility:visible;mso-wrap-style:square;v-text-anchor:top" o:spid="_x0000_s1030" fillcolor="#004e9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B65EC" w14:textId="77777777" w:rsidR="008C02C5" w:rsidRDefault="008C02C5" w:rsidP="00284C0E">
      <w:r>
        <w:separator/>
      </w:r>
    </w:p>
  </w:footnote>
  <w:footnote w:type="continuationSeparator" w:id="0">
    <w:p w14:paraId="4B9F2EE1" w14:textId="77777777" w:rsidR="008C02C5" w:rsidRDefault="008C02C5" w:rsidP="00284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2119" w14:textId="2D20F4E4" w:rsidR="00284C0E" w:rsidRDefault="00284C0E">
    <w:pPr>
      <w:pStyle w:val="Nagwek"/>
    </w:pPr>
    <w:r>
      <w:rPr>
        <w:noProof/>
      </w:rPr>
      <w:drawing>
        <wp:anchor distT="0" distB="0" distL="114300" distR="114300" simplePos="0" relativeHeight="251680256" behindDoc="0" locked="0" layoutInCell="1" allowOverlap="1" wp14:anchorId="680347FA" wp14:editId="31FF01F7">
          <wp:simplePos x="0" y="0"/>
          <wp:positionH relativeFrom="column">
            <wp:posOffset>3768725</wp:posOffset>
          </wp:positionH>
          <wp:positionV relativeFrom="paragraph">
            <wp:posOffset>-560705</wp:posOffset>
          </wp:positionV>
          <wp:extent cx="2176780" cy="1174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76780" cy="117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3A9"/>
    <w:multiLevelType w:val="multilevel"/>
    <w:tmpl w:val="D9284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D62BAF"/>
    <w:multiLevelType w:val="multilevel"/>
    <w:tmpl w:val="197ACE8E"/>
    <w:lvl w:ilvl="0">
      <w:start w:val="8"/>
      <w:numFmt w:val="decimal"/>
      <w:lvlText w:val="%1."/>
      <w:lvlJc w:val="left"/>
      <w:pPr>
        <w:ind w:left="360" w:hanging="360"/>
      </w:pPr>
      <w:rPr>
        <w:rFonts w:ascii="Open Sans" w:hAnsi="Open Sans" w:cs="Open Sans"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D36156C"/>
    <w:multiLevelType w:val="multilevel"/>
    <w:tmpl w:val="59C2F4BC"/>
    <w:lvl w:ilvl="0">
      <w:start w:val="1"/>
      <w:numFmt w:val="decimal"/>
      <w:lvlText w:val="%1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3550" w:hanging="431"/>
      </w:pPr>
      <w:rPr>
        <w:rFonts w:cs="Times New Roman" w:hint="default"/>
        <w:b/>
        <w:color w:val="05478C"/>
      </w:rPr>
    </w:lvl>
    <w:lvl w:ilvl="2">
      <w:start w:val="1"/>
      <w:numFmt w:val="decimal"/>
      <w:lvlText w:val="%1.%2.%3"/>
      <w:lvlJc w:val="left"/>
      <w:pPr>
        <w:ind w:left="7519" w:hanging="43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1063" w:hanging="43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607" w:hanging="43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151" w:hanging="43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95" w:hanging="43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39" w:hanging="43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8783" w:hanging="431"/>
      </w:pPr>
      <w:rPr>
        <w:rFonts w:cs="Times New Roman" w:hint="default"/>
      </w:rPr>
    </w:lvl>
  </w:abstractNum>
  <w:abstractNum w:abstractNumId="3" w15:restartNumberingAfterBreak="0">
    <w:nsid w:val="1C076DE1"/>
    <w:multiLevelType w:val="hybridMultilevel"/>
    <w:tmpl w:val="26BC4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401B6"/>
    <w:multiLevelType w:val="hybridMultilevel"/>
    <w:tmpl w:val="92CC3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27679"/>
    <w:multiLevelType w:val="hybridMultilevel"/>
    <w:tmpl w:val="BA76B3A4"/>
    <w:lvl w:ilvl="0" w:tplc="0FEC35A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48991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8E1D1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A0A5F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58880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AE2E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2DC3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4253B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B4AC7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095510"/>
    <w:multiLevelType w:val="multilevel"/>
    <w:tmpl w:val="270A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F555F73"/>
    <w:multiLevelType w:val="multilevel"/>
    <w:tmpl w:val="19AC54B8"/>
    <w:lvl w:ilvl="0">
      <w:start w:val="1"/>
      <w:numFmt w:val="decimal"/>
      <w:pStyle w:val="RyvuNagwe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yvuNagwek1"/>
      <w:lvlText w:val="%1.%2."/>
      <w:lvlJc w:val="left"/>
      <w:pPr>
        <w:ind w:left="792" w:hanging="432"/>
      </w:pPr>
    </w:lvl>
    <w:lvl w:ilvl="2">
      <w:start w:val="1"/>
      <w:numFmt w:val="decimal"/>
      <w:pStyle w:val="RyvuNagwek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C40976"/>
    <w:multiLevelType w:val="hybridMultilevel"/>
    <w:tmpl w:val="2FA09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D4AE5"/>
    <w:multiLevelType w:val="hybridMultilevel"/>
    <w:tmpl w:val="CA4C3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66DA5"/>
    <w:multiLevelType w:val="hybridMultilevel"/>
    <w:tmpl w:val="2B3AB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34D1"/>
    <w:multiLevelType w:val="multilevel"/>
    <w:tmpl w:val="457E8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9815027">
    <w:abstractNumId w:val="0"/>
  </w:num>
  <w:num w:numId="2" w16cid:durableId="346101477">
    <w:abstractNumId w:val="0"/>
  </w:num>
  <w:num w:numId="3" w16cid:durableId="1480348043">
    <w:abstractNumId w:val="0"/>
  </w:num>
  <w:num w:numId="4" w16cid:durableId="1040009749">
    <w:abstractNumId w:val="7"/>
  </w:num>
  <w:num w:numId="5" w16cid:durableId="914977748">
    <w:abstractNumId w:val="7"/>
  </w:num>
  <w:num w:numId="6" w16cid:durableId="212740242">
    <w:abstractNumId w:val="7"/>
  </w:num>
  <w:num w:numId="7" w16cid:durableId="848370832">
    <w:abstractNumId w:val="7"/>
  </w:num>
  <w:num w:numId="8" w16cid:durableId="1194154938">
    <w:abstractNumId w:val="7"/>
  </w:num>
  <w:num w:numId="9" w16cid:durableId="1881622286">
    <w:abstractNumId w:val="2"/>
  </w:num>
  <w:num w:numId="10" w16cid:durableId="976297734">
    <w:abstractNumId w:val="2"/>
  </w:num>
  <w:num w:numId="11" w16cid:durableId="1212153979">
    <w:abstractNumId w:val="2"/>
  </w:num>
  <w:num w:numId="12" w16cid:durableId="1836799451">
    <w:abstractNumId w:val="1"/>
  </w:num>
  <w:num w:numId="13" w16cid:durableId="770468314">
    <w:abstractNumId w:val="11"/>
  </w:num>
  <w:num w:numId="14" w16cid:durableId="1783719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2425684">
    <w:abstractNumId w:val="2"/>
  </w:num>
  <w:num w:numId="16" w16cid:durableId="1805125548">
    <w:abstractNumId w:val="2"/>
  </w:num>
  <w:num w:numId="17" w16cid:durableId="1289627509">
    <w:abstractNumId w:val="2"/>
  </w:num>
  <w:num w:numId="18" w16cid:durableId="63795276">
    <w:abstractNumId w:val="2"/>
  </w:num>
  <w:num w:numId="19" w16cid:durableId="322588308">
    <w:abstractNumId w:val="6"/>
  </w:num>
  <w:num w:numId="20" w16cid:durableId="1801265275">
    <w:abstractNumId w:val="2"/>
  </w:num>
  <w:num w:numId="21" w16cid:durableId="107625904">
    <w:abstractNumId w:val="10"/>
  </w:num>
  <w:num w:numId="22" w16cid:durableId="124736295">
    <w:abstractNumId w:val="8"/>
  </w:num>
  <w:num w:numId="23" w16cid:durableId="1993220301">
    <w:abstractNumId w:val="5"/>
  </w:num>
  <w:num w:numId="24" w16cid:durableId="1296370815">
    <w:abstractNumId w:val="3"/>
  </w:num>
  <w:num w:numId="25" w16cid:durableId="514416232">
    <w:abstractNumId w:val="4"/>
  </w:num>
  <w:num w:numId="26" w16cid:durableId="1870684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2MTW3MDc1MrUwMzVR0lEKTi0uzszPAykwqQUA4wtGcSwAAAA="/>
  </w:docVars>
  <w:rsids>
    <w:rsidRoot w:val="00284C0E"/>
    <w:rsid w:val="00041659"/>
    <w:rsid w:val="0006150B"/>
    <w:rsid w:val="000C7848"/>
    <w:rsid w:val="00155B03"/>
    <w:rsid w:val="001C586D"/>
    <w:rsid w:val="001F0474"/>
    <w:rsid w:val="00216585"/>
    <w:rsid w:val="00284C0E"/>
    <w:rsid w:val="002B7C18"/>
    <w:rsid w:val="002C1E5D"/>
    <w:rsid w:val="00311E52"/>
    <w:rsid w:val="00345540"/>
    <w:rsid w:val="00377660"/>
    <w:rsid w:val="004549C2"/>
    <w:rsid w:val="00473A77"/>
    <w:rsid w:val="0048442F"/>
    <w:rsid w:val="004903BF"/>
    <w:rsid w:val="004A725A"/>
    <w:rsid w:val="00507A4A"/>
    <w:rsid w:val="00515D6E"/>
    <w:rsid w:val="00537BFD"/>
    <w:rsid w:val="00562B4B"/>
    <w:rsid w:val="00577DF6"/>
    <w:rsid w:val="005C2690"/>
    <w:rsid w:val="005D68A7"/>
    <w:rsid w:val="005F42C1"/>
    <w:rsid w:val="00604AA7"/>
    <w:rsid w:val="00684315"/>
    <w:rsid w:val="00712412"/>
    <w:rsid w:val="007142BB"/>
    <w:rsid w:val="00786803"/>
    <w:rsid w:val="007B3EE3"/>
    <w:rsid w:val="007F4718"/>
    <w:rsid w:val="00800825"/>
    <w:rsid w:val="00801300"/>
    <w:rsid w:val="00823234"/>
    <w:rsid w:val="008925E1"/>
    <w:rsid w:val="008B211F"/>
    <w:rsid w:val="008C02C5"/>
    <w:rsid w:val="008E2184"/>
    <w:rsid w:val="008E549C"/>
    <w:rsid w:val="008F4200"/>
    <w:rsid w:val="00927C79"/>
    <w:rsid w:val="009412EA"/>
    <w:rsid w:val="00946FAB"/>
    <w:rsid w:val="00A41ADF"/>
    <w:rsid w:val="00A66E8D"/>
    <w:rsid w:val="00A80AAC"/>
    <w:rsid w:val="00A9060C"/>
    <w:rsid w:val="00AB73B2"/>
    <w:rsid w:val="00B25CE0"/>
    <w:rsid w:val="00B54AC0"/>
    <w:rsid w:val="00B82FC7"/>
    <w:rsid w:val="00C95AC2"/>
    <w:rsid w:val="00CC6D97"/>
    <w:rsid w:val="00D67680"/>
    <w:rsid w:val="00D72435"/>
    <w:rsid w:val="00DB7D61"/>
    <w:rsid w:val="00DD68B9"/>
    <w:rsid w:val="00DF5F65"/>
    <w:rsid w:val="00E9264E"/>
    <w:rsid w:val="00EC592F"/>
    <w:rsid w:val="00F2EA9F"/>
    <w:rsid w:val="00FE208B"/>
    <w:rsid w:val="0521EA74"/>
    <w:rsid w:val="05757BCB"/>
    <w:rsid w:val="08D5656B"/>
    <w:rsid w:val="090E82BA"/>
    <w:rsid w:val="181861D4"/>
    <w:rsid w:val="18779C86"/>
    <w:rsid w:val="1BFFFD8A"/>
    <w:rsid w:val="1EF7D4A0"/>
    <w:rsid w:val="3B0126B4"/>
    <w:rsid w:val="44873946"/>
    <w:rsid w:val="6071D7BD"/>
    <w:rsid w:val="63C1A4BD"/>
    <w:rsid w:val="6484F0E8"/>
    <w:rsid w:val="6856D6F8"/>
    <w:rsid w:val="6F5DBAF0"/>
    <w:rsid w:val="7B94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6ECFA"/>
  <w15:chartTrackingRefBased/>
  <w15:docId w15:val="{4A616993-D987-4713-836A-0CCB218E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LV_Normalny"/>
    <w:qFormat/>
    <w:rsid w:val="00284C0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Nagwek1">
    <w:name w:val="heading 1"/>
    <w:aliases w:val="SLV Nagłówek 1"/>
    <w:basedOn w:val="Normalny"/>
    <w:next w:val="Normalny"/>
    <w:link w:val="Nagwek1Znak"/>
    <w:autoRedefine/>
    <w:uiPriority w:val="99"/>
    <w:qFormat/>
    <w:rsid w:val="00345540"/>
    <w:pPr>
      <w:spacing w:before="480" w:after="120"/>
      <w:ind w:left="431" w:hanging="431"/>
      <w:contextualSpacing/>
      <w:outlineLvl w:val="0"/>
    </w:pPr>
    <w:rPr>
      <w:rFonts w:eastAsiaTheme="minorHAnsi" w:cs="Open Sans"/>
      <w:b/>
      <w:caps/>
      <w:noProof/>
      <w:color w:val="FFFFFF" w:themeColor="background1"/>
      <w:sz w:val="24"/>
      <w:szCs w:val="24"/>
      <w:lang w:eastAsia="en-GB"/>
    </w:rPr>
  </w:style>
  <w:style w:type="paragraph" w:styleId="Nagwek2">
    <w:name w:val="heading 2"/>
    <w:aliases w:val="SLV Nagłówek 2"/>
    <w:basedOn w:val="Normalny"/>
    <w:next w:val="Normalny"/>
    <w:link w:val="Nagwek2Znak"/>
    <w:autoRedefine/>
    <w:uiPriority w:val="99"/>
    <w:qFormat/>
    <w:rsid w:val="00CC6D97"/>
    <w:pPr>
      <w:keepNext/>
      <w:keepLines/>
      <w:spacing w:before="200" w:line="288" w:lineRule="auto"/>
      <w:outlineLvl w:val="1"/>
    </w:pPr>
    <w:rPr>
      <w:rFonts w:eastAsiaTheme="minorHAnsi" w:cs="Calibri"/>
      <w:b/>
      <w:bCs/>
      <w:color w:val="05478C"/>
      <w:szCs w:val="26"/>
      <w:lang w:eastAsia="en-GB"/>
    </w:rPr>
  </w:style>
  <w:style w:type="paragraph" w:styleId="Nagwek3">
    <w:name w:val="heading 3"/>
    <w:aliases w:val="SLV_Nagłówek 3"/>
    <w:basedOn w:val="Normalny"/>
    <w:next w:val="Normalny"/>
    <w:link w:val="Nagwek3Znak"/>
    <w:autoRedefine/>
    <w:uiPriority w:val="9"/>
    <w:unhideWhenUsed/>
    <w:qFormat/>
    <w:rsid w:val="001C586D"/>
    <w:pPr>
      <w:numPr>
        <w:ilvl w:val="2"/>
        <w:numId w:val="19"/>
      </w:numPr>
      <w:spacing w:before="200" w:line="271" w:lineRule="auto"/>
      <w:ind w:left="777" w:hanging="493"/>
      <w:outlineLvl w:val="2"/>
    </w:pPr>
    <w:rPr>
      <w:rFonts w:eastAsiaTheme="majorEastAsia" w:cstheme="majorBidi"/>
      <w:b/>
      <w:bCs/>
      <w:color w:val="002060"/>
    </w:rPr>
  </w:style>
  <w:style w:type="paragraph" w:styleId="Nagwek4">
    <w:name w:val="heading 4"/>
    <w:basedOn w:val="Normalny"/>
    <w:next w:val="Normalny"/>
    <w:link w:val="Nagwek4Znak"/>
    <w:autoRedefine/>
    <w:uiPriority w:val="99"/>
    <w:qFormat/>
    <w:rsid w:val="00345540"/>
    <w:pPr>
      <w:keepNext/>
      <w:keepLines/>
      <w:spacing w:before="200" w:line="288" w:lineRule="auto"/>
      <w:outlineLvl w:val="3"/>
    </w:pPr>
    <w:rPr>
      <w:rFonts w:eastAsiaTheme="minorHAnsi" w:cs="Calibri"/>
      <w:b/>
      <w:iCs/>
      <w:color w:val="183151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LV Nagłówek 1 Znak"/>
    <w:basedOn w:val="Domylnaczcionkaakapitu"/>
    <w:link w:val="Nagwek1"/>
    <w:uiPriority w:val="99"/>
    <w:rsid w:val="00345540"/>
    <w:rPr>
      <w:rFonts w:ascii="Open Sans" w:hAnsi="Open Sans" w:cs="Open Sans"/>
      <w:b/>
      <w:caps/>
      <w:noProof/>
      <w:color w:val="FFFFFF" w:themeColor="background1"/>
      <w:sz w:val="24"/>
      <w:szCs w:val="24"/>
      <w:lang w:val="en-US" w:eastAsia="en-GB"/>
    </w:rPr>
  </w:style>
  <w:style w:type="character" w:customStyle="1" w:styleId="Nagwek2Znak">
    <w:name w:val="Nagłówek 2 Znak"/>
    <w:aliases w:val="SLV Nagłówek 2 Znak"/>
    <w:basedOn w:val="Domylnaczcionkaakapitu"/>
    <w:link w:val="Nagwek2"/>
    <w:uiPriority w:val="99"/>
    <w:rsid w:val="00CC6D97"/>
    <w:rPr>
      <w:rFonts w:ascii="Open Sans" w:hAnsi="Open Sans" w:cs="Calibri"/>
      <w:b/>
      <w:bCs/>
      <w:color w:val="05478C"/>
      <w:szCs w:val="26"/>
      <w:lang w:eastAsia="en-GB"/>
    </w:rPr>
  </w:style>
  <w:style w:type="character" w:customStyle="1" w:styleId="Nagwek3Znak">
    <w:name w:val="Nagłówek 3 Znak"/>
    <w:aliases w:val="SLV_Nagłówek 3 Znak"/>
    <w:basedOn w:val="Domylnaczcionkaakapitu"/>
    <w:link w:val="Nagwek3"/>
    <w:uiPriority w:val="9"/>
    <w:rsid w:val="001C586D"/>
    <w:rPr>
      <w:rFonts w:ascii="Open Sans" w:eastAsiaTheme="majorEastAsia" w:hAnsi="Open Sans" w:cstheme="majorBidi"/>
      <w:b/>
      <w:bCs/>
      <w:color w:val="002060"/>
      <w:sz w:val="20"/>
      <w:lang w:eastAsia="pl-PL"/>
    </w:rPr>
  </w:style>
  <w:style w:type="paragraph" w:styleId="Nagwekspisutreci">
    <w:name w:val="TOC Heading"/>
    <w:aliases w:val="SLV Spis treści"/>
    <w:next w:val="Normalny"/>
    <w:uiPriority w:val="39"/>
    <w:unhideWhenUsed/>
    <w:qFormat/>
    <w:rsid w:val="0048442F"/>
    <w:rPr>
      <w:rFonts w:ascii="Open Sans" w:eastAsiaTheme="majorEastAsia" w:hAnsi="Open Sans" w:cstheme="majorBidi"/>
      <w:b/>
      <w:color w:val="FFFFFF" w:themeColor="background1"/>
      <w:sz w:val="20"/>
      <w:szCs w:val="32"/>
      <w:lang w:eastAsia="pl-PL"/>
    </w:rPr>
  </w:style>
  <w:style w:type="paragraph" w:styleId="Stopka">
    <w:name w:val="footer"/>
    <w:basedOn w:val="Normalny"/>
    <w:link w:val="StopkaZnak"/>
    <w:autoRedefine/>
    <w:uiPriority w:val="99"/>
    <w:qFormat/>
    <w:rsid w:val="00DF5F65"/>
    <w:pPr>
      <w:tabs>
        <w:tab w:val="center" w:pos="4680"/>
        <w:tab w:val="right" w:pos="9360"/>
      </w:tabs>
    </w:pPr>
    <w:rPr>
      <w:rFonts w:ascii="Open Sans Semibold" w:eastAsiaTheme="minorHAnsi" w:hAnsi="Open Sans Semibold" w:cs="Constantia"/>
      <w:color w:val="183151"/>
      <w:sz w:val="18"/>
      <w:lang w:eastAsia="en-GB"/>
    </w:rPr>
  </w:style>
  <w:style w:type="character" w:customStyle="1" w:styleId="StopkaZnak">
    <w:name w:val="Stopka Znak"/>
    <w:basedOn w:val="Domylnaczcionkaakapitu"/>
    <w:link w:val="Stopka"/>
    <w:uiPriority w:val="99"/>
    <w:rsid w:val="00DF5F65"/>
    <w:rPr>
      <w:rFonts w:ascii="Open Sans Semibold" w:hAnsi="Open Sans Semibold" w:cs="Constantia"/>
      <w:color w:val="183151"/>
      <w:sz w:val="18"/>
      <w:lang w:eastAsia="en-GB"/>
    </w:rPr>
  </w:style>
  <w:style w:type="paragraph" w:styleId="Spistreci2">
    <w:name w:val="toc 2"/>
    <w:basedOn w:val="Normalny"/>
    <w:next w:val="Normalny"/>
    <w:autoRedefine/>
    <w:uiPriority w:val="39"/>
    <w:qFormat/>
    <w:rsid w:val="00345540"/>
    <w:pPr>
      <w:tabs>
        <w:tab w:val="left" w:pos="709"/>
        <w:tab w:val="right" w:leader="dot" w:pos="9742"/>
      </w:tabs>
      <w:spacing w:after="100" w:line="288" w:lineRule="auto"/>
      <w:ind w:left="720"/>
    </w:pPr>
    <w:rPr>
      <w:rFonts w:ascii="Open Sans Semibold" w:eastAsia="Times New Roman" w:hAnsi="Open Sans Semibold" w:cs="Constantia"/>
      <w:color w:val="FFFFFF" w:themeColor="background1"/>
      <w:lang w:val="en-GB" w:eastAsia="en-GB"/>
    </w:rPr>
  </w:style>
  <w:style w:type="paragraph" w:styleId="Spistreci1">
    <w:name w:val="toc 1"/>
    <w:aliases w:val="SLV_Spis treści 1"/>
    <w:basedOn w:val="Normalny"/>
    <w:next w:val="Normalny"/>
    <w:link w:val="Spistreci1Znak"/>
    <w:autoRedefine/>
    <w:uiPriority w:val="39"/>
    <w:qFormat/>
    <w:rsid w:val="00345540"/>
    <w:pPr>
      <w:spacing w:after="100" w:line="288" w:lineRule="auto"/>
    </w:pPr>
    <w:rPr>
      <w:rFonts w:ascii="Open Sans Semibold" w:eastAsiaTheme="minorHAnsi" w:hAnsi="Open Sans Semibold" w:cs="Constantia"/>
      <w:color w:val="FFFFFF" w:themeColor="background1"/>
      <w:lang w:eastAsia="en-GB"/>
    </w:rPr>
  </w:style>
  <w:style w:type="paragraph" w:styleId="Spistreci3">
    <w:name w:val="toc 3"/>
    <w:aliases w:val="SLV Spis treści 3"/>
    <w:basedOn w:val="Normalny"/>
    <w:next w:val="Normalny"/>
    <w:link w:val="Spistreci3Znak"/>
    <w:autoRedefine/>
    <w:uiPriority w:val="39"/>
    <w:unhideWhenUsed/>
    <w:qFormat/>
    <w:rsid w:val="00823234"/>
    <w:pPr>
      <w:spacing w:after="100"/>
      <w:ind w:left="400"/>
    </w:pPr>
    <w:rPr>
      <w:rFonts w:ascii="Open Sans Semibold" w:hAnsi="Open Sans Semibold"/>
      <w:noProof/>
      <w:color w:val="FFFFFF" w:themeColor="background1"/>
    </w:rPr>
  </w:style>
  <w:style w:type="character" w:customStyle="1" w:styleId="Spistreci3Znak">
    <w:name w:val="Spis treści 3 Znak"/>
    <w:aliases w:val="SLV Spis treści 3 Znak"/>
    <w:basedOn w:val="Domylnaczcionkaakapitu"/>
    <w:link w:val="Spistreci3"/>
    <w:uiPriority w:val="39"/>
    <w:rsid w:val="00823234"/>
    <w:rPr>
      <w:rFonts w:ascii="Open Sans Semibold" w:eastAsiaTheme="minorEastAsia" w:hAnsi="Open Sans Semibold"/>
      <w:noProof/>
      <w:color w:val="FFFFFF" w:themeColor="background1"/>
      <w:sz w:val="20"/>
      <w:lang w:eastAsia="pl-PL"/>
    </w:rPr>
  </w:style>
  <w:style w:type="paragraph" w:customStyle="1" w:styleId="StopkaRyvu">
    <w:name w:val="Stopka Ryvu"/>
    <w:basedOn w:val="Stopka"/>
    <w:autoRedefine/>
    <w:qFormat/>
    <w:rsid w:val="00A9060C"/>
    <w:pPr>
      <w:jc w:val="right"/>
    </w:pPr>
    <w:rPr>
      <w:rFonts w:ascii="Cera Pro" w:hAnsi="Cera Pro"/>
    </w:rPr>
  </w:style>
  <w:style w:type="paragraph" w:customStyle="1" w:styleId="RyvuNagwek">
    <w:name w:val="Ryvu Nagłówek"/>
    <w:basedOn w:val="Normalny"/>
    <w:next w:val="Normalny"/>
    <w:autoRedefine/>
    <w:qFormat/>
    <w:rsid w:val="00A9060C"/>
    <w:pPr>
      <w:numPr>
        <w:numId w:val="8"/>
      </w:numPr>
    </w:pPr>
    <w:rPr>
      <w:rFonts w:ascii="Cera Pro" w:hAnsi="Cera Pro" w:cstheme="minorHAnsi"/>
      <w:b/>
      <w:noProof/>
      <w:color w:val="FFFFFF" w:themeColor="background1"/>
      <w:sz w:val="28"/>
    </w:rPr>
  </w:style>
  <w:style w:type="paragraph" w:styleId="Akapitzlist">
    <w:name w:val="List Paragraph"/>
    <w:basedOn w:val="Normalny"/>
    <w:uiPriority w:val="34"/>
    <w:qFormat/>
    <w:rsid w:val="00A9060C"/>
    <w:pPr>
      <w:ind w:left="720"/>
      <w:contextualSpacing/>
    </w:pPr>
  </w:style>
  <w:style w:type="paragraph" w:customStyle="1" w:styleId="RyvuNagwek1">
    <w:name w:val="Ryvu Nagłówek 1"/>
    <w:basedOn w:val="Normalny"/>
    <w:next w:val="Normalny"/>
    <w:autoRedefine/>
    <w:qFormat/>
    <w:rsid w:val="00A9060C"/>
    <w:pPr>
      <w:numPr>
        <w:ilvl w:val="1"/>
        <w:numId w:val="8"/>
      </w:numPr>
    </w:pPr>
    <w:rPr>
      <w:rFonts w:ascii="Cera Pro" w:hAnsi="Cera Pro" w:cstheme="minorHAnsi"/>
      <w:b/>
      <w:color w:val="17375F"/>
      <w:sz w:val="24"/>
      <w:szCs w:val="24"/>
    </w:rPr>
  </w:style>
  <w:style w:type="paragraph" w:customStyle="1" w:styleId="RyvuNagwek2">
    <w:name w:val="Ryvu Nagłówek 2"/>
    <w:basedOn w:val="Akapitzlist"/>
    <w:autoRedefine/>
    <w:qFormat/>
    <w:rsid w:val="00A9060C"/>
    <w:pPr>
      <w:numPr>
        <w:ilvl w:val="2"/>
        <w:numId w:val="8"/>
      </w:numPr>
    </w:pPr>
    <w:rPr>
      <w:rFonts w:ascii="Cera Pro" w:hAnsi="Cera Pro"/>
      <w:b/>
      <w:color w:val="1F8299"/>
    </w:rPr>
  </w:style>
  <w:style w:type="paragraph" w:customStyle="1" w:styleId="Ryvunormalnytekst">
    <w:name w:val="Ryvu normalny_tekst"/>
    <w:basedOn w:val="Normalny"/>
    <w:autoRedefine/>
    <w:qFormat/>
    <w:rsid w:val="00A9060C"/>
    <w:pPr>
      <w:jc w:val="both"/>
    </w:pPr>
  </w:style>
  <w:style w:type="paragraph" w:customStyle="1" w:styleId="RyvuNagwekdotekstu">
    <w:name w:val="Ryvu Nagłówek do tekstu"/>
    <w:basedOn w:val="Normalny"/>
    <w:next w:val="Ryvunormalnytekst"/>
    <w:autoRedefine/>
    <w:qFormat/>
    <w:rsid w:val="00A9060C"/>
    <w:pPr>
      <w:jc w:val="both"/>
    </w:pPr>
    <w:rPr>
      <w:rFonts w:ascii="Open Sans Semibold" w:hAnsi="Open Sans Semibold" w:cs="Open Sans Semibold"/>
      <w:color w:val="1F8299"/>
    </w:rPr>
  </w:style>
  <w:style w:type="paragraph" w:customStyle="1" w:styleId="RyvuNagwekdotekstu2">
    <w:name w:val="Ryvu Nagłówek do tekstu_2"/>
    <w:basedOn w:val="RyvuNagwekdotekstu"/>
    <w:next w:val="Ryvunormalnytekst"/>
    <w:autoRedefine/>
    <w:qFormat/>
    <w:rsid w:val="00A9060C"/>
    <w:rPr>
      <w:color w:val="17375F"/>
    </w:rPr>
  </w:style>
  <w:style w:type="paragraph" w:customStyle="1" w:styleId="RyvuSpistreci">
    <w:name w:val="Ryvu Spis treści"/>
    <w:basedOn w:val="Normalny"/>
    <w:next w:val="Normalny"/>
    <w:autoRedefine/>
    <w:qFormat/>
    <w:rsid w:val="00A9060C"/>
    <w:rPr>
      <w:rFonts w:ascii="Cera Pro" w:hAnsi="Cera Pro"/>
      <w:b/>
      <w:noProof/>
      <w:color w:val="FFFFFF" w:themeColor="background1"/>
      <w:sz w:val="24"/>
    </w:rPr>
  </w:style>
  <w:style w:type="character" w:styleId="Hipercze">
    <w:name w:val="Hyperlink"/>
    <w:aliases w:val="Selvita Spis Treści_Hiperłącze"/>
    <w:basedOn w:val="Domylnaczcionkaakapitu"/>
    <w:uiPriority w:val="99"/>
    <w:unhideWhenUsed/>
    <w:qFormat/>
    <w:rsid w:val="00800825"/>
    <w:rPr>
      <w:rFonts w:ascii="Open Sans Semibold" w:hAnsi="Open Sans Semibold"/>
      <w:color w:val="FFFFFF" w:themeColor="background1"/>
      <w:sz w:val="18"/>
      <w:u w:val="single"/>
    </w:rPr>
  </w:style>
  <w:style w:type="character" w:customStyle="1" w:styleId="Nagwek4Znak">
    <w:name w:val="Nagłówek 4 Znak"/>
    <w:basedOn w:val="Domylnaczcionkaakapitu"/>
    <w:link w:val="Nagwek4"/>
    <w:uiPriority w:val="99"/>
    <w:rsid w:val="00345540"/>
    <w:rPr>
      <w:rFonts w:ascii="Open Sans" w:hAnsi="Open Sans" w:cs="Calibri"/>
      <w:b/>
      <w:iCs/>
      <w:color w:val="183151"/>
      <w:sz w:val="20"/>
      <w:lang w:eastAsia="en-GB"/>
    </w:rPr>
  </w:style>
  <w:style w:type="character" w:customStyle="1" w:styleId="Spistreci1Znak">
    <w:name w:val="Spis treści 1 Znak"/>
    <w:aliases w:val="SLV_Spis treści 1 Znak"/>
    <w:basedOn w:val="Domylnaczcionkaakapitu"/>
    <w:link w:val="Spistreci1"/>
    <w:uiPriority w:val="39"/>
    <w:rsid w:val="00345540"/>
    <w:rPr>
      <w:rFonts w:ascii="Open Sans Semibold" w:hAnsi="Open Sans Semibold" w:cs="Constantia"/>
      <w:color w:val="FFFFFF" w:themeColor="background1"/>
      <w:sz w:val="20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284C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C0E"/>
    <w:rPr>
      <w:rFonts w:ascii="Open Sans" w:eastAsiaTheme="minorEastAsia" w:hAnsi="Open Sans"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284C0E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84C0E"/>
    <w:rPr>
      <w:rFonts w:ascii="Tahoma" w:eastAsia="Tahoma" w:hAnsi="Tahoma" w:cs="Tahoma"/>
      <w:sz w:val="23"/>
      <w:szCs w:val="23"/>
      <w:lang w:val="en-US"/>
    </w:rPr>
  </w:style>
  <w:style w:type="paragraph" w:styleId="Poprawka">
    <w:name w:val="Revision"/>
    <w:hidden/>
    <w:uiPriority w:val="99"/>
    <w:semiHidden/>
    <w:rsid w:val="004903BF"/>
    <w:pPr>
      <w:spacing w:after="0" w:line="240" w:lineRule="auto"/>
    </w:pPr>
    <w:rPr>
      <w:rFonts w:ascii="Tahoma" w:eastAsia="Tahoma" w:hAnsi="Tahom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9CF97E68A79246BE326D5BD014D903" ma:contentTypeVersion="12" ma:contentTypeDescription="Create a new document." ma:contentTypeScope="" ma:versionID="a348ef761aa34bdee972c8517cb3e4ca">
  <xsd:schema xmlns:xsd="http://www.w3.org/2001/XMLSchema" xmlns:xs="http://www.w3.org/2001/XMLSchema" xmlns:p="http://schemas.microsoft.com/office/2006/metadata/properties" xmlns:ns2="ea67c117-55a5-4e9c-8a30-031b8f3aefa3" xmlns:ns3="ec0ac069-d334-414a-9a6f-96604c8ca3fc" targetNamespace="http://schemas.microsoft.com/office/2006/metadata/properties" ma:root="true" ma:fieldsID="410bff9d010fe5ad38a5931f7017908a" ns2:_="" ns3:_="">
    <xsd:import namespace="ea67c117-55a5-4e9c-8a30-031b8f3aefa3"/>
    <xsd:import namespace="ec0ac069-d334-414a-9a6f-96604c8ca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7c117-55a5-4e9c-8a30-031b8f3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ac069-d334-414a-9a6f-96604c8ca3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60D810-DA20-4664-AAF6-4696C0AB7F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A44E85-C3F1-4A10-B1C6-30D354E126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919657-86C8-466D-BD1A-637F48BCB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7c117-55a5-4e9c-8a30-031b8f3aefa3"/>
    <ds:schemaRef ds:uri="ec0ac069-d334-414a-9a6f-96604c8ca3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Syjud</dc:creator>
  <cp:keywords/>
  <dc:description/>
  <cp:lastModifiedBy>Dawid Radziszewski</cp:lastModifiedBy>
  <cp:revision>5</cp:revision>
  <dcterms:created xsi:type="dcterms:W3CDTF">2022-09-05T19:47:00Z</dcterms:created>
  <dcterms:modified xsi:type="dcterms:W3CDTF">2022-09-06T06:23:00Z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0x010100F89CF97E68A79246BE326D5BD014D903</vt:lpwstr>
  </property>
</Properties>
</file>