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81" w:rsidRPr="005E36B5" w:rsidRDefault="00801DE8" w:rsidP="00721A81">
      <w:pPr>
        <w:keepNext/>
        <w:ind w:left="357" w:hanging="357"/>
        <w:jc w:val="center"/>
        <w:rPr>
          <w:b/>
        </w:rPr>
      </w:pPr>
      <w:r>
        <w:rPr>
          <w:b/>
        </w:rPr>
        <w:t>Uchwała</w:t>
      </w:r>
      <w:r w:rsidR="00721A81" w:rsidRPr="005E36B5">
        <w:rPr>
          <w:b/>
        </w:rPr>
        <w:t xml:space="preserve"> </w:t>
      </w:r>
      <w:r>
        <w:rPr>
          <w:b/>
        </w:rPr>
        <w:t>niepodjęta</w:t>
      </w:r>
      <w:r w:rsidR="00721A81" w:rsidRPr="005E36B5">
        <w:rPr>
          <w:b/>
        </w:rPr>
        <w:t xml:space="preserve"> przez Zwyczajne Walne Zgromadzenie </w:t>
      </w:r>
    </w:p>
    <w:p w:rsidR="00721A81" w:rsidRPr="005E36B5" w:rsidRDefault="00721A81" w:rsidP="00721A81">
      <w:pPr>
        <w:keepNext/>
        <w:ind w:left="357" w:hanging="357"/>
        <w:jc w:val="center"/>
        <w:rPr>
          <w:b/>
        </w:rPr>
      </w:pPr>
      <w:r w:rsidRPr="005E36B5">
        <w:rPr>
          <w:b/>
        </w:rPr>
        <w:t xml:space="preserve">Global </w:t>
      </w:r>
      <w:proofErr w:type="spellStart"/>
      <w:r w:rsidRPr="005E36B5">
        <w:rPr>
          <w:b/>
        </w:rPr>
        <w:t>Cosmed</w:t>
      </w:r>
      <w:proofErr w:type="spellEnd"/>
      <w:r w:rsidRPr="005E36B5">
        <w:rPr>
          <w:b/>
        </w:rPr>
        <w:t xml:space="preserve"> S.A. </w:t>
      </w:r>
    </w:p>
    <w:p w:rsidR="00721A81" w:rsidRPr="005E36B5" w:rsidRDefault="00721A81" w:rsidP="00721A81">
      <w:pPr>
        <w:keepNext/>
        <w:ind w:left="357" w:hanging="357"/>
        <w:jc w:val="center"/>
        <w:rPr>
          <w:b/>
        </w:rPr>
      </w:pPr>
      <w:r>
        <w:rPr>
          <w:b/>
        </w:rPr>
        <w:t>w dniu 22 czerwca 2022</w:t>
      </w:r>
      <w:r w:rsidRPr="005E36B5">
        <w:rPr>
          <w:b/>
        </w:rPr>
        <w:t xml:space="preserve"> roku</w:t>
      </w:r>
    </w:p>
    <w:p w:rsidR="00721A81" w:rsidRDefault="00721A81" w:rsidP="00721A81">
      <w:pPr>
        <w:keepNext/>
        <w:spacing w:line="360" w:lineRule="auto"/>
        <w:ind w:left="357" w:hanging="357"/>
        <w:jc w:val="center"/>
        <w:rPr>
          <w:b/>
          <w:sz w:val="20"/>
        </w:rPr>
      </w:pPr>
    </w:p>
    <w:p w:rsidR="00721A81" w:rsidRDefault="00721A81" w:rsidP="00721A81">
      <w:pPr>
        <w:keepNext/>
        <w:spacing w:line="360" w:lineRule="auto"/>
        <w:ind w:left="357" w:hanging="357"/>
        <w:jc w:val="center"/>
        <w:rPr>
          <w:b/>
          <w:sz w:val="20"/>
        </w:rPr>
      </w:pPr>
    </w:p>
    <w:p w:rsidR="00694036" w:rsidRPr="006F256D" w:rsidRDefault="00694036" w:rsidP="00694036">
      <w:pPr>
        <w:pStyle w:val="CETRUJ"/>
        <w:keepNext/>
        <w:spacing w:after="0"/>
        <w:rPr>
          <w:sz w:val="20"/>
          <w:szCs w:val="24"/>
          <w:lang w:val="pl-PL"/>
        </w:rPr>
      </w:pPr>
      <w:r w:rsidRPr="006F256D">
        <w:rPr>
          <w:sz w:val="20"/>
          <w:szCs w:val="24"/>
          <w:lang w:val="pl-PL"/>
        </w:rPr>
        <w:t>Uchwała nr 17</w:t>
      </w:r>
    </w:p>
    <w:p w:rsidR="00694036" w:rsidRPr="006F256D" w:rsidRDefault="00694036" w:rsidP="00694036">
      <w:pPr>
        <w:keepNext/>
        <w:spacing w:line="360" w:lineRule="auto"/>
        <w:ind w:left="357" w:hanging="357"/>
        <w:jc w:val="center"/>
        <w:rPr>
          <w:b/>
          <w:sz w:val="20"/>
        </w:rPr>
      </w:pPr>
      <w:r w:rsidRPr="006F256D">
        <w:rPr>
          <w:b/>
          <w:sz w:val="20"/>
        </w:rPr>
        <w:t>zwyczajnego walnego zgromadzenia</w:t>
      </w:r>
    </w:p>
    <w:p w:rsidR="00694036" w:rsidRPr="006F256D" w:rsidRDefault="00694036" w:rsidP="00694036">
      <w:pPr>
        <w:keepNext/>
        <w:tabs>
          <w:tab w:val="right" w:leader="hyphen" w:pos="9060"/>
        </w:tabs>
        <w:spacing w:line="360" w:lineRule="auto"/>
        <w:ind w:left="357" w:hanging="357"/>
        <w:jc w:val="center"/>
        <w:rPr>
          <w:b/>
          <w:sz w:val="20"/>
        </w:rPr>
      </w:pPr>
      <w:r w:rsidRPr="006F256D">
        <w:rPr>
          <w:b/>
          <w:sz w:val="20"/>
        </w:rPr>
        <w:t>GLOBAL COSMED S.A.</w:t>
      </w:r>
    </w:p>
    <w:p w:rsidR="00694036" w:rsidRPr="006F256D" w:rsidRDefault="00694036" w:rsidP="00694036">
      <w:pPr>
        <w:keepNext/>
        <w:tabs>
          <w:tab w:val="right" w:leader="hyphen" w:pos="9060"/>
        </w:tabs>
        <w:spacing w:line="360" w:lineRule="auto"/>
        <w:ind w:left="357" w:hanging="357"/>
        <w:jc w:val="center"/>
        <w:rPr>
          <w:b/>
          <w:sz w:val="20"/>
        </w:rPr>
      </w:pPr>
      <w:r w:rsidRPr="006F256D">
        <w:rPr>
          <w:b/>
          <w:sz w:val="20"/>
        </w:rPr>
        <w:t>z 22 czerwca 2022 r.</w:t>
      </w:r>
    </w:p>
    <w:p w:rsidR="00694036" w:rsidRPr="006F256D" w:rsidRDefault="00694036" w:rsidP="00694036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jc w:val="center"/>
      </w:pPr>
      <w:r w:rsidRPr="006F256D">
        <w:rPr>
          <w:b/>
          <w:bCs/>
          <w:sz w:val="20"/>
        </w:rPr>
        <w:t>o podziale zysku za 2021 r.</w:t>
      </w:r>
    </w:p>
    <w:p w:rsidR="00694036" w:rsidRPr="006F256D" w:rsidRDefault="00694036" w:rsidP="00694036">
      <w:pPr>
        <w:autoSpaceDE w:val="0"/>
        <w:autoSpaceDN w:val="0"/>
        <w:adjustRightInd w:val="0"/>
        <w:spacing w:line="360" w:lineRule="auto"/>
        <w:rPr>
          <w:bCs/>
          <w:iCs/>
        </w:rPr>
      </w:pPr>
    </w:p>
    <w:p w:rsidR="00694036" w:rsidRPr="006F256D" w:rsidRDefault="00694036" w:rsidP="00694036">
      <w:pPr>
        <w:keepNext/>
        <w:autoSpaceDE w:val="0"/>
        <w:autoSpaceDN w:val="0"/>
        <w:adjustRightInd w:val="0"/>
        <w:spacing w:line="360" w:lineRule="auto"/>
        <w:jc w:val="center"/>
      </w:pPr>
      <w:r w:rsidRPr="006F256D">
        <w:rPr>
          <w:bCs/>
          <w:iCs/>
        </w:rPr>
        <w:t>„</w:t>
      </w:r>
      <w:r w:rsidRPr="006F256D">
        <w:rPr>
          <w:b/>
          <w:bCs/>
          <w:iCs/>
        </w:rPr>
        <w:t>§</w:t>
      </w:r>
      <w:r w:rsidRPr="006F256D">
        <w:rPr>
          <w:bCs/>
          <w:iCs/>
        </w:rPr>
        <w:t> </w:t>
      </w:r>
      <w:r w:rsidRPr="006F256D">
        <w:rPr>
          <w:b/>
          <w:bCs/>
          <w:iCs/>
        </w:rPr>
        <w:t>1</w:t>
      </w:r>
    </w:p>
    <w:p w:rsidR="00694036" w:rsidRPr="006F256D" w:rsidRDefault="00694036" w:rsidP="00694036">
      <w:pPr>
        <w:tabs>
          <w:tab w:val="right" w:leader="hyphen" w:pos="9060"/>
        </w:tabs>
        <w:autoSpaceDE w:val="0"/>
        <w:autoSpaceDN w:val="0"/>
        <w:adjustRightInd w:val="0"/>
        <w:spacing w:line="360" w:lineRule="auto"/>
        <w:jc w:val="both"/>
      </w:pPr>
      <w:r w:rsidRPr="006F256D">
        <w:t>Zysk netto za rok 2021 w kwocie 16 389 250,62 złotych (szesnaście milionów trzysta osiemdziesiąt dziewięć tysięcy dwieście pięćdziesiąt złotych sześćdziesiąt dwa grosze) d</w:t>
      </w:r>
      <w:r>
        <w:t>zieli się w następujący sposób:</w:t>
      </w:r>
    </w:p>
    <w:p w:rsidR="00694036" w:rsidRPr="006F256D" w:rsidRDefault="00694036" w:rsidP="00694036">
      <w:pPr>
        <w:pStyle w:val="Akapitzlist"/>
        <w:numPr>
          <w:ilvl w:val="0"/>
          <w:numId w:val="2"/>
        </w:numPr>
        <w:tabs>
          <w:tab w:val="right" w:leader="hyphen" w:pos="90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56D">
        <w:rPr>
          <w:rFonts w:ascii="Times New Roman" w:hAnsi="Times New Roman" w:cs="Times New Roman"/>
          <w:sz w:val="24"/>
          <w:szCs w:val="24"/>
        </w:rPr>
        <w:t>kwotę 5 225 920,92 złotych (pięć milionów dwieście dwadzieścia pięć tysięcy dziewięćset dwadzieścia złotych dziewięćdziesiąt dwa grosze) przeznacza się na wypłatę dywidendy;</w:t>
      </w:r>
      <w:r w:rsidRPr="006F256D">
        <w:rPr>
          <w:rFonts w:ascii="Times New Roman" w:hAnsi="Times New Roman" w:cs="Times New Roman"/>
          <w:sz w:val="24"/>
          <w:szCs w:val="24"/>
        </w:rPr>
        <w:tab/>
      </w:r>
    </w:p>
    <w:p w:rsidR="00694036" w:rsidRPr="006F256D" w:rsidRDefault="00694036" w:rsidP="00694036">
      <w:pPr>
        <w:pStyle w:val="Akapitzlist"/>
        <w:numPr>
          <w:ilvl w:val="0"/>
          <w:numId w:val="2"/>
        </w:numPr>
        <w:tabs>
          <w:tab w:val="right" w:leader="hyphen" w:pos="90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256D">
        <w:rPr>
          <w:rFonts w:ascii="Times New Roman" w:hAnsi="Times New Roman" w:cs="Times New Roman"/>
          <w:sz w:val="24"/>
          <w:szCs w:val="24"/>
        </w:rPr>
        <w:t>kwotę 11 163 329,70 złotych (jedenaście milionów sto sześćdziesiąt trzy tysiące trzysta dwadzieścia dziewięć złotych siedemdziesiąt groszy) przeznacza się na kapitał rezerwowy.</w:t>
      </w:r>
    </w:p>
    <w:p w:rsidR="00694036" w:rsidRPr="006F256D" w:rsidRDefault="00694036" w:rsidP="00694036">
      <w:pPr>
        <w:keepNext/>
        <w:autoSpaceDE w:val="0"/>
        <w:autoSpaceDN w:val="0"/>
        <w:adjustRightInd w:val="0"/>
        <w:spacing w:line="360" w:lineRule="auto"/>
        <w:jc w:val="center"/>
      </w:pPr>
      <w:r w:rsidRPr="006F256D">
        <w:rPr>
          <w:b/>
          <w:bCs/>
          <w:iCs/>
        </w:rPr>
        <w:t>§</w:t>
      </w:r>
      <w:r w:rsidRPr="006F256D">
        <w:rPr>
          <w:bCs/>
          <w:iCs/>
        </w:rPr>
        <w:t> </w:t>
      </w:r>
      <w:r w:rsidRPr="006F256D">
        <w:rPr>
          <w:b/>
          <w:bCs/>
          <w:iCs/>
        </w:rPr>
        <w:t>2</w:t>
      </w:r>
    </w:p>
    <w:p w:rsidR="00694036" w:rsidRPr="006F256D" w:rsidRDefault="00694036" w:rsidP="00694036">
      <w:pPr>
        <w:pStyle w:val="Default"/>
        <w:tabs>
          <w:tab w:val="right" w:leader="hyphen" w:pos="906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F256D">
        <w:rPr>
          <w:rFonts w:ascii="Times New Roman" w:hAnsi="Times New Roman" w:cs="Times New Roman"/>
          <w:color w:val="auto"/>
        </w:rPr>
        <w:t>Uchwała wchodzi w życie z chwilą jej podjęcia</w:t>
      </w:r>
      <w:r>
        <w:rPr>
          <w:rFonts w:ascii="Times New Roman" w:eastAsia="MS Mincho" w:hAnsi="Times New Roman" w:cs="Times New Roman"/>
          <w:iCs/>
          <w:color w:val="auto"/>
          <w:lang w:eastAsia="pl-PL"/>
        </w:rPr>
        <w:t>.”</w:t>
      </w:r>
    </w:p>
    <w:p w:rsidR="00694036" w:rsidRPr="006F256D" w:rsidRDefault="00694036" w:rsidP="00694036">
      <w:pPr>
        <w:tabs>
          <w:tab w:val="right" w:leader="hyphen" w:pos="9060"/>
        </w:tabs>
        <w:spacing w:line="360" w:lineRule="auto"/>
        <w:jc w:val="both"/>
      </w:pPr>
    </w:p>
    <w:p w:rsidR="00694036" w:rsidRPr="006F256D" w:rsidRDefault="00694036" w:rsidP="00694036">
      <w:pPr>
        <w:pStyle w:val="Tekstpodstawowy"/>
        <w:tabs>
          <w:tab w:val="right" w:leader="hyphen" w:pos="9060"/>
        </w:tabs>
        <w:spacing w:line="360" w:lineRule="auto"/>
        <w:jc w:val="both"/>
        <w:rPr>
          <w:szCs w:val="24"/>
          <w:lang w:val="pl-PL"/>
        </w:rPr>
      </w:pPr>
      <w:r w:rsidRPr="006F256D">
        <w:rPr>
          <w:szCs w:val="24"/>
          <w:lang w:val="pl-PL"/>
        </w:rPr>
        <w:t>          Po zamknięciu głosowania przewodniczący walnego zgromadzenia ogłosił, że w głosowaniu tym z reprezentowanych na zgromadzeniu 72 217 282 akcji stanowiących 82,69</w:t>
      </w:r>
      <w:r w:rsidRPr="006F256D">
        <w:rPr>
          <w:iCs/>
          <w:szCs w:val="24"/>
          <w:lang w:val="pl-PL"/>
        </w:rPr>
        <w:t> </w:t>
      </w:r>
      <w:r w:rsidRPr="006F256D">
        <w:rPr>
          <w:szCs w:val="24"/>
          <w:lang w:val="pl-PL"/>
        </w:rPr>
        <w:t>% kapitału zakładowego zostały oddane łącznie 89 443 404 ważne głosy</w:t>
      </w:r>
      <w:r>
        <w:rPr>
          <w:szCs w:val="24"/>
          <w:lang w:val="pl-PL"/>
        </w:rPr>
        <w:t>, przy czym:</w:t>
      </w:r>
    </w:p>
    <w:p w:rsidR="00694036" w:rsidRPr="006F256D" w:rsidRDefault="00694036" w:rsidP="00694036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360"/>
          <w:tab w:val="right" w:leader="hyphen" w:pos="9060"/>
        </w:tabs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szCs w:val="24"/>
          <w:lang w:val="pl-PL"/>
        </w:rPr>
      </w:pPr>
      <w:r>
        <w:rPr>
          <w:szCs w:val="24"/>
          <w:lang w:val="pl-PL"/>
        </w:rPr>
        <w:t>głosów za uchwałą nie było,</w:t>
      </w:r>
    </w:p>
    <w:p w:rsidR="00694036" w:rsidRPr="006F256D" w:rsidRDefault="00694036" w:rsidP="00694036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360"/>
          <w:tab w:val="right" w:leader="hyphen" w:pos="9060"/>
        </w:tabs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szCs w:val="24"/>
          <w:lang w:val="pl-PL"/>
        </w:rPr>
      </w:pPr>
      <w:r w:rsidRPr="006F256D">
        <w:rPr>
          <w:szCs w:val="24"/>
          <w:lang w:val="pl-PL"/>
        </w:rPr>
        <w:t>przeciw zostały oddane 89 443 404 głosy</w:t>
      </w:r>
      <w:r>
        <w:rPr>
          <w:szCs w:val="24"/>
          <w:lang w:val="pl-PL"/>
        </w:rPr>
        <w:t>,</w:t>
      </w:r>
    </w:p>
    <w:p w:rsidR="00694036" w:rsidRPr="006F256D" w:rsidRDefault="00694036" w:rsidP="00694036">
      <w:pPr>
        <w:pStyle w:val="Tekstpodstawowy"/>
        <w:widowControl w:val="0"/>
        <w:numPr>
          <w:ilvl w:val="0"/>
          <w:numId w:val="1"/>
        </w:numPr>
        <w:tabs>
          <w:tab w:val="clear" w:pos="720"/>
          <w:tab w:val="right" w:pos="360"/>
          <w:tab w:val="right" w:leader="hyphen" w:pos="9060"/>
        </w:tabs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szCs w:val="24"/>
          <w:lang w:val="pl-PL"/>
        </w:rPr>
      </w:pPr>
      <w:r>
        <w:rPr>
          <w:szCs w:val="24"/>
          <w:lang w:val="pl-PL"/>
        </w:rPr>
        <w:t>wstrzymujących się nie było,</w:t>
      </w:r>
    </w:p>
    <w:p w:rsidR="00694036" w:rsidRPr="006F256D" w:rsidRDefault="00694036" w:rsidP="00694036">
      <w:pPr>
        <w:tabs>
          <w:tab w:val="right" w:leader="hyphen" w:pos="9060"/>
        </w:tabs>
        <w:spacing w:line="360" w:lineRule="auto"/>
        <w:jc w:val="both"/>
      </w:pPr>
      <w:r w:rsidRPr="006F256D">
        <w:t xml:space="preserve">zatem powyższa uchwała nie </w:t>
      </w:r>
      <w:r>
        <w:t>została powzięta.</w:t>
      </w:r>
      <w:bookmarkStart w:id="0" w:name="_GoBack"/>
      <w:bookmarkEnd w:id="0"/>
    </w:p>
    <w:p w:rsidR="005923F5" w:rsidRPr="00721A81" w:rsidRDefault="005923F5">
      <w:pPr>
        <w:rPr>
          <w:color w:val="FF0000"/>
        </w:rPr>
      </w:pPr>
    </w:p>
    <w:sectPr w:rsidR="005923F5" w:rsidRPr="00721A81" w:rsidSect="00721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6945"/>
    <w:multiLevelType w:val="hybridMultilevel"/>
    <w:tmpl w:val="A0BCE834"/>
    <w:lvl w:ilvl="0" w:tplc="DBA27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D039F"/>
    <w:multiLevelType w:val="hybridMultilevel"/>
    <w:tmpl w:val="3CF03FAC"/>
    <w:lvl w:ilvl="0" w:tplc="B67C4E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76BFE4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81"/>
    <w:rsid w:val="005923F5"/>
    <w:rsid w:val="006678FF"/>
    <w:rsid w:val="00694036"/>
    <w:rsid w:val="00721A81"/>
    <w:rsid w:val="008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E8E6D-5C9C-4306-8EE9-3F768F9C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A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"/>
    <w:basedOn w:val="Normalny"/>
    <w:link w:val="TekstpodstawowyZnak"/>
    <w:rsid w:val="00721A81"/>
    <w:rPr>
      <w:szCs w:val="20"/>
      <w:lang w:val="x-none" w:eastAsia="x-none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721A81"/>
    <w:rPr>
      <w:rFonts w:ascii="Times New Roman" w:eastAsia="MS Mincho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721A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ETRUJ">
    <w:name w:val="CETRUJ"/>
    <w:basedOn w:val="Normalny"/>
    <w:rsid w:val="00694036"/>
    <w:pPr>
      <w:spacing w:after="160" w:line="360" w:lineRule="auto"/>
      <w:jc w:val="center"/>
    </w:pPr>
    <w:rPr>
      <w:rFonts w:eastAsiaTheme="minorEastAsia"/>
      <w:b/>
      <w:sz w:val="26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9403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69403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KRUK</dc:creator>
  <cp:keywords/>
  <dc:description/>
  <cp:lastModifiedBy>Agnieszka KRUK</cp:lastModifiedBy>
  <cp:revision>3</cp:revision>
  <dcterms:created xsi:type="dcterms:W3CDTF">2022-06-22T06:36:00Z</dcterms:created>
  <dcterms:modified xsi:type="dcterms:W3CDTF">2022-06-22T09:39:00Z</dcterms:modified>
</cp:coreProperties>
</file>