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22" w:rsidRPr="001F5113" w:rsidRDefault="00F01522" w:rsidP="001F5113">
      <w:pPr>
        <w:jc w:val="right"/>
        <w:rPr>
          <w:rFonts w:ascii="Lato" w:hAnsi="Lato" w:cstheme="minorHAnsi"/>
          <w:sz w:val="22"/>
          <w:szCs w:val="22"/>
        </w:rPr>
      </w:pPr>
      <w:r w:rsidRPr="001F5113">
        <w:rPr>
          <w:rFonts w:ascii="Lato" w:hAnsi="Lato" w:cstheme="minorHAnsi"/>
          <w:sz w:val="22"/>
          <w:szCs w:val="22"/>
        </w:rPr>
        <w:t xml:space="preserve">Bydgoszcz, </w:t>
      </w:r>
      <w:r w:rsidR="00B3555F">
        <w:rPr>
          <w:rFonts w:ascii="Lato" w:hAnsi="Lato" w:cstheme="minorHAnsi"/>
          <w:sz w:val="22"/>
          <w:szCs w:val="22"/>
        </w:rPr>
        <w:t>2</w:t>
      </w:r>
      <w:r w:rsidR="00185BBA">
        <w:rPr>
          <w:rFonts w:ascii="Lato" w:hAnsi="Lato" w:cstheme="minorHAnsi"/>
          <w:sz w:val="22"/>
          <w:szCs w:val="22"/>
        </w:rPr>
        <w:t>5</w:t>
      </w:r>
      <w:r w:rsidRPr="001F5113">
        <w:rPr>
          <w:rFonts w:ascii="Lato" w:hAnsi="Lato" w:cstheme="minorHAnsi"/>
          <w:sz w:val="22"/>
          <w:szCs w:val="22"/>
        </w:rPr>
        <w:t xml:space="preserve"> października 2019 r.</w:t>
      </w:r>
    </w:p>
    <w:p w:rsidR="001F5113" w:rsidRPr="001F5113" w:rsidRDefault="001F5113" w:rsidP="001F5113">
      <w:pPr>
        <w:jc w:val="right"/>
        <w:rPr>
          <w:rFonts w:ascii="Lato" w:hAnsi="Lato" w:cstheme="minorHAnsi"/>
          <w:sz w:val="22"/>
          <w:szCs w:val="22"/>
        </w:rPr>
      </w:pPr>
    </w:p>
    <w:p w:rsidR="00F01522" w:rsidRPr="001F5113" w:rsidRDefault="00F01522" w:rsidP="001F5113">
      <w:pPr>
        <w:jc w:val="center"/>
        <w:rPr>
          <w:rFonts w:ascii="Lato" w:hAnsi="Lato" w:cstheme="minorHAnsi"/>
          <w:b/>
          <w:sz w:val="22"/>
          <w:szCs w:val="22"/>
        </w:rPr>
      </w:pPr>
      <w:r w:rsidRPr="001F5113">
        <w:rPr>
          <w:rFonts w:ascii="Lato" w:hAnsi="Lato" w:cstheme="minorHAnsi"/>
          <w:b/>
          <w:sz w:val="22"/>
          <w:szCs w:val="22"/>
        </w:rPr>
        <w:t>OGŁOSZENIE O ZWOŁANIU ZGROMADZENIA OBLIGATARIUSZY</w:t>
      </w:r>
    </w:p>
    <w:p w:rsidR="00F01522" w:rsidRPr="001F5113" w:rsidRDefault="00F01522" w:rsidP="001F5113">
      <w:pPr>
        <w:jc w:val="center"/>
        <w:rPr>
          <w:rFonts w:ascii="Lato" w:hAnsi="Lato" w:cstheme="minorHAnsi"/>
          <w:b/>
          <w:sz w:val="22"/>
          <w:szCs w:val="22"/>
        </w:rPr>
      </w:pPr>
      <w:r w:rsidRPr="001F5113">
        <w:rPr>
          <w:rFonts w:ascii="Lato" w:hAnsi="Lato" w:cstheme="minorHAnsi"/>
          <w:b/>
          <w:sz w:val="22"/>
          <w:szCs w:val="22"/>
        </w:rPr>
        <w:t>OBLIGACJI SERII A</w:t>
      </w:r>
    </w:p>
    <w:p w:rsidR="00F01522" w:rsidRPr="001F5113" w:rsidRDefault="00F01522" w:rsidP="001F5113">
      <w:pPr>
        <w:jc w:val="center"/>
        <w:rPr>
          <w:rFonts w:ascii="Lato" w:hAnsi="Lato" w:cstheme="minorHAnsi"/>
          <w:b/>
          <w:sz w:val="22"/>
          <w:szCs w:val="22"/>
        </w:rPr>
      </w:pPr>
      <w:r w:rsidRPr="001F5113">
        <w:rPr>
          <w:rFonts w:ascii="Lato" w:hAnsi="Lato" w:cstheme="minorHAnsi"/>
          <w:b/>
          <w:sz w:val="22"/>
          <w:szCs w:val="22"/>
        </w:rPr>
        <w:t>VIVID GAMES S.A.</w:t>
      </w:r>
      <w:r w:rsidR="00280133">
        <w:rPr>
          <w:rFonts w:ascii="Lato" w:hAnsi="Lato" w:cstheme="minorHAnsi"/>
          <w:b/>
          <w:sz w:val="22"/>
          <w:szCs w:val="22"/>
        </w:rPr>
        <w:t xml:space="preserve"> Z SIEDZIBĄ</w:t>
      </w:r>
      <w:r w:rsidRPr="001F5113">
        <w:rPr>
          <w:rFonts w:ascii="Lato" w:hAnsi="Lato" w:cstheme="minorHAnsi"/>
          <w:b/>
          <w:sz w:val="22"/>
          <w:szCs w:val="22"/>
        </w:rPr>
        <w:t xml:space="preserve"> W BYDGOSZCZY</w:t>
      </w:r>
    </w:p>
    <w:p w:rsidR="00F01522" w:rsidRPr="001F5113" w:rsidRDefault="00F01522" w:rsidP="00F01522">
      <w:pPr>
        <w:rPr>
          <w:rFonts w:ascii="Lato" w:hAnsi="Lato" w:cstheme="minorHAnsi"/>
          <w:sz w:val="22"/>
          <w:szCs w:val="22"/>
        </w:rPr>
      </w:pPr>
    </w:p>
    <w:p w:rsidR="00F01522" w:rsidRPr="00461649" w:rsidRDefault="00F01522" w:rsidP="00461649">
      <w:pPr>
        <w:pStyle w:val="Akapitzlist"/>
        <w:numPr>
          <w:ilvl w:val="0"/>
          <w:numId w:val="25"/>
        </w:numPr>
        <w:rPr>
          <w:rFonts w:ascii="Lato" w:hAnsi="Lato" w:cstheme="minorHAnsi"/>
        </w:rPr>
      </w:pPr>
      <w:r w:rsidRPr="00461649">
        <w:rPr>
          <w:rFonts w:ascii="Lato" w:hAnsi="Lato" w:cstheme="minorHAnsi"/>
          <w:b/>
        </w:rPr>
        <w:t xml:space="preserve">Zwołanie </w:t>
      </w:r>
      <w:r w:rsidR="00D966FF" w:rsidRPr="00461649">
        <w:rPr>
          <w:rFonts w:ascii="Lato" w:hAnsi="Lato" w:cstheme="minorHAnsi"/>
          <w:b/>
        </w:rPr>
        <w:t>Z</w:t>
      </w:r>
      <w:r w:rsidRPr="00461649">
        <w:rPr>
          <w:rFonts w:ascii="Lato" w:hAnsi="Lato" w:cstheme="minorHAnsi"/>
          <w:b/>
        </w:rPr>
        <w:t>gromadzenia</w:t>
      </w:r>
      <w:r w:rsidR="00D966FF" w:rsidRPr="00461649">
        <w:rPr>
          <w:rFonts w:ascii="Lato" w:hAnsi="Lato" w:cstheme="minorHAnsi"/>
          <w:b/>
        </w:rPr>
        <w:t>.</w:t>
      </w:r>
    </w:p>
    <w:p w:rsidR="001D3BE4" w:rsidRDefault="001D3BE4" w:rsidP="00461649">
      <w:pPr>
        <w:ind w:left="709"/>
        <w:jc w:val="both"/>
        <w:rPr>
          <w:rFonts w:ascii="Lato" w:hAnsi="Lato"/>
          <w:sz w:val="22"/>
          <w:szCs w:val="22"/>
        </w:rPr>
      </w:pPr>
      <w:r w:rsidRPr="001F5113">
        <w:rPr>
          <w:rFonts w:ascii="Lato" w:hAnsi="Lato"/>
          <w:sz w:val="22"/>
          <w:szCs w:val="22"/>
        </w:rPr>
        <w:t xml:space="preserve">Zarząd spółki </w:t>
      </w:r>
      <w:r w:rsidRPr="001F5113">
        <w:rPr>
          <w:rFonts w:ascii="Lato" w:hAnsi="Lato"/>
          <w:b/>
          <w:sz w:val="22"/>
          <w:szCs w:val="22"/>
        </w:rPr>
        <w:t>Vivid Games S.A.</w:t>
      </w:r>
      <w:r w:rsidRPr="001F5113">
        <w:rPr>
          <w:rFonts w:ascii="Lato" w:hAnsi="Lato"/>
          <w:sz w:val="22"/>
          <w:szCs w:val="22"/>
        </w:rPr>
        <w:t xml:space="preserve"> z siedzibą w Bydgoszczy, przy ul. Gdańskiej 160, 85-674 Bydgoszcz, </w:t>
      </w:r>
      <w:r w:rsidR="00280133">
        <w:rPr>
          <w:rFonts w:ascii="Lato" w:hAnsi="Lato"/>
          <w:sz w:val="22"/>
          <w:szCs w:val="22"/>
        </w:rPr>
        <w:t>wpisanej</w:t>
      </w:r>
      <w:r w:rsidRPr="001F5113">
        <w:rPr>
          <w:rFonts w:ascii="Lato" w:hAnsi="Lato"/>
          <w:sz w:val="22"/>
          <w:szCs w:val="22"/>
        </w:rPr>
        <w:t xml:space="preserve"> do rejestru przedsiębiorców</w:t>
      </w:r>
      <w:r w:rsidR="00280133">
        <w:rPr>
          <w:rFonts w:ascii="Lato" w:hAnsi="Lato"/>
          <w:sz w:val="22"/>
          <w:szCs w:val="22"/>
        </w:rPr>
        <w:t xml:space="preserve"> </w:t>
      </w:r>
      <w:r w:rsidR="00673C2E">
        <w:rPr>
          <w:rFonts w:ascii="Lato" w:hAnsi="Lato"/>
          <w:sz w:val="22"/>
          <w:szCs w:val="22"/>
        </w:rPr>
        <w:t>Krajowego Rejestru Sądowego</w:t>
      </w:r>
      <w:r w:rsidRPr="001F5113">
        <w:rPr>
          <w:rFonts w:ascii="Lato" w:hAnsi="Lato"/>
          <w:sz w:val="22"/>
          <w:szCs w:val="22"/>
        </w:rPr>
        <w:t xml:space="preserve"> prowadzonego przez Sąd Rejonowy w Bydgoszczy, XIII Wydział Gospodarczy Krajowego Rejestru Sądowego pod numerem KRS 0000411156, REGON: 340873302, NIP: 9671338848, kapitał zakładowy 2.974.339,60 zł w pełni opłacony (</w:t>
      </w:r>
      <w:r w:rsidRPr="001F5113">
        <w:rPr>
          <w:rFonts w:ascii="Lato" w:hAnsi="Lato"/>
          <w:b/>
          <w:sz w:val="22"/>
          <w:szCs w:val="22"/>
        </w:rPr>
        <w:t>Emitent</w:t>
      </w:r>
      <w:r w:rsidRPr="001F5113">
        <w:rPr>
          <w:rFonts w:ascii="Lato" w:hAnsi="Lato"/>
          <w:sz w:val="22"/>
          <w:szCs w:val="22"/>
        </w:rPr>
        <w:t>), działając na podstawie Punktu 22 lit. (a) Warunków Emisji Obligacji Serii A o łącznej wartości nominalnej 10</w:t>
      </w:r>
      <w:r w:rsidR="00A94F4A">
        <w:rPr>
          <w:rFonts w:ascii="Lato" w:hAnsi="Lato"/>
          <w:sz w:val="22"/>
          <w:szCs w:val="22"/>
        </w:rPr>
        <w:t>.</w:t>
      </w:r>
      <w:r w:rsidRPr="001F5113">
        <w:rPr>
          <w:rFonts w:ascii="Lato" w:hAnsi="Lato"/>
          <w:sz w:val="22"/>
          <w:szCs w:val="22"/>
        </w:rPr>
        <w:t>500</w:t>
      </w:r>
      <w:r w:rsidR="00A94F4A">
        <w:rPr>
          <w:rFonts w:ascii="Lato" w:hAnsi="Lato"/>
          <w:sz w:val="22"/>
          <w:szCs w:val="22"/>
        </w:rPr>
        <w:t>.</w:t>
      </w:r>
      <w:r w:rsidRPr="001F5113">
        <w:rPr>
          <w:rFonts w:ascii="Lato" w:hAnsi="Lato"/>
          <w:sz w:val="22"/>
          <w:szCs w:val="22"/>
        </w:rPr>
        <w:t>000,00 złotych wyemitowanych przez Vivid Games S.A.</w:t>
      </w:r>
      <w:r w:rsidR="00280133">
        <w:rPr>
          <w:rFonts w:ascii="Lato" w:hAnsi="Lato"/>
          <w:sz w:val="22"/>
          <w:szCs w:val="22"/>
        </w:rPr>
        <w:t xml:space="preserve"> z siedzibą</w:t>
      </w:r>
      <w:r w:rsidRPr="001F5113">
        <w:rPr>
          <w:rFonts w:ascii="Lato" w:hAnsi="Lato"/>
          <w:sz w:val="22"/>
          <w:szCs w:val="22"/>
        </w:rPr>
        <w:t xml:space="preserve"> w Bydgoszczy w dniu 14 kwietnia 2017 (</w:t>
      </w:r>
      <w:r w:rsidRPr="001F5113">
        <w:rPr>
          <w:rFonts w:ascii="Lato" w:hAnsi="Lato"/>
          <w:b/>
          <w:sz w:val="22"/>
          <w:szCs w:val="22"/>
        </w:rPr>
        <w:t>Obligacje</w:t>
      </w:r>
      <w:r w:rsidRPr="001F5113">
        <w:rPr>
          <w:rFonts w:ascii="Lato" w:hAnsi="Lato"/>
          <w:sz w:val="22"/>
          <w:szCs w:val="22"/>
        </w:rPr>
        <w:t xml:space="preserve"> oraz </w:t>
      </w:r>
      <w:r w:rsidRPr="001F5113">
        <w:rPr>
          <w:rFonts w:ascii="Lato" w:hAnsi="Lato"/>
          <w:b/>
          <w:sz w:val="22"/>
          <w:szCs w:val="22"/>
        </w:rPr>
        <w:t>Warunki Emisji</w:t>
      </w:r>
      <w:r w:rsidRPr="001F5113">
        <w:rPr>
          <w:rFonts w:ascii="Lato" w:hAnsi="Lato"/>
          <w:sz w:val="22"/>
          <w:szCs w:val="22"/>
        </w:rPr>
        <w:t xml:space="preserve">) oraz na podstawie art. 50 ust. 1 pkt 3) </w:t>
      </w:r>
      <w:r w:rsidR="00D966FF" w:rsidRPr="001F5113">
        <w:rPr>
          <w:rFonts w:ascii="Lato" w:hAnsi="Lato"/>
          <w:sz w:val="22"/>
          <w:szCs w:val="22"/>
        </w:rPr>
        <w:t xml:space="preserve">i 51 ust. 1 </w:t>
      </w:r>
      <w:r w:rsidRPr="001F5113">
        <w:rPr>
          <w:rFonts w:ascii="Lato" w:hAnsi="Lato"/>
          <w:sz w:val="22"/>
          <w:szCs w:val="22"/>
        </w:rPr>
        <w:t>Ustawy z 15 stycznia 2015 o obligacjach (</w:t>
      </w:r>
      <w:r w:rsidRPr="001F5113">
        <w:rPr>
          <w:rFonts w:ascii="Lato" w:hAnsi="Lato"/>
          <w:b/>
          <w:sz w:val="22"/>
          <w:szCs w:val="22"/>
        </w:rPr>
        <w:t>Ustawa o Obligacjach</w:t>
      </w:r>
      <w:r w:rsidRPr="001F5113">
        <w:rPr>
          <w:rFonts w:ascii="Lato" w:hAnsi="Lato"/>
          <w:sz w:val="22"/>
          <w:szCs w:val="22"/>
        </w:rPr>
        <w:t>), niniejszym</w:t>
      </w:r>
      <w:r w:rsidR="001F5113">
        <w:rPr>
          <w:rFonts w:ascii="Lato" w:hAnsi="Lato"/>
          <w:sz w:val="22"/>
          <w:szCs w:val="22"/>
        </w:rPr>
        <w:t>:</w:t>
      </w:r>
    </w:p>
    <w:p w:rsidR="001F5113" w:rsidRPr="001F5113" w:rsidRDefault="001F5113" w:rsidP="00F01522">
      <w:pPr>
        <w:rPr>
          <w:rFonts w:ascii="Lato" w:hAnsi="Lato"/>
          <w:sz w:val="22"/>
          <w:szCs w:val="22"/>
        </w:rPr>
      </w:pPr>
    </w:p>
    <w:p w:rsidR="001D3BE4" w:rsidRPr="00461649" w:rsidRDefault="001D3BE4" w:rsidP="00461649">
      <w:pPr>
        <w:ind w:left="709"/>
        <w:jc w:val="both"/>
        <w:rPr>
          <w:rFonts w:ascii="Lato" w:hAnsi="Lato"/>
          <w:sz w:val="22"/>
          <w:szCs w:val="22"/>
          <w:u w:val="single"/>
        </w:rPr>
      </w:pPr>
      <w:r w:rsidRPr="00461649">
        <w:rPr>
          <w:rFonts w:ascii="Lato" w:hAnsi="Lato"/>
          <w:sz w:val="22"/>
          <w:szCs w:val="22"/>
          <w:u w:val="single"/>
        </w:rPr>
        <w:t>zwołuje zgromadzenie obligatariuszy Obligacji (</w:t>
      </w:r>
      <w:r w:rsidRPr="00461649">
        <w:rPr>
          <w:rFonts w:ascii="Lato" w:hAnsi="Lato"/>
          <w:b/>
          <w:sz w:val="22"/>
          <w:szCs w:val="22"/>
          <w:u w:val="single"/>
        </w:rPr>
        <w:t>Zgromadzenie</w:t>
      </w:r>
      <w:r w:rsidRPr="00461649">
        <w:rPr>
          <w:rFonts w:ascii="Lato" w:hAnsi="Lato"/>
          <w:sz w:val="22"/>
          <w:szCs w:val="22"/>
          <w:u w:val="single"/>
        </w:rPr>
        <w:t xml:space="preserve">), z własnej inicjatywy, zgodnie z treścią niniejszego ogłoszenia. </w:t>
      </w:r>
    </w:p>
    <w:p w:rsidR="001D3BE4" w:rsidRPr="001F5113" w:rsidRDefault="001D3BE4" w:rsidP="00F01522">
      <w:pPr>
        <w:rPr>
          <w:rFonts w:ascii="Lato" w:hAnsi="Lato"/>
          <w:sz w:val="22"/>
          <w:szCs w:val="22"/>
        </w:rPr>
      </w:pPr>
    </w:p>
    <w:p w:rsidR="00F01522" w:rsidRPr="00461649" w:rsidRDefault="001D3BE4" w:rsidP="00461649">
      <w:pPr>
        <w:pStyle w:val="Akapitzlist"/>
        <w:numPr>
          <w:ilvl w:val="0"/>
          <w:numId w:val="25"/>
        </w:numPr>
        <w:rPr>
          <w:rFonts w:ascii="Lato" w:hAnsi="Lato" w:cstheme="minorHAnsi"/>
          <w:b/>
        </w:rPr>
      </w:pPr>
      <w:r w:rsidRPr="00461649">
        <w:rPr>
          <w:rFonts w:ascii="Lato" w:hAnsi="Lato" w:cstheme="minorHAnsi"/>
          <w:b/>
        </w:rPr>
        <w:t>Czas</w:t>
      </w:r>
      <w:r w:rsidR="00D966FF" w:rsidRPr="00461649">
        <w:rPr>
          <w:rFonts w:ascii="Lato" w:hAnsi="Lato" w:cstheme="minorHAnsi"/>
          <w:b/>
        </w:rPr>
        <w:t xml:space="preserve"> i miejsce odbycia Zgromadzenia. </w:t>
      </w:r>
    </w:p>
    <w:p w:rsidR="00590AD9" w:rsidRDefault="00F01522">
      <w:pPr>
        <w:ind w:left="709"/>
        <w:jc w:val="both"/>
        <w:rPr>
          <w:rFonts w:ascii="Lato" w:hAnsi="Lato" w:cstheme="minorHAnsi"/>
          <w:sz w:val="22"/>
          <w:szCs w:val="22"/>
        </w:rPr>
      </w:pPr>
      <w:r w:rsidRPr="001F5113">
        <w:rPr>
          <w:rFonts w:ascii="Lato" w:hAnsi="Lato" w:cstheme="minorHAnsi"/>
          <w:sz w:val="22"/>
          <w:szCs w:val="22"/>
        </w:rPr>
        <w:t xml:space="preserve">Zgromadzenie odbędzie się w dniu </w:t>
      </w:r>
      <w:r w:rsidR="00D966FF" w:rsidRPr="001F5113">
        <w:rPr>
          <w:rFonts w:ascii="Lato" w:hAnsi="Lato" w:cstheme="minorHAnsi"/>
          <w:sz w:val="22"/>
          <w:szCs w:val="22"/>
        </w:rPr>
        <w:t>15 listopada</w:t>
      </w:r>
      <w:r w:rsidRPr="001F5113">
        <w:rPr>
          <w:rFonts w:ascii="Lato" w:hAnsi="Lato" w:cstheme="minorHAnsi"/>
          <w:sz w:val="22"/>
          <w:szCs w:val="22"/>
        </w:rPr>
        <w:t xml:space="preserve"> 2019 r. o godzinie 1</w:t>
      </w:r>
      <w:r w:rsidR="002D0FD4">
        <w:rPr>
          <w:rFonts w:ascii="Lato" w:hAnsi="Lato" w:cstheme="minorHAnsi"/>
          <w:sz w:val="22"/>
          <w:szCs w:val="22"/>
        </w:rPr>
        <w:t>6</w:t>
      </w:r>
      <w:r w:rsidRPr="001F5113">
        <w:rPr>
          <w:rFonts w:ascii="Lato" w:hAnsi="Lato" w:cstheme="minorHAnsi"/>
          <w:sz w:val="22"/>
          <w:szCs w:val="22"/>
        </w:rPr>
        <w:t xml:space="preserve">.00 w </w:t>
      </w:r>
      <w:r w:rsidR="00D966FF" w:rsidRPr="001F5113">
        <w:rPr>
          <w:rFonts w:ascii="Lato" w:hAnsi="Lato" w:cstheme="minorHAnsi"/>
          <w:sz w:val="22"/>
          <w:szCs w:val="22"/>
        </w:rPr>
        <w:t>Bydgoszczy</w:t>
      </w:r>
      <w:r w:rsidRPr="001F5113">
        <w:rPr>
          <w:rFonts w:ascii="Lato" w:hAnsi="Lato" w:cstheme="minorHAnsi"/>
          <w:sz w:val="22"/>
          <w:szCs w:val="22"/>
        </w:rPr>
        <w:t xml:space="preserve">, pod adresem </w:t>
      </w:r>
      <w:r w:rsidR="002D0FD4">
        <w:rPr>
          <w:rFonts w:ascii="Lato" w:hAnsi="Lato" w:cstheme="minorHAnsi"/>
          <w:sz w:val="22"/>
          <w:szCs w:val="22"/>
        </w:rPr>
        <w:t>Gdańska 160, 85-674 Bydgoszcz</w:t>
      </w:r>
      <w:r w:rsidRPr="001F5113">
        <w:rPr>
          <w:rFonts w:ascii="Lato" w:hAnsi="Lato" w:cstheme="minorHAnsi"/>
          <w:sz w:val="22"/>
          <w:szCs w:val="22"/>
        </w:rPr>
        <w:t>.</w:t>
      </w:r>
    </w:p>
    <w:p w:rsidR="00F01522" w:rsidRPr="001F5113" w:rsidRDefault="00F01522" w:rsidP="00F01522">
      <w:pPr>
        <w:rPr>
          <w:rFonts w:ascii="Lato" w:hAnsi="Lato" w:cstheme="minorHAnsi"/>
          <w:sz w:val="22"/>
          <w:szCs w:val="22"/>
        </w:rPr>
      </w:pPr>
    </w:p>
    <w:p w:rsidR="00F01522" w:rsidRDefault="00D966FF" w:rsidP="00461649">
      <w:pPr>
        <w:pStyle w:val="Akapitzlist"/>
        <w:numPr>
          <w:ilvl w:val="0"/>
          <w:numId w:val="25"/>
        </w:numPr>
        <w:rPr>
          <w:rFonts w:ascii="Lato" w:hAnsi="Lato" w:cstheme="minorHAnsi"/>
          <w:b/>
        </w:rPr>
      </w:pPr>
      <w:r w:rsidRPr="00461649">
        <w:rPr>
          <w:rFonts w:ascii="Lato" w:hAnsi="Lato" w:cstheme="minorHAnsi"/>
          <w:b/>
        </w:rPr>
        <w:t xml:space="preserve">Porządek obrad Zgromadzenia. </w:t>
      </w:r>
    </w:p>
    <w:p w:rsidR="00590AD9" w:rsidRDefault="00461649">
      <w:pPr>
        <w:ind w:left="709"/>
        <w:jc w:val="both"/>
        <w:rPr>
          <w:rFonts w:ascii="Lato" w:hAnsi="Lato" w:cstheme="minorHAnsi"/>
          <w:sz w:val="22"/>
          <w:szCs w:val="22"/>
        </w:rPr>
      </w:pPr>
      <w:r w:rsidRPr="001F5113">
        <w:rPr>
          <w:rFonts w:ascii="Lato" w:hAnsi="Lato" w:cstheme="minorHAnsi"/>
          <w:sz w:val="22"/>
          <w:szCs w:val="22"/>
        </w:rPr>
        <w:t>Ustala się następujący porządek obrad Zgromadzenia:</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Otwarcie Zgromadzenia</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Wybór Przewodniczącego Zgromadzenia Obligatariuszy</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Stwierdzenie prawidłowości zwołania Zgromadzenia i jego zdolności do podejmowania uchwał</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Przyjęcie porządku obrad Zgromadzenia</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 xml:space="preserve">Przedstawienie przez Zarząd informacji o </w:t>
      </w:r>
      <w:r w:rsidR="00E9305D">
        <w:rPr>
          <w:rFonts w:ascii="Lato" w:hAnsi="Lato" w:cstheme="minorHAnsi"/>
        </w:rPr>
        <w:t>planach</w:t>
      </w:r>
      <w:r w:rsidRPr="001F5113">
        <w:rPr>
          <w:rFonts w:ascii="Lato" w:hAnsi="Lato" w:cstheme="minorHAnsi"/>
        </w:rPr>
        <w:t xml:space="preserve"> Emitenta oraz propozycji skierowanych do Obligatariuszy dotyczących możliwości wcześniejszego wykupu Obligacji, umorzenia Obligacji wraz z emisją nowych obligacji oraz zamiany Obligacji na akcje Spółki</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Podjęcie uchwały w sprawie wprowadzenia zmian do Warunków Emisji</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Wolne wnioski</w:t>
      </w:r>
      <w:r w:rsidR="00A54BA3">
        <w:rPr>
          <w:rFonts w:ascii="Lato" w:hAnsi="Lato" w:cstheme="minorHAnsi"/>
        </w:rPr>
        <w:t>.</w:t>
      </w:r>
    </w:p>
    <w:p w:rsidR="00590AD9" w:rsidRDefault="00461649">
      <w:pPr>
        <w:pStyle w:val="Akapitzlist"/>
        <w:numPr>
          <w:ilvl w:val="0"/>
          <w:numId w:val="24"/>
        </w:numPr>
        <w:ind w:left="1134"/>
        <w:jc w:val="both"/>
        <w:rPr>
          <w:rFonts w:ascii="Lato" w:hAnsi="Lato" w:cstheme="minorHAnsi"/>
        </w:rPr>
      </w:pPr>
      <w:r w:rsidRPr="001F5113">
        <w:rPr>
          <w:rFonts w:ascii="Lato" w:hAnsi="Lato" w:cstheme="minorHAnsi"/>
        </w:rPr>
        <w:t>Zamknięcie obrad.</w:t>
      </w:r>
    </w:p>
    <w:p w:rsidR="00461649" w:rsidRDefault="00461649" w:rsidP="00461649">
      <w:pPr>
        <w:pStyle w:val="Akapitzlist"/>
        <w:rPr>
          <w:rFonts w:ascii="Lato" w:hAnsi="Lato" w:cstheme="minorHAnsi"/>
          <w:b/>
        </w:rPr>
      </w:pPr>
    </w:p>
    <w:p w:rsidR="00F01522" w:rsidRPr="00461649" w:rsidRDefault="00D966FF" w:rsidP="00F01522">
      <w:pPr>
        <w:pStyle w:val="Akapitzlist"/>
        <w:numPr>
          <w:ilvl w:val="0"/>
          <w:numId w:val="25"/>
        </w:numPr>
        <w:rPr>
          <w:rFonts w:ascii="Lato" w:hAnsi="Lato" w:cstheme="minorHAnsi"/>
          <w:b/>
        </w:rPr>
      </w:pPr>
      <w:r w:rsidRPr="00461649">
        <w:rPr>
          <w:rFonts w:ascii="Lato" w:hAnsi="Lato" w:cstheme="minorHAnsi"/>
          <w:b/>
        </w:rPr>
        <w:t>Udział w Zgromadzeniu</w:t>
      </w:r>
      <w:r w:rsidRPr="00461649">
        <w:rPr>
          <w:rFonts w:ascii="Lato" w:hAnsi="Lato" w:cstheme="minorHAnsi"/>
        </w:rPr>
        <w:t xml:space="preserve">. </w:t>
      </w:r>
    </w:p>
    <w:p w:rsidR="00461649" w:rsidRPr="00461649" w:rsidRDefault="00461649" w:rsidP="00461649">
      <w:pPr>
        <w:pStyle w:val="Akapitzlist"/>
        <w:rPr>
          <w:rFonts w:ascii="Lato" w:hAnsi="Lato" w:cstheme="minorHAnsi"/>
          <w:b/>
        </w:rPr>
      </w:pPr>
    </w:p>
    <w:p w:rsidR="00D966FF" w:rsidRPr="00461649" w:rsidRDefault="00F01522" w:rsidP="00461649">
      <w:pPr>
        <w:pStyle w:val="Akapitzlist"/>
        <w:numPr>
          <w:ilvl w:val="0"/>
          <w:numId w:val="31"/>
        </w:numPr>
        <w:jc w:val="both"/>
        <w:rPr>
          <w:rFonts w:ascii="Lato" w:hAnsi="Lato" w:cstheme="minorHAnsi"/>
        </w:rPr>
      </w:pPr>
      <w:r w:rsidRPr="00461649">
        <w:rPr>
          <w:rFonts w:ascii="Lato" w:hAnsi="Lato" w:cstheme="minorHAnsi"/>
        </w:rPr>
        <w:t xml:space="preserve">Do udziału w Zgromadzeniu uprawnieni będą </w:t>
      </w:r>
      <w:r w:rsidR="00D966FF" w:rsidRPr="00461649">
        <w:rPr>
          <w:rFonts w:ascii="Lato" w:hAnsi="Lato" w:cstheme="minorHAnsi"/>
        </w:rPr>
        <w:t>Obligatariusze uprawnieni z Obligacji</w:t>
      </w:r>
      <w:r w:rsidRPr="00461649">
        <w:rPr>
          <w:rFonts w:ascii="Lato" w:hAnsi="Lato" w:cstheme="minorHAnsi"/>
        </w:rPr>
        <w:t>, którzy złożą u Emitenta</w:t>
      </w:r>
      <w:r w:rsidR="00D966FF" w:rsidRPr="00461649">
        <w:rPr>
          <w:rFonts w:ascii="Lato" w:hAnsi="Lato" w:cstheme="minorHAnsi"/>
        </w:rPr>
        <w:t xml:space="preserve"> świadectwo depozytowe </w:t>
      </w:r>
      <w:r w:rsidRPr="00461649">
        <w:rPr>
          <w:rFonts w:ascii="Lato" w:hAnsi="Lato" w:cstheme="minorHAnsi"/>
        </w:rPr>
        <w:t>potwierdzające, że Obligatariusz posiada Obligacje oraz że Obligacje</w:t>
      </w:r>
      <w:r w:rsidR="00D966FF" w:rsidRPr="00461649">
        <w:rPr>
          <w:rFonts w:ascii="Lato" w:hAnsi="Lato" w:cstheme="minorHAnsi"/>
        </w:rPr>
        <w:t xml:space="preserve"> </w:t>
      </w:r>
      <w:r w:rsidRPr="00461649">
        <w:rPr>
          <w:rFonts w:ascii="Lato" w:hAnsi="Lato" w:cstheme="minorHAnsi"/>
        </w:rPr>
        <w:t>zablokowane są do dnia roboczego przy</w:t>
      </w:r>
      <w:r w:rsidR="00D966FF" w:rsidRPr="00461649">
        <w:rPr>
          <w:rFonts w:ascii="Lato" w:hAnsi="Lato" w:cstheme="minorHAnsi"/>
        </w:rPr>
        <w:t>padającego po dniu Zgromadzenia</w:t>
      </w:r>
      <w:r w:rsidRPr="00461649">
        <w:rPr>
          <w:rFonts w:ascii="Lato" w:hAnsi="Lato" w:cstheme="minorHAnsi"/>
        </w:rPr>
        <w:t xml:space="preserve"> z terminem ważności</w:t>
      </w:r>
      <w:r w:rsidR="00D966FF" w:rsidRPr="00461649">
        <w:rPr>
          <w:rFonts w:ascii="Lato" w:hAnsi="Lato" w:cstheme="minorHAnsi"/>
        </w:rPr>
        <w:t xml:space="preserve"> </w:t>
      </w:r>
      <w:r w:rsidRPr="00461649">
        <w:rPr>
          <w:rFonts w:ascii="Lato" w:hAnsi="Lato" w:cstheme="minorHAnsi"/>
        </w:rPr>
        <w:t>zapewniającym jego aktualność przez cały okres i w każdym momencie odbywania Zgromadzenia</w:t>
      </w:r>
      <w:r w:rsidR="00D966FF" w:rsidRPr="00461649">
        <w:rPr>
          <w:rFonts w:ascii="Lato" w:hAnsi="Lato" w:cstheme="minorHAnsi"/>
        </w:rPr>
        <w:t xml:space="preserve">. Świadectwo, o którym mowa powyżej wystawiane jest przez podmiot prowadzący </w:t>
      </w:r>
      <w:r w:rsidR="00D966FF" w:rsidRPr="00461649">
        <w:rPr>
          <w:rFonts w:ascii="Lato" w:hAnsi="Lato" w:cstheme="minorHAnsi"/>
        </w:rPr>
        <w:lastRenderedPageBreak/>
        <w:t>rachunek papierów wartościowych Obligatariusza, na którym zapisane są Obligacje. Złożenie świadectwa depozytowego, o którym mowa powyżej powinno nastąpić nie później niż 7 (siedem) dni przed datą Zgromadzenia, tj. najpóźniej w dniu 8 listopada 2019</w:t>
      </w:r>
      <w:r w:rsidR="00280133">
        <w:rPr>
          <w:rFonts w:ascii="Lato" w:hAnsi="Lato" w:cstheme="minorHAnsi"/>
        </w:rPr>
        <w:t xml:space="preserve"> r</w:t>
      </w:r>
      <w:r w:rsidR="00D966FF" w:rsidRPr="00461649">
        <w:rPr>
          <w:rFonts w:ascii="Lato" w:hAnsi="Lato" w:cstheme="minorHAnsi"/>
        </w:rPr>
        <w:t xml:space="preserve">. Świadectwa depozytowe złożone u Emitenta nie będą mogły zostać odebrane przez zakończeniem Zgromadzenia. </w:t>
      </w:r>
    </w:p>
    <w:p w:rsidR="00D966FF" w:rsidRPr="00461649" w:rsidRDefault="00D966FF" w:rsidP="00461649">
      <w:pPr>
        <w:pStyle w:val="Akapitzlist"/>
        <w:numPr>
          <w:ilvl w:val="0"/>
          <w:numId w:val="31"/>
        </w:numPr>
        <w:jc w:val="both"/>
        <w:rPr>
          <w:rFonts w:ascii="Lato" w:hAnsi="Lato" w:cstheme="minorHAnsi"/>
        </w:rPr>
      </w:pPr>
      <w:r w:rsidRPr="00461649">
        <w:rPr>
          <w:rFonts w:ascii="Lato" w:hAnsi="Lato" w:cstheme="minorHAnsi"/>
        </w:rPr>
        <w:t>Przez co najmniej 3 (trzy) dni robocze przed rozpoczęciem Zgromadzenia, Emitent udostępnia w swojej siedzibie listę Obligatariuszy uprawnionych do uczestniczenia w Zgromadzeniu zawierającą imię i nazwisko oraz miejsce zamieszkania albo nazwę oraz siedzibę Obligatariusza, a także liczbę Obligacji posiadanych przez Obligatariusza oraz przysługującą mu w związku z tym liczbę głosów. Obligatariusz ma prawo przeglądać listę oraz żądać odpisu listy za zwrotem kosztów jego sporządzenia lub przesłania listy nieodpłatnie pocztą elektroniczną na wskazany przez niego adres. Obligatariusz ma również prawo żądać odpisu dokumentów dotyczących spraw objętych porządkiem obrad.</w:t>
      </w:r>
    </w:p>
    <w:p w:rsidR="00F01522" w:rsidRPr="00461649" w:rsidRDefault="00F01522" w:rsidP="00461649">
      <w:pPr>
        <w:pStyle w:val="Akapitzlist"/>
        <w:numPr>
          <w:ilvl w:val="0"/>
          <w:numId w:val="31"/>
        </w:numPr>
        <w:jc w:val="both"/>
        <w:rPr>
          <w:rFonts w:ascii="Lato" w:hAnsi="Lato" w:cstheme="minorHAnsi"/>
        </w:rPr>
      </w:pPr>
      <w:r w:rsidRPr="00461649">
        <w:rPr>
          <w:rFonts w:ascii="Lato" w:hAnsi="Lato" w:cstheme="minorHAnsi"/>
        </w:rPr>
        <w:t>Obligatariusz może uczestniczyć w Zgromadzeniu oraz wykonywać prawo głosu osobiście lub przez</w:t>
      </w:r>
      <w:r w:rsidR="00D966FF" w:rsidRPr="00461649">
        <w:rPr>
          <w:rFonts w:ascii="Lato" w:hAnsi="Lato" w:cstheme="minorHAnsi"/>
        </w:rPr>
        <w:t xml:space="preserve"> </w:t>
      </w:r>
      <w:r w:rsidRPr="00461649">
        <w:rPr>
          <w:rFonts w:ascii="Lato" w:hAnsi="Lato" w:cstheme="minorHAnsi"/>
        </w:rPr>
        <w:t>pełnomocnika. Udzielenie i odwołanie pełnomocnictwa wymagają formy pisemnej pod rygorem</w:t>
      </w:r>
      <w:r w:rsidR="00D966FF" w:rsidRPr="00461649">
        <w:rPr>
          <w:rFonts w:ascii="Lato" w:hAnsi="Lato" w:cstheme="minorHAnsi"/>
        </w:rPr>
        <w:t xml:space="preserve"> </w:t>
      </w:r>
      <w:r w:rsidRPr="00461649">
        <w:rPr>
          <w:rFonts w:ascii="Lato" w:hAnsi="Lato" w:cstheme="minorHAnsi"/>
        </w:rPr>
        <w:t>nieważności.</w:t>
      </w:r>
    </w:p>
    <w:p w:rsidR="00F01522" w:rsidRPr="00461649" w:rsidRDefault="00F01522" w:rsidP="00461649">
      <w:pPr>
        <w:pStyle w:val="Akapitzlist"/>
        <w:numPr>
          <w:ilvl w:val="0"/>
          <w:numId w:val="31"/>
        </w:numPr>
        <w:jc w:val="both"/>
        <w:rPr>
          <w:rFonts w:ascii="Lato" w:hAnsi="Lato" w:cstheme="minorHAnsi"/>
        </w:rPr>
      </w:pPr>
      <w:r w:rsidRPr="00461649">
        <w:rPr>
          <w:rFonts w:ascii="Lato" w:hAnsi="Lato" w:cstheme="minorHAnsi"/>
        </w:rPr>
        <w:t>Pełnomocnikiem obligatariusza nie może być członek organów Emitenta, pracownik Emitenta,</w:t>
      </w:r>
      <w:r w:rsidR="00D966FF" w:rsidRPr="00461649">
        <w:rPr>
          <w:rFonts w:ascii="Lato" w:hAnsi="Lato" w:cstheme="minorHAnsi"/>
        </w:rPr>
        <w:t xml:space="preserve"> </w:t>
      </w:r>
      <w:r w:rsidRPr="00461649">
        <w:rPr>
          <w:rFonts w:ascii="Lato" w:hAnsi="Lato" w:cstheme="minorHAnsi"/>
        </w:rPr>
        <w:t>członek organów podmiotu sprawującego kontrolę nad Emitentem ani pracownik takiego podmiotu.</w:t>
      </w:r>
    </w:p>
    <w:p w:rsidR="00F01522" w:rsidRPr="00461649" w:rsidRDefault="00F01522" w:rsidP="00461649">
      <w:pPr>
        <w:pStyle w:val="Akapitzlist"/>
        <w:numPr>
          <w:ilvl w:val="0"/>
          <w:numId w:val="31"/>
        </w:numPr>
        <w:jc w:val="both"/>
        <w:rPr>
          <w:rFonts w:ascii="Lato" w:hAnsi="Lato" w:cstheme="minorHAnsi"/>
        </w:rPr>
      </w:pPr>
      <w:r w:rsidRPr="00461649">
        <w:rPr>
          <w:rFonts w:ascii="Lato" w:hAnsi="Lato" w:cstheme="minorHAnsi"/>
        </w:rPr>
        <w:t xml:space="preserve">Obligatariusz planujący uczestniczyć w Zgromadzeniu powinien przekazać </w:t>
      </w:r>
      <w:r w:rsidR="00D966FF" w:rsidRPr="00461649">
        <w:rPr>
          <w:rFonts w:ascii="Lato" w:hAnsi="Lato" w:cstheme="minorHAnsi"/>
        </w:rPr>
        <w:t xml:space="preserve">Emitentowi </w:t>
      </w:r>
      <w:r w:rsidRPr="00461649">
        <w:rPr>
          <w:rFonts w:ascii="Lato" w:hAnsi="Lato" w:cstheme="minorHAnsi"/>
        </w:rPr>
        <w:t>następujące dokumenty</w:t>
      </w:r>
      <w:r w:rsidR="00D966FF" w:rsidRPr="00461649">
        <w:rPr>
          <w:rFonts w:ascii="Lato" w:hAnsi="Lato" w:cstheme="minorHAnsi"/>
        </w:rPr>
        <w:t>, w terminie, o którym mowa w ust. 1 powyżej</w:t>
      </w:r>
      <w:r w:rsidRPr="00461649">
        <w:rPr>
          <w:rFonts w:ascii="Lato" w:hAnsi="Lato" w:cstheme="minorHAnsi"/>
        </w:rPr>
        <w:t>:</w:t>
      </w:r>
    </w:p>
    <w:p w:rsidR="00F01522" w:rsidRPr="00461649" w:rsidRDefault="00D966FF" w:rsidP="00461649">
      <w:pPr>
        <w:pStyle w:val="Akapitzlist"/>
        <w:numPr>
          <w:ilvl w:val="1"/>
          <w:numId w:val="31"/>
        </w:numPr>
        <w:jc w:val="both"/>
        <w:rPr>
          <w:rFonts w:ascii="Lato" w:hAnsi="Lato" w:cstheme="minorHAnsi"/>
        </w:rPr>
      </w:pPr>
      <w:r w:rsidRPr="00461649">
        <w:rPr>
          <w:rFonts w:ascii="Lato" w:hAnsi="Lato" w:cstheme="minorHAnsi"/>
        </w:rPr>
        <w:t>świadectwo depozytowe, o którym mowa w ust. 1 powyżej;</w:t>
      </w:r>
    </w:p>
    <w:p w:rsidR="00F01522" w:rsidRPr="00461649" w:rsidRDefault="00F01522" w:rsidP="00461649">
      <w:pPr>
        <w:pStyle w:val="Akapitzlist"/>
        <w:numPr>
          <w:ilvl w:val="1"/>
          <w:numId w:val="31"/>
        </w:numPr>
        <w:jc w:val="both"/>
        <w:rPr>
          <w:rFonts w:ascii="Lato" w:hAnsi="Lato" w:cstheme="minorHAnsi"/>
        </w:rPr>
      </w:pPr>
      <w:r w:rsidRPr="00461649">
        <w:rPr>
          <w:rFonts w:ascii="Lato" w:hAnsi="Lato" w:cstheme="minorHAnsi"/>
        </w:rPr>
        <w:t>odpis z Krajowego Rejestru Sądowego, Rejestru Funduszy Inwestycyjnych lub innego</w:t>
      </w:r>
      <w:r w:rsidR="00D966FF" w:rsidRPr="00461649">
        <w:rPr>
          <w:rFonts w:ascii="Lato" w:hAnsi="Lato" w:cstheme="minorHAnsi"/>
        </w:rPr>
        <w:t xml:space="preserve"> </w:t>
      </w:r>
      <w:r w:rsidRPr="00461649">
        <w:rPr>
          <w:rFonts w:ascii="Lato" w:hAnsi="Lato" w:cstheme="minorHAnsi"/>
        </w:rPr>
        <w:t>odpowiedniego rejestru (nie starszy niż trzy miesiące) właściwego dla Obligatariusza (w</w:t>
      </w:r>
      <w:r w:rsidR="00D966FF" w:rsidRPr="00461649">
        <w:rPr>
          <w:rFonts w:ascii="Lato" w:hAnsi="Lato" w:cstheme="minorHAnsi"/>
        </w:rPr>
        <w:t xml:space="preserve"> </w:t>
      </w:r>
      <w:r w:rsidRPr="00461649">
        <w:rPr>
          <w:rFonts w:ascii="Lato" w:hAnsi="Lato" w:cstheme="minorHAnsi"/>
        </w:rPr>
        <w:t>przypadku Obligatariuszy nie będących osobami fizycznymi).</w:t>
      </w:r>
    </w:p>
    <w:p w:rsidR="00F01522" w:rsidRPr="00461649" w:rsidRDefault="00F01522" w:rsidP="00461649">
      <w:pPr>
        <w:pStyle w:val="Akapitzlist"/>
        <w:numPr>
          <w:ilvl w:val="0"/>
          <w:numId w:val="31"/>
        </w:numPr>
        <w:jc w:val="both"/>
        <w:rPr>
          <w:rFonts w:ascii="Lato" w:hAnsi="Lato" w:cstheme="minorHAnsi"/>
        </w:rPr>
      </w:pPr>
      <w:r w:rsidRPr="00461649">
        <w:rPr>
          <w:rFonts w:ascii="Lato" w:hAnsi="Lato" w:cstheme="minorHAnsi"/>
        </w:rPr>
        <w:t xml:space="preserve">Oprócz Obligatariuszy w Zgromadzeniu mogą brać udział: </w:t>
      </w:r>
      <w:r w:rsidR="00D966FF" w:rsidRPr="00461649">
        <w:rPr>
          <w:rFonts w:ascii="Lato" w:hAnsi="Lato" w:cstheme="minorHAnsi"/>
        </w:rPr>
        <w:t xml:space="preserve">członkowie organów </w:t>
      </w:r>
      <w:r w:rsidRPr="00461649">
        <w:rPr>
          <w:rFonts w:ascii="Lato" w:hAnsi="Lato" w:cstheme="minorHAnsi"/>
        </w:rPr>
        <w:t>Emitent</w:t>
      </w:r>
      <w:r w:rsidR="00D966FF" w:rsidRPr="00461649">
        <w:rPr>
          <w:rFonts w:ascii="Lato" w:hAnsi="Lato" w:cstheme="minorHAnsi"/>
        </w:rPr>
        <w:t>a</w:t>
      </w:r>
      <w:r w:rsidRPr="00461649">
        <w:rPr>
          <w:rFonts w:ascii="Lato" w:hAnsi="Lato" w:cstheme="minorHAnsi"/>
        </w:rPr>
        <w:t>, doradcy finansowi lub prawni</w:t>
      </w:r>
      <w:r w:rsidR="00D966FF" w:rsidRPr="00461649">
        <w:rPr>
          <w:rFonts w:ascii="Lato" w:hAnsi="Lato" w:cstheme="minorHAnsi"/>
        </w:rPr>
        <w:t xml:space="preserve"> </w:t>
      </w:r>
      <w:r w:rsidRPr="00461649">
        <w:rPr>
          <w:rFonts w:ascii="Lato" w:hAnsi="Lato" w:cstheme="minorHAnsi"/>
        </w:rPr>
        <w:t>Emitenta oraz doradcy finansowi lub prawni Obligatariuszy. Osobom tym przysługuje prawo</w:t>
      </w:r>
      <w:r w:rsidR="00D966FF" w:rsidRPr="00461649">
        <w:rPr>
          <w:rFonts w:ascii="Lato" w:hAnsi="Lato" w:cstheme="minorHAnsi"/>
        </w:rPr>
        <w:t xml:space="preserve"> </w:t>
      </w:r>
      <w:r w:rsidRPr="00461649">
        <w:rPr>
          <w:rFonts w:ascii="Lato" w:hAnsi="Lato" w:cstheme="minorHAnsi"/>
        </w:rPr>
        <w:t>wypowiadania się w sprawach będących przedmiotem obrad Zgromadzenia. Ponadto przewodniczący</w:t>
      </w:r>
      <w:r w:rsidR="00D966FF" w:rsidRPr="00461649">
        <w:rPr>
          <w:rFonts w:ascii="Lato" w:hAnsi="Lato" w:cstheme="minorHAnsi"/>
        </w:rPr>
        <w:t xml:space="preserve"> </w:t>
      </w:r>
      <w:r w:rsidRPr="00461649">
        <w:rPr>
          <w:rFonts w:ascii="Lato" w:hAnsi="Lato" w:cstheme="minorHAnsi"/>
        </w:rPr>
        <w:t>Zgromadzenia może dopuścić inne osoby do udziału w Zgromadzeniu.</w:t>
      </w:r>
    </w:p>
    <w:p w:rsidR="001F5113" w:rsidRPr="00461649" w:rsidRDefault="001F5113" w:rsidP="00461649">
      <w:pPr>
        <w:pStyle w:val="Akapitzlist"/>
        <w:numPr>
          <w:ilvl w:val="0"/>
          <w:numId w:val="31"/>
        </w:numPr>
        <w:jc w:val="both"/>
        <w:rPr>
          <w:rFonts w:ascii="Lato" w:hAnsi="Lato" w:cstheme="minorHAnsi"/>
        </w:rPr>
      </w:pPr>
      <w:r w:rsidRPr="00461649">
        <w:rPr>
          <w:rFonts w:ascii="Lato" w:hAnsi="Lato" w:cstheme="minorHAnsi"/>
        </w:rPr>
        <w:t xml:space="preserve">W wypadku udziału w Zgromadzeniu pełnomocnika Obligatariusza, po przybyciu na Zgromadzenie, przed podpisaniem listy obecności, pełnomocnik Obligatariusza powinien </w:t>
      </w:r>
      <w:r w:rsidR="00461649" w:rsidRPr="00461649">
        <w:rPr>
          <w:rFonts w:ascii="Lato" w:hAnsi="Lato" w:cstheme="minorHAnsi"/>
        </w:rPr>
        <w:t xml:space="preserve">przedłożyć Emitentowi </w:t>
      </w:r>
      <w:r w:rsidRPr="00461649">
        <w:rPr>
          <w:rFonts w:ascii="Lato" w:hAnsi="Lato" w:cstheme="minorHAnsi"/>
        </w:rPr>
        <w:t xml:space="preserve">dokument pełnomocnictwa udzielonego pisemnie </w:t>
      </w:r>
      <w:r w:rsidR="00461649" w:rsidRPr="00461649">
        <w:rPr>
          <w:rFonts w:ascii="Lato" w:hAnsi="Lato" w:cstheme="minorHAnsi"/>
        </w:rPr>
        <w:t xml:space="preserve">wraz z pozostałymi dokumentami wymaganymi do udziału w Zgromadzeniu. </w:t>
      </w:r>
    </w:p>
    <w:p w:rsidR="00F01522" w:rsidRDefault="00F01522" w:rsidP="00F01522">
      <w:pPr>
        <w:rPr>
          <w:rFonts w:ascii="Lato" w:hAnsi="Lato" w:cstheme="minorHAnsi"/>
          <w:sz w:val="22"/>
          <w:szCs w:val="22"/>
        </w:rPr>
      </w:pPr>
    </w:p>
    <w:p w:rsidR="00461649" w:rsidRPr="00461649" w:rsidRDefault="00461649" w:rsidP="00461649">
      <w:pPr>
        <w:pStyle w:val="Akapitzlist"/>
        <w:numPr>
          <w:ilvl w:val="0"/>
          <w:numId w:val="34"/>
        </w:numPr>
        <w:rPr>
          <w:rFonts w:ascii="Lato" w:hAnsi="Lato" w:cstheme="minorHAnsi"/>
        </w:rPr>
      </w:pPr>
      <w:r w:rsidRPr="00461649">
        <w:rPr>
          <w:rFonts w:ascii="Lato" w:hAnsi="Lato" w:cstheme="minorHAnsi"/>
          <w:b/>
        </w:rPr>
        <w:t>Postanowienia końcowe.</w:t>
      </w:r>
    </w:p>
    <w:p w:rsidR="00B63941" w:rsidRDefault="00B63941" w:rsidP="00B63941">
      <w:pPr>
        <w:pStyle w:val="Akapitzlist"/>
        <w:rPr>
          <w:rFonts w:ascii="Lato" w:hAnsi="Lato" w:cstheme="minorHAnsi"/>
        </w:rPr>
      </w:pPr>
    </w:p>
    <w:p w:rsidR="00F01522" w:rsidRPr="00B63941" w:rsidRDefault="00F01522" w:rsidP="00185BBA">
      <w:pPr>
        <w:pStyle w:val="Akapitzlist"/>
        <w:numPr>
          <w:ilvl w:val="0"/>
          <w:numId w:val="35"/>
        </w:numPr>
        <w:jc w:val="both"/>
        <w:rPr>
          <w:rFonts w:ascii="Lato" w:hAnsi="Lato" w:cstheme="minorHAnsi"/>
        </w:rPr>
      </w:pPr>
      <w:r w:rsidRPr="00B63941">
        <w:rPr>
          <w:rFonts w:ascii="Lato" w:hAnsi="Lato" w:cstheme="minorHAnsi"/>
        </w:rPr>
        <w:t>W celu prawidłowego</w:t>
      </w:r>
      <w:r w:rsidR="001F5113" w:rsidRPr="00B63941">
        <w:rPr>
          <w:rFonts w:ascii="Lato" w:hAnsi="Lato" w:cstheme="minorHAnsi"/>
        </w:rPr>
        <w:t xml:space="preserve"> i sprawnego</w:t>
      </w:r>
      <w:r w:rsidRPr="00B63941">
        <w:rPr>
          <w:rFonts w:ascii="Lato" w:hAnsi="Lato" w:cstheme="minorHAnsi"/>
        </w:rPr>
        <w:t xml:space="preserve"> odbycia Zgromadzenia</w:t>
      </w:r>
      <w:r w:rsidR="001F5113" w:rsidRPr="00B63941">
        <w:rPr>
          <w:rFonts w:ascii="Lato" w:hAnsi="Lato" w:cstheme="minorHAnsi"/>
        </w:rPr>
        <w:t xml:space="preserve"> oraz w wypadku pytań dotyczących udziału w Zgromadzeniu</w:t>
      </w:r>
      <w:r w:rsidRPr="00B63941">
        <w:rPr>
          <w:rFonts w:ascii="Lato" w:hAnsi="Lato" w:cstheme="minorHAnsi"/>
        </w:rPr>
        <w:t xml:space="preserve">, Emitent </w:t>
      </w:r>
      <w:r w:rsidR="001F5113" w:rsidRPr="00B63941">
        <w:rPr>
          <w:rFonts w:ascii="Lato" w:hAnsi="Lato" w:cstheme="minorHAnsi"/>
        </w:rPr>
        <w:t>zachęca</w:t>
      </w:r>
      <w:r w:rsidRPr="00B63941">
        <w:rPr>
          <w:rFonts w:ascii="Lato" w:hAnsi="Lato" w:cstheme="minorHAnsi"/>
        </w:rPr>
        <w:t xml:space="preserve"> wszystkich Obligatariuszy</w:t>
      </w:r>
      <w:r w:rsidR="001F5113" w:rsidRPr="00B63941">
        <w:rPr>
          <w:rFonts w:ascii="Lato" w:hAnsi="Lato" w:cstheme="minorHAnsi"/>
        </w:rPr>
        <w:t xml:space="preserve"> </w:t>
      </w:r>
      <w:r w:rsidRPr="00B63941">
        <w:rPr>
          <w:rFonts w:ascii="Lato" w:hAnsi="Lato" w:cstheme="minorHAnsi"/>
        </w:rPr>
        <w:t xml:space="preserve">zainteresowanych udziałem w Zgromadzeniu do bezpośredniego kontaktu z Emitentem </w:t>
      </w:r>
      <w:r w:rsidR="001F5113" w:rsidRPr="00B63941">
        <w:rPr>
          <w:rFonts w:ascii="Lato" w:hAnsi="Lato" w:cstheme="minorHAnsi"/>
        </w:rPr>
        <w:t xml:space="preserve">przed odbyciem Zgromadzenia na </w:t>
      </w:r>
      <w:r w:rsidRPr="00B63941">
        <w:rPr>
          <w:rFonts w:ascii="Lato" w:hAnsi="Lato" w:cstheme="minorHAnsi"/>
        </w:rPr>
        <w:t>adres e-mail:</w:t>
      </w:r>
      <w:r w:rsidR="001F5113" w:rsidRPr="00B63941">
        <w:rPr>
          <w:rFonts w:ascii="Lato" w:hAnsi="Lato" w:cstheme="minorHAnsi"/>
        </w:rPr>
        <w:t xml:space="preserve"> </w:t>
      </w:r>
      <w:hyperlink r:id="rId8" w:history="1">
        <w:r w:rsidR="002D0FD4" w:rsidRPr="00261295">
          <w:rPr>
            <w:rStyle w:val="Hipercze"/>
            <w:rFonts w:ascii="Lato" w:hAnsi="Lato" w:cstheme="minorHAnsi"/>
          </w:rPr>
          <w:t>obligacje@vividgames.com</w:t>
        </w:r>
      </w:hyperlink>
      <w:r w:rsidR="002D0FD4">
        <w:rPr>
          <w:rFonts w:ascii="Lato" w:hAnsi="Lato" w:cstheme="minorHAnsi"/>
        </w:rPr>
        <w:t xml:space="preserve"> lub pod numerem telefonu</w:t>
      </w:r>
      <w:r w:rsidR="00185BBA">
        <w:rPr>
          <w:rFonts w:ascii="Lato" w:hAnsi="Lato" w:cstheme="minorHAnsi"/>
        </w:rPr>
        <w:t xml:space="preserve"> +48 </w:t>
      </w:r>
      <w:r w:rsidR="00185BBA" w:rsidRPr="00185BBA">
        <w:rPr>
          <w:rFonts w:ascii="Lato" w:hAnsi="Lato" w:cstheme="minorHAnsi"/>
        </w:rPr>
        <w:t>883 357 865</w:t>
      </w:r>
      <w:r w:rsidR="00185BBA">
        <w:rPr>
          <w:rFonts w:ascii="Arial" w:hAnsi="Arial" w:cs="Arial"/>
          <w:color w:val="1D1C1D"/>
          <w:sz w:val="23"/>
          <w:szCs w:val="23"/>
          <w:shd w:val="clear" w:color="auto" w:fill="F8F8F8"/>
        </w:rPr>
        <w:t>.</w:t>
      </w:r>
    </w:p>
    <w:p w:rsidR="00F01522" w:rsidRPr="002D0FD4" w:rsidRDefault="00F01522" w:rsidP="002D0FD4">
      <w:pPr>
        <w:pStyle w:val="Akapitzlist"/>
        <w:numPr>
          <w:ilvl w:val="0"/>
          <w:numId w:val="35"/>
        </w:numPr>
        <w:jc w:val="both"/>
        <w:rPr>
          <w:rFonts w:ascii="Lato" w:hAnsi="Lato" w:cstheme="minorHAnsi"/>
        </w:rPr>
      </w:pPr>
      <w:r w:rsidRPr="002D0FD4">
        <w:rPr>
          <w:rFonts w:ascii="Lato" w:hAnsi="Lato" w:cstheme="minorHAnsi"/>
        </w:rPr>
        <w:t>W kwestiach nieuregulowanych w niniejszym ogłoszeniu zastosowanie mają odpowiednie</w:t>
      </w:r>
      <w:r w:rsidR="002D0FD4" w:rsidRPr="002D0FD4">
        <w:rPr>
          <w:rFonts w:ascii="Lato" w:hAnsi="Lato" w:cstheme="minorHAnsi"/>
        </w:rPr>
        <w:t xml:space="preserve"> </w:t>
      </w:r>
      <w:r w:rsidRPr="002D0FD4">
        <w:rPr>
          <w:rFonts w:ascii="Lato" w:hAnsi="Lato" w:cstheme="minorHAnsi"/>
        </w:rPr>
        <w:t xml:space="preserve">postanowienia Ustawy o </w:t>
      </w:r>
      <w:r w:rsidR="002D0FD4">
        <w:rPr>
          <w:rFonts w:ascii="Lato" w:hAnsi="Lato" w:cstheme="minorHAnsi"/>
        </w:rPr>
        <w:t>O</w:t>
      </w:r>
      <w:r w:rsidRPr="002D0FD4">
        <w:rPr>
          <w:rFonts w:ascii="Lato" w:hAnsi="Lato" w:cstheme="minorHAnsi"/>
        </w:rPr>
        <w:t>bligacjach oraz Warunków Emisji.</w:t>
      </w:r>
    </w:p>
    <w:p w:rsidR="00F01522" w:rsidRDefault="00F01522" w:rsidP="002D0FD4">
      <w:pPr>
        <w:pStyle w:val="Akapitzlist"/>
        <w:numPr>
          <w:ilvl w:val="0"/>
          <w:numId w:val="35"/>
        </w:numPr>
        <w:jc w:val="both"/>
        <w:rPr>
          <w:rFonts w:ascii="Lato" w:hAnsi="Lato" w:cstheme="minorHAnsi"/>
        </w:rPr>
      </w:pPr>
      <w:r w:rsidRPr="00B63941">
        <w:rPr>
          <w:rFonts w:ascii="Lato" w:hAnsi="Lato" w:cstheme="minorHAnsi"/>
        </w:rPr>
        <w:lastRenderedPageBreak/>
        <w:t xml:space="preserve">Emitent </w:t>
      </w:r>
      <w:r w:rsidR="00461649" w:rsidRPr="00B63941">
        <w:rPr>
          <w:rFonts w:ascii="Lato" w:hAnsi="Lato" w:cstheme="minorHAnsi"/>
        </w:rPr>
        <w:t xml:space="preserve">może odwołać </w:t>
      </w:r>
      <w:r w:rsidR="009D4428">
        <w:rPr>
          <w:rFonts w:ascii="Lato" w:hAnsi="Lato" w:cstheme="minorHAnsi"/>
        </w:rPr>
        <w:t>Zgromadzenie</w:t>
      </w:r>
      <w:r w:rsidR="00461649" w:rsidRPr="00B63941">
        <w:rPr>
          <w:rFonts w:ascii="Lato" w:hAnsi="Lato" w:cstheme="minorHAnsi"/>
        </w:rPr>
        <w:t>, w szczególności w wypadku, gdyby liczba Obligatariuszy deklarujących chęć udziału w Zgromadzeniu nie była wystarczająca do skutecznego odbycia Zgromadzenia i podjęcia przez nie uchwał</w:t>
      </w:r>
      <w:r w:rsidRPr="00B63941">
        <w:rPr>
          <w:rFonts w:ascii="Lato" w:hAnsi="Lato" w:cstheme="minorHAnsi"/>
        </w:rPr>
        <w:t>.</w:t>
      </w:r>
    </w:p>
    <w:p w:rsidR="00A54BA3" w:rsidRDefault="00A54BA3" w:rsidP="002D0FD4">
      <w:pPr>
        <w:pStyle w:val="Akapitzlist"/>
        <w:numPr>
          <w:ilvl w:val="0"/>
          <w:numId w:val="35"/>
        </w:numPr>
        <w:jc w:val="both"/>
        <w:rPr>
          <w:rFonts w:ascii="Lato" w:hAnsi="Lato" w:cstheme="minorHAnsi"/>
        </w:rPr>
      </w:pPr>
      <w:r>
        <w:rPr>
          <w:rFonts w:ascii="Lato" w:hAnsi="Lato" w:cstheme="minorHAnsi"/>
        </w:rPr>
        <w:t xml:space="preserve">Projekty uchwał oraz informacje, o których mowa w Punkcie 3 niniejszego Ogłoszenia stanowią Załącznik nr 1 do niniejszego Ogłoszenia. </w:t>
      </w:r>
    </w:p>
    <w:p w:rsidR="00A54BA3" w:rsidRDefault="00A54BA3" w:rsidP="00A54BA3">
      <w:pPr>
        <w:jc w:val="both"/>
        <w:rPr>
          <w:rFonts w:ascii="Lato" w:hAnsi="Lato" w:cstheme="minorHAnsi"/>
        </w:rPr>
      </w:pPr>
    </w:p>
    <w:p w:rsidR="00115270" w:rsidRDefault="00115270">
      <w:pPr>
        <w:widowControl/>
        <w:suppressAutoHyphens w:val="0"/>
        <w:spacing w:after="200" w:line="276" w:lineRule="auto"/>
        <w:rPr>
          <w:rFonts w:ascii="Lato" w:hAnsi="Lato" w:cstheme="minorHAnsi"/>
          <w:b/>
          <w:sz w:val="22"/>
        </w:rPr>
      </w:pPr>
      <w:r>
        <w:rPr>
          <w:rFonts w:ascii="Lato" w:hAnsi="Lato" w:cstheme="minorHAnsi"/>
          <w:b/>
          <w:sz w:val="22"/>
        </w:rPr>
        <w:br w:type="page"/>
      </w:r>
    </w:p>
    <w:p w:rsidR="00A54BA3" w:rsidRPr="00A54BA3" w:rsidRDefault="00A54BA3" w:rsidP="00A54BA3">
      <w:pPr>
        <w:jc w:val="both"/>
        <w:rPr>
          <w:rFonts w:ascii="Lato" w:hAnsi="Lato" w:cstheme="minorHAnsi"/>
          <w:b/>
          <w:sz w:val="22"/>
        </w:rPr>
      </w:pPr>
      <w:r w:rsidRPr="00A54BA3">
        <w:rPr>
          <w:rFonts w:ascii="Lato" w:hAnsi="Lato" w:cstheme="minorHAnsi"/>
          <w:b/>
          <w:sz w:val="22"/>
        </w:rPr>
        <w:lastRenderedPageBreak/>
        <w:t>Załącznik nr 1</w:t>
      </w:r>
    </w:p>
    <w:p w:rsidR="00A54BA3" w:rsidRDefault="00A54BA3" w:rsidP="00A54BA3">
      <w:pPr>
        <w:jc w:val="both"/>
        <w:rPr>
          <w:rFonts w:ascii="Lato" w:hAnsi="Lato" w:cstheme="minorHAnsi"/>
          <w:b/>
          <w:sz w:val="22"/>
        </w:rPr>
      </w:pPr>
      <w:r w:rsidRPr="00A54BA3">
        <w:rPr>
          <w:rFonts w:ascii="Lato" w:hAnsi="Lato" w:cstheme="minorHAnsi"/>
          <w:b/>
          <w:sz w:val="22"/>
        </w:rPr>
        <w:t>do Ogłoszenia o zwołaniu Zgromadzenia Obligatariuszy Obligacji Serii A Vivid Games S.A. w Bydgoszczy</w:t>
      </w:r>
    </w:p>
    <w:p w:rsidR="00115270" w:rsidRDefault="00115270" w:rsidP="00A54BA3">
      <w:pPr>
        <w:jc w:val="both"/>
        <w:rPr>
          <w:rFonts w:ascii="Lato" w:hAnsi="Lato" w:cstheme="minorHAnsi"/>
          <w:b/>
          <w:sz w:val="22"/>
        </w:rPr>
      </w:pPr>
    </w:p>
    <w:p w:rsidR="00115270" w:rsidRPr="00115270" w:rsidRDefault="00115270" w:rsidP="00115270">
      <w:pPr>
        <w:jc w:val="center"/>
        <w:rPr>
          <w:rFonts w:ascii="Lato" w:hAnsi="Lato" w:cstheme="minorHAnsi"/>
          <w:b/>
          <w:sz w:val="22"/>
          <w:szCs w:val="22"/>
        </w:rPr>
      </w:pPr>
      <w:r w:rsidRPr="00115270">
        <w:rPr>
          <w:rFonts w:ascii="Lato" w:hAnsi="Lato" w:cstheme="minorHAnsi"/>
          <w:b/>
          <w:sz w:val="22"/>
          <w:szCs w:val="22"/>
        </w:rPr>
        <w:t>PROJEKTY UCHWAŁ ZGROMADZENIA OBLIGATARIUSZY OBLIGACJI SERII A EMITOWANYCH PRZEZ</w:t>
      </w:r>
    </w:p>
    <w:p w:rsidR="00115270" w:rsidRPr="00115270" w:rsidRDefault="00115270" w:rsidP="00115270">
      <w:pPr>
        <w:jc w:val="center"/>
        <w:rPr>
          <w:rFonts w:ascii="Lato" w:hAnsi="Lato" w:cstheme="minorHAnsi"/>
          <w:b/>
          <w:sz w:val="22"/>
          <w:szCs w:val="22"/>
          <w:lang w:val="en-GB"/>
        </w:rPr>
      </w:pPr>
      <w:r w:rsidRPr="00115270">
        <w:rPr>
          <w:rFonts w:ascii="Lato" w:hAnsi="Lato" w:cstheme="minorHAnsi"/>
          <w:b/>
          <w:sz w:val="22"/>
          <w:szCs w:val="22"/>
          <w:lang w:val="en-GB"/>
        </w:rPr>
        <w:t>VIVID GAMES S.A.</w:t>
      </w:r>
    </w:p>
    <w:p w:rsidR="00115270" w:rsidRPr="00115270" w:rsidRDefault="00115270" w:rsidP="00115270">
      <w:pPr>
        <w:rPr>
          <w:rFonts w:ascii="Lato" w:hAnsi="Lato" w:cstheme="minorHAnsi"/>
          <w:sz w:val="22"/>
          <w:szCs w:val="22"/>
          <w:lang w:val="en-GB"/>
        </w:rPr>
      </w:pPr>
    </w:p>
    <w:p w:rsidR="00115270" w:rsidRPr="00115270" w:rsidRDefault="00115270" w:rsidP="00115270">
      <w:pPr>
        <w:widowControl/>
        <w:suppressAutoHyphens w:val="0"/>
        <w:rPr>
          <w:rFonts w:ascii="Lato" w:eastAsia="Cambria" w:hAnsi="Lato" w:cstheme="minorHAnsi"/>
          <w:b/>
          <w:bCs/>
          <w:color w:val="000000"/>
          <w:kern w:val="0"/>
          <w:sz w:val="22"/>
          <w:szCs w:val="22"/>
          <w:lang w:val="en-GB" w:eastAsia="en-US" w:bidi="ar-SA"/>
        </w:rPr>
      </w:pP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val="en-GB" w:eastAsia="en-US" w:bidi="ar-SA"/>
        </w:rPr>
      </w:pPr>
      <w:r w:rsidRPr="00115270">
        <w:rPr>
          <w:rFonts w:ascii="Lato" w:eastAsia="Cambria" w:hAnsi="Lato" w:cstheme="minorHAnsi"/>
          <w:b/>
          <w:bCs/>
          <w:color w:val="000000"/>
          <w:kern w:val="0"/>
          <w:sz w:val="22"/>
          <w:szCs w:val="22"/>
          <w:lang w:val="en-GB" w:eastAsia="en-US" w:bidi="ar-SA"/>
        </w:rPr>
        <w:t>Uchwała Nr 1</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Zgromadzenia Obligatariuszy Obligacji Serii A emitowanych przez</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VIVID GAMES S.A. z siedzibą w Bydgoszczy</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 xml:space="preserve"> z dnia 15 listopada 2019 r.</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eastAsia="en-US" w:bidi="ar-SA"/>
        </w:rPr>
      </w:pPr>
      <w:r w:rsidRPr="00115270">
        <w:rPr>
          <w:rFonts w:ascii="Lato" w:eastAsia="Cambria" w:hAnsi="Lato" w:cstheme="minorHAnsi"/>
          <w:b/>
          <w:bCs/>
          <w:color w:val="000000"/>
          <w:kern w:val="0"/>
          <w:sz w:val="22"/>
          <w:szCs w:val="22"/>
          <w:lang w:eastAsia="en-US" w:bidi="ar-SA"/>
        </w:rPr>
        <w:t>w sprawie wyboru Przewodniczącego Zgromadzenia</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color w:val="000000"/>
          <w:kern w:val="0"/>
          <w:sz w:val="22"/>
          <w:szCs w:val="22"/>
          <w:lang w:eastAsia="en-US" w:bidi="ar-SA"/>
        </w:rPr>
        <w:t>Zgromadzenie Obligatariuszy Obligacji Serii A emitowanych przez spółkę VIVID GAMES Spółka Akcyjna z siedzibą w Bydgoszczy (</w:t>
      </w:r>
      <w:r w:rsidRPr="00115270">
        <w:rPr>
          <w:rFonts w:ascii="Lato" w:eastAsia="Cambria" w:hAnsi="Lato" w:cstheme="minorHAnsi"/>
          <w:b/>
          <w:color w:val="000000"/>
          <w:kern w:val="0"/>
          <w:sz w:val="22"/>
          <w:szCs w:val="22"/>
          <w:lang w:eastAsia="en-US" w:bidi="ar-SA"/>
        </w:rPr>
        <w:t>"Spółka"</w:t>
      </w:r>
      <w:r w:rsidRPr="00115270">
        <w:rPr>
          <w:rFonts w:ascii="Lato" w:eastAsia="Cambria" w:hAnsi="Lato" w:cstheme="minorHAnsi"/>
          <w:color w:val="000000"/>
          <w:kern w:val="0"/>
          <w:sz w:val="22"/>
          <w:szCs w:val="22"/>
          <w:lang w:eastAsia="en-US" w:bidi="ar-SA"/>
        </w:rPr>
        <w:t xml:space="preserve">), </w:t>
      </w:r>
      <w:r w:rsidRPr="00115270">
        <w:rPr>
          <w:rFonts w:ascii="Lato" w:eastAsia="Calibri" w:hAnsi="Lato" w:cs="Times New Roman"/>
          <w:bCs/>
          <w:iCs/>
          <w:color w:val="000000"/>
          <w:kern w:val="0"/>
          <w:sz w:val="22"/>
          <w:szCs w:val="22"/>
          <w:lang w:eastAsia="en-US" w:bidi="ar-SA"/>
        </w:rPr>
        <w:t xml:space="preserve">działając </w:t>
      </w:r>
      <w:r w:rsidRPr="00115270">
        <w:rPr>
          <w:rFonts w:ascii="Lato" w:eastAsia="Cambria" w:hAnsi="Lato" w:cstheme="minorHAnsi"/>
          <w:color w:val="000000"/>
          <w:kern w:val="0"/>
          <w:sz w:val="22"/>
          <w:szCs w:val="22"/>
          <w:lang w:eastAsia="en-US" w:bidi="ar-SA"/>
        </w:rPr>
        <w:t>na podstawie art. 59 ust. 2 Ustawy z 15 stycznia 2015 roku o obligacjach uchwala, co następuje:</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after="160" w:line="259" w:lineRule="auto"/>
        <w:jc w:val="center"/>
        <w:rPr>
          <w:rFonts w:ascii="Lato" w:eastAsia="Cambria" w:hAnsi="Lato" w:cstheme="minorHAnsi"/>
          <w:color w:val="000000"/>
          <w:kern w:val="0"/>
          <w:sz w:val="22"/>
          <w:szCs w:val="22"/>
          <w:lang w:eastAsia="en-US" w:bidi="ar-SA"/>
        </w:rPr>
      </w:pPr>
      <w:r w:rsidRPr="00115270">
        <w:rPr>
          <w:rFonts w:ascii="Lato" w:eastAsia="Calibri" w:hAnsi="Lato" w:cs="Times New Roman"/>
          <w:b/>
          <w:bCs/>
          <w:iCs/>
          <w:color w:val="000000"/>
          <w:kern w:val="0"/>
          <w:sz w:val="22"/>
          <w:szCs w:val="22"/>
          <w:lang w:eastAsia="en-US" w:bidi="ar-SA"/>
        </w:rPr>
        <w:t>§ 1.</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color w:val="000000"/>
          <w:kern w:val="0"/>
          <w:sz w:val="22"/>
          <w:szCs w:val="22"/>
          <w:lang w:eastAsia="en-US" w:bidi="ar-SA"/>
        </w:rPr>
        <w:t>Na Przewodniczącego Zgromadzenia Obligatariuszy wybiera się […].</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spacing w:after="160" w:line="259" w:lineRule="auto"/>
        <w:jc w:val="center"/>
        <w:rPr>
          <w:rFonts w:ascii="Lato" w:eastAsia="Calibri" w:hAnsi="Lato" w:cs="Times New Roman"/>
          <w:b/>
          <w:bCs/>
          <w:iCs/>
          <w:kern w:val="0"/>
          <w:sz w:val="22"/>
          <w:szCs w:val="22"/>
          <w:lang w:eastAsia="en-US" w:bidi="ar-SA"/>
        </w:rPr>
      </w:pPr>
      <w:r w:rsidRPr="00115270">
        <w:rPr>
          <w:rFonts w:ascii="Lato" w:eastAsia="Calibri" w:hAnsi="Lato" w:cs="Times New Roman"/>
          <w:b/>
          <w:bCs/>
          <w:iCs/>
          <w:kern w:val="0"/>
          <w:sz w:val="22"/>
          <w:szCs w:val="22"/>
          <w:lang w:eastAsia="en-US" w:bidi="ar-SA"/>
        </w:rPr>
        <w:t>§ 2.</w:t>
      </w:r>
    </w:p>
    <w:p w:rsidR="00115270" w:rsidRPr="00115270" w:rsidRDefault="00115270" w:rsidP="00115270">
      <w:pPr>
        <w:widowControl/>
        <w:suppressAutoHyphens w:val="0"/>
        <w:spacing w:after="160" w:line="259" w:lineRule="auto"/>
        <w:jc w:val="both"/>
        <w:rPr>
          <w:rFonts w:ascii="Lato" w:eastAsia="Calibri" w:hAnsi="Lato" w:cs="Times New Roman"/>
          <w:bCs/>
          <w:iCs/>
          <w:kern w:val="0"/>
          <w:sz w:val="22"/>
          <w:szCs w:val="22"/>
          <w:lang w:eastAsia="en-US" w:bidi="ar-SA"/>
        </w:rPr>
      </w:pPr>
      <w:r w:rsidRPr="00115270">
        <w:rPr>
          <w:rFonts w:ascii="Lato" w:eastAsia="Calibri" w:hAnsi="Lato" w:cs="Times New Roman"/>
          <w:bCs/>
          <w:iCs/>
          <w:kern w:val="0"/>
          <w:sz w:val="22"/>
          <w:szCs w:val="22"/>
          <w:lang w:eastAsia="en-US" w:bidi="ar-SA"/>
        </w:rPr>
        <w:t>Niniejsza uchwała wchodzi w życie z dniem podjęcia.</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rPr>
          <w:rFonts w:ascii="Lato" w:eastAsia="Cambria" w:hAnsi="Lato" w:cstheme="minorHAnsi"/>
          <w:b/>
          <w:bCs/>
          <w:color w:val="000000"/>
          <w:kern w:val="0"/>
          <w:sz w:val="22"/>
          <w:szCs w:val="22"/>
          <w:lang w:eastAsia="en-US" w:bidi="ar-SA"/>
        </w:rPr>
      </w:pPr>
    </w:p>
    <w:p w:rsidR="00115270" w:rsidRPr="00115270" w:rsidRDefault="00115270" w:rsidP="00115270">
      <w:pPr>
        <w:widowControl/>
        <w:suppressAutoHyphens w:val="0"/>
        <w:rPr>
          <w:rFonts w:ascii="Lato" w:eastAsia="Cambria" w:hAnsi="Lato" w:cstheme="minorHAnsi"/>
          <w:b/>
          <w:bCs/>
          <w:color w:val="000000"/>
          <w:kern w:val="0"/>
          <w:sz w:val="22"/>
          <w:szCs w:val="22"/>
          <w:lang w:eastAsia="en-US" w:bidi="ar-SA"/>
        </w:rPr>
      </w:pPr>
      <w:r w:rsidRPr="00115270">
        <w:rPr>
          <w:rFonts w:ascii="Lato" w:hAnsi="Lato" w:cstheme="minorHAnsi"/>
          <w:b/>
          <w:bCs/>
          <w:sz w:val="22"/>
          <w:szCs w:val="22"/>
        </w:rPr>
        <w:br w:type="page"/>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eastAsia="en-US" w:bidi="ar-SA"/>
        </w:rPr>
      </w:pPr>
      <w:r w:rsidRPr="00115270">
        <w:rPr>
          <w:rFonts w:ascii="Lato" w:eastAsia="Cambria" w:hAnsi="Lato" w:cstheme="minorHAnsi"/>
          <w:b/>
          <w:bCs/>
          <w:color w:val="000000"/>
          <w:kern w:val="0"/>
          <w:sz w:val="22"/>
          <w:szCs w:val="22"/>
          <w:lang w:eastAsia="en-US" w:bidi="ar-SA"/>
        </w:rPr>
        <w:lastRenderedPageBreak/>
        <w:t>Uchwała Nr 2</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Zgromadzenia Obligatariuszy Obligacji Serii A emitowanych przez</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VIVID GAMES S.A. z siedzibą w Bydgoszczy</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z dnia 15 listopada 2019 r.</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eastAsia="en-US" w:bidi="ar-SA"/>
        </w:rPr>
      </w:pPr>
      <w:r w:rsidRPr="00115270">
        <w:rPr>
          <w:rFonts w:ascii="Lato" w:eastAsia="Cambria" w:hAnsi="Lato" w:cstheme="minorHAnsi"/>
          <w:b/>
          <w:bCs/>
          <w:color w:val="000000"/>
          <w:kern w:val="0"/>
          <w:sz w:val="22"/>
          <w:szCs w:val="22"/>
          <w:lang w:eastAsia="en-US" w:bidi="ar-SA"/>
        </w:rPr>
        <w:t>w sprawie przyjęcia porządku obrad</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
          <w:bCs/>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color w:val="000000"/>
          <w:kern w:val="0"/>
          <w:sz w:val="22"/>
          <w:szCs w:val="22"/>
          <w:lang w:eastAsia="en-US" w:bidi="ar-SA"/>
        </w:rPr>
        <w:t>Zgromadzenie Obligatariuszy Obligacji Serii A emitowanych przez spółki VIVID GAMES Spółka Akcyjna z siedzibą w Bydgoszczy (</w:t>
      </w:r>
      <w:r w:rsidRPr="00115270">
        <w:rPr>
          <w:rFonts w:ascii="Lato" w:eastAsia="Cambria" w:hAnsi="Lato" w:cstheme="minorHAnsi"/>
          <w:b/>
          <w:color w:val="000000"/>
          <w:kern w:val="0"/>
          <w:sz w:val="22"/>
          <w:szCs w:val="22"/>
          <w:lang w:eastAsia="en-US" w:bidi="ar-SA"/>
        </w:rPr>
        <w:t>"Spółka"</w:t>
      </w:r>
      <w:r w:rsidRPr="00115270">
        <w:rPr>
          <w:rFonts w:ascii="Lato" w:eastAsia="Cambria" w:hAnsi="Lato" w:cstheme="minorHAnsi"/>
          <w:color w:val="000000"/>
          <w:kern w:val="0"/>
          <w:sz w:val="22"/>
          <w:szCs w:val="22"/>
          <w:lang w:eastAsia="en-US" w:bidi="ar-SA"/>
        </w:rPr>
        <w:t>),</w:t>
      </w:r>
      <w:r w:rsidRPr="00115270">
        <w:rPr>
          <w:rFonts w:ascii="Lato" w:eastAsia="Calibri" w:hAnsi="Lato" w:cs="Times New Roman"/>
          <w:bCs/>
          <w:iCs/>
          <w:color w:val="000000"/>
          <w:kern w:val="0"/>
          <w:sz w:val="22"/>
          <w:szCs w:val="22"/>
          <w:lang w:eastAsia="en-US" w:bidi="ar-SA"/>
        </w:rPr>
        <w:t xml:space="preserve"> na podstawie </w:t>
      </w:r>
      <w:r w:rsidRPr="00115270">
        <w:rPr>
          <w:rFonts w:ascii="Lato" w:eastAsia="Cambria" w:hAnsi="Lato" w:cstheme="minorHAnsi"/>
          <w:color w:val="000000"/>
          <w:kern w:val="0"/>
          <w:sz w:val="22"/>
          <w:szCs w:val="22"/>
          <w:lang w:eastAsia="en-US" w:bidi="ar-SA"/>
        </w:rPr>
        <w:t>art. 63 Ustawy z 15 stycznia 2015 roku o obligacjach uchwala, co następuje:</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center"/>
        <w:rPr>
          <w:rFonts w:ascii="Lato" w:eastAsia="Cambria" w:hAnsi="Lato" w:cstheme="minorHAnsi"/>
          <w:b/>
          <w:color w:val="000000"/>
          <w:kern w:val="0"/>
          <w:sz w:val="22"/>
          <w:szCs w:val="22"/>
          <w:lang w:eastAsia="en-US" w:bidi="ar-SA"/>
        </w:rPr>
      </w:pPr>
      <w:r w:rsidRPr="00115270">
        <w:rPr>
          <w:rFonts w:ascii="Lato" w:eastAsia="Cambria" w:hAnsi="Lato" w:cstheme="minorHAnsi"/>
          <w:b/>
          <w:color w:val="000000"/>
          <w:kern w:val="0"/>
          <w:sz w:val="22"/>
          <w:szCs w:val="22"/>
          <w:lang w:eastAsia="en-US" w:bidi="ar-SA"/>
        </w:rPr>
        <w:t>§ 1.</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color w:val="000000"/>
          <w:kern w:val="0"/>
          <w:sz w:val="22"/>
          <w:szCs w:val="22"/>
          <w:lang w:eastAsia="en-US" w:bidi="ar-SA"/>
        </w:rPr>
        <w:t>Przyjmuje się porządek obrad zgodnie z ogłoszeniem dokonanym na podstawie art. 51 Ustawy z 15 stycznia 2015 roku o obligacjach na stronie internetowej Spółki w dniu 25 października 2019 r.</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center"/>
        <w:rPr>
          <w:rFonts w:ascii="Lato" w:eastAsia="Cambria" w:hAnsi="Lato" w:cstheme="minorHAnsi"/>
          <w:b/>
          <w:color w:val="000000"/>
          <w:kern w:val="0"/>
          <w:sz w:val="22"/>
          <w:szCs w:val="22"/>
          <w:lang w:eastAsia="en-US" w:bidi="ar-SA"/>
        </w:rPr>
      </w:pPr>
      <w:r w:rsidRPr="00115270">
        <w:rPr>
          <w:rFonts w:ascii="Lato" w:eastAsia="Cambria" w:hAnsi="Lato" w:cstheme="minorHAnsi"/>
          <w:b/>
          <w:color w:val="000000"/>
          <w:kern w:val="0"/>
          <w:sz w:val="22"/>
          <w:szCs w:val="22"/>
          <w:lang w:eastAsia="en-US" w:bidi="ar-SA"/>
        </w:rPr>
        <w:t>§ 2.</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color w:val="000000"/>
          <w:kern w:val="0"/>
          <w:sz w:val="22"/>
          <w:szCs w:val="22"/>
          <w:lang w:eastAsia="en-US" w:bidi="ar-SA"/>
        </w:rPr>
        <w:t>Porządek obrad stanowi Załącznik nr 1 do niniejszej uchwały.</w:t>
      </w:r>
    </w:p>
    <w:p w:rsidR="00115270" w:rsidRPr="00115270" w:rsidRDefault="00115270" w:rsidP="00115270">
      <w:pPr>
        <w:widowControl/>
        <w:suppressAutoHyphens w:val="0"/>
        <w:spacing w:after="160" w:line="259" w:lineRule="auto"/>
        <w:jc w:val="center"/>
        <w:rPr>
          <w:rFonts w:ascii="Lato" w:eastAsia="Calibri" w:hAnsi="Lato" w:cs="Times New Roman"/>
          <w:b/>
          <w:bCs/>
          <w:iCs/>
          <w:kern w:val="0"/>
          <w:sz w:val="22"/>
          <w:szCs w:val="22"/>
          <w:lang w:eastAsia="en-US" w:bidi="ar-SA"/>
        </w:rPr>
      </w:pPr>
    </w:p>
    <w:p w:rsidR="00115270" w:rsidRPr="00115270" w:rsidRDefault="00115270" w:rsidP="00115270">
      <w:pPr>
        <w:widowControl/>
        <w:suppressAutoHyphens w:val="0"/>
        <w:spacing w:after="160" w:line="259" w:lineRule="auto"/>
        <w:jc w:val="center"/>
        <w:rPr>
          <w:rFonts w:ascii="Lato" w:eastAsia="Calibri" w:hAnsi="Lato" w:cs="Times New Roman"/>
          <w:b/>
          <w:bCs/>
          <w:iCs/>
          <w:kern w:val="0"/>
          <w:sz w:val="22"/>
          <w:szCs w:val="22"/>
          <w:lang w:eastAsia="en-US" w:bidi="ar-SA"/>
        </w:rPr>
      </w:pPr>
      <w:r w:rsidRPr="00115270">
        <w:rPr>
          <w:rFonts w:ascii="Lato" w:eastAsia="Calibri" w:hAnsi="Lato" w:cs="Times New Roman"/>
          <w:b/>
          <w:bCs/>
          <w:iCs/>
          <w:kern w:val="0"/>
          <w:sz w:val="22"/>
          <w:szCs w:val="22"/>
          <w:lang w:eastAsia="en-US" w:bidi="ar-SA"/>
        </w:rPr>
        <w:t>§ 3.</w:t>
      </w:r>
    </w:p>
    <w:p w:rsidR="00115270" w:rsidRPr="00115270" w:rsidRDefault="00115270" w:rsidP="00115270">
      <w:pPr>
        <w:widowControl/>
        <w:suppressAutoHyphens w:val="0"/>
        <w:spacing w:after="160" w:line="259" w:lineRule="auto"/>
        <w:jc w:val="both"/>
        <w:rPr>
          <w:rFonts w:ascii="Lato" w:eastAsia="Calibri" w:hAnsi="Lato" w:cs="Times New Roman"/>
          <w:bCs/>
          <w:iCs/>
          <w:kern w:val="0"/>
          <w:sz w:val="22"/>
          <w:szCs w:val="22"/>
          <w:lang w:eastAsia="en-US" w:bidi="ar-SA"/>
        </w:rPr>
      </w:pPr>
      <w:r w:rsidRPr="00115270">
        <w:rPr>
          <w:rFonts w:ascii="Lato" w:eastAsia="Calibri" w:hAnsi="Lato" w:cs="Times New Roman"/>
          <w:bCs/>
          <w:iCs/>
          <w:kern w:val="0"/>
          <w:sz w:val="22"/>
          <w:szCs w:val="22"/>
          <w:lang w:eastAsia="en-US" w:bidi="ar-SA"/>
        </w:rPr>
        <w:t>Niniejsza uchwała wchodzi w życie z dniem podjęcia.</w:t>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i/>
          <w:color w:val="000000"/>
          <w:kern w:val="0"/>
          <w:sz w:val="22"/>
          <w:szCs w:val="22"/>
          <w:lang w:eastAsia="en-US" w:bidi="ar-SA"/>
        </w:rPr>
      </w:pPr>
    </w:p>
    <w:p w:rsidR="00115270" w:rsidRPr="00115270" w:rsidRDefault="00115270" w:rsidP="00115270">
      <w:pPr>
        <w:widowControl/>
        <w:suppressAutoHyphens w:val="0"/>
        <w:rPr>
          <w:rFonts w:ascii="Lato" w:eastAsia="Cambria" w:hAnsi="Lato" w:cstheme="minorHAnsi"/>
          <w:i/>
          <w:color w:val="000000"/>
          <w:kern w:val="0"/>
          <w:sz w:val="22"/>
          <w:szCs w:val="22"/>
          <w:lang w:eastAsia="en-US" w:bidi="ar-SA"/>
        </w:rPr>
      </w:pPr>
      <w:r w:rsidRPr="00115270">
        <w:rPr>
          <w:rFonts w:ascii="Lato" w:hAnsi="Lato" w:cstheme="minorHAnsi"/>
          <w:i/>
          <w:sz w:val="22"/>
          <w:szCs w:val="22"/>
        </w:rPr>
        <w:br w:type="page"/>
      </w:r>
    </w:p>
    <w:p w:rsidR="00115270" w:rsidRPr="00115270" w:rsidRDefault="00115270" w:rsidP="00115270">
      <w:pPr>
        <w:widowControl/>
        <w:suppressAutoHyphens w:val="0"/>
        <w:autoSpaceDE w:val="0"/>
        <w:autoSpaceDN w:val="0"/>
        <w:adjustRightInd w:val="0"/>
        <w:spacing w:line="259" w:lineRule="auto"/>
        <w:jc w:val="both"/>
        <w:rPr>
          <w:rFonts w:ascii="Lato" w:eastAsia="Cambria" w:hAnsi="Lato" w:cstheme="minorHAnsi"/>
          <w:color w:val="000000"/>
          <w:kern w:val="0"/>
          <w:sz w:val="22"/>
          <w:szCs w:val="22"/>
          <w:lang w:eastAsia="en-US" w:bidi="ar-SA"/>
        </w:rPr>
      </w:pPr>
      <w:r w:rsidRPr="00115270">
        <w:rPr>
          <w:rFonts w:ascii="Lato" w:eastAsia="Cambria" w:hAnsi="Lato" w:cstheme="minorHAnsi"/>
          <w:i/>
          <w:color w:val="000000"/>
          <w:kern w:val="0"/>
          <w:sz w:val="22"/>
          <w:szCs w:val="22"/>
          <w:lang w:eastAsia="en-US" w:bidi="ar-SA"/>
        </w:rPr>
        <w:lastRenderedPageBreak/>
        <w:t>Załącznik nr 1 do uchwały nr 2 Zgromadzenia Obligatariuszy Obligacji Serii A emitowanych przez VIVID GAMES S.A.</w:t>
      </w:r>
    </w:p>
    <w:p w:rsidR="00115270" w:rsidRPr="00115270" w:rsidRDefault="00115270" w:rsidP="00115270">
      <w:pPr>
        <w:autoSpaceDE w:val="0"/>
        <w:autoSpaceDN w:val="0"/>
        <w:adjustRightInd w:val="0"/>
        <w:jc w:val="both"/>
        <w:rPr>
          <w:rFonts w:ascii="Lato" w:hAnsi="Lato" w:cstheme="minorHAnsi"/>
          <w:sz w:val="22"/>
          <w:szCs w:val="22"/>
        </w:rPr>
      </w:pPr>
    </w:p>
    <w:p w:rsidR="00115270" w:rsidRPr="00115270" w:rsidRDefault="00115270" w:rsidP="00115270">
      <w:pPr>
        <w:jc w:val="center"/>
        <w:rPr>
          <w:rFonts w:ascii="Lato" w:hAnsi="Lato" w:cstheme="minorHAnsi"/>
          <w:b/>
          <w:sz w:val="22"/>
          <w:szCs w:val="22"/>
        </w:rPr>
      </w:pPr>
      <w:r w:rsidRPr="00115270">
        <w:rPr>
          <w:rFonts w:ascii="Lato" w:hAnsi="Lato" w:cstheme="minorHAnsi"/>
          <w:b/>
          <w:sz w:val="22"/>
          <w:szCs w:val="22"/>
        </w:rPr>
        <w:t>Porządek Obrad Zgromadzenia Obligatariuszy Obligacji Serii A emitowanych przez Vivid Games S.A.</w:t>
      </w:r>
    </w:p>
    <w:p w:rsidR="00115270" w:rsidRPr="00115270" w:rsidRDefault="00115270" w:rsidP="00115270">
      <w:pPr>
        <w:jc w:val="center"/>
        <w:rPr>
          <w:rFonts w:ascii="Lato" w:hAnsi="Lato"/>
          <w:b/>
          <w:sz w:val="22"/>
          <w:szCs w:val="22"/>
        </w:rPr>
      </w:pPr>
      <w:r w:rsidRPr="00115270">
        <w:rPr>
          <w:rFonts w:ascii="Lato" w:hAnsi="Lato" w:cstheme="minorHAnsi"/>
          <w:b/>
          <w:sz w:val="22"/>
          <w:szCs w:val="22"/>
        </w:rPr>
        <w:t>w dniu 15.11.2019 r.</w:t>
      </w:r>
    </w:p>
    <w:p w:rsidR="00115270" w:rsidRPr="00115270" w:rsidRDefault="00115270" w:rsidP="00115270">
      <w:pPr>
        <w:jc w:val="center"/>
        <w:rPr>
          <w:rFonts w:ascii="Lato" w:hAnsi="Lato"/>
          <w:b/>
          <w:sz w:val="22"/>
          <w:szCs w:val="22"/>
        </w:rPr>
      </w:pP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Otwarcie obrad.</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Wybór Przewodniczącego Zgromadzenia Obligatariuszy.</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Stwierdzenie prawidłowości zwołania Zgromadzenia Obligatariuszy Obligacji Serii A i jego zdolności do podejmowania uchwał.</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Przyjęcie porządku obrad.</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 xml:space="preserve">Przedstawienie przez Zarząd informacji o planach Emitenta oraz propozycji skierowanych do Obligatariuszy dotyczących możliwości wcześniejszego wykupu Obligacji, umorzenia Obligacji wraz z emisją nowych obligacji oraz zamiany Obligacji na akcje Spółki. </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Podjęcie uchwały w sprawie wprowadzenia zmian do Warunków Emisji Obligacji Serii A.</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Wolne wnioski.</w:t>
      </w:r>
    </w:p>
    <w:p w:rsidR="00115270" w:rsidRPr="00115270" w:rsidRDefault="00115270" w:rsidP="00115270">
      <w:pPr>
        <w:widowControl/>
        <w:numPr>
          <w:ilvl w:val="0"/>
          <w:numId w:val="1"/>
        </w:numPr>
        <w:suppressAutoHyphens w:val="0"/>
        <w:spacing w:line="276" w:lineRule="auto"/>
        <w:contextualSpacing/>
        <w:jc w:val="both"/>
        <w:rPr>
          <w:rFonts w:ascii="Lato" w:eastAsiaTheme="minorHAnsi" w:hAnsi="Lato" w:cstheme="minorBidi"/>
          <w:kern w:val="0"/>
          <w:sz w:val="22"/>
          <w:szCs w:val="22"/>
          <w:lang w:eastAsia="en-US" w:bidi="ar-SA"/>
        </w:rPr>
      </w:pPr>
      <w:r w:rsidRPr="00115270">
        <w:rPr>
          <w:rFonts w:ascii="Lato" w:eastAsiaTheme="minorHAnsi" w:hAnsi="Lato" w:cstheme="minorBidi"/>
          <w:kern w:val="0"/>
          <w:sz w:val="22"/>
          <w:szCs w:val="22"/>
          <w:lang w:eastAsia="en-US" w:bidi="ar-SA"/>
        </w:rPr>
        <w:t>Zamknięcie obrad.</w:t>
      </w:r>
    </w:p>
    <w:p w:rsidR="00115270" w:rsidRPr="00115270" w:rsidRDefault="00115270" w:rsidP="00115270">
      <w:pPr>
        <w:autoSpaceDE w:val="0"/>
        <w:autoSpaceDN w:val="0"/>
        <w:adjustRightInd w:val="0"/>
        <w:spacing w:line="360" w:lineRule="auto"/>
        <w:ind w:left="360"/>
        <w:jc w:val="center"/>
        <w:rPr>
          <w:rFonts w:ascii="Lato" w:hAnsi="Lato" w:cstheme="minorHAnsi"/>
          <w:b/>
          <w:bCs/>
          <w:sz w:val="22"/>
          <w:szCs w:val="22"/>
        </w:rPr>
      </w:pPr>
    </w:p>
    <w:p w:rsidR="00115270" w:rsidRPr="00115270" w:rsidRDefault="00115270" w:rsidP="00115270">
      <w:pPr>
        <w:widowControl/>
        <w:suppressAutoHyphens w:val="0"/>
        <w:spacing w:after="200" w:line="276" w:lineRule="auto"/>
        <w:rPr>
          <w:rFonts w:ascii="Lato" w:eastAsia="Times New Roman" w:hAnsi="Lato" w:cstheme="minorHAnsi"/>
          <w:b/>
          <w:sz w:val="22"/>
          <w:szCs w:val="22"/>
        </w:rPr>
      </w:pPr>
      <w:r w:rsidRPr="00115270">
        <w:rPr>
          <w:rFonts w:ascii="Lato" w:eastAsia="Times New Roman" w:hAnsi="Lato" w:cstheme="minorHAnsi"/>
          <w:b/>
          <w:sz w:val="22"/>
          <w:szCs w:val="22"/>
        </w:rPr>
        <w:br w:type="page"/>
      </w:r>
    </w:p>
    <w:p w:rsidR="00115270" w:rsidRPr="00115270" w:rsidRDefault="00115270" w:rsidP="00115270">
      <w:pPr>
        <w:spacing w:after="240"/>
        <w:jc w:val="center"/>
        <w:rPr>
          <w:rFonts w:ascii="Lato" w:eastAsia="Times New Roman" w:hAnsi="Lato" w:cstheme="minorHAnsi"/>
          <w:b/>
          <w:sz w:val="22"/>
          <w:szCs w:val="22"/>
        </w:rPr>
      </w:pPr>
      <w:r w:rsidRPr="00115270">
        <w:rPr>
          <w:rFonts w:ascii="Lato" w:eastAsia="Times New Roman" w:hAnsi="Lato" w:cstheme="minorHAnsi"/>
          <w:b/>
          <w:sz w:val="22"/>
          <w:szCs w:val="22"/>
        </w:rPr>
        <w:lastRenderedPageBreak/>
        <w:t>Informacja zarządu Vivid Games S.A. skierowana do Obligatariuszy obligacji serii A</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 xml:space="preserve">W związku ze zbliżającym się terminem wykupu Obligacji Serii A wyemitowanych przez Vivid Games S.A. w Bydgoszczy (dalej: „Obligacje”) przypadającym na dzień 5 maja 2020 roku Zarząd Emitenta pragnie przedstawić Obligatariuszom informacje dotyczące planów Emitenta oraz propozycje dotyczące wypełnienia zobowiązań wynikających z Obligacji lub modyfikacji tych zobowiązań. </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W ocenie Zarządu zapewnienie dalszego dynamicznego rozwoju Emitenta wymaga dokonania inwestycji, w szczególności w działania marketingowe w odniesieniu do promocji produktów Emitenta oraz w rozwój portfolio produktów Emitenta o nowe tytuły, zarówno wytworzone przez Emitenta, jak i pozyskane w ramach prowadzonego przez Emitenta programu wydawniczego. W ocenie Zarządu jedną z możliwości zapewnienia finansowania powyższych inwestycji jest modyfikacja zobowiązań wynikających z Obligacji, co pozwoli Emitentowi na inwestycje z wykorzystaniem części lub całości środków, które zostałyby w innym przypadku wykorzystane na wykup Obligacji w terminie przewidziany</w:t>
      </w:r>
      <w:r w:rsidR="00176960">
        <w:rPr>
          <w:rFonts w:ascii="Lato" w:eastAsia="Times New Roman" w:hAnsi="Lato" w:cstheme="minorHAnsi"/>
          <w:sz w:val="22"/>
          <w:szCs w:val="22"/>
        </w:rPr>
        <w:t>m</w:t>
      </w:r>
      <w:r w:rsidRPr="00115270">
        <w:rPr>
          <w:rFonts w:ascii="Lato" w:eastAsia="Times New Roman" w:hAnsi="Lato" w:cstheme="minorHAnsi"/>
          <w:sz w:val="22"/>
          <w:szCs w:val="22"/>
        </w:rPr>
        <w:t xml:space="preserve"> w Warunkach Emisji.</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Biorąc pod uwagę powyższe, mając na uwadze jednocześnie zapewnienie optymalnego prowadzenia przez Emitenta działalności do czasu dnia wykupu Obligacji, jak również po tej dacie oraz zabezpieczenie interesów Obligatariuszy, Emitent proponuje rozważenie przez Obligatariuszy alternatywnych sposobów wypełnienia zobowiązań Emitenta wynikających z Obligacji, w tym:</w:t>
      </w:r>
    </w:p>
    <w:p w:rsidR="00115270" w:rsidRPr="00115270" w:rsidRDefault="00115270" w:rsidP="00115270">
      <w:pPr>
        <w:widowControl/>
        <w:numPr>
          <w:ilvl w:val="0"/>
          <w:numId w:val="23"/>
        </w:numPr>
        <w:suppressAutoHyphens w:val="0"/>
        <w:spacing w:after="240" w:line="276" w:lineRule="auto"/>
        <w:contextualSpacing/>
        <w:jc w:val="both"/>
        <w:rPr>
          <w:rFonts w:ascii="Lato" w:eastAsia="Times New Roman" w:hAnsi="Lato" w:cstheme="minorHAnsi"/>
          <w:kern w:val="0"/>
          <w:sz w:val="22"/>
          <w:szCs w:val="22"/>
          <w:lang w:eastAsia="en-US" w:bidi="ar-SA"/>
        </w:rPr>
      </w:pPr>
      <w:r w:rsidRPr="00115270">
        <w:rPr>
          <w:rFonts w:ascii="Lato" w:eastAsia="Times New Roman" w:hAnsi="Lato" w:cstheme="minorHAnsi"/>
          <w:kern w:val="0"/>
          <w:sz w:val="22"/>
          <w:szCs w:val="22"/>
          <w:lang w:eastAsia="en-US" w:bidi="ar-SA"/>
        </w:rPr>
        <w:t>wcześniejszy wykup części Obligacji;</w:t>
      </w:r>
    </w:p>
    <w:p w:rsidR="00115270" w:rsidRPr="00115270" w:rsidRDefault="00115270" w:rsidP="00115270">
      <w:pPr>
        <w:widowControl/>
        <w:numPr>
          <w:ilvl w:val="0"/>
          <w:numId w:val="23"/>
        </w:numPr>
        <w:suppressAutoHyphens w:val="0"/>
        <w:spacing w:after="240" w:line="276" w:lineRule="auto"/>
        <w:contextualSpacing/>
        <w:jc w:val="both"/>
        <w:rPr>
          <w:rFonts w:ascii="Lato" w:eastAsia="Times New Roman" w:hAnsi="Lato" w:cstheme="minorHAnsi"/>
          <w:kern w:val="0"/>
          <w:sz w:val="22"/>
          <w:szCs w:val="22"/>
          <w:lang w:eastAsia="en-US" w:bidi="ar-SA"/>
        </w:rPr>
      </w:pPr>
      <w:r w:rsidRPr="00115270">
        <w:rPr>
          <w:rFonts w:ascii="Lato" w:eastAsia="Times New Roman" w:hAnsi="Lato" w:cstheme="minorHAnsi"/>
          <w:kern w:val="0"/>
          <w:sz w:val="22"/>
          <w:szCs w:val="22"/>
          <w:lang w:eastAsia="en-US" w:bidi="ar-SA"/>
        </w:rPr>
        <w:t>przedłużenie terminu wykonania zobowiązań z Obligacji (wcześniejszy wykup części Obligacji i emisja na rzecz dotychczasowych Obligatariuszy obligacji o terminie wykupu przypadającym po dniu wykupu Obligacji);</w:t>
      </w:r>
    </w:p>
    <w:p w:rsidR="00115270" w:rsidRPr="00115270" w:rsidRDefault="00115270" w:rsidP="00115270">
      <w:pPr>
        <w:widowControl/>
        <w:numPr>
          <w:ilvl w:val="0"/>
          <w:numId w:val="23"/>
        </w:numPr>
        <w:suppressAutoHyphens w:val="0"/>
        <w:spacing w:after="240" w:line="276" w:lineRule="auto"/>
        <w:contextualSpacing/>
        <w:jc w:val="both"/>
        <w:rPr>
          <w:rFonts w:ascii="Lato" w:eastAsia="Times New Roman" w:hAnsi="Lato" w:cstheme="minorHAnsi"/>
          <w:kern w:val="0"/>
          <w:sz w:val="22"/>
          <w:szCs w:val="22"/>
          <w:lang w:eastAsia="en-US" w:bidi="ar-SA"/>
        </w:rPr>
      </w:pPr>
      <w:r w:rsidRPr="00115270">
        <w:rPr>
          <w:rFonts w:ascii="Lato" w:eastAsia="Times New Roman" w:hAnsi="Lato" w:cstheme="minorHAnsi"/>
          <w:kern w:val="0"/>
          <w:sz w:val="22"/>
          <w:szCs w:val="22"/>
          <w:lang w:eastAsia="en-US" w:bidi="ar-SA"/>
        </w:rPr>
        <w:t>dokonanie konwersji części Obligacji na akcje Emitenta (wcześniejszy wykup części Obligacji i emisja akcji na rzecz Obligatariuszy</w:t>
      </w:r>
      <w:bookmarkStart w:id="0" w:name="_GoBack"/>
      <w:bookmarkEnd w:id="0"/>
      <w:r w:rsidRPr="00115270">
        <w:rPr>
          <w:rFonts w:ascii="Lato" w:eastAsia="Times New Roman" w:hAnsi="Lato" w:cstheme="minorHAnsi"/>
          <w:kern w:val="0"/>
          <w:sz w:val="22"/>
          <w:szCs w:val="22"/>
          <w:lang w:eastAsia="en-US" w:bidi="ar-SA"/>
        </w:rPr>
        <w:t>).</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 xml:space="preserve">Alternatywne sposoby wypełnienia zobowiązań wynikających z Obligacji wymienione powyżej będą stosowane w drodze indywidualnych ustaleń z Obligatariuszami zainteresowanymi uczestnictwem w takich rozwiązaniach. </w:t>
      </w:r>
    </w:p>
    <w:p w:rsidR="00115270" w:rsidRPr="00115270" w:rsidRDefault="00115270" w:rsidP="00115270">
      <w:pPr>
        <w:autoSpaceDE w:val="0"/>
        <w:autoSpaceDN w:val="0"/>
        <w:adjustRightInd w:val="0"/>
        <w:spacing w:line="360" w:lineRule="auto"/>
        <w:ind w:left="360"/>
        <w:jc w:val="center"/>
        <w:rPr>
          <w:rFonts w:ascii="Lato" w:eastAsia="Cambria" w:hAnsi="Lato" w:cs="Calibri"/>
          <w:b/>
          <w:bCs/>
          <w:color w:val="000000"/>
          <w:sz w:val="22"/>
          <w:szCs w:val="22"/>
        </w:rPr>
      </w:pPr>
      <w:r w:rsidRPr="00115270">
        <w:rPr>
          <w:rFonts w:ascii="Lato" w:hAnsi="Lato" w:cstheme="minorHAnsi"/>
          <w:b/>
          <w:bCs/>
          <w:sz w:val="22"/>
          <w:szCs w:val="22"/>
        </w:rPr>
        <w:br w:type="page"/>
      </w:r>
      <w:r w:rsidRPr="00115270">
        <w:rPr>
          <w:rFonts w:ascii="Lato" w:eastAsia="Cambria" w:hAnsi="Lato" w:cs="Calibri"/>
          <w:b/>
          <w:bCs/>
          <w:color w:val="000000"/>
          <w:sz w:val="22"/>
          <w:szCs w:val="22"/>
        </w:rPr>
        <w:lastRenderedPageBreak/>
        <w:t xml:space="preserve">Uchwała nr </w:t>
      </w:r>
      <w:r w:rsidRPr="00115270">
        <w:rPr>
          <w:rFonts w:ascii="Lato" w:hAnsi="Lato" w:cstheme="minorHAnsi"/>
          <w:b/>
          <w:bCs/>
          <w:sz w:val="22"/>
          <w:szCs w:val="22"/>
        </w:rPr>
        <w:t>3</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Calibri"/>
          <w:bCs/>
          <w:color w:val="000000"/>
          <w:kern w:val="0"/>
          <w:sz w:val="22"/>
          <w:szCs w:val="22"/>
          <w:lang w:eastAsia="en-US" w:bidi="ar-SA"/>
        </w:rPr>
      </w:pPr>
      <w:r w:rsidRPr="00115270">
        <w:rPr>
          <w:rFonts w:ascii="Lato" w:eastAsia="Cambria" w:hAnsi="Lato" w:cs="Calibri"/>
          <w:bCs/>
          <w:color w:val="000000"/>
          <w:kern w:val="0"/>
          <w:sz w:val="22"/>
          <w:szCs w:val="22"/>
          <w:lang w:eastAsia="en-US" w:bidi="ar-SA"/>
        </w:rPr>
        <w:t>Zgromadzenia Obligatariuszy Obligacji Serii A emitowanych przez</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theme="minorHAnsi"/>
          <w:bCs/>
          <w:color w:val="000000"/>
          <w:kern w:val="0"/>
          <w:sz w:val="22"/>
          <w:szCs w:val="22"/>
          <w:lang w:eastAsia="en-US" w:bidi="ar-SA"/>
        </w:rPr>
      </w:pPr>
      <w:r w:rsidRPr="00115270">
        <w:rPr>
          <w:rFonts w:ascii="Lato" w:eastAsia="Cambria" w:hAnsi="Lato" w:cstheme="minorHAnsi"/>
          <w:bCs/>
          <w:color w:val="000000"/>
          <w:kern w:val="0"/>
          <w:sz w:val="22"/>
          <w:szCs w:val="22"/>
          <w:lang w:eastAsia="en-US" w:bidi="ar-SA"/>
        </w:rPr>
        <w:t>VIVID GAMES S.A. z siedzibą w Bydgoszczy</w:t>
      </w:r>
    </w:p>
    <w:p w:rsidR="00115270" w:rsidRPr="00115270" w:rsidRDefault="00115270" w:rsidP="00115270">
      <w:pPr>
        <w:widowControl/>
        <w:suppressAutoHyphens w:val="0"/>
        <w:autoSpaceDE w:val="0"/>
        <w:autoSpaceDN w:val="0"/>
        <w:adjustRightInd w:val="0"/>
        <w:spacing w:line="360" w:lineRule="auto"/>
        <w:jc w:val="center"/>
        <w:rPr>
          <w:rFonts w:ascii="Lato" w:eastAsia="Cambria" w:hAnsi="Lato" w:cs="Calibri"/>
          <w:bCs/>
          <w:color w:val="000000"/>
          <w:kern w:val="0"/>
          <w:sz w:val="22"/>
          <w:szCs w:val="22"/>
          <w:lang w:eastAsia="en-US" w:bidi="ar-SA"/>
        </w:rPr>
      </w:pPr>
      <w:r w:rsidRPr="00115270">
        <w:rPr>
          <w:rFonts w:ascii="Lato" w:eastAsia="Cambria" w:hAnsi="Lato" w:cs="Calibri"/>
          <w:bCs/>
          <w:color w:val="000000"/>
          <w:kern w:val="0"/>
          <w:sz w:val="22"/>
          <w:szCs w:val="22"/>
          <w:lang w:eastAsia="en-US" w:bidi="ar-SA"/>
        </w:rPr>
        <w:t xml:space="preserve"> z dnia 15 listopada 2019 r.</w:t>
      </w:r>
    </w:p>
    <w:p w:rsidR="00115270" w:rsidRPr="00115270" w:rsidRDefault="00115270" w:rsidP="00115270">
      <w:pPr>
        <w:widowControl/>
        <w:suppressAutoHyphens w:val="0"/>
        <w:spacing w:after="160" w:line="259" w:lineRule="auto"/>
        <w:jc w:val="center"/>
        <w:rPr>
          <w:rFonts w:ascii="Lato" w:eastAsia="Calibri" w:hAnsi="Lato" w:cs="Times New Roman"/>
          <w:bCs/>
          <w:iCs/>
          <w:kern w:val="0"/>
          <w:sz w:val="22"/>
          <w:szCs w:val="22"/>
          <w:lang w:eastAsia="en-US" w:bidi="ar-SA"/>
        </w:rPr>
      </w:pPr>
      <w:r w:rsidRPr="00115270">
        <w:rPr>
          <w:rFonts w:ascii="Lato" w:eastAsia="Cambria" w:hAnsi="Lato" w:cs="Calibri"/>
          <w:b/>
          <w:bCs/>
          <w:color w:val="000000"/>
          <w:sz w:val="22"/>
          <w:szCs w:val="22"/>
          <w:lang w:eastAsia="en-US"/>
        </w:rPr>
        <w:t>w sprawie zmian Warunków Emisji Obligacji Serii A</w:t>
      </w:r>
    </w:p>
    <w:p w:rsidR="00115270" w:rsidRPr="00115270" w:rsidRDefault="00115270" w:rsidP="00115270">
      <w:pPr>
        <w:widowControl/>
        <w:suppressAutoHyphens w:val="0"/>
        <w:spacing w:after="160" w:line="259" w:lineRule="auto"/>
        <w:jc w:val="center"/>
        <w:rPr>
          <w:rFonts w:ascii="Lato" w:eastAsia="Calibri" w:hAnsi="Lato" w:cs="Times New Roman"/>
          <w:b/>
          <w:bCs/>
          <w:iCs/>
          <w:kern w:val="0"/>
          <w:sz w:val="22"/>
          <w:szCs w:val="22"/>
          <w:lang w:eastAsia="en-US" w:bidi="ar-SA"/>
        </w:rPr>
      </w:pPr>
    </w:p>
    <w:p w:rsidR="00115270" w:rsidRPr="00115270" w:rsidRDefault="00115270" w:rsidP="00115270">
      <w:pPr>
        <w:widowControl/>
        <w:tabs>
          <w:tab w:val="right" w:leader="hyphen" w:pos="9072"/>
        </w:tabs>
        <w:suppressAutoHyphens w:val="0"/>
        <w:spacing w:after="120" w:line="276" w:lineRule="auto"/>
        <w:jc w:val="both"/>
        <w:rPr>
          <w:rFonts w:ascii="Lato" w:eastAsia="Times New Roman" w:hAnsi="Lato" w:cs="Arial"/>
          <w:kern w:val="0"/>
          <w:sz w:val="22"/>
          <w:szCs w:val="22"/>
          <w:lang w:eastAsia="pl-PL" w:bidi="ar-SA"/>
        </w:rPr>
      </w:pPr>
      <w:r w:rsidRPr="00115270">
        <w:rPr>
          <w:rFonts w:ascii="Lato" w:eastAsia="Times New Roman" w:hAnsi="Lato" w:cs="Arial"/>
          <w:kern w:val="0"/>
          <w:sz w:val="22"/>
          <w:szCs w:val="22"/>
          <w:lang w:eastAsia="pl-PL" w:bidi="ar-SA"/>
        </w:rPr>
        <w:t>Zgromadzenie Obligatariuszy Obligacji Serii A emitowanych przez spółkę VIVID GAMES Spółka Akcyjna z siedzibą w Bydgoszczy („</w:t>
      </w:r>
      <w:r w:rsidRPr="00115270">
        <w:rPr>
          <w:rFonts w:ascii="Lato" w:eastAsia="Times New Roman" w:hAnsi="Lato" w:cs="Arial"/>
          <w:b/>
          <w:kern w:val="0"/>
          <w:sz w:val="22"/>
          <w:szCs w:val="22"/>
          <w:lang w:eastAsia="pl-PL" w:bidi="ar-SA"/>
        </w:rPr>
        <w:t>Spółka</w:t>
      </w:r>
      <w:r w:rsidRPr="00115270">
        <w:rPr>
          <w:rFonts w:ascii="Lato" w:eastAsia="Times New Roman" w:hAnsi="Lato" w:cs="Arial"/>
          <w:kern w:val="0"/>
          <w:sz w:val="22"/>
          <w:szCs w:val="22"/>
          <w:lang w:eastAsia="pl-PL" w:bidi="ar-SA"/>
        </w:rPr>
        <w:t xml:space="preserve">”), działając na podstawie art. 49 ust. 1 pkt 2) w związku z art. 65 ust. 1 </w:t>
      </w:r>
      <w:r w:rsidRPr="00115270">
        <w:rPr>
          <w:rFonts w:ascii="Lato" w:hAnsi="Lato" w:cstheme="minorHAnsi"/>
          <w:sz w:val="22"/>
          <w:szCs w:val="22"/>
        </w:rPr>
        <w:t>Ustawy z 15 stycznia 2015 roku o obligacjach</w:t>
      </w:r>
      <w:r w:rsidRPr="00115270">
        <w:rPr>
          <w:rFonts w:ascii="Lato" w:eastAsia="Times New Roman" w:hAnsi="Lato" w:cs="Arial"/>
          <w:kern w:val="0"/>
          <w:sz w:val="22"/>
          <w:szCs w:val="22"/>
          <w:lang w:eastAsia="pl-PL" w:bidi="ar-SA"/>
        </w:rPr>
        <w:t xml:space="preserve"> uchwala, co następuje: </w:t>
      </w:r>
    </w:p>
    <w:p w:rsidR="00115270" w:rsidRPr="00115270" w:rsidRDefault="00115270" w:rsidP="00115270">
      <w:pPr>
        <w:widowControl/>
        <w:tabs>
          <w:tab w:val="right" w:leader="hyphen" w:pos="9072"/>
        </w:tabs>
        <w:suppressAutoHyphens w:val="0"/>
        <w:spacing w:line="276" w:lineRule="auto"/>
        <w:jc w:val="center"/>
        <w:rPr>
          <w:rFonts w:ascii="Lato" w:eastAsia="Times New Roman" w:hAnsi="Lato" w:cs="Arial"/>
          <w:b/>
          <w:kern w:val="0"/>
          <w:sz w:val="22"/>
          <w:szCs w:val="22"/>
          <w:lang w:eastAsia="pl-PL" w:bidi="ar-SA"/>
        </w:rPr>
      </w:pPr>
      <w:r w:rsidRPr="00115270">
        <w:rPr>
          <w:rFonts w:ascii="Lato" w:eastAsia="Times New Roman" w:hAnsi="Lato" w:cs="Arial"/>
          <w:b/>
          <w:kern w:val="0"/>
          <w:sz w:val="22"/>
          <w:szCs w:val="22"/>
          <w:lang w:eastAsia="pl-PL" w:bidi="ar-SA"/>
        </w:rPr>
        <w:t>§ 1.</w:t>
      </w:r>
    </w:p>
    <w:p w:rsidR="00115270" w:rsidRPr="00115270" w:rsidRDefault="00115270" w:rsidP="00115270">
      <w:pPr>
        <w:widowControl/>
        <w:numPr>
          <w:ilvl w:val="0"/>
          <w:numId w:val="21"/>
        </w:numPr>
        <w:suppressAutoHyphens w:val="0"/>
        <w:spacing w:after="120" w:line="276" w:lineRule="auto"/>
        <w:ind w:left="567" w:hanging="567"/>
        <w:jc w:val="both"/>
        <w:rPr>
          <w:rFonts w:ascii="Lato" w:eastAsia="Times New Roman" w:hAnsi="Lato" w:cs="Arial"/>
          <w:kern w:val="0"/>
          <w:sz w:val="22"/>
          <w:szCs w:val="22"/>
          <w:lang w:eastAsia="pl-PL" w:bidi="ar-SA"/>
        </w:rPr>
      </w:pPr>
      <w:r w:rsidRPr="00115270">
        <w:rPr>
          <w:rFonts w:ascii="Lato" w:eastAsia="Times New Roman" w:hAnsi="Lato" w:cs="Arial"/>
          <w:kern w:val="0"/>
          <w:sz w:val="22"/>
          <w:szCs w:val="22"/>
          <w:lang w:eastAsia="pl-PL" w:bidi="ar-SA"/>
        </w:rPr>
        <w:t>Dokonuje się zmiany Warunków Emisji Obligacji Serii A emitowanych przez Vivid Games S.A. z siedzibą w Bydgoszczy z 14 kwietnia 2017 („</w:t>
      </w:r>
      <w:r w:rsidRPr="00115270">
        <w:rPr>
          <w:rFonts w:ascii="Lato" w:eastAsia="Times New Roman" w:hAnsi="Lato" w:cs="Arial"/>
          <w:b/>
          <w:kern w:val="0"/>
          <w:sz w:val="22"/>
          <w:szCs w:val="22"/>
          <w:lang w:eastAsia="pl-PL" w:bidi="ar-SA"/>
        </w:rPr>
        <w:t>Warunki Emisji</w:t>
      </w:r>
      <w:r w:rsidRPr="00115270">
        <w:rPr>
          <w:rFonts w:ascii="Lato" w:eastAsia="Times New Roman" w:hAnsi="Lato" w:cs="Arial"/>
          <w:kern w:val="0"/>
          <w:sz w:val="22"/>
          <w:szCs w:val="22"/>
          <w:lang w:eastAsia="pl-PL" w:bidi="ar-SA"/>
        </w:rPr>
        <w:t>”), w ten sposób, że punkt 14 lit. (a) Warunków Emisji otrzymuje następujące brzmienie w miejsce dotychczasowego:</w:t>
      </w:r>
    </w:p>
    <w:p w:rsidR="00115270" w:rsidRPr="00115270" w:rsidRDefault="00115270" w:rsidP="00115270">
      <w:pPr>
        <w:widowControl/>
        <w:numPr>
          <w:ilvl w:val="2"/>
          <w:numId w:val="0"/>
        </w:numPr>
        <w:tabs>
          <w:tab w:val="num" w:pos="1288"/>
        </w:tabs>
        <w:suppressAutoHyphens w:val="0"/>
        <w:spacing w:before="240" w:after="240" w:line="260" w:lineRule="atLeast"/>
        <w:ind w:left="1276" w:hanging="709"/>
        <w:jc w:val="both"/>
        <w:rPr>
          <w:rFonts w:ascii="Lato" w:eastAsia="Calibri" w:hAnsi="Lato" w:cs="Times New Roman"/>
          <w:i/>
          <w:kern w:val="0"/>
          <w:sz w:val="22"/>
          <w:szCs w:val="22"/>
          <w:lang w:eastAsia="en-US" w:bidi="ar-SA"/>
        </w:rPr>
      </w:pPr>
      <w:r w:rsidRPr="00115270">
        <w:rPr>
          <w:rFonts w:ascii="Lato" w:eastAsia="Calibri" w:hAnsi="Lato" w:cs="Times New Roman"/>
          <w:i/>
          <w:kern w:val="0"/>
          <w:sz w:val="22"/>
          <w:szCs w:val="22"/>
          <w:lang w:eastAsia="en-US" w:bidi="ar-SA"/>
        </w:rPr>
        <w:t xml:space="preserve">Po rejestracji Obligacji w depozycie papierów wartościowych prowadzonym przez KDPW, Emitent może wykupić Obligacje, w całości lub w części w dniu określonym przez Emitenta, nie wcześniej jednak niż po upływie 15 (piętnastu) dni od dnia złożenia Obligatariuszom zawiadomienia o wcześniejszym wykupie, z uwzględnieniem pkt (c) poniżej (Dzień Wcześniejszego Wykupu). Zawiadomienie musi wskazywać zarówno liczbę Obligacji podlegających wykupowi, jak i Dzień Wcześniejszego Wykupu. </w:t>
      </w:r>
    </w:p>
    <w:p w:rsidR="00115270" w:rsidRPr="00115270" w:rsidRDefault="00115270" w:rsidP="00115270">
      <w:pPr>
        <w:widowControl/>
        <w:numPr>
          <w:ilvl w:val="0"/>
          <w:numId w:val="21"/>
        </w:numPr>
        <w:suppressAutoHyphens w:val="0"/>
        <w:spacing w:after="120" w:line="276" w:lineRule="auto"/>
        <w:ind w:left="567" w:hanging="567"/>
        <w:jc w:val="both"/>
        <w:rPr>
          <w:rFonts w:ascii="Lato" w:eastAsia="Times New Roman" w:hAnsi="Lato" w:cs="Arial"/>
          <w:i/>
          <w:kern w:val="0"/>
          <w:sz w:val="22"/>
          <w:szCs w:val="22"/>
          <w:lang w:eastAsia="pl-PL" w:bidi="ar-SA"/>
        </w:rPr>
      </w:pPr>
      <w:r w:rsidRPr="00115270">
        <w:rPr>
          <w:rFonts w:ascii="Lato" w:eastAsia="Times New Roman" w:hAnsi="Lato" w:cs="Arial"/>
          <w:kern w:val="0"/>
          <w:sz w:val="22"/>
          <w:szCs w:val="22"/>
          <w:lang w:eastAsia="pl-PL" w:bidi="ar-SA"/>
        </w:rPr>
        <w:t>Upoważnia się Zarząd Spółki do ustalenia tekstu jednolitego Warunków Emisji z uwzględnieniem  zmiany, o której mowa w ust. 1.</w:t>
      </w:r>
    </w:p>
    <w:p w:rsidR="00115270" w:rsidRPr="00115270" w:rsidRDefault="00115270" w:rsidP="00115270">
      <w:pPr>
        <w:widowControl/>
        <w:tabs>
          <w:tab w:val="right" w:leader="hyphen" w:pos="9072"/>
        </w:tabs>
        <w:suppressAutoHyphens w:val="0"/>
        <w:spacing w:line="360" w:lineRule="auto"/>
        <w:ind w:left="142" w:hanging="284"/>
        <w:rPr>
          <w:rFonts w:ascii="Lato" w:eastAsia="Times New Roman" w:hAnsi="Lato" w:cs="Arial"/>
          <w:kern w:val="0"/>
          <w:sz w:val="22"/>
          <w:szCs w:val="22"/>
          <w:lang w:eastAsia="pl-PL" w:bidi="ar-SA"/>
        </w:rPr>
      </w:pPr>
    </w:p>
    <w:p w:rsidR="00115270" w:rsidRPr="00115270" w:rsidRDefault="00115270" w:rsidP="00115270">
      <w:pPr>
        <w:widowControl/>
        <w:tabs>
          <w:tab w:val="right" w:leader="hyphen" w:pos="9072"/>
        </w:tabs>
        <w:suppressAutoHyphens w:val="0"/>
        <w:spacing w:line="360" w:lineRule="auto"/>
        <w:jc w:val="center"/>
        <w:rPr>
          <w:rFonts w:ascii="Lato" w:eastAsia="Times New Roman" w:hAnsi="Lato" w:cs="Arial"/>
          <w:b/>
          <w:kern w:val="0"/>
          <w:sz w:val="22"/>
          <w:szCs w:val="22"/>
          <w:lang w:eastAsia="pl-PL" w:bidi="ar-SA"/>
        </w:rPr>
      </w:pPr>
      <w:r w:rsidRPr="00115270">
        <w:rPr>
          <w:rFonts w:ascii="Lato" w:eastAsia="Times New Roman" w:hAnsi="Lato" w:cs="Arial"/>
          <w:b/>
          <w:kern w:val="0"/>
          <w:sz w:val="22"/>
          <w:szCs w:val="22"/>
          <w:lang w:eastAsia="pl-PL" w:bidi="ar-SA"/>
        </w:rPr>
        <w:t>§ 2.</w:t>
      </w:r>
    </w:p>
    <w:p w:rsidR="00115270" w:rsidRPr="00115270" w:rsidRDefault="00115270" w:rsidP="00115270">
      <w:pPr>
        <w:spacing w:after="240"/>
        <w:jc w:val="both"/>
        <w:rPr>
          <w:rFonts w:ascii="Lato" w:eastAsia="Times New Roman" w:hAnsi="Lato" w:cs="Arial"/>
          <w:kern w:val="0"/>
          <w:sz w:val="22"/>
          <w:szCs w:val="22"/>
          <w:lang w:eastAsia="pl-PL" w:bidi="ar-SA"/>
        </w:rPr>
      </w:pPr>
      <w:r w:rsidRPr="00115270">
        <w:rPr>
          <w:rFonts w:ascii="Lato" w:eastAsia="Times New Roman" w:hAnsi="Lato" w:cs="Arial"/>
          <w:kern w:val="0"/>
          <w:sz w:val="22"/>
          <w:szCs w:val="22"/>
          <w:lang w:eastAsia="pl-PL" w:bidi="ar-SA"/>
        </w:rPr>
        <w:t>Niniejsza uchwała wchodzi w życie z dniem podjęcia, a w zakresie zmiany Warunków Emisji w dniu wyrażenia przez Spółkę zgodę na ww. zmianę.</w:t>
      </w:r>
    </w:p>
    <w:p w:rsidR="00115270" w:rsidRPr="00115270" w:rsidRDefault="00115270" w:rsidP="00115270">
      <w:pPr>
        <w:spacing w:after="240"/>
        <w:jc w:val="both"/>
        <w:rPr>
          <w:rFonts w:ascii="Lato" w:eastAsia="Times New Roman" w:hAnsi="Lato" w:cs="Arial"/>
          <w:kern w:val="0"/>
          <w:sz w:val="22"/>
          <w:szCs w:val="22"/>
          <w:lang w:eastAsia="pl-PL" w:bidi="ar-SA"/>
        </w:rPr>
      </w:pPr>
    </w:p>
    <w:p w:rsidR="00115270" w:rsidRPr="00115270" w:rsidRDefault="00115270" w:rsidP="00115270">
      <w:pPr>
        <w:spacing w:after="240"/>
        <w:jc w:val="both"/>
        <w:rPr>
          <w:rFonts w:ascii="Lato" w:eastAsia="Times New Roman" w:hAnsi="Lato" w:cs="Arial"/>
          <w:b/>
          <w:kern w:val="0"/>
          <w:sz w:val="22"/>
          <w:szCs w:val="22"/>
          <w:lang w:eastAsia="pl-PL" w:bidi="ar-SA"/>
        </w:rPr>
      </w:pPr>
      <w:r w:rsidRPr="00115270">
        <w:rPr>
          <w:rFonts w:ascii="Lato" w:eastAsia="Times New Roman" w:hAnsi="Lato" w:cs="Arial"/>
          <w:b/>
          <w:kern w:val="0"/>
          <w:sz w:val="22"/>
          <w:szCs w:val="22"/>
          <w:lang w:eastAsia="pl-PL" w:bidi="ar-SA"/>
        </w:rPr>
        <w:t>Uzasadnienie podjęcia uchwały</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 xml:space="preserve">W dniu 5 maja 2020 r. przypada dzień wykupu Obligacji Serii A wyemitowanych przez Vivid Games S.A. w Bydgoszczy (dalej: „Obligacje”). Do ww. daty upłynie jedynie jeden okres odsetkowy, w związku z czym, na podstawie dotychczasowych zapisów Warunków Emisji Emitent będzie mógł dokonać </w:t>
      </w:r>
      <w:r w:rsidRPr="00115270">
        <w:rPr>
          <w:rFonts w:ascii="Lato" w:eastAsia="Times New Roman" w:hAnsi="Lato" w:cstheme="minorHAnsi"/>
          <w:i/>
          <w:sz w:val="22"/>
          <w:szCs w:val="22"/>
        </w:rPr>
        <w:t>de facto</w:t>
      </w:r>
      <w:r w:rsidRPr="00115270">
        <w:rPr>
          <w:rFonts w:ascii="Lato" w:eastAsia="Times New Roman" w:hAnsi="Lato" w:cstheme="minorHAnsi"/>
          <w:sz w:val="22"/>
          <w:szCs w:val="22"/>
        </w:rPr>
        <w:t xml:space="preserve"> jedynie jednego wcześniejszego wykupu Obligacji.</w:t>
      </w:r>
    </w:p>
    <w:p w:rsidR="00115270" w:rsidRPr="00115270" w:rsidRDefault="00115270" w:rsidP="00115270">
      <w:pPr>
        <w:spacing w:after="240"/>
        <w:jc w:val="both"/>
        <w:rPr>
          <w:rFonts w:ascii="Lato" w:eastAsia="Times New Roman" w:hAnsi="Lato" w:cstheme="minorHAnsi"/>
          <w:sz w:val="22"/>
          <w:szCs w:val="22"/>
        </w:rPr>
      </w:pPr>
      <w:r w:rsidRPr="00115270">
        <w:rPr>
          <w:rFonts w:ascii="Lato" w:eastAsia="Times New Roman" w:hAnsi="Lato" w:cstheme="minorHAnsi"/>
          <w:sz w:val="22"/>
          <w:szCs w:val="22"/>
        </w:rPr>
        <w:t xml:space="preserve">Biorąc pod uwagę zbliżający się dzień wykupu oraz okoliczności przedstawione w nawiązaniu do pkt. 5 porządku obrad Zgromadzenia Obligatariuszy, zasadne jest, by umożliwić Emitentowi elastyczne podejście do kwestii wypełnienia zobowiązań wynikających z Obligacji lub modyfikacji tych zobowiązań, w tym wcześniejszego wykupu obligacji w dogodnym dla Emitenta terminie, z jednoczesnym poszanowaniem praw Obligatariuszy. </w:t>
      </w:r>
    </w:p>
    <w:sectPr w:rsidR="00115270" w:rsidRPr="00115270" w:rsidSect="00BE391A">
      <w:headerReference w:type="even" r:id="rId9"/>
      <w:headerReference w:type="first" r:id="rId10"/>
      <w:pgSz w:w="11906" w:h="16838"/>
      <w:pgMar w:top="-1985" w:right="851" w:bottom="1702" w:left="851" w:header="567" w:footer="85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39B64A" w16cid:durableId="215C2A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90" w:rsidRDefault="00A82E90" w:rsidP="00625FBD">
      <w:r>
        <w:separator/>
      </w:r>
    </w:p>
  </w:endnote>
  <w:endnote w:type="continuationSeparator" w:id="0">
    <w:p w:rsidR="00A82E90" w:rsidRDefault="00A82E90" w:rsidP="0062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Calibri"/>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90" w:rsidRDefault="00A82E90" w:rsidP="00625FBD">
      <w:r>
        <w:separator/>
      </w:r>
    </w:p>
  </w:footnote>
  <w:footnote w:type="continuationSeparator" w:id="0">
    <w:p w:rsidR="00A82E90" w:rsidRDefault="00A82E90" w:rsidP="00625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EC" w:rsidRDefault="00A82E90">
    <w:pPr>
      <w:pStyle w:val="Nagwek"/>
    </w:pPr>
    <w:r>
      <w:rPr>
        <w:noProof/>
        <w:lang w:eastAsia="pl-PL"/>
      </w:rPr>
      <w:pict w14:anchorId="3236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5707" o:spid="_x0000_s2050" type="#_x0000_t75" style="position:absolute;margin-left:0;margin-top:0;width:595.35pt;height:842.15pt;z-index:-251656192;mso-position-horizontal:center;mso-position-horizontal-relative:margin;mso-position-vertical:center;mso-position-vertical-relative:margin" o:allowincell="f">
          <v:imagedata r:id="rId1" o:title="VG-datashe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EC" w:rsidRDefault="00A82E90">
    <w:pPr>
      <w:pStyle w:val="Nagwek"/>
    </w:pPr>
    <w:r>
      <w:rPr>
        <w:noProof/>
        <w:lang w:eastAsia="pl-PL"/>
      </w:rPr>
      <w:pict w14:anchorId="189CF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5706" o:spid="_x0000_s2049" type="#_x0000_t75" style="position:absolute;margin-left:0;margin-top:0;width:595.35pt;height:842.15pt;z-index:-251657216;mso-position-horizontal:center;mso-position-horizontal-relative:margin;mso-position-vertical:center;mso-position-vertical-relative:margin" o:allowincell="f">
          <v:imagedata r:id="rId1" o:title="VG-datashe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0B8"/>
    <w:multiLevelType w:val="hybridMultilevel"/>
    <w:tmpl w:val="AE880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C08B2"/>
    <w:multiLevelType w:val="hybridMultilevel"/>
    <w:tmpl w:val="50F09F9A"/>
    <w:lvl w:ilvl="0" w:tplc="499A2B26">
      <w:start w:val="1"/>
      <w:numFmt w:val="decimal"/>
      <w:lvlText w:val="%1."/>
      <w:lvlJc w:val="left"/>
      <w:pPr>
        <w:ind w:left="218" w:hanging="360"/>
      </w:pPr>
      <w:rPr>
        <w:rFonts w:hint="default"/>
        <w:i w:val="0"/>
        <w:iCs/>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0FB4BD5"/>
    <w:multiLevelType w:val="hybridMultilevel"/>
    <w:tmpl w:val="FEE66B40"/>
    <w:lvl w:ilvl="0" w:tplc="A008D6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452DC"/>
    <w:multiLevelType w:val="hybridMultilevel"/>
    <w:tmpl w:val="F1305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F36AC"/>
    <w:multiLevelType w:val="hybridMultilevel"/>
    <w:tmpl w:val="2778B2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33280"/>
    <w:multiLevelType w:val="hybridMultilevel"/>
    <w:tmpl w:val="21C618F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467AE"/>
    <w:multiLevelType w:val="hybridMultilevel"/>
    <w:tmpl w:val="EA485CEA"/>
    <w:lvl w:ilvl="0" w:tplc="1A244E0E">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71CDF"/>
    <w:multiLevelType w:val="hybridMultilevel"/>
    <w:tmpl w:val="B0CAE8D0"/>
    <w:lvl w:ilvl="0" w:tplc="766C871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06718"/>
    <w:multiLevelType w:val="hybridMultilevel"/>
    <w:tmpl w:val="8EF82C7A"/>
    <w:lvl w:ilvl="0" w:tplc="A2C856A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E4BE4"/>
    <w:multiLevelType w:val="hybridMultilevel"/>
    <w:tmpl w:val="553C5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BF1534"/>
    <w:multiLevelType w:val="multilevel"/>
    <w:tmpl w:val="6B5033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5D62BB"/>
    <w:multiLevelType w:val="hybridMultilevel"/>
    <w:tmpl w:val="94B21492"/>
    <w:lvl w:ilvl="0" w:tplc="C6342B2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EB1015"/>
    <w:multiLevelType w:val="hybridMultilevel"/>
    <w:tmpl w:val="CB3C74A0"/>
    <w:lvl w:ilvl="0" w:tplc="A008D6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B0730"/>
    <w:multiLevelType w:val="hybridMultilevel"/>
    <w:tmpl w:val="0DB8ABD2"/>
    <w:lvl w:ilvl="0" w:tplc="D11CA0D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37A909F8"/>
    <w:multiLevelType w:val="hybridMultilevel"/>
    <w:tmpl w:val="66B48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D3CC1"/>
    <w:multiLevelType w:val="hybridMultilevel"/>
    <w:tmpl w:val="15966690"/>
    <w:lvl w:ilvl="0" w:tplc="00000004">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3A371BB8"/>
    <w:multiLevelType w:val="hybridMultilevel"/>
    <w:tmpl w:val="695C5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542860"/>
    <w:multiLevelType w:val="hybridMultilevel"/>
    <w:tmpl w:val="2ED8857C"/>
    <w:lvl w:ilvl="0" w:tplc="A008D6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E9110E"/>
    <w:multiLevelType w:val="hybridMultilevel"/>
    <w:tmpl w:val="695C5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CE73A4"/>
    <w:multiLevelType w:val="hybridMultilevel"/>
    <w:tmpl w:val="78EC6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8B3C3C"/>
    <w:multiLevelType w:val="hybridMultilevel"/>
    <w:tmpl w:val="E7FEA6BA"/>
    <w:lvl w:ilvl="0" w:tplc="A5CC02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0A02CE"/>
    <w:multiLevelType w:val="hybridMultilevel"/>
    <w:tmpl w:val="103C2BA4"/>
    <w:lvl w:ilvl="0" w:tplc="A008D6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7241D2"/>
    <w:multiLevelType w:val="hybridMultilevel"/>
    <w:tmpl w:val="37B22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B90DD8"/>
    <w:multiLevelType w:val="hybridMultilevel"/>
    <w:tmpl w:val="78828E80"/>
    <w:lvl w:ilvl="0" w:tplc="20106FC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A61A2"/>
    <w:multiLevelType w:val="hybridMultilevel"/>
    <w:tmpl w:val="B4D859AC"/>
    <w:lvl w:ilvl="0" w:tplc="A008D6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A19F0"/>
    <w:multiLevelType w:val="hybridMultilevel"/>
    <w:tmpl w:val="60865036"/>
    <w:lvl w:ilvl="0" w:tplc="A008D6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C85324"/>
    <w:multiLevelType w:val="hybridMultilevel"/>
    <w:tmpl w:val="C7A0F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7F0625"/>
    <w:multiLevelType w:val="hybridMultilevel"/>
    <w:tmpl w:val="EF5AEE9A"/>
    <w:lvl w:ilvl="0" w:tplc="01962B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2B4A37"/>
    <w:multiLevelType w:val="hybridMultilevel"/>
    <w:tmpl w:val="37B22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A4358B"/>
    <w:multiLevelType w:val="hybridMultilevel"/>
    <w:tmpl w:val="9C4233C2"/>
    <w:lvl w:ilvl="0" w:tplc="03FADBC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1544F7"/>
    <w:multiLevelType w:val="multilevel"/>
    <w:tmpl w:val="A5726F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1288"/>
        </w:tabs>
        <w:ind w:left="1288"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b w:val="0"/>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77537780"/>
    <w:multiLevelType w:val="hybridMultilevel"/>
    <w:tmpl w:val="6E508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146A4"/>
    <w:multiLevelType w:val="hybridMultilevel"/>
    <w:tmpl w:val="695C5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890ECD"/>
    <w:multiLevelType w:val="hybridMultilevel"/>
    <w:tmpl w:val="3520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2"/>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0"/>
  </w:num>
  <w:num w:numId="7">
    <w:abstractNumId w:val="16"/>
  </w:num>
  <w:num w:numId="8">
    <w:abstractNumId w:val="19"/>
  </w:num>
  <w:num w:numId="9">
    <w:abstractNumId w:val="31"/>
  </w:num>
  <w:num w:numId="10">
    <w:abstractNumId w:val="33"/>
  </w:num>
  <w:num w:numId="11">
    <w:abstractNumId w:val="21"/>
  </w:num>
  <w:num w:numId="12">
    <w:abstractNumId w:val="17"/>
  </w:num>
  <w:num w:numId="13">
    <w:abstractNumId w:val="2"/>
  </w:num>
  <w:num w:numId="14">
    <w:abstractNumId w:val="24"/>
  </w:num>
  <w:num w:numId="15">
    <w:abstractNumId w:val="25"/>
  </w:num>
  <w:num w:numId="16">
    <w:abstractNumId w:val="9"/>
  </w:num>
  <w:num w:numId="17">
    <w:abstractNumId w:val="5"/>
  </w:num>
  <w:num w:numId="18">
    <w:abstractNumId w:val="10"/>
  </w:num>
  <w:num w:numId="19">
    <w:abstractNumId w:val="15"/>
  </w:num>
  <w:num w:numId="20">
    <w:abstractNumId w:val="13"/>
  </w:num>
  <w:num w:numId="21">
    <w:abstractNumId w:val="1"/>
  </w:num>
  <w:num w:numId="22">
    <w:abstractNumId w:val="30"/>
  </w:num>
  <w:num w:numId="23">
    <w:abstractNumId w:val="4"/>
  </w:num>
  <w:num w:numId="24">
    <w:abstractNumId w:val="22"/>
  </w:num>
  <w:num w:numId="25">
    <w:abstractNumId w:val="11"/>
  </w:num>
  <w:num w:numId="26">
    <w:abstractNumId w:val="14"/>
  </w:num>
  <w:num w:numId="27">
    <w:abstractNumId w:val="23"/>
  </w:num>
  <w:num w:numId="28">
    <w:abstractNumId w:val="7"/>
  </w:num>
  <w:num w:numId="29">
    <w:abstractNumId w:val="28"/>
  </w:num>
  <w:num w:numId="30">
    <w:abstractNumId w:val="8"/>
  </w:num>
  <w:num w:numId="31">
    <w:abstractNumId w:val="29"/>
  </w:num>
  <w:num w:numId="32">
    <w:abstractNumId w:val="3"/>
  </w:num>
  <w:num w:numId="33">
    <w:abstractNumId w:val="27"/>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BD"/>
    <w:rsid w:val="000063A7"/>
    <w:rsid w:val="00010F1D"/>
    <w:rsid w:val="00021752"/>
    <w:rsid w:val="00067EAA"/>
    <w:rsid w:val="000A0651"/>
    <w:rsid w:val="000B20FE"/>
    <w:rsid w:val="000B6230"/>
    <w:rsid w:val="000D3CE3"/>
    <w:rsid w:val="000F2DB7"/>
    <w:rsid w:val="00100E6D"/>
    <w:rsid w:val="0010152D"/>
    <w:rsid w:val="001033FE"/>
    <w:rsid w:val="00115270"/>
    <w:rsid w:val="00115EEC"/>
    <w:rsid w:val="0013584E"/>
    <w:rsid w:val="00164E6F"/>
    <w:rsid w:val="001659AE"/>
    <w:rsid w:val="00176960"/>
    <w:rsid w:val="00185BBA"/>
    <w:rsid w:val="00190F70"/>
    <w:rsid w:val="001B5256"/>
    <w:rsid w:val="001C1B95"/>
    <w:rsid w:val="001C335E"/>
    <w:rsid w:val="001D3BE4"/>
    <w:rsid w:val="001E313A"/>
    <w:rsid w:val="001F5113"/>
    <w:rsid w:val="001F6893"/>
    <w:rsid w:val="00213EEA"/>
    <w:rsid w:val="00214A7E"/>
    <w:rsid w:val="0022396F"/>
    <w:rsid w:val="00230B11"/>
    <w:rsid w:val="00247786"/>
    <w:rsid w:val="00280133"/>
    <w:rsid w:val="002B51A7"/>
    <w:rsid w:val="002D0FD4"/>
    <w:rsid w:val="002E6E3F"/>
    <w:rsid w:val="002E74F2"/>
    <w:rsid w:val="002F5B57"/>
    <w:rsid w:val="00312196"/>
    <w:rsid w:val="0031474D"/>
    <w:rsid w:val="0032243E"/>
    <w:rsid w:val="00334D8B"/>
    <w:rsid w:val="00344007"/>
    <w:rsid w:val="003539EC"/>
    <w:rsid w:val="0035446B"/>
    <w:rsid w:val="0036043E"/>
    <w:rsid w:val="003903F0"/>
    <w:rsid w:val="003D6E7F"/>
    <w:rsid w:val="003E321E"/>
    <w:rsid w:val="00407B58"/>
    <w:rsid w:val="00435031"/>
    <w:rsid w:val="00455E0E"/>
    <w:rsid w:val="00461649"/>
    <w:rsid w:val="00483F7F"/>
    <w:rsid w:val="004A047C"/>
    <w:rsid w:val="004A57EB"/>
    <w:rsid w:val="004A7899"/>
    <w:rsid w:val="004D4682"/>
    <w:rsid w:val="004F2739"/>
    <w:rsid w:val="00516B56"/>
    <w:rsid w:val="00522511"/>
    <w:rsid w:val="00534E08"/>
    <w:rsid w:val="00546236"/>
    <w:rsid w:val="00563757"/>
    <w:rsid w:val="00590AD9"/>
    <w:rsid w:val="005940BC"/>
    <w:rsid w:val="005A19C1"/>
    <w:rsid w:val="005B2A6A"/>
    <w:rsid w:val="005E1E85"/>
    <w:rsid w:val="005F7217"/>
    <w:rsid w:val="006171FE"/>
    <w:rsid w:val="00621B71"/>
    <w:rsid w:val="00625FBD"/>
    <w:rsid w:val="006337EA"/>
    <w:rsid w:val="00633D20"/>
    <w:rsid w:val="00635AC0"/>
    <w:rsid w:val="00643C87"/>
    <w:rsid w:val="00660E22"/>
    <w:rsid w:val="00673C2E"/>
    <w:rsid w:val="00690591"/>
    <w:rsid w:val="00697064"/>
    <w:rsid w:val="006D39A4"/>
    <w:rsid w:val="006E6922"/>
    <w:rsid w:val="00702B42"/>
    <w:rsid w:val="00720CED"/>
    <w:rsid w:val="00735A87"/>
    <w:rsid w:val="007407EF"/>
    <w:rsid w:val="00747D1C"/>
    <w:rsid w:val="00777CA5"/>
    <w:rsid w:val="00792ED0"/>
    <w:rsid w:val="00795E3B"/>
    <w:rsid w:val="007A061B"/>
    <w:rsid w:val="007B1168"/>
    <w:rsid w:val="007C2BE8"/>
    <w:rsid w:val="007C3546"/>
    <w:rsid w:val="007C7E80"/>
    <w:rsid w:val="007E2D84"/>
    <w:rsid w:val="00820EFC"/>
    <w:rsid w:val="00831DE8"/>
    <w:rsid w:val="00844F15"/>
    <w:rsid w:val="00851D3A"/>
    <w:rsid w:val="008638E4"/>
    <w:rsid w:val="00882098"/>
    <w:rsid w:val="008A6AD3"/>
    <w:rsid w:val="008E4BF4"/>
    <w:rsid w:val="008F4FF9"/>
    <w:rsid w:val="009222BE"/>
    <w:rsid w:val="0092337F"/>
    <w:rsid w:val="0092595F"/>
    <w:rsid w:val="00930FDF"/>
    <w:rsid w:val="0095170D"/>
    <w:rsid w:val="009553C6"/>
    <w:rsid w:val="009C32F4"/>
    <w:rsid w:val="009D005C"/>
    <w:rsid w:val="009D4428"/>
    <w:rsid w:val="009F5E4F"/>
    <w:rsid w:val="009F7AC2"/>
    <w:rsid w:val="00A0172D"/>
    <w:rsid w:val="00A40DEA"/>
    <w:rsid w:val="00A54BA3"/>
    <w:rsid w:val="00A55CD0"/>
    <w:rsid w:val="00A82E90"/>
    <w:rsid w:val="00A835DE"/>
    <w:rsid w:val="00A864B2"/>
    <w:rsid w:val="00A94F4A"/>
    <w:rsid w:val="00AC28D0"/>
    <w:rsid w:val="00AD3627"/>
    <w:rsid w:val="00B3555F"/>
    <w:rsid w:val="00B4212E"/>
    <w:rsid w:val="00B47EF9"/>
    <w:rsid w:val="00B606F2"/>
    <w:rsid w:val="00B63941"/>
    <w:rsid w:val="00B665D9"/>
    <w:rsid w:val="00B83FBF"/>
    <w:rsid w:val="00BC2AF9"/>
    <w:rsid w:val="00BE391A"/>
    <w:rsid w:val="00BE3CE2"/>
    <w:rsid w:val="00C12901"/>
    <w:rsid w:val="00C25FA4"/>
    <w:rsid w:val="00C53357"/>
    <w:rsid w:val="00C53DC9"/>
    <w:rsid w:val="00C70A47"/>
    <w:rsid w:val="00C77582"/>
    <w:rsid w:val="00C87C90"/>
    <w:rsid w:val="00CA335D"/>
    <w:rsid w:val="00CB55FC"/>
    <w:rsid w:val="00CC5604"/>
    <w:rsid w:val="00CD4EFA"/>
    <w:rsid w:val="00D61752"/>
    <w:rsid w:val="00D67497"/>
    <w:rsid w:val="00D733AF"/>
    <w:rsid w:val="00D80DC4"/>
    <w:rsid w:val="00D83148"/>
    <w:rsid w:val="00D94AE7"/>
    <w:rsid w:val="00D966FF"/>
    <w:rsid w:val="00DE4688"/>
    <w:rsid w:val="00E2266A"/>
    <w:rsid w:val="00E34142"/>
    <w:rsid w:val="00E361D5"/>
    <w:rsid w:val="00E3754A"/>
    <w:rsid w:val="00E56A8C"/>
    <w:rsid w:val="00E810D7"/>
    <w:rsid w:val="00E82896"/>
    <w:rsid w:val="00E9305D"/>
    <w:rsid w:val="00EA5730"/>
    <w:rsid w:val="00EB112D"/>
    <w:rsid w:val="00EB29E4"/>
    <w:rsid w:val="00EB2F69"/>
    <w:rsid w:val="00ED6D71"/>
    <w:rsid w:val="00EE4328"/>
    <w:rsid w:val="00EF52FE"/>
    <w:rsid w:val="00F01522"/>
    <w:rsid w:val="00F03F09"/>
    <w:rsid w:val="00F36031"/>
    <w:rsid w:val="00F57F84"/>
    <w:rsid w:val="00F617FE"/>
    <w:rsid w:val="00F7515C"/>
    <w:rsid w:val="00F77606"/>
    <w:rsid w:val="00F804C6"/>
    <w:rsid w:val="00FA01DE"/>
    <w:rsid w:val="00FB20B4"/>
    <w:rsid w:val="00FB78E5"/>
    <w:rsid w:val="00FD3B63"/>
    <w:rsid w:val="00FF4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1E85"/>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5FBD"/>
    <w:pPr>
      <w:tabs>
        <w:tab w:val="center" w:pos="4536"/>
        <w:tab w:val="right" w:pos="9072"/>
      </w:tabs>
    </w:pPr>
  </w:style>
  <w:style w:type="character" w:customStyle="1" w:styleId="NagwekZnak">
    <w:name w:val="Nagłówek Znak"/>
    <w:basedOn w:val="Domylnaczcionkaakapitu"/>
    <w:link w:val="Nagwek"/>
    <w:uiPriority w:val="99"/>
    <w:rsid w:val="00625FBD"/>
  </w:style>
  <w:style w:type="paragraph" w:styleId="Stopka">
    <w:name w:val="footer"/>
    <w:basedOn w:val="Normalny"/>
    <w:link w:val="StopkaZnak"/>
    <w:uiPriority w:val="99"/>
    <w:unhideWhenUsed/>
    <w:rsid w:val="00625FBD"/>
    <w:pPr>
      <w:tabs>
        <w:tab w:val="center" w:pos="4536"/>
        <w:tab w:val="right" w:pos="9072"/>
      </w:tabs>
    </w:pPr>
  </w:style>
  <w:style w:type="character" w:customStyle="1" w:styleId="StopkaZnak">
    <w:name w:val="Stopka Znak"/>
    <w:basedOn w:val="Domylnaczcionkaakapitu"/>
    <w:link w:val="Stopka"/>
    <w:uiPriority w:val="99"/>
    <w:rsid w:val="00625FBD"/>
  </w:style>
  <w:style w:type="paragraph" w:styleId="Tekstdymka">
    <w:name w:val="Balloon Text"/>
    <w:basedOn w:val="Normalny"/>
    <w:link w:val="TekstdymkaZnak"/>
    <w:uiPriority w:val="99"/>
    <w:semiHidden/>
    <w:unhideWhenUsed/>
    <w:rsid w:val="00625FBD"/>
    <w:rPr>
      <w:rFonts w:ascii="Tahoma" w:hAnsi="Tahoma" w:cs="Tahoma"/>
      <w:sz w:val="16"/>
      <w:szCs w:val="16"/>
    </w:rPr>
  </w:style>
  <w:style w:type="character" w:customStyle="1" w:styleId="TekstdymkaZnak">
    <w:name w:val="Tekst dymka Znak"/>
    <w:basedOn w:val="Domylnaczcionkaakapitu"/>
    <w:link w:val="Tekstdymka"/>
    <w:uiPriority w:val="99"/>
    <w:semiHidden/>
    <w:rsid w:val="00625FBD"/>
    <w:rPr>
      <w:rFonts w:ascii="Tahoma" w:hAnsi="Tahoma" w:cs="Tahoma"/>
      <w:sz w:val="16"/>
      <w:szCs w:val="16"/>
    </w:rPr>
  </w:style>
  <w:style w:type="paragraph" w:customStyle="1" w:styleId="Default">
    <w:name w:val="Default"/>
    <w:rsid w:val="005E1E85"/>
    <w:pPr>
      <w:autoSpaceDE w:val="0"/>
      <w:autoSpaceDN w:val="0"/>
      <w:adjustRightInd w:val="0"/>
      <w:spacing w:after="0" w:line="240" w:lineRule="auto"/>
    </w:pPr>
    <w:rPr>
      <w:rFonts w:ascii="Calibri" w:eastAsia="Cambria" w:hAnsi="Calibri" w:cs="Calibri"/>
      <w:color w:val="000000"/>
      <w:sz w:val="24"/>
      <w:szCs w:val="24"/>
    </w:rPr>
  </w:style>
  <w:style w:type="paragraph" w:styleId="Akapitzlist">
    <w:name w:val="List Paragraph"/>
    <w:basedOn w:val="Normalny"/>
    <w:uiPriority w:val="34"/>
    <w:qFormat/>
    <w:rsid w:val="005E1E85"/>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Odwoaniedokomentarza">
    <w:name w:val="annotation reference"/>
    <w:basedOn w:val="Domylnaczcionkaakapitu"/>
    <w:uiPriority w:val="99"/>
    <w:semiHidden/>
    <w:unhideWhenUsed/>
    <w:rsid w:val="00FD3B63"/>
    <w:rPr>
      <w:sz w:val="16"/>
      <w:szCs w:val="16"/>
    </w:rPr>
  </w:style>
  <w:style w:type="character" w:styleId="Pogrubienie">
    <w:name w:val="Strong"/>
    <w:uiPriority w:val="22"/>
    <w:qFormat/>
    <w:rsid w:val="00FD3B63"/>
    <w:rPr>
      <w:b/>
      <w:bCs/>
    </w:rPr>
  </w:style>
  <w:style w:type="paragraph" w:styleId="Tekstkomentarza">
    <w:name w:val="annotation text"/>
    <w:basedOn w:val="Normalny"/>
    <w:link w:val="TekstkomentarzaZnak"/>
    <w:uiPriority w:val="99"/>
    <w:semiHidden/>
    <w:unhideWhenUsed/>
    <w:rsid w:val="00C53DC9"/>
    <w:rPr>
      <w:sz w:val="20"/>
      <w:szCs w:val="18"/>
    </w:rPr>
  </w:style>
  <w:style w:type="character" w:customStyle="1" w:styleId="TekstkomentarzaZnak">
    <w:name w:val="Tekst komentarza Znak"/>
    <w:basedOn w:val="Domylnaczcionkaakapitu"/>
    <w:link w:val="Tekstkomentarza"/>
    <w:uiPriority w:val="99"/>
    <w:semiHidden/>
    <w:rsid w:val="00C53DC9"/>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C53DC9"/>
    <w:rPr>
      <w:b/>
      <w:bCs/>
    </w:rPr>
  </w:style>
  <w:style w:type="character" w:customStyle="1" w:styleId="TematkomentarzaZnak">
    <w:name w:val="Temat komentarza Znak"/>
    <w:basedOn w:val="TekstkomentarzaZnak"/>
    <w:link w:val="Tematkomentarza"/>
    <w:uiPriority w:val="99"/>
    <w:semiHidden/>
    <w:rsid w:val="00C53DC9"/>
    <w:rPr>
      <w:rFonts w:ascii="Times New Roman" w:eastAsia="SimSun" w:hAnsi="Times New Roman" w:cs="Mangal"/>
      <w:b/>
      <w:bCs/>
      <w:kern w:val="1"/>
      <w:sz w:val="20"/>
      <w:szCs w:val="18"/>
      <w:lang w:eastAsia="hi-IN" w:bidi="hi-IN"/>
    </w:rPr>
  </w:style>
  <w:style w:type="paragraph" w:customStyle="1" w:styleId="AOGenNum1">
    <w:name w:val="AOGenNum1"/>
    <w:basedOn w:val="Normalny"/>
    <w:next w:val="AOGenNum1Para"/>
    <w:rsid w:val="0092337F"/>
    <w:pPr>
      <w:keepNext/>
      <w:widowControl/>
      <w:numPr>
        <w:numId w:val="22"/>
      </w:numPr>
      <w:suppressAutoHyphens w:val="0"/>
      <w:spacing w:before="240" w:line="260" w:lineRule="atLeast"/>
      <w:jc w:val="both"/>
    </w:pPr>
    <w:rPr>
      <w:rFonts w:eastAsia="Calibri" w:cs="Times New Roman"/>
      <w:b/>
      <w:caps/>
      <w:kern w:val="0"/>
      <w:sz w:val="22"/>
      <w:szCs w:val="22"/>
      <w:lang w:val="en-GB" w:eastAsia="en-US" w:bidi="ar-SA"/>
    </w:rPr>
  </w:style>
  <w:style w:type="paragraph" w:customStyle="1" w:styleId="AOGenNum1List">
    <w:name w:val="AOGenNum1List"/>
    <w:basedOn w:val="AOGenNum1"/>
    <w:rsid w:val="0092337F"/>
    <w:pPr>
      <w:keepNext w:val="0"/>
      <w:numPr>
        <w:ilvl w:val="2"/>
      </w:numPr>
      <w:tabs>
        <w:tab w:val="clear" w:pos="1288"/>
        <w:tab w:val="num" w:pos="720"/>
      </w:tabs>
      <w:ind w:left="720"/>
    </w:pPr>
    <w:rPr>
      <w:b w:val="0"/>
      <w:caps w:val="0"/>
    </w:rPr>
  </w:style>
  <w:style w:type="paragraph" w:customStyle="1" w:styleId="AOGenNum1Para">
    <w:name w:val="AOGenNum1Para"/>
    <w:basedOn w:val="AOGenNum1"/>
    <w:next w:val="AOGenNum1List"/>
    <w:rsid w:val="0092337F"/>
    <w:pPr>
      <w:numPr>
        <w:ilvl w:val="1"/>
      </w:numPr>
    </w:pPr>
    <w:rPr>
      <w:caps w:val="0"/>
    </w:rPr>
  </w:style>
  <w:style w:type="paragraph" w:styleId="Tekstprzypisukocowego">
    <w:name w:val="endnote text"/>
    <w:basedOn w:val="Normalny"/>
    <w:link w:val="TekstprzypisukocowegoZnak"/>
    <w:uiPriority w:val="99"/>
    <w:semiHidden/>
    <w:unhideWhenUsed/>
    <w:rsid w:val="00100E6D"/>
    <w:rPr>
      <w:sz w:val="20"/>
      <w:szCs w:val="18"/>
    </w:rPr>
  </w:style>
  <w:style w:type="character" w:customStyle="1" w:styleId="TekstprzypisukocowegoZnak">
    <w:name w:val="Tekst przypisu końcowego Znak"/>
    <w:basedOn w:val="Domylnaczcionkaakapitu"/>
    <w:link w:val="Tekstprzypisukocowego"/>
    <w:uiPriority w:val="99"/>
    <w:semiHidden/>
    <w:rsid w:val="00100E6D"/>
    <w:rPr>
      <w:rFonts w:ascii="Times New Roman" w:eastAsia="SimSun"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100E6D"/>
    <w:rPr>
      <w:vertAlign w:val="superscript"/>
    </w:rPr>
  </w:style>
  <w:style w:type="character" w:styleId="Hipercze">
    <w:name w:val="Hyperlink"/>
    <w:basedOn w:val="Domylnaczcionkaakapitu"/>
    <w:uiPriority w:val="99"/>
    <w:unhideWhenUsed/>
    <w:rsid w:val="001D3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ligacje@vividgam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DE5CF-226C-4599-9A9E-3AB487F6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10674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2019-10-25T09:26:00Z</dcterms:created>
  <dcterms:modified xsi:type="dcterms:W3CDTF">2019-10-25T13:36:00Z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580558-2683-40bf-bd3c-5277d4f016e9_Enabled">
    <vt:lpwstr>True</vt:lpwstr>
  </property>
  <property fmtid="{D5CDD505-2E9C-101B-9397-08002B2CF9AE}" pid="3" name="MSIP_Label_0b580558-2683-40bf-bd3c-5277d4f016e9_SiteId">
    <vt:lpwstr>37cb3d29-6dcc-4858-b0cf-cfc44b3d6688</vt:lpwstr>
  </property>
  <property fmtid="{D5CDD505-2E9C-101B-9397-08002B2CF9AE}" pid="4" name="MSIP_Label_0b580558-2683-40bf-bd3c-5277d4f016e9_Owner">
    <vt:lpwstr>Dawid.Brudzisz@ssw.solutions</vt:lpwstr>
  </property>
  <property fmtid="{D5CDD505-2E9C-101B-9397-08002B2CF9AE}" pid="5" name="MSIP_Label_0b580558-2683-40bf-bd3c-5277d4f016e9_SetDate">
    <vt:lpwstr>2019-10-23T20:10:02.0440970Z</vt:lpwstr>
  </property>
  <property fmtid="{D5CDD505-2E9C-101B-9397-08002B2CF9AE}" pid="6" name="MSIP_Label_0b580558-2683-40bf-bd3c-5277d4f016e9_Name">
    <vt:lpwstr>Publish</vt:lpwstr>
  </property>
  <property fmtid="{D5CDD505-2E9C-101B-9397-08002B2CF9AE}" pid="7" name="MSIP_Label_0b580558-2683-40bf-bd3c-5277d4f016e9_Application">
    <vt:lpwstr>Microsoft Azure Information Protection</vt:lpwstr>
  </property>
  <property fmtid="{D5CDD505-2E9C-101B-9397-08002B2CF9AE}" pid="8" name="MSIP_Label_0b580558-2683-40bf-bd3c-5277d4f016e9_ActionId">
    <vt:lpwstr>87b3e606-051a-40dd-b2a4-19d10ff55e71</vt:lpwstr>
  </property>
  <property fmtid="{D5CDD505-2E9C-101B-9397-08002B2CF9AE}" pid="9" name="MSIP_Label_0b580558-2683-40bf-bd3c-5277d4f016e9_Extended_MSFT_Method">
    <vt:lpwstr>Automatic</vt:lpwstr>
  </property>
  <property fmtid="{D5CDD505-2E9C-101B-9397-08002B2CF9AE}" pid="10" name="Sensitivity">
    <vt:lpwstr>Publish</vt:lpwstr>
  </property>
</Properties>
</file>