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99" w:rsidRPr="001D5F3C" w:rsidRDefault="00BC0999" w:rsidP="00BC0999">
      <w:pPr>
        <w:pStyle w:val="Nagwek1"/>
        <w:jc w:val="left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 xml:space="preserve">Projekt Uchwały </w:t>
      </w:r>
    </w:p>
    <w:p w:rsidR="00BC0999" w:rsidRPr="001D5F3C" w:rsidRDefault="00BC0999" w:rsidP="00BC0999">
      <w:pPr>
        <w:rPr>
          <w:sz w:val="20"/>
          <w:szCs w:val="20"/>
        </w:rPr>
      </w:pPr>
      <w:r w:rsidRPr="001D5F3C">
        <w:rPr>
          <w:sz w:val="20"/>
          <w:szCs w:val="20"/>
        </w:rPr>
        <w:t>do pkt 1 porządku obrad</w:t>
      </w: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>Projekt Uchwały nr 1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  <w:r w:rsidRPr="001D5F3C">
        <w:rPr>
          <w:sz w:val="20"/>
          <w:szCs w:val="20"/>
        </w:rPr>
        <w:t>w sprawie wyboru Przewodniczącego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 xml:space="preserve">Na podstawie art. 409 § 1 Kodeksu spółek handlowych oraz § 5 Regulaminu Obrad Walnego Zgromadzenia, Nadzwyczajne Walne Zgromadzenie wybiera na Przewodniczącego Walnego Zgromadzenia  ………………….…………...................................... . </w:t>
      </w:r>
    </w:p>
    <w:p w:rsidR="00BC0999" w:rsidRPr="001D5F3C" w:rsidRDefault="00BC0999" w:rsidP="00BC0999">
      <w:pPr>
        <w:jc w:val="both"/>
        <w:rPr>
          <w:i/>
          <w:sz w:val="20"/>
          <w:szCs w:val="20"/>
          <w:u w:val="single"/>
        </w:rPr>
      </w:pPr>
    </w:p>
    <w:p w:rsidR="00BC0999" w:rsidRPr="001D5F3C" w:rsidRDefault="00BC0999" w:rsidP="00BC0999">
      <w:pPr>
        <w:jc w:val="both"/>
        <w:rPr>
          <w:i/>
          <w:sz w:val="20"/>
          <w:szCs w:val="20"/>
          <w:u w:val="single"/>
        </w:rPr>
      </w:pPr>
    </w:p>
    <w:p w:rsidR="00BC0999" w:rsidRPr="001D5F3C" w:rsidRDefault="00BC0999" w:rsidP="00BC0999">
      <w:pPr>
        <w:pStyle w:val="Nagwek1"/>
        <w:tabs>
          <w:tab w:val="left" w:pos="5350"/>
        </w:tabs>
        <w:jc w:val="left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 xml:space="preserve">Projekt Uchwały </w:t>
      </w:r>
      <w:r w:rsidRPr="001D5F3C">
        <w:rPr>
          <w:rFonts w:ascii="Arial" w:hAnsi="Arial" w:cs="Arial"/>
          <w:sz w:val="20"/>
        </w:rPr>
        <w:tab/>
      </w:r>
    </w:p>
    <w:p w:rsidR="00BC0999" w:rsidRPr="001D5F3C" w:rsidRDefault="00BC0999" w:rsidP="00BC0999">
      <w:pPr>
        <w:rPr>
          <w:sz w:val="20"/>
          <w:szCs w:val="20"/>
        </w:rPr>
      </w:pPr>
      <w:r w:rsidRPr="001D5F3C">
        <w:rPr>
          <w:sz w:val="20"/>
          <w:szCs w:val="20"/>
        </w:rPr>
        <w:t>do pkt 3 porządku obrad</w:t>
      </w: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</w:p>
    <w:p w:rsidR="00BC0999" w:rsidRPr="001D5F3C" w:rsidRDefault="00BC0999" w:rsidP="00BC0999">
      <w:pPr>
        <w:pStyle w:val="Nagwek1"/>
        <w:jc w:val="left"/>
        <w:rPr>
          <w:rFonts w:ascii="Arial" w:hAnsi="Arial" w:cs="Arial"/>
          <w:sz w:val="20"/>
        </w:rPr>
      </w:pP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>Projekt Uchwały nr 2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  <w:r w:rsidRPr="001D5F3C">
        <w:rPr>
          <w:sz w:val="20"/>
          <w:szCs w:val="20"/>
        </w:rPr>
        <w:t>w sprawie wyboru Komisji Skrutacyjnej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Na podstawie Zarządzenia Przewodniczącego Walnego Zgromadzenia wydanego w oparciu o § 9 Regulaminu Obrad Walnego Zgromadzenia na wniosek następujących akcjonariuszy: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1. ……………………………………………………………….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2. ……………………………………………………………….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………………………………………………………………….,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Nadzwyczajne Walne Zgromadzenie dokonało wyboru Komisji Skrutacyjnej w składzie: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1) ……………………………………………………………….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2) ……………………………………………………………….</w:t>
      </w:r>
    </w:p>
    <w:p w:rsidR="00BC0999" w:rsidRPr="001D5F3C" w:rsidRDefault="00BC0999" w:rsidP="00BC0999">
      <w:pPr>
        <w:jc w:val="both"/>
        <w:rPr>
          <w:sz w:val="20"/>
          <w:szCs w:val="20"/>
        </w:rPr>
      </w:pPr>
      <w:r w:rsidRPr="001D5F3C">
        <w:rPr>
          <w:sz w:val="20"/>
          <w:szCs w:val="20"/>
        </w:rPr>
        <w:t>3) ………………………………………………………………. .</w:t>
      </w:r>
    </w:p>
    <w:p w:rsidR="00BC0999" w:rsidRPr="001D5F3C" w:rsidRDefault="00BC0999" w:rsidP="00BC0999">
      <w:pPr>
        <w:jc w:val="both"/>
        <w:rPr>
          <w:i/>
          <w:sz w:val="20"/>
          <w:szCs w:val="20"/>
          <w:u w:val="single"/>
        </w:rPr>
      </w:pPr>
    </w:p>
    <w:p w:rsidR="00BC0999" w:rsidRPr="001D5F3C" w:rsidRDefault="00BC0999" w:rsidP="00BC0999">
      <w:pPr>
        <w:jc w:val="both"/>
        <w:rPr>
          <w:i/>
          <w:sz w:val="20"/>
          <w:szCs w:val="20"/>
          <w:u w:val="single"/>
        </w:rPr>
      </w:pPr>
    </w:p>
    <w:p w:rsidR="00BC0999" w:rsidRPr="001D5F3C" w:rsidRDefault="00BC0999" w:rsidP="00BC0999">
      <w:pPr>
        <w:pStyle w:val="Nagwek1"/>
        <w:jc w:val="left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 xml:space="preserve">Projekt Uchwały </w:t>
      </w:r>
    </w:p>
    <w:p w:rsidR="00BC0999" w:rsidRPr="001D5F3C" w:rsidRDefault="00BC0999" w:rsidP="00BC0999">
      <w:pPr>
        <w:rPr>
          <w:sz w:val="20"/>
          <w:szCs w:val="20"/>
        </w:rPr>
      </w:pPr>
      <w:r w:rsidRPr="001D5F3C">
        <w:rPr>
          <w:sz w:val="20"/>
          <w:szCs w:val="20"/>
        </w:rPr>
        <w:t>do pkt 4 porządku obrad</w:t>
      </w: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>Projekt Uchwały nr 3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  <w:r w:rsidRPr="001D5F3C">
        <w:rPr>
          <w:sz w:val="20"/>
          <w:szCs w:val="20"/>
        </w:rPr>
        <w:t>w sprawie przyjęcia porządku obrad</w:t>
      </w:r>
    </w:p>
    <w:p w:rsidR="00BC0999" w:rsidRPr="001D5F3C" w:rsidRDefault="00BC0999" w:rsidP="00BC0999">
      <w:pPr>
        <w:jc w:val="center"/>
        <w:rPr>
          <w:sz w:val="20"/>
          <w:szCs w:val="20"/>
        </w:rPr>
      </w:pPr>
    </w:p>
    <w:p w:rsidR="00BC0999" w:rsidRPr="00F23950" w:rsidRDefault="00BC0999" w:rsidP="00F23950">
      <w:pPr>
        <w:jc w:val="both"/>
        <w:rPr>
          <w:sz w:val="20"/>
          <w:szCs w:val="20"/>
        </w:rPr>
      </w:pPr>
      <w:r w:rsidRPr="00F23950">
        <w:rPr>
          <w:sz w:val="20"/>
          <w:szCs w:val="20"/>
        </w:rPr>
        <w:t>Nadzwyczajne Walne Zgromadzenie przyjmuje następujący porządek obrad:</w:t>
      </w:r>
    </w:p>
    <w:p w:rsidR="00BC0999" w:rsidRPr="00F23950" w:rsidRDefault="00BC0999" w:rsidP="00F23950">
      <w:pPr>
        <w:jc w:val="both"/>
        <w:rPr>
          <w:sz w:val="20"/>
          <w:szCs w:val="20"/>
        </w:rPr>
      </w:pPr>
    </w:p>
    <w:tbl>
      <w:tblPr>
        <w:tblW w:w="5372" w:type="pct"/>
        <w:tblInd w:w="-336" w:type="dxa"/>
        <w:tblLook w:val="04A0" w:firstRow="1" w:lastRow="0" w:firstColumn="1" w:lastColumn="0" w:noHBand="0" w:noVBand="1"/>
      </w:tblPr>
      <w:tblGrid>
        <w:gridCol w:w="10233"/>
      </w:tblGrid>
      <w:tr w:rsidR="00F23950" w:rsidRPr="00F23950" w:rsidTr="00326B01">
        <w:trPr>
          <w:trHeight w:val="213"/>
        </w:trPr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1"/>
                <w:numId w:val="8"/>
              </w:numPr>
              <w:ind w:left="380" w:hanging="152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Otwarcie Walnego Zgromadzenia i wybór przewodniczącego Walnego Zgromadzenia</w:t>
            </w:r>
            <w:r w:rsidR="00A57FAE">
              <w:rPr>
                <w:sz w:val="20"/>
                <w:szCs w:val="20"/>
              </w:rPr>
              <w:t>.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1"/>
                <w:numId w:val="8"/>
              </w:numPr>
              <w:ind w:left="380" w:hanging="152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Stwierdzenie prawidłowości zwołania Walnego Zgromadzenia i jego zdolności do podejmowania uchwał.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1"/>
                <w:numId w:val="8"/>
              </w:numPr>
              <w:ind w:left="380" w:hanging="152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Wybór Komisji Skrutacyjnej na wniosek akcjonariuszy.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1"/>
                <w:numId w:val="8"/>
              </w:numPr>
              <w:ind w:left="380" w:hanging="152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Przyjęcie porządku obrad.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1"/>
                <w:numId w:val="8"/>
              </w:numPr>
              <w:ind w:left="380" w:hanging="152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Podjęcie uchwał w przedmiocie: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2"/>
                <w:numId w:val="8"/>
              </w:numPr>
              <w:ind w:left="993" w:hanging="284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wyrażenia zgody na sprzedaż zorganizowanej części przedsiębiorstwa spółki „Orbis” S.A. w postaci „Departamentu Usług”;</w:t>
            </w:r>
          </w:p>
        </w:tc>
      </w:tr>
      <w:tr w:rsidR="00F23950" w:rsidRPr="00F23950" w:rsidTr="00326B01">
        <w:tc>
          <w:tcPr>
            <w:tcW w:w="2500" w:type="pct"/>
            <w:shd w:val="clear" w:color="auto" w:fill="auto"/>
          </w:tcPr>
          <w:p w:rsidR="00F23950" w:rsidRPr="00F23950" w:rsidRDefault="00F23950" w:rsidP="00F23950">
            <w:pPr>
              <w:pStyle w:val="Akapitzlist"/>
              <w:numPr>
                <w:ilvl w:val="2"/>
                <w:numId w:val="8"/>
              </w:numPr>
              <w:ind w:left="993" w:hanging="284"/>
              <w:jc w:val="both"/>
              <w:rPr>
                <w:sz w:val="20"/>
                <w:szCs w:val="20"/>
              </w:rPr>
            </w:pPr>
            <w:r w:rsidRPr="00F23950">
              <w:rPr>
                <w:sz w:val="20"/>
                <w:szCs w:val="20"/>
              </w:rPr>
              <w:t>zmiany statutu Spółki i utworzenia kapitału rezerwowego.</w:t>
            </w:r>
          </w:p>
        </w:tc>
      </w:tr>
    </w:tbl>
    <w:p w:rsidR="001D5F3C" w:rsidRPr="00F23950" w:rsidRDefault="001D5F3C" w:rsidP="00F23950">
      <w:pPr>
        <w:pStyle w:val="Nagwek1"/>
        <w:ind w:left="993" w:hanging="284"/>
        <w:jc w:val="left"/>
        <w:rPr>
          <w:rFonts w:ascii="Arial" w:hAnsi="Arial" w:cs="Arial"/>
          <w:sz w:val="20"/>
        </w:rPr>
      </w:pPr>
    </w:p>
    <w:p w:rsidR="00BC0999" w:rsidRPr="001D5F3C" w:rsidRDefault="00BC0999" w:rsidP="00BC0999">
      <w:pPr>
        <w:pStyle w:val="Nagwek1"/>
        <w:jc w:val="left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>Projekt</w:t>
      </w:r>
      <w:r w:rsidR="004F67BD">
        <w:rPr>
          <w:rFonts w:ascii="Arial" w:hAnsi="Arial" w:cs="Arial"/>
          <w:sz w:val="20"/>
        </w:rPr>
        <w:t>y Uchwał</w:t>
      </w:r>
      <w:r w:rsidRPr="001D5F3C">
        <w:rPr>
          <w:rFonts w:ascii="Arial" w:hAnsi="Arial" w:cs="Arial"/>
          <w:sz w:val="20"/>
        </w:rPr>
        <w:t xml:space="preserve"> </w:t>
      </w:r>
    </w:p>
    <w:p w:rsidR="00BC0999" w:rsidRPr="001D5F3C" w:rsidRDefault="00BC0999" w:rsidP="00BC0999">
      <w:pPr>
        <w:rPr>
          <w:sz w:val="20"/>
          <w:szCs w:val="20"/>
        </w:rPr>
      </w:pPr>
      <w:r w:rsidRPr="001D5F3C">
        <w:rPr>
          <w:sz w:val="20"/>
          <w:szCs w:val="20"/>
        </w:rPr>
        <w:t>do pkt 5 porządku obrad</w:t>
      </w:r>
    </w:p>
    <w:p w:rsidR="00BC0999" w:rsidRPr="001D5F3C" w:rsidRDefault="00BC0999" w:rsidP="00BC0999">
      <w:pPr>
        <w:pStyle w:val="Nagwek1"/>
        <w:rPr>
          <w:rFonts w:ascii="Arial" w:hAnsi="Arial" w:cs="Arial"/>
          <w:sz w:val="20"/>
        </w:rPr>
      </w:pPr>
    </w:p>
    <w:p w:rsidR="006D774A" w:rsidRDefault="00BC0999" w:rsidP="006D774A">
      <w:pPr>
        <w:pStyle w:val="Nagwek1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>Projekt Uchwały nr 4</w:t>
      </w:r>
    </w:p>
    <w:p w:rsidR="00902E75" w:rsidRPr="006D774A" w:rsidRDefault="001D5F3C" w:rsidP="006D774A">
      <w:pPr>
        <w:pStyle w:val="Nagwek1"/>
        <w:rPr>
          <w:rFonts w:ascii="Arial" w:hAnsi="Arial" w:cs="Arial"/>
          <w:sz w:val="20"/>
        </w:rPr>
      </w:pPr>
      <w:r w:rsidRPr="001D5F3C">
        <w:rPr>
          <w:rFonts w:ascii="Arial" w:hAnsi="Arial" w:cs="Arial"/>
          <w:sz w:val="20"/>
        </w:rPr>
        <w:t xml:space="preserve">w przedmiocie wyrażenia zgody na sprzedaż zorganizowanej części przedsiębiorstwa spółki </w:t>
      </w:r>
      <w:r w:rsidR="001B1F0C">
        <w:rPr>
          <w:rFonts w:ascii="Arial" w:hAnsi="Arial" w:cs="Arial"/>
          <w:sz w:val="20"/>
        </w:rPr>
        <w:t>„</w:t>
      </w:r>
      <w:r w:rsidRPr="001D5F3C">
        <w:rPr>
          <w:rFonts w:ascii="Arial" w:hAnsi="Arial" w:cs="Arial"/>
          <w:sz w:val="20"/>
        </w:rPr>
        <w:t>Orbis</w:t>
      </w:r>
      <w:r w:rsidR="001B1F0C">
        <w:rPr>
          <w:rFonts w:ascii="Arial" w:hAnsi="Arial" w:cs="Arial"/>
          <w:sz w:val="20"/>
        </w:rPr>
        <w:t>”</w:t>
      </w:r>
      <w:r w:rsidR="006D774A">
        <w:rPr>
          <w:rFonts w:ascii="Arial" w:hAnsi="Arial" w:cs="Arial"/>
          <w:sz w:val="20"/>
        </w:rPr>
        <w:t xml:space="preserve"> S.A w </w:t>
      </w:r>
      <w:r w:rsidRPr="001D5F3C">
        <w:rPr>
          <w:rFonts w:ascii="Arial" w:hAnsi="Arial" w:cs="Arial"/>
          <w:sz w:val="20"/>
        </w:rPr>
        <w:t>postaci „Departamentu Usług”</w:t>
      </w:r>
    </w:p>
    <w:p w:rsidR="006D774A" w:rsidRDefault="006D774A" w:rsidP="001D5F3C">
      <w:pPr>
        <w:pStyle w:val="Tytu"/>
        <w:spacing w:before="120" w:after="120" w:line="300" w:lineRule="exact"/>
        <w:rPr>
          <w:rFonts w:ascii="Arial" w:hAnsi="Arial" w:cs="Arial"/>
          <w:b w:val="0"/>
          <w:bCs/>
          <w:sz w:val="20"/>
          <w:u w:val="none"/>
        </w:rPr>
      </w:pPr>
    </w:p>
    <w:p w:rsidR="001D5F3C" w:rsidRPr="001D5F3C" w:rsidRDefault="001D5F3C" w:rsidP="001D5F3C">
      <w:pPr>
        <w:pStyle w:val="Tytu"/>
        <w:spacing w:before="120" w:after="120" w:line="300" w:lineRule="exact"/>
        <w:rPr>
          <w:rFonts w:ascii="Arial" w:hAnsi="Arial" w:cs="Arial"/>
          <w:b w:val="0"/>
          <w:sz w:val="20"/>
          <w:u w:val="none"/>
        </w:rPr>
      </w:pPr>
      <w:r w:rsidRPr="001D5F3C">
        <w:rPr>
          <w:rFonts w:ascii="Arial" w:hAnsi="Arial" w:cs="Arial"/>
          <w:b w:val="0"/>
          <w:bCs/>
          <w:sz w:val="20"/>
          <w:u w:val="none"/>
        </w:rPr>
        <w:t>§1</w:t>
      </w:r>
    </w:p>
    <w:p w:rsidR="001D5F3C" w:rsidRPr="001D5F3C" w:rsidRDefault="001D5F3C" w:rsidP="001D5F3C">
      <w:pPr>
        <w:pStyle w:val="Tytu"/>
        <w:spacing w:before="120" w:after="120" w:line="300" w:lineRule="exact"/>
        <w:jc w:val="both"/>
        <w:rPr>
          <w:rFonts w:ascii="Arial" w:hAnsi="Arial" w:cs="Arial"/>
          <w:b w:val="0"/>
          <w:color w:val="000000"/>
          <w:spacing w:val="-2"/>
          <w:sz w:val="20"/>
          <w:u w:val="none"/>
        </w:rPr>
      </w:pPr>
      <w:r w:rsidRPr="001D5F3C">
        <w:rPr>
          <w:rFonts w:ascii="Arial" w:hAnsi="Arial" w:cs="Arial"/>
          <w:b w:val="0"/>
          <w:sz w:val="20"/>
          <w:u w:val="none"/>
        </w:rPr>
        <w:t xml:space="preserve">Działając na podstawie § 29 ust. 3 Statutu spółki </w:t>
      </w:r>
      <w:r w:rsidR="001B1F0C">
        <w:rPr>
          <w:rFonts w:ascii="Arial" w:hAnsi="Arial" w:cs="Arial"/>
          <w:b w:val="0"/>
          <w:sz w:val="20"/>
          <w:u w:val="none"/>
        </w:rPr>
        <w:t>„</w:t>
      </w:r>
      <w:r w:rsidRPr="001D5F3C">
        <w:rPr>
          <w:rFonts w:ascii="Arial" w:hAnsi="Arial" w:cs="Arial"/>
          <w:b w:val="0"/>
          <w:sz w:val="20"/>
          <w:u w:val="none"/>
        </w:rPr>
        <w:t>Orbis</w:t>
      </w:r>
      <w:r w:rsidR="001B1F0C">
        <w:rPr>
          <w:rFonts w:ascii="Arial" w:hAnsi="Arial" w:cs="Arial"/>
          <w:b w:val="0"/>
          <w:sz w:val="20"/>
          <w:u w:val="none"/>
        </w:rPr>
        <w:t>”</w:t>
      </w:r>
      <w:r w:rsidRPr="001D5F3C">
        <w:rPr>
          <w:rFonts w:ascii="Arial" w:hAnsi="Arial" w:cs="Arial"/>
          <w:b w:val="0"/>
          <w:sz w:val="20"/>
          <w:u w:val="none"/>
        </w:rPr>
        <w:t xml:space="preserve"> S.A. z siedzibą w Warszawie przy ul. Brackiej 16, 00-028 Warszawa, wpisanej do rejestru przedsiębiorców Krajowego Rejestru Sądowego prowadzonego przez Sąd Rejonowy dla m. st. Warszawy w Warszawie, XII Wydział Gospodarczy Krajowego Rejestru </w:t>
      </w:r>
      <w:r w:rsidRPr="001D5F3C">
        <w:rPr>
          <w:rFonts w:ascii="Arial" w:hAnsi="Arial" w:cs="Arial"/>
          <w:b w:val="0"/>
          <w:sz w:val="20"/>
          <w:u w:val="none"/>
        </w:rPr>
        <w:lastRenderedPageBreak/>
        <w:t>Sądowego pod numerem KRS 0000022622 („</w:t>
      </w:r>
      <w:r w:rsidRPr="001D5F3C">
        <w:rPr>
          <w:rFonts w:ascii="Arial" w:hAnsi="Arial" w:cs="Arial"/>
          <w:sz w:val="20"/>
          <w:u w:val="none"/>
        </w:rPr>
        <w:t>Spółka</w:t>
      </w:r>
      <w:r w:rsidRPr="001D5F3C">
        <w:rPr>
          <w:rFonts w:ascii="Arial" w:hAnsi="Arial" w:cs="Arial"/>
          <w:b w:val="0"/>
          <w:sz w:val="20"/>
          <w:u w:val="none"/>
        </w:rPr>
        <w:t xml:space="preserve">”) oraz art. 393 pkt 3) ustawy z dnia 15 września </w:t>
      </w:r>
      <w:r w:rsidR="006D774A">
        <w:rPr>
          <w:rFonts w:ascii="Arial" w:hAnsi="Arial" w:cs="Arial"/>
          <w:b w:val="0"/>
          <w:sz w:val="20"/>
          <w:u w:val="none"/>
        </w:rPr>
        <w:br/>
      </w:r>
      <w:r w:rsidRPr="001D5F3C">
        <w:rPr>
          <w:rFonts w:ascii="Arial" w:hAnsi="Arial" w:cs="Arial"/>
          <w:b w:val="0"/>
          <w:sz w:val="20"/>
          <w:u w:val="none"/>
        </w:rPr>
        <w:t>2000 r. – Kodeks spółek handlowych, Nadzwyczajne Walne Zgromadzenie Spółki niniejszym wyraża zgodę na sprzedaż przez Spółkę na rzecz Accor Services Poland sp. z o.o. z siedzibą w Warszawie, przy ul. Brackiej 16, 00-028 Warszawa, wpisanej do rejestru przedsiębiorców Krajowego Rejestru Sądowego prowadzonego przez Sąd Rejonowy dla m.st. Warszawy w Warszawie, XII Wydział Gospodarczy Krajowego Rejestru Sądowego, pod numerem KRS 0000785725 („</w:t>
      </w:r>
      <w:r w:rsidRPr="001D5F3C">
        <w:rPr>
          <w:rFonts w:ascii="Arial" w:hAnsi="Arial" w:cs="Arial"/>
          <w:sz w:val="20"/>
          <w:u w:val="none"/>
        </w:rPr>
        <w:t>Nabywca</w:t>
      </w:r>
      <w:r w:rsidRPr="001D5F3C">
        <w:rPr>
          <w:rFonts w:ascii="Arial" w:hAnsi="Arial" w:cs="Arial"/>
          <w:b w:val="0"/>
          <w:sz w:val="20"/>
          <w:u w:val="none"/>
        </w:rPr>
        <w:t>”), za cenę 579.624.000 zł</w:t>
      </w:r>
      <w:r w:rsidR="00BD6B86">
        <w:rPr>
          <w:rFonts w:ascii="Arial" w:hAnsi="Arial" w:cs="Arial"/>
          <w:b w:val="0"/>
          <w:sz w:val="20"/>
          <w:u w:val="none"/>
        </w:rPr>
        <w:t>otych</w:t>
      </w:r>
      <w:r w:rsidRPr="001D5F3C">
        <w:rPr>
          <w:rFonts w:ascii="Arial" w:hAnsi="Arial" w:cs="Arial"/>
          <w:b w:val="0"/>
          <w:sz w:val="20"/>
          <w:u w:val="none"/>
        </w:rPr>
        <w:t xml:space="preserve"> (pięciuset siedemdziesięciu dziewięciu milionów sześciuset dwudziestu czterech tysięcy złotych), wyodrębnionej w strukturze Spółki zorganizowanej części przedsiębiorstwa, w rozumieniu art. 4a) pkt 4 ustawy z dnia 15 lutego 1992 r. o podatku dochodowym od osób prawnych oraz art. 2 pkt 27e) ustawy z dnia 11 marca 2004 r. o podatku od towarów i usług, w postaci „</w:t>
      </w:r>
      <w:r w:rsidRPr="001D5F3C">
        <w:rPr>
          <w:rFonts w:ascii="Arial" w:hAnsi="Arial" w:cs="Arial"/>
          <w:sz w:val="20"/>
          <w:u w:val="none"/>
        </w:rPr>
        <w:t>Departamentu Usług</w:t>
      </w:r>
      <w:r w:rsidRPr="001D5F3C">
        <w:rPr>
          <w:rFonts w:ascii="Arial" w:hAnsi="Arial" w:cs="Arial"/>
          <w:b w:val="0"/>
          <w:sz w:val="20"/>
          <w:u w:val="none"/>
        </w:rPr>
        <w:t>”</w:t>
      </w:r>
      <w:r w:rsidRPr="001D5F3C">
        <w:rPr>
          <w:rFonts w:ascii="Arial" w:hAnsi="Arial" w:cs="Arial"/>
          <w:b w:val="0"/>
          <w:color w:val="000000"/>
          <w:spacing w:val="-2"/>
          <w:sz w:val="20"/>
          <w:u w:val="none"/>
        </w:rPr>
        <w:t>, którego główne funkcje dotyczą:</w:t>
      </w:r>
    </w:p>
    <w:p w:rsidR="001D5F3C" w:rsidRPr="001D5F3C" w:rsidRDefault="001D5F3C" w:rsidP="001D5F3C">
      <w:pPr>
        <w:pStyle w:val="Akapitzlist"/>
        <w:numPr>
          <w:ilvl w:val="0"/>
          <w:numId w:val="4"/>
        </w:numPr>
        <w:shd w:val="clear" w:color="auto" w:fill="FFFFFF"/>
        <w:spacing w:before="120" w:after="120" w:line="300" w:lineRule="exact"/>
        <w:ind w:right="34"/>
        <w:jc w:val="both"/>
        <w:rPr>
          <w:sz w:val="20"/>
          <w:szCs w:val="20"/>
        </w:rPr>
      </w:pPr>
      <w:r w:rsidRPr="001D5F3C">
        <w:rPr>
          <w:sz w:val="20"/>
          <w:szCs w:val="20"/>
        </w:rPr>
        <w:t>wykorzystywania licencji udzielonych Spółce na używanie m.in. wybranych znaków towarowych i marek hotelarskich należących do grupy kapitałowej, której podmiotem dominującym jest spółka Accor S.A. z siedzibą w Issy-les-Moulineaux, 82, rue Henri Farman, 92130 Issy-les-Moulineaux, Francja, wpisanej do Rejestru Handlu i Spółek (</w:t>
      </w:r>
      <w:r w:rsidRPr="001D5F3C">
        <w:rPr>
          <w:i/>
          <w:sz w:val="20"/>
          <w:szCs w:val="20"/>
        </w:rPr>
        <w:t>Registre du commerce et des sociétés</w:t>
      </w:r>
      <w:r w:rsidRPr="001D5F3C">
        <w:rPr>
          <w:sz w:val="20"/>
          <w:szCs w:val="20"/>
        </w:rPr>
        <w:t>) pod numerem RCS NANTERRE B 602 036 444 („</w:t>
      </w:r>
      <w:r w:rsidRPr="001D5F3C">
        <w:rPr>
          <w:b/>
          <w:sz w:val="20"/>
          <w:szCs w:val="20"/>
        </w:rPr>
        <w:t>Accor</w:t>
      </w:r>
      <w:r w:rsidRPr="001D5F3C">
        <w:rPr>
          <w:sz w:val="20"/>
          <w:szCs w:val="20"/>
        </w:rPr>
        <w:t>”, „</w:t>
      </w:r>
      <w:r w:rsidRPr="001D5F3C">
        <w:rPr>
          <w:b/>
          <w:sz w:val="20"/>
          <w:szCs w:val="20"/>
        </w:rPr>
        <w:t>Grupa Accor</w:t>
      </w:r>
      <w:r w:rsidRPr="001D5F3C">
        <w:rPr>
          <w:sz w:val="20"/>
          <w:szCs w:val="20"/>
        </w:rPr>
        <w:t>”), jak również projektów przestrzeni wspólnych i know-how opracowanych przez Grupę Accor,</w:t>
      </w:r>
    </w:p>
    <w:p w:rsidR="001D5F3C" w:rsidRPr="001D5F3C" w:rsidRDefault="001D5F3C" w:rsidP="001D5F3C">
      <w:pPr>
        <w:pStyle w:val="Akapitzlist"/>
        <w:numPr>
          <w:ilvl w:val="0"/>
          <w:numId w:val="4"/>
        </w:numPr>
        <w:shd w:val="clear" w:color="auto" w:fill="FFFFFF"/>
        <w:spacing w:before="120" w:after="120" w:line="300" w:lineRule="exact"/>
        <w:ind w:left="368" w:right="34" w:hanging="357"/>
        <w:jc w:val="both"/>
        <w:rPr>
          <w:sz w:val="20"/>
          <w:szCs w:val="20"/>
        </w:rPr>
      </w:pPr>
      <w:r w:rsidRPr="001D5F3C">
        <w:rPr>
          <w:sz w:val="20"/>
          <w:szCs w:val="20"/>
        </w:rPr>
        <w:t>zawierania i wykonywania umów franczyzy („</w:t>
      </w:r>
      <w:r w:rsidRPr="001D5F3C">
        <w:rPr>
          <w:b/>
          <w:sz w:val="20"/>
          <w:szCs w:val="20"/>
        </w:rPr>
        <w:t>Umowy FA</w:t>
      </w:r>
      <w:r w:rsidRPr="001D5F3C">
        <w:rPr>
          <w:sz w:val="20"/>
          <w:szCs w:val="20"/>
        </w:rPr>
        <w:t>”) i/lub umów o zarządzanie hotelami („</w:t>
      </w:r>
      <w:r w:rsidRPr="001D5F3C">
        <w:rPr>
          <w:b/>
          <w:sz w:val="20"/>
          <w:szCs w:val="20"/>
        </w:rPr>
        <w:t>Umowy HMA</w:t>
      </w:r>
      <w:r w:rsidRPr="001D5F3C">
        <w:rPr>
          <w:sz w:val="20"/>
          <w:szCs w:val="20"/>
        </w:rPr>
        <w:t xml:space="preserve">”) zawartych z podmiotami trzecimi (z siedzibą w Polsce lub za granicą) będącymi posiadaczami hoteli, </w:t>
      </w:r>
    </w:p>
    <w:p w:rsidR="001D5F3C" w:rsidRPr="001D5F3C" w:rsidRDefault="001D5F3C" w:rsidP="001D5F3C">
      <w:pPr>
        <w:pStyle w:val="Akapitzlist"/>
        <w:numPr>
          <w:ilvl w:val="0"/>
          <w:numId w:val="4"/>
        </w:numPr>
        <w:shd w:val="clear" w:color="auto" w:fill="FFFFFF"/>
        <w:spacing w:before="120" w:after="120" w:line="300" w:lineRule="exact"/>
        <w:ind w:left="368" w:right="34" w:hanging="357"/>
        <w:jc w:val="both"/>
        <w:rPr>
          <w:sz w:val="20"/>
          <w:szCs w:val="20"/>
        </w:rPr>
      </w:pPr>
      <w:r w:rsidRPr="001D5F3C">
        <w:rPr>
          <w:sz w:val="20"/>
          <w:szCs w:val="20"/>
        </w:rPr>
        <w:t>zawierania i wykonywania umów serwisowych (wewnątrzgrupowych lub z podmiotami trzecimi) dotyczących np. pomocy technicznej, marketingu, programów lojalnościowych, dystrybucji lub usług IT.</w:t>
      </w:r>
    </w:p>
    <w:p w:rsidR="001D5F3C" w:rsidRPr="001D5F3C" w:rsidRDefault="001D5F3C" w:rsidP="001D5F3C">
      <w:pPr>
        <w:pStyle w:val="Tytu"/>
        <w:spacing w:before="120" w:after="120" w:line="300" w:lineRule="exact"/>
        <w:jc w:val="both"/>
        <w:rPr>
          <w:rFonts w:ascii="Arial" w:hAnsi="Arial" w:cs="Arial"/>
          <w:b w:val="0"/>
          <w:color w:val="000000"/>
          <w:spacing w:val="-2"/>
          <w:sz w:val="20"/>
          <w:u w:val="none"/>
        </w:rPr>
      </w:pPr>
      <w:r w:rsidRPr="001D5F3C">
        <w:rPr>
          <w:rFonts w:ascii="Arial" w:hAnsi="Arial" w:cs="Arial"/>
          <w:b w:val="0"/>
          <w:color w:val="000000"/>
          <w:spacing w:val="-2"/>
          <w:sz w:val="20"/>
          <w:u w:val="none"/>
        </w:rPr>
        <w:t>Transakcja sprzedaży obejmie wszelkie składniki majątkowe przynależne lub funkcjonalnie związane z Departamentem Usług i prowadzoną za jego pośrednictwem działalnością, w tym w szczególności: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bookmarkStart w:id="0" w:name="_Ref14973902"/>
      <w:r w:rsidRPr="001D5F3C">
        <w:rPr>
          <w:color w:val="000000"/>
          <w:spacing w:val="-2"/>
          <w:sz w:val="20"/>
          <w:szCs w:val="20"/>
        </w:rPr>
        <w:t>wszelkie prawa i obowiązki wynikające z Głównej Umowy Licencyjnej (Master License Agreement) zawartej pomiędzy Accor i Spółką w dniu 7 stycznia 2015 r. oraz prawa i obowiązki z wszelkich związanych z nią umów dodatkowych;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wszelkie prawa i obowiązki wynikające z Głównej Umowy Licencyjnej Soluxury (Master License Agreement) zawartej pomiędzy Soluxury HMC i Spółką w dniu 7 stycznia 2015 r. oraz prawa i obowiązki z wszelkich związanych z nią umów dodatkowych;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wszelkie prawa i obowiązki wynikające z generalnych umów franczyzy marek hotelowych (master franchise agreements of hotels brands) zawartych przez Spółkę;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 xml:space="preserve">wszelkie prawa i obowiązki wynikające z Umów HMA i Umów FA, a także wszelkich innych umów </w:t>
      </w:r>
      <w:bookmarkEnd w:id="0"/>
      <w:r w:rsidRPr="001D5F3C">
        <w:rPr>
          <w:color w:val="000000"/>
          <w:spacing w:val="-2"/>
          <w:sz w:val="20"/>
          <w:szCs w:val="20"/>
        </w:rPr>
        <w:t>związanych funkcjonalnie z działalnością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wszelkie prawa i obowiązki wynikające z listów intencyjnych dotyczących przyszłych Umów HMA lub Umów FA;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wszelkie prawa i obowiązki wynikające z umów regulujących zasady współpracy z osobami zaangażowanymi w prowadzenie działalności serwisowej związanej funkcjonalnie z działalnością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aktywa wykorzystywane do prowadzenia działalności serwisowej w ramach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specjalistyczne oprogramowanie i aplikacje związane funkcjonalnie i organizacyjnie z działalnością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lastRenderedPageBreak/>
        <w:t>wszelkie prawa z zarejestrowanych znaków towarowych „Winestone” oraz know-how związany z działalnością restauracyjną, prowadzoną pod nazwą i z wykorzystaniem znaków towarowych „Winestone”;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należności i zobowiązania związane funkcjonalnie i organizacyjnie z działalnością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tajemnice przedsiębiorstwa wykorzystywane w ramach lub dotyczące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wszystkie udziały w spółce Orbis Kontrakty sp. z o.o. z siedzibą w Warszawie, wpisanej do Rejestru Przedsiębiorców KRS pod numerem: 0000228450;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prawa i obowiązki z umów o prowadzenie rachunków bankowych dedykowanych do prowadzenia działalności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środki pieniężne zdeponowane na wspomnianych powyżej rachunkach bankowych w kwocie niezbędnej do dalszego prowadzenia działalności Departamentu Usług;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before="120" w:after="120" w:line="300" w:lineRule="exact"/>
        <w:ind w:left="709" w:right="34" w:hanging="695"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pracowników zatrudnionych w ramach działalności Departamentu Usług, jak również prawa i obowiązki wynikające z umów o pracę zawartych z takimi pracownikami;</w:t>
      </w: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ind w:left="709" w:right="34" w:hanging="695"/>
        <w:contextualSpacing/>
        <w:jc w:val="both"/>
        <w:rPr>
          <w:color w:val="000000"/>
          <w:spacing w:val="-2"/>
          <w:sz w:val="20"/>
          <w:szCs w:val="20"/>
        </w:rPr>
      </w:pPr>
      <w:bookmarkStart w:id="1" w:name="_Ref14973913"/>
      <w:r w:rsidRPr="001D5F3C">
        <w:rPr>
          <w:color w:val="000000"/>
          <w:spacing w:val="-2"/>
          <w:sz w:val="20"/>
          <w:szCs w:val="20"/>
        </w:rPr>
        <w:t>dokumentacj</w:t>
      </w:r>
      <w:r w:rsidR="004D5F26">
        <w:rPr>
          <w:color w:val="000000"/>
          <w:spacing w:val="-2"/>
          <w:sz w:val="20"/>
          <w:szCs w:val="20"/>
        </w:rPr>
        <w:t xml:space="preserve">ę związaną </w:t>
      </w:r>
      <w:r w:rsidRPr="001D5F3C">
        <w:rPr>
          <w:color w:val="000000"/>
          <w:spacing w:val="-2"/>
          <w:sz w:val="20"/>
          <w:szCs w:val="20"/>
        </w:rPr>
        <w:t>z działalnością w ramach Departamentu Usług, w tym:</w:t>
      </w:r>
      <w:bookmarkEnd w:id="1"/>
    </w:p>
    <w:p w:rsidR="001D5F3C" w:rsidRPr="001D5F3C" w:rsidRDefault="001D5F3C" w:rsidP="001D5F3C">
      <w:pPr>
        <w:pStyle w:val="Akapitzlist"/>
        <w:shd w:val="clear" w:color="auto" w:fill="FFFFFF"/>
        <w:spacing w:line="360" w:lineRule="auto"/>
        <w:ind w:left="1068" w:right="34"/>
        <w:jc w:val="both"/>
        <w:rPr>
          <w:color w:val="000000"/>
          <w:spacing w:val="-2"/>
          <w:sz w:val="20"/>
          <w:szCs w:val="20"/>
        </w:rPr>
      </w:pPr>
    </w:p>
    <w:p w:rsidR="001D5F3C" w:rsidRPr="001D5F3C" w:rsidRDefault="001D5F3C" w:rsidP="001D5F3C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right="34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dokumenty i księgi dotyczące działalności serwisowej;</w:t>
      </w:r>
    </w:p>
    <w:p w:rsidR="001D5F3C" w:rsidRPr="001D5F3C" w:rsidRDefault="001D5F3C" w:rsidP="001D5F3C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right="34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dokumentacja pracownicza;</w:t>
      </w:r>
    </w:p>
    <w:p w:rsidR="001D5F3C" w:rsidRPr="001D5F3C" w:rsidRDefault="001D5F3C" w:rsidP="001D5F3C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right="34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 xml:space="preserve">wewnętrzne regulaminy i instrukcje; </w:t>
      </w:r>
    </w:p>
    <w:p w:rsidR="001D5F3C" w:rsidRPr="001D5F3C" w:rsidRDefault="001D5F3C" w:rsidP="001D5F3C">
      <w:pPr>
        <w:shd w:val="clear" w:color="auto" w:fill="FFFFFF"/>
        <w:spacing w:line="276" w:lineRule="auto"/>
        <w:ind w:left="708" w:right="34"/>
        <w:jc w:val="both"/>
        <w:rPr>
          <w:sz w:val="20"/>
          <w:szCs w:val="20"/>
        </w:rPr>
      </w:pPr>
    </w:p>
    <w:p w:rsidR="001D5F3C" w:rsidRPr="001D5F3C" w:rsidRDefault="001D5F3C" w:rsidP="001D5F3C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ind w:left="709" w:right="34" w:hanging="695"/>
        <w:contextualSpacing/>
        <w:jc w:val="both"/>
        <w:rPr>
          <w:sz w:val="20"/>
          <w:szCs w:val="20"/>
        </w:rPr>
      </w:pPr>
      <w:r w:rsidRPr="001D5F3C">
        <w:rPr>
          <w:sz w:val="20"/>
          <w:szCs w:val="20"/>
        </w:rPr>
        <w:t>wszelkie inne składniki majątkowe i niemajątkowe, które są funkcjonalnie i organizacyjnie związane z działalnością Departamentu Usług, jak również prawa i obowiązki oraz należności i zobowiązania, które zostaną nabyte lub powstaną po dniu podjęcia niniejszej uchwały, a które będą funkcjonalnie i organizacyjnie związane z Departamentem Usług.</w:t>
      </w:r>
    </w:p>
    <w:p w:rsidR="001D5F3C" w:rsidRPr="001D5F3C" w:rsidRDefault="001D5F3C" w:rsidP="001D5F3C">
      <w:pPr>
        <w:pStyle w:val="Tytu"/>
        <w:spacing w:before="120" w:after="120" w:line="300" w:lineRule="exact"/>
        <w:rPr>
          <w:rFonts w:ascii="Arial" w:hAnsi="Arial" w:cs="Arial"/>
          <w:b w:val="0"/>
          <w:sz w:val="20"/>
          <w:u w:val="none"/>
        </w:rPr>
      </w:pPr>
      <w:r w:rsidRPr="001D5F3C">
        <w:rPr>
          <w:rFonts w:ascii="Arial" w:hAnsi="Arial" w:cs="Arial"/>
          <w:b w:val="0"/>
          <w:bCs/>
          <w:sz w:val="20"/>
          <w:u w:val="none"/>
        </w:rPr>
        <w:t>§2</w:t>
      </w:r>
    </w:p>
    <w:p w:rsidR="001D5F3C" w:rsidRPr="001D5F3C" w:rsidRDefault="001D5F3C" w:rsidP="001D5F3C">
      <w:pPr>
        <w:pStyle w:val="Tytu"/>
        <w:spacing w:before="120" w:after="120" w:line="300" w:lineRule="exact"/>
        <w:jc w:val="both"/>
        <w:rPr>
          <w:rFonts w:ascii="Arial" w:hAnsi="Arial" w:cs="Arial"/>
          <w:b w:val="0"/>
          <w:sz w:val="20"/>
          <w:u w:val="none"/>
        </w:rPr>
      </w:pPr>
      <w:r w:rsidRPr="001D5F3C">
        <w:rPr>
          <w:rFonts w:ascii="Arial" w:hAnsi="Arial" w:cs="Arial"/>
          <w:b w:val="0"/>
          <w:sz w:val="20"/>
          <w:u w:val="none"/>
        </w:rPr>
        <w:t>Nadzwyczajne Walne Zgromadzenie Spółki upoważnia Zarząd Spółki do podjęcia wszelkich czynności niezbędnych do realizacji zbycia Departamentu Usług lub zmierzających do takiego zbycia, w tym w szczególności do:</w:t>
      </w:r>
    </w:p>
    <w:p w:rsidR="001D5F3C" w:rsidRPr="001D5F3C" w:rsidRDefault="001D5F3C" w:rsidP="001D5F3C">
      <w:pPr>
        <w:pStyle w:val="Akapitzlist"/>
        <w:numPr>
          <w:ilvl w:val="1"/>
          <w:numId w:val="7"/>
        </w:numPr>
        <w:spacing w:line="360" w:lineRule="auto"/>
        <w:ind w:left="709" w:hanging="709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ustalenia szczegółowych warunków zbycia przez Spółkę Departamentu Usług, w tym warunków płatności ceny sprzedaży Departamentu Usług oraz terminu, w którym nastąpi przeniesienie własności Departamentu Usług na Nabywcę;</w:t>
      </w:r>
    </w:p>
    <w:p w:rsidR="001D5F3C" w:rsidRPr="001D5F3C" w:rsidRDefault="001D5F3C" w:rsidP="001D5F3C">
      <w:pPr>
        <w:pStyle w:val="Akapitzlist"/>
        <w:numPr>
          <w:ilvl w:val="1"/>
          <w:numId w:val="7"/>
        </w:numPr>
        <w:spacing w:line="360" w:lineRule="auto"/>
        <w:ind w:left="709" w:hanging="709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określenia szczegółowego katalogu składników materialnych i niematerialnych Departamentu Usług, które zostaną zbyte przez Spółkę;</w:t>
      </w:r>
    </w:p>
    <w:p w:rsidR="001D5F3C" w:rsidRPr="001D5F3C" w:rsidRDefault="001D5F3C" w:rsidP="001D5F3C">
      <w:pPr>
        <w:pStyle w:val="Akapitzlist"/>
        <w:numPr>
          <w:ilvl w:val="1"/>
          <w:numId w:val="7"/>
        </w:numPr>
        <w:spacing w:line="360" w:lineRule="auto"/>
        <w:ind w:left="709" w:hanging="709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uzyskania zgody wierzycieli oraz kontrahentów Spółki na przejęcie przez Nabywcę praw z umów związanych z Departamentem Usług;</w:t>
      </w:r>
    </w:p>
    <w:p w:rsidR="001D5F3C" w:rsidRPr="001D5F3C" w:rsidRDefault="001D5F3C" w:rsidP="001D5F3C">
      <w:pPr>
        <w:pStyle w:val="Akapitzlist"/>
        <w:numPr>
          <w:ilvl w:val="1"/>
          <w:numId w:val="7"/>
        </w:numPr>
        <w:spacing w:line="360" w:lineRule="auto"/>
        <w:ind w:left="709" w:hanging="709"/>
        <w:contextualSpacing/>
        <w:jc w:val="both"/>
        <w:rPr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przejścia części zakładu pracy Spółki (który wchodzi w skład zorganizowanej część przedsiębiorstwa Spółki) na rzecz Nabywcy; oraz</w:t>
      </w:r>
    </w:p>
    <w:p w:rsidR="001D5F3C" w:rsidRPr="001D5F3C" w:rsidRDefault="001D5F3C" w:rsidP="001D5F3C">
      <w:pPr>
        <w:pStyle w:val="Akapitzlist"/>
        <w:numPr>
          <w:ilvl w:val="1"/>
          <w:numId w:val="7"/>
        </w:numPr>
        <w:spacing w:line="360" w:lineRule="auto"/>
        <w:ind w:left="709" w:hanging="709"/>
        <w:contextualSpacing/>
        <w:jc w:val="both"/>
        <w:rPr>
          <w:b/>
          <w:color w:val="000000"/>
          <w:spacing w:val="-2"/>
          <w:sz w:val="20"/>
          <w:szCs w:val="20"/>
        </w:rPr>
      </w:pPr>
      <w:r w:rsidRPr="001D5F3C">
        <w:rPr>
          <w:color w:val="000000"/>
          <w:spacing w:val="-2"/>
          <w:sz w:val="20"/>
          <w:szCs w:val="20"/>
        </w:rPr>
        <w:t>podjęcia wszelkich czynności faktycznych i prawnych jakie okażą się niezbędne lub pomocne w celu wykonania niniejszej uchwały.</w:t>
      </w:r>
    </w:p>
    <w:p w:rsidR="001D5F3C" w:rsidRPr="001D5F3C" w:rsidRDefault="001D5F3C" w:rsidP="001D5F3C">
      <w:pPr>
        <w:pStyle w:val="Tytu"/>
        <w:spacing w:before="120" w:after="120" w:line="300" w:lineRule="exact"/>
        <w:rPr>
          <w:rFonts w:ascii="Arial" w:hAnsi="Arial" w:cs="Arial"/>
          <w:b w:val="0"/>
          <w:sz w:val="20"/>
          <w:u w:val="none"/>
        </w:rPr>
      </w:pPr>
      <w:r w:rsidRPr="001D5F3C">
        <w:rPr>
          <w:rFonts w:ascii="Arial" w:hAnsi="Arial" w:cs="Arial"/>
          <w:b w:val="0"/>
          <w:bCs/>
          <w:sz w:val="20"/>
          <w:u w:val="none"/>
        </w:rPr>
        <w:t>§3</w:t>
      </w:r>
    </w:p>
    <w:p w:rsidR="001D5F3C" w:rsidRPr="001D5F3C" w:rsidRDefault="001D5F3C" w:rsidP="001D5F3C">
      <w:pPr>
        <w:pStyle w:val="Tytu"/>
        <w:spacing w:before="120" w:after="120" w:line="300" w:lineRule="exact"/>
        <w:jc w:val="both"/>
        <w:rPr>
          <w:rFonts w:ascii="Arial" w:hAnsi="Arial" w:cs="Arial"/>
          <w:b w:val="0"/>
          <w:sz w:val="20"/>
          <w:u w:val="none"/>
        </w:rPr>
      </w:pPr>
      <w:r w:rsidRPr="001D5F3C">
        <w:rPr>
          <w:rFonts w:ascii="Arial" w:hAnsi="Arial" w:cs="Arial"/>
          <w:b w:val="0"/>
          <w:sz w:val="20"/>
          <w:u w:val="none"/>
        </w:rPr>
        <w:t>Uchwała wchodzi w życie z chwilą jej podjęcia.</w:t>
      </w:r>
    </w:p>
    <w:p w:rsidR="001D5F3C" w:rsidRDefault="001D5F3C" w:rsidP="001D5F3C">
      <w:pPr>
        <w:spacing w:after="160" w:line="259" w:lineRule="auto"/>
        <w:rPr>
          <w:b/>
          <w:sz w:val="20"/>
          <w:szCs w:val="20"/>
        </w:rPr>
      </w:pPr>
    </w:p>
    <w:p w:rsidR="001D5F3C" w:rsidRPr="001D5F3C" w:rsidRDefault="001D5F3C" w:rsidP="001D5F3C">
      <w:pPr>
        <w:spacing w:after="160" w:line="259" w:lineRule="auto"/>
        <w:rPr>
          <w:sz w:val="20"/>
          <w:szCs w:val="20"/>
        </w:rPr>
      </w:pPr>
      <w:r w:rsidRPr="001D5F3C">
        <w:rPr>
          <w:b/>
          <w:sz w:val="20"/>
          <w:szCs w:val="20"/>
          <w:u w:val="single"/>
        </w:rPr>
        <w:t>Uzasadnienie projektu uchwały:</w:t>
      </w:r>
    </w:p>
    <w:p w:rsidR="001D5F3C" w:rsidRPr="001D5F3C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>Zarząd wnioskuje o przyjęcie uchwały dotyczącej wyrażenia zgody na sprzedaż zorganizowanej części przedsiębiorstwa Spółki w postaci „Departamentu Usług”. Przyjęcie uchwały jest jednym z warunków koniecznych do sprzedaży działalnoś</w:t>
      </w:r>
      <w:r w:rsidR="00BD6B86">
        <w:rPr>
          <w:sz w:val="20"/>
          <w:szCs w:val="20"/>
        </w:rPr>
        <w:t>ci</w:t>
      </w:r>
      <w:r w:rsidRPr="001D5F3C">
        <w:rPr>
          <w:sz w:val="20"/>
          <w:szCs w:val="20"/>
        </w:rPr>
        <w:t xml:space="preserve"> serwisow</w:t>
      </w:r>
      <w:r w:rsidR="00BD6B86">
        <w:rPr>
          <w:sz w:val="20"/>
          <w:szCs w:val="20"/>
        </w:rPr>
        <w:t>ej</w:t>
      </w:r>
      <w:r w:rsidRPr="001D5F3C">
        <w:rPr>
          <w:sz w:val="20"/>
          <w:szCs w:val="20"/>
        </w:rPr>
        <w:t xml:space="preserve"> (tzw. asset light) przez Spółkę do spółki z grupy Accor (zgodnie z definicją w treści uchwały). </w:t>
      </w:r>
    </w:p>
    <w:p w:rsidR="001D5F3C" w:rsidRPr="001D5F3C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 xml:space="preserve">Zarząd Spółki, po przeprowadzeniu analiz, podjął decyzję o podziale przez Spółkę, w ramach całej grupy kapitałowej Orbis, prowadzonej działalności na część serwisową, obejmującą świadczenie usług dla hoteli na podstawie umów franczyzy i umów o zarządzanie oraz na część związaną z posiadaniem nieruchomości hotelowych, o czym poinformował raportem bieżącym nr 11/2019 z 17 maja 2019 r. Następnie, raportem bieżącym nr 15/2019 z 29 maja 2019 r. Spółka poinformowała o rozpoczęciu z Accor negocjacji, prowadzonych na zasadzie wyłączności, których przedmiotem było zbycie na jego rzecz działalności serwisowej (tzw. asset light) oraz zawarcie umowy o zarządzanie, na podstawie której spółki zależne Accor będą zarządzały hotelami, stanowiącymi własność lub dzierżawionymi przez Spółkę i jego spółki zależne. Accor jest właścicielem wszystkich marek, pod którymi działają hotele Spółki i jej spółek zależnych, w związku z czym zawarcie umowy zarządzania pozwoli na kontynuację tej strategicznej współpracy. </w:t>
      </w:r>
    </w:p>
    <w:p w:rsidR="001D5F3C" w:rsidRPr="00BD6B86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 xml:space="preserve">Raportem bieżącym nr 17/2019 z 12 czerwca 2019 r. Spółka poinformowała o podpisaniu z Accor </w:t>
      </w:r>
      <w:r w:rsidR="00BD6B86">
        <w:rPr>
          <w:sz w:val="20"/>
          <w:szCs w:val="20"/>
        </w:rPr>
        <w:t>S.A.</w:t>
      </w:r>
      <w:r w:rsidR="004D5F26">
        <w:rPr>
          <w:sz w:val="20"/>
          <w:szCs w:val="20"/>
        </w:rPr>
        <w:t xml:space="preserve"> </w:t>
      </w:r>
      <w:r w:rsidRPr="001D5F3C">
        <w:rPr>
          <w:sz w:val="20"/>
          <w:szCs w:val="20"/>
        </w:rPr>
        <w:t>niewiążącego porozumienia, w którym strony uzgodniły podstawowe warunki planowanej transakcji zbycia przez Spółkę, na rzecz spółek z grupy Accor, całej działalności serwisowej, która będzie obejmowała w szczególności: (i) aktywa, umowy (w tym wszystkie umowy o zarządzanie i franczyzy), zobowiązania, pracowników i wszelkie inne prawa związane z usługami świadczonymi przez Spółkę i jej spółki zależne dla hoteli zarządzanych lub franczyzowych, oraz (ii) zawarcie długoterminowych umów zarządzania, na podstawie których, spółki zależne od Accor</w:t>
      </w:r>
      <w:r w:rsidR="00BD6B86">
        <w:rPr>
          <w:sz w:val="20"/>
          <w:szCs w:val="20"/>
        </w:rPr>
        <w:t xml:space="preserve"> S.A.</w:t>
      </w:r>
      <w:r w:rsidRPr="001D5F3C">
        <w:rPr>
          <w:sz w:val="20"/>
          <w:szCs w:val="20"/>
        </w:rPr>
        <w:t>, po zbyciu działalności serwisowej, będą zarządzać wszystkimi hotelami stanowiącymi własność lub dzierżawionymi przez Spółkę i jej spółki zależne („Działalność Serwisowa”). Cena za nabycie przez Accor Działalności Serwisowej została ustalona w porozumieniu na 1.218.360.000</w:t>
      </w:r>
      <w:r w:rsidR="00BD6B86">
        <w:rPr>
          <w:sz w:val="20"/>
          <w:szCs w:val="20"/>
        </w:rPr>
        <w:t xml:space="preserve"> złotych</w:t>
      </w:r>
      <w:r w:rsidRPr="00BD6B86">
        <w:rPr>
          <w:sz w:val="20"/>
          <w:szCs w:val="20"/>
        </w:rPr>
        <w:t xml:space="preserve"> </w:t>
      </w:r>
      <w:r w:rsidR="00BD6B86" w:rsidRPr="00BD6B86">
        <w:rPr>
          <w:sz w:val="20"/>
          <w:szCs w:val="20"/>
        </w:rPr>
        <w:t>(jeden miliard dwieście osiemnaście milionów trzys</w:t>
      </w:r>
      <w:r w:rsidR="00BD6B86">
        <w:rPr>
          <w:sz w:val="20"/>
          <w:szCs w:val="20"/>
        </w:rPr>
        <w:t>ta sześćdziesiąt tysięcy złotych</w:t>
      </w:r>
      <w:r w:rsidR="00BD6B86" w:rsidRPr="00BD6B86">
        <w:rPr>
          <w:sz w:val="20"/>
          <w:szCs w:val="20"/>
        </w:rPr>
        <w:t>)</w:t>
      </w:r>
      <w:r w:rsidRPr="00BD6B86">
        <w:rPr>
          <w:sz w:val="20"/>
          <w:szCs w:val="20"/>
        </w:rPr>
        <w:t xml:space="preserve">. </w:t>
      </w:r>
    </w:p>
    <w:p w:rsidR="001D5F3C" w:rsidRPr="00BD6B86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 xml:space="preserve">24 czerwca </w:t>
      </w:r>
      <w:r w:rsidRPr="00BD6B86">
        <w:rPr>
          <w:sz w:val="20"/>
          <w:szCs w:val="20"/>
        </w:rPr>
        <w:t xml:space="preserve">2019 r. Spółka poinformowała raportem bieżącym nr 23/2019 o otrzymaniu opinii przygotowanej przez Deloitte Advisory spółka z ograniczoną odpowiedzialnością sp. k., w której stwierdzono, że cena 1.218.360.000 </w:t>
      </w:r>
      <w:r w:rsidR="00BD6B86">
        <w:rPr>
          <w:sz w:val="20"/>
          <w:szCs w:val="20"/>
        </w:rPr>
        <w:t xml:space="preserve">złotych </w:t>
      </w:r>
      <w:r w:rsidR="00BD6B86" w:rsidRPr="00BD6B86">
        <w:rPr>
          <w:sz w:val="20"/>
          <w:szCs w:val="20"/>
        </w:rPr>
        <w:t>(jeden miliard dwieście osiemnaście milionó</w:t>
      </w:r>
      <w:r w:rsidR="00BD6B86">
        <w:rPr>
          <w:sz w:val="20"/>
          <w:szCs w:val="20"/>
        </w:rPr>
        <w:t>w trzysta sześćdziesiąt tysięcy złotych</w:t>
      </w:r>
      <w:r w:rsidR="00BD6B86" w:rsidRPr="00BD6B86">
        <w:rPr>
          <w:sz w:val="20"/>
          <w:szCs w:val="20"/>
        </w:rPr>
        <w:t xml:space="preserve">) </w:t>
      </w:r>
      <w:r w:rsidRPr="00BD6B86">
        <w:rPr>
          <w:sz w:val="20"/>
          <w:szCs w:val="20"/>
        </w:rPr>
        <w:t>za zbycie na rzecz Accor Działalności Serwisowej mieści się w zakresie godziwej wartości rynkowej. Wycena Działalności Serwisowej została przygotowana według stanu na 31 grudnia 2018 r., z pominięciem poziom</w:t>
      </w:r>
      <w:r w:rsidR="004D5F26">
        <w:rPr>
          <w:sz w:val="20"/>
          <w:szCs w:val="20"/>
        </w:rPr>
        <w:t>u</w:t>
      </w:r>
      <w:r w:rsidRPr="00BD6B86">
        <w:rPr>
          <w:sz w:val="20"/>
          <w:szCs w:val="20"/>
        </w:rPr>
        <w:t xml:space="preserve"> gotówki i długu (on a debt-free, cash free basis). </w:t>
      </w:r>
    </w:p>
    <w:p w:rsidR="001D5F3C" w:rsidRPr="001D5F3C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 xml:space="preserve">17 września 2019 r. Spółka, jej wybrane spółki zależne oraz Accor i jego wybrane spółki zależne zawarły umowę sprzedaży przez Spółkę i jej wybrane spółki zależne Działalności Serwisowej na rzecz wybranych spółek zależnych Accor za łączną kwotę 1.218.360.000 </w:t>
      </w:r>
      <w:r w:rsidR="00BD6B86">
        <w:rPr>
          <w:sz w:val="20"/>
          <w:szCs w:val="20"/>
        </w:rPr>
        <w:t xml:space="preserve">złotych </w:t>
      </w:r>
      <w:r w:rsidR="00BD6B86" w:rsidRPr="00BD6B86">
        <w:rPr>
          <w:sz w:val="20"/>
          <w:szCs w:val="20"/>
        </w:rPr>
        <w:t>(jeden miliard dwieście osiemnaście milionów trzysta sześćdziesiąt tysięcy</w:t>
      </w:r>
      <w:r w:rsidR="00BD6B86">
        <w:rPr>
          <w:sz w:val="20"/>
          <w:szCs w:val="20"/>
        </w:rPr>
        <w:t xml:space="preserve"> złotych</w:t>
      </w:r>
      <w:r w:rsidR="00BD6B86" w:rsidRPr="00BD6B86">
        <w:rPr>
          <w:sz w:val="20"/>
          <w:szCs w:val="20"/>
        </w:rPr>
        <w:t>)</w:t>
      </w:r>
      <w:r w:rsidRPr="001D5F3C">
        <w:rPr>
          <w:sz w:val="20"/>
          <w:szCs w:val="20"/>
        </w:rPr>
        <w:t>, o czym Spółka poinformowała raportem bieżącym nr 26/2019 z 17 września 2019 r. Umowa sprzedaży została zawarta między innymi pod warunkiem uzyskania zgody akcjonariuszy Spółki na sprzedaż zorganizowanej części przedsiębiorstwa Spółki w postaci „Departamentu Usług”, tj. części Działalności Serwisowej prowadzonej przez Spółkę, której cena została ustalona na 579.624.000 zł</w:t>
      </w:r>
      <w:r w:rsidR="00BD6B86">
        <w:rPr>
          <w:sz w:val="20"/>
          <w:szCs w:val="20"/>
        </w:rPr>
        <w:t>otych</w:t>
      </w:r>
      <w:r w:rsidRPr="001D5F3C">
        <w:rPr>
          <w:sz w:val="20"/>
          <w:szCs w:val="20"/>
        </w:rPr>
        <w:t xml:space="preserve"> (pięćset siedemdziesiąt dziewięć milionów sześćset dwadzieścia cztery tysiące złotych).</w:t>
      </w:r>
    </w:p>
    <w:p w:rsidR="001D5F3C" w:rsidRPr="001D5F3C" w:rsidRDefault="001D5F3C" w:rsidP="001D5F3C">
      <w:pPr>
        <w:spacing w:after="160" w:line="259" w:lineRule="auto"/>
        <w:jc w:val="both"/>
        <w:rPr>
          <w:sz w:val="20"/>
          <w:szCs w:val="20"/>
        </w:rPr>
      </w:pPr>
      <w:r w:rsidRPr="001D5F3C">
        <w:rPr>
          <w:sz w:val="20"/>
          <w:szCs w:val="20"/>
        </w:rPr>
        <w:t>Celem sprzedaży całej Działalności Serwisowej, w tym Departamentu Usług, jest umożliwienie Spółce i jej spółk</w:t>
      </w:r>
      <w:r w:rsidR="00360FB0">
        <w:rPr>
          <w:sz w:val="20"/>
          <w:szCs w:val="20"/>
        </w:rPr>
        <w:t>om</w:t>
      </w:r>
      <w:r w:rsidRPr="001D5F3C">
        <w:rPr>
          <w:sz w:val="20"/>
          <w:szCs w:val="20"/>
        </w:rPr>
        <w:t xml:space="preserve"> zależnym skoncentrowania strategii i działalności operacyjnej na części nieruchomościowej, któr</w:t>
      </w:r>
      <w:r w:rsidR="00360FB0">
        <w:rPr>
          <w:sz w:val="20"/>
          <w:szCs w:val="20"/>
        </w:rPr>
        <w:t>a</w:t>
      </w:r>
      <w:bookmarkStart w:id="2" w:name="_GoBack"/>
      <w:bookmarkEnd w:id="2"/>
      <w:r w:rsidRPr="001D5F3C">
        <w:rPr>
          <w:sz w:val="20"/>
          <w:szCs w:val="20"/>
        </w:rPr>
        <w:t xml:space="preserve"> jest z powodzeniem rozwijana poprzez różne procesy inwestycyjne: rozwój organiczny, nabywanie i modernizacje istniejących budynków oraz budowę nowych obiektów, co stanowi podstawę rozwoju działalności hotelarskiej.</w:t>
      </w:r>
    </w:p>
    <w:p w:rsidR="001D5F3C" w:rsidRDefault="001D5F3C" w:rsidP="001D5F3C">
      <w:pPr>
        <w:rPr>
          <w:sz w:val="20"/>
          <w:szCs w:val="20"/>
        </w:rPr>
      </w:pPr>
    </w:p>
    <w:p w:rsidR="00F23950" w:rsidRDefault="00F23950" w:rsidP="00F23950">
      <w:pPr>
        <w:spacing w:before="120" w:after="120"/>
        <w:jc w:val="center"/>
        <w:rPr>
          <w:b/>
          <w:bCs/>
          <w:sz w:val="22"/>
        </w:rPr>
      </w:pPr>
    </w:p>
    <w:p w:rsidR="00F23950" w:rsidRDefault="00F23950" w:rsidP="00F23950">
      <w:pPr>
        <w:spacing w:before="120" w:after="120"/>
        <w:jc w:val="center"/>
        <w:rPr>
          <w:b/>
          <w:bCs/>
          <w:sz w:val="22"/>
        </w:rPr>
      </w:pPr>
    </w:p>
    <w:p w:rsidR="00F23950" w:rsidRDefault="00F23950" w:rsidP="00F23950">
      <w:pPr>
        <w:spacing w:before="120" w:after="120"/>
        <w:jc w:val="center"/>
        <w:rPr>
          <w:b/>
          <w:bCs/>
          <w:sz w:val="22"/>
        </w:rPr>
      </w:pPr>
    </w:p>
    <w:p w:rsidR="00F23950" w:rsidRDefault="00F23950" w:rsidP="00F23950">
      <w:pPr>
        <w:spacing w:before="120" w:after="120"/>
        <w:jc w:val="center"/>
        <w:rPr>
          <w:b/>
          <w:bCs/>
          <w:sz w:val="22"/>
        </w:rPr>
      </w:pPr>
    </w:p>
    <w:p w:rsidR="00F23950" w:rsidRDefault="00F23950" w:rsidP="00F23950">
      <w:pPr>
        <w:spacing w:before="120" w:after="120"/>
        <w:jc w:val="center"/>
        <w:rPr>
          <w:b/>
          <w:bCs/>
          <w:sz w:val="22"/>
        </w:rPr>
      </w:pPr>
    </w:p>
    <w:p w:rsidR="00F91127" w:rsidRDefault="00F91127" w:rsidP="00F91127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 Uchwały nr 5</w:t>
      </w:r>
    </w:p>
    <w:p w:rsidR="00F23950" w:rsidRPr="00F23950" w:rsidRDefault="00F23950" w:rsidP="00F23950">
      <w:pPr>
        <w:spacing w:before="120" w:after="120"/>
        <w:jc w:val="center"/>
        <w:rPr>
          <w:sz w:val="20"/>
          <w:szCs w:val="20"/>
        </w:rPr>
      </w:pPr>
      <w:r w:rsidRPr="00F23950">
        <w:rPr>
          <w:bCs/>
          <w:sz w:val="20"/>
          <w:szCs w:val="20"/>
        </w:rPr>
        <w:t>Nadzwyczajnego Walnego Zgromadzenia</w:t>
      </w:r>
      <w:r w:rsidRPr="00F23950">
        <w:rPr>
          <w:bCs/>
          <w:sz w:val="20"/>
          <w:szCs w:val="20"/>
        </w:rPr>
        <w:br/>
        <w:t>Orbis S.A. z siedzibą w Warszawie</w:t>
      </w:r>
      <w:r w:rsidRPr="00F23950">
        <w:rPr>
          <w:bCs/>
          <w:sz w:val="20"/>
          <w:szCs w:val="20"/>
        </w:rPr>
        <w:br/>
        <w:t>z dnia 18 października 2019 r.</w:t>
      </w:r>
    </w:p>
    <w:p w:rsidR="00F23950" w:rsidRPr="00F23950" w:rsidRDefault="00F23950" w:rsidP="00F23950">
      <w:pPr>
        <w:spacing w:before="120" w:after="120"/>
        <w:jc w:val="center"/>
        <w:rPr>
          <w:i/>
          <w:sz w:val="20"/>
          <w:szCs w:val="20"/>
        </w:rPr>
      </w:pPr>
      <w:r w:rsidRPr="00F23950">
        <w:rPr>
          <w:i/>
          <w:sz w:val="20"/>
          <w:szCs w:val="20"/>
        </w:rPr>
        <w:t>w sprawie zmiany statutu Orbis S.A. i utworzenia kapitału rezerwowego</w:t>
      </w:r>
    </w:p>
    <w:p w:rsidR="00F23950" w:rsidRPr="00F23950" w:rsidRDefault="00F23950" w:rsidP="00F23950">
      <w:pPr>
        <w:pStyle w:val="Tekstpodstawowy"/>
        <w:spacing w:before="120" w:after="120"/>
        <w:ind w:firstLine="0"/>
        <w:jc w:val="both"/>
        <w:rPr>
          <w:rFonts w:ascii="Arial" w:hAnsi="Arial" w:cs="Arial"/>
          <w:sz w:val="20"/>
          <w:lang w:val="pl-PL"/>
        </w:rPr>
      </w:pPr>
      <w:r w:rsidRPr="00F23950">
        <w:rPr>
          <w:rFonts w:ascii="Arial" w:hAnsi="Arial" w:cs="Arial"/>
          <w:sz w:val="20"/>
          <w:lang w:val="pl-PL"/>
        </w:rPr>
        <w:t>Nadzwyczajne Walne Zgromadzenie spółki Orbis S.A. z siedzibą w Warszawie przy ul. Brackiej 16, 00-028 Warszawa, wpisanej do rejestru przedsiębiorców Krajowego Rejestru Sądowego prowadzonego przez Sąd Rejonowy dla m. st. Warszawy w Warszawie, XII Wydział Gospodarczy Krajowego Rejestru Sądowego pod numerem KRS 0000022622 („</w:t>
      </w:r>
      <w:r w:rsidRPr="00F23950">
        <w:rPr>
          <w:rFonts w:ascii="Arial" w:hAnsi="Arial" w:cs="Arial"/>
          <w:b/>
          <w:sz w:val="20"/>
          <w:lang w:val="pl-PL"/>
        </w:rPr>
        <w:t>Spółka</w:t>
      </w:r>
      <w:r w:rsidRPr="00F23950">
        <w:rPr>
          <w:rFonts w:ascii="Arial" w:hAnsi="Arial" w:cs="Arial"/>
          <w:sz w:val="20"/>
          <w:lang w:val="pl-PL"/>
        </w:rPr>
        <w:t xml:space="preserve">”), działając na podstawie art. 430 oraz art. 396 § 4 i 5 ustawy z dnia </w:t>
      </w:r>
      <w:r w:rsidRPr="00F23950">
        <w:rPr>
          <w:rFonts w:ascii="Arial" w:eastAsia="MS Mincho" w:hAnsi="Arial" w:cs="Arial"/>
          <w:sz w:val="20"/>
          <w:lang w:val="pl-PL" w:eastAsia="ja-JP"/>
        </w:rPr>
        <w:t xml:space="preserve">15 września 2000 r. </w:t>
      </w:r>
      <w:r w:rsidRPr="00F23950">
        <w:rPr>
          <w:rFonts w:ascii="Arial" w:hAnsi="Arial" w:cs="Arial"/>
          <w:sz w:val="20"/>
          <w:lang w:val="pl-PL"/>
        </w:rPr>
        <w:t>Kodeks spółek handlowych („</w:t>
      </w:r>
      <w:r w:rsidRPr="00F23950">
        <w:rPr>
          <w:rFonts w:ascii="Arial" w:hAnsi="Arial" w:cs="Arial"/>
          <w:b/>
          <w:sz w:val="20"/>
          <w:lang w:val="pl-PL"/>
        </w:rPr>
        <w:t>KSH</w:t>
      </w:r>
      <w:r w:rsidRPr="00F23950">
        <w:rPr>
          <w:rFonts w:ascii="Arial" w:hAnsi="Arial" w:cs="Arial"/>
          <w:sz w:val="20"/>
          <w:lang w:val="pl-PL"/>
        </w:rPr>
        <w:t>”) oraz § 29 ust. 1 pkt 5 oraz § 33 ust. 1 pkt 2) i 3) statutu Spółki, uchwala, co następuje:</w:t>
      </w:r>
    </w:p>
    <w:p w:rsidR="00F23950" w:rsidRPr="00F23950" w:rsidRDefault="00F23950" w:rsidP="00F23950">
      <w:pPr>
        <w:pStyle w:val="01LOLglMain1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bookmarkStart w:id="3" w:name="_Ref346704667"/>
    </w:p>
    <w:bookmarkEnd w:id="3"/>
    <w:p w:rsidR="00F23950" w:rsidRPr="00F23950" w:rsidRDefault="00F23950" w:rsidP="00F23950">
      <w:pPr>
        <w:pStyle w:val="01LOLglMain2"/>
        <w:keepNext/>
        <w:rPr>
          <w:rFonts w:ascii="Arial" w:hAnsi="Arial" w:cs="Arial"/>
          <w:sz w:val="20"/>
          <w:szCs w:val="20"/>
        </w:rPr>
      </w:pPr>
      <w:r w:rsidRPr="00F23950">
        <w:rPr>
          <w:rFonts w:ascii="Arial" w:hAnsi="Arial" w:cs="Arial"/>
          <w:sz w:val="20"/>
          <w:szCs w:val="20"/>
        </w:rPr>
        <w:t>W statucie Spółki dodaje się § 13</w:t>
      </w:r>
      <w:r w:rsidRPr="00F23950">
        <w:rPr>
          <w:rFonts w:ascii="Arial" w:hAnsi="Arial" w:cs="Arial"/>
          <w:sz w:val="20"/>
          <w:szCs w:val="20"/>
          <w:vertAlign w:val="superscript"/>
        </w:rPr>
        <w:t>1</w:t>
      </w:r>
      <w:r w:rsidRPr="00F23950">
        <w:rPr>
          <w:rFonts w:ascii="Arial" w:hAnsi="Arial" w:cs="Arial"/>
          <w:sz w:val="20"/>
          <w:szCs w:val="20"/>
        </w:rPr>
        <w:t xml:space="preserve"> o następującej treści:</w:t>
      </w:r>
    </w:p>
    <w:p w:rsidR="00F23950" w:rsidRPr="00F23950" w:rsidRDefault="00F23950" w:rsidP="00F23950">
      <w:pPr>
        <w:pStyle w:val="Tekstpodstawowy"/>
        <w:spacing w:before="120" w:after="120"/>
        <w:ind w:left="709" w:firstLine="0"/>
        <w:jc w:val="both"/>
        <w:rPr>
          <w:rFonts w:ascii="Arial" w:hAnsi="Arial" w:cs="Arial"/>
          <w:i/>
          <w:sz w:val="20"/>
          <w:lang w:val="pl-PL"/>
        </w:rPr>
      </w:pPr>
      <w:r w:rsidRPr="00F23950">
        <w:rPr>
          <w:rFonts w:ascii="Arial" w:hAnsi="Arial" w:cs="Arial"/>
          <w:i/>
          <w:sz w:val="20"/>
          <w:lang w:val="pl-PL"/>
        </w:rPr>
        <w:t>„Zarząd jest upoważniony do wypłaty akcjonariuszom zaliczki na poczet przewidywanej dywidendy (na zasadach określonych w ksh). Wypłata zaliczki wymaga zgody Rady Nadzorczej.”</w:t>
      </w:r>
    </w:p>
    <w:p w:rsidR="00F23950" w:rsidRPr="00F23950" w:rsidRDefault="00F23950" w:rsidP="00F23950">
      <w:pPr>
        <w:pStyle w:val="01LOLglMain2"/>
        <w:rPr>
          <w:rFonts w:ascii="Arial" w:hAnsi="Arial" w:cs="Arial"/>
          <w:sz w:val="20"/>
          <w:szCs w:val="20"/>
        </w:rPr>
      </w:pPr>
      <w:r w:rsidRPr="00F23950">
        <w:rPr>
          <w:rFonts w:ascii="Arial" w:hAnsi="Arial" w:cs="Arial"/>
          <w:sz w:val="20"/>
          <w:szCs w:val="20"/>
        </w:rPr>
        <w:t>Upoważnia się radę nadzorczą Spółki do ustalenia tekstu jednolitego zmienionego statutu Spółki.</w:t>
      </w:r>
    </w:p>
    <w:p w:rsidR="00F23950" w:rsidRPr="00F23950" w:rsidRDefault="00F23950" w:rsidP="00F23950">
      <w:pPr>
        <w:pStyle w:val="01LOLglMain1"/>
        <w:tabs>
          <w:tab w:val="clear" w:pos="0"/>
          <w:tab w:val="num" w:pos="720"/>
        </w:tabs>
        <w:rPr>
          <w:rFonts w:ascii="Arial" w:hAnsi="Arial" w:cs="Arial"/>
          <w:sz w:val="20"/>
          <w:szCs w:val="20"/>
        </w:rPr>
      </w:pPr>
    </w:p>
    <w:p w:rsidR="00F23950" w:rsidRPr="00F23950" w:rsidRDefault="00F23950" w:rsidP="00F23950">
      <w:pPr>
        <w:pStyle w:val="Tekstpodstawowy"/>
        <w:spacing w:before="120" w:after="120"/>
        <w:ind w:firstLine="0"/>
        <w:jc w:val="both"/>
        <w:rPr>
          <w:rFonts w:ascii="Arial" w:hAnsi="Arial" w:cs="Arial"/>
          <w:sz w:val="20"/>
          <w:lang w:val="pl-PL"/>
        </w:rPr>
      </w:pPr>
      <w:r w:rsidRPr="00F23950">
        <w:rPr>
          <w:rFonts w:ascii="Arial" w:hAnsi="Arial" w:cs="Arial"/>
          <w:sz w:val="20"/>
          <w:lang w:val="pl-PL"/>
        </w:rPr>
        <w:t>W związku z postanowieniami § 1 niniejszej uchwały, w celu stworzenia Zarządowi Spółki potencjalnej możliwości sfinansowania wypłaty zaliczki na poczet przewidywanej dywidendy na zasadach określonych w art. 349 KSH, Nadzwyczajne Walne Zgromadzenie postanawia o utworzeniu kapitału rezerwowego przeznaczonego na sfinansowanie wypłaty zaliczki na poczet przewidywanej dywidendy. Na potrzeby zasilenia kapitału rezerwowego, o którym mowa w zdaniu poprzedzającym, przenosi się kwotę 850.000.000 zł (słownie: osiemset pięćdziesiąt milionów złotych 00/100) z kapitału zapasowego Spółki (ze środków tego kapitału pochodzących z zysku, które mogą być przeznaczone na wypłatę dywidendy) na kapitał rezerwowy utworzony na potrzeby sfinansowania wypłaty zaliczki na poczet przewidywanej dywidendy. Tym samym kapitał zapasowy Spółki ulega odpowiedniemu zmniejszeniu o kwotę utworzonego kapitału rezerwowego. Decyzja w przedmiocie potencjalnej wypłaty zaliczki na poczet przewidywanej dywidendy oraz jej ewentualnej wysokości zostanie podjęta przez Zarząd Spółki, w szczególności, przy uwzględnieniu potrzeb finansowych Spółki oraz innych okoliczności, które Zarząd Spółki uzna za istotne. Wypłata taka będzie wymagała zgody Rady Nadzorczej Spółki.</w:t>
      </w:r>
    </w:p>
    <w:p w:rsidR="00F23950" w:rsidRPr="00F23950" w:rsidRDefault="00F23950" w:rsidP="00F23950">
      <w:pPr>
        <w:pStyle w:val="01LOLglMain1"/>
        <w:rPr>
          <w:rFonts w:ascii="Arial" w:hAnsi="Arial" w:cs="Arial"/>
          <w:sz w:val="20"/>
          <w:szCs w:val="20"/>
        </w:rPr>
      </w:pPr>
    </w:p>
    <w:p w:rsidR="00F23950" w:rsidRPr="00F23950" w:rsidRDefault="00F23950" w:rsidP="00F23950">
      <w:pPr>
        <w:pStyle w:val="Tekstpodstawowy"/>
        <w:spacing w:before="120" w:after="120"/>
        <w:ind w:firstLine="0"/>
        <w:jc w:val="both"/>
        <w:rPr>
          <w:rFonts w:ascii="Arial" w:hAnsi="Arial" w:cs="Arial"/>
          <w:sz w:val="20"/>
          <w:lang w:val="pl-PL"/>
        </w:rPr>
      </w:pPr>
      <w:r w:rsidRPr="00F23950">
        <w:rPr>
          <w:rFonts w:ascii="Arial" w:hAnsi="Arial" w:cs="Arial"/>
          <w:sz w:val="20"/>
          <w:lang w:val="pl-PL"/>
        </w:rPr>
        <w:t xml:space="preserve">Niniejsza uchwała wchodzi w życie z chwilą jej podjęcia, a wywołuje skutek od dnia rejestracji zmian statutu przez sąd rejestrowy. </w:t>
      </w:r>
    </w:p>
    <w:sectPr w:rsidR="00F23950" w:rsidRPr="00F23950">
      <w:footerReference w:type="even" r:id="rId7"/>
      <w:footerReference w:type="default" r:id="rId8"/>
      <w:pgSz w:w="11906" w:h="16838"/>
      <w:pgMar w:top="1134" w:right="102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24" w:rsidRDefault="005C5171">
      <w:r>
        <w:separator/>
      </w:r>
    </w:p>
  </w:endnote>
  <w:endnote w:type="continuationSeparator" w:id="0">
    <w:p w:rsidR="00403C24" w:rsidRDefault="005C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mSpring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19" w:rsidRDefault="00BC09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319" w:rsidRDefault="00360F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19" w:rsidRDefault="00BC09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FB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75319" w:rsidRDefault="00360F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24" w:rsidRDefault="005C5171">
      <w:r>
        <w:separator/>
      </w:r>
    </w:p>
  </w:footnote>
  <w:footnote w:type="continuationSeparator" w:id="0">
    <w:p w:rsidR="00403C24" w:rsidRDefault="005C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E6BD3"/>
    <w:multiLevelType w:val="multilevel"/>
    <w:tmpl w:val="6824C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1" w15:restartNumberingAfterBreak="0">
    <w:nsid w:val="2FD54A3F"/>
    <w:multiLevelType w:val="hybridMultilevel"/>
    <w:tmpl w:val="273EB76E"/>
    <w:lvl w:ilvl="0" w:tplc="211ED040">
      <w:start w:val="1"/>
      <w:numFmt w:val="lowerLetter"/>
      <w:lvlText w:val="%1)"/>
      <w:lvlJc w:val="left"/>
      <w:pPr>
        <w:ind w:left="1068" w:hanging="360"/>
      </w:pPr>
    </w:lvl>
    <w:lvl w:ilvl="1" w:tplc="CF5C8BD6" w:tentative="1">
      <w:start w:val="1"/>
      <w:numFmt w:val="lowerLetter"/>
      <w:lvlText w:val="%2."/>
      <w:lvlJc w:val="left"/>
      <w:pPr>
        <w:ind w:left="1788" w:hanging="360"/>
      </w:pPr>
    </w:lvl>
    <w:lvl w:ilvl="2" w:tplc="FDD2F158" w:tentative="1">
      <w:start w:val="1"/>
      <w:numFmt w:val="lowerRoman"/>
      <w:lvlText w:val="%3."/>
      <w:lvlJc w:val="right"/>
      <w:pPr>
        <w:ind w:left="2508" w:hanging="180"/>
      </w:pPr>
    </w:lvl>
    <w:lvl w:ilvl="3" w:tplc="53C045A4" w:tentative="1">
      <w:start w:val="1"/>
      <w:numFmt w:val="decimal"/>
      <w:lvlText w:val="%4."/>
      <w:lvlJc w:val="left"/>
      <w:pPr>
        <w:ind w:left="3228" w:hanging="360"/>
      </w:pPr>
    </w:lvl>
    <w:lvl w:ilvl="4" w:tplc="0BAABAA6" w:tentative="1">
      <w:start w:val="1"/>
      <w:numFmt w:val="lowerLetter"/>
      <w:lvlText w:val="%5."/>
      <w:lvlJc w:val="left"/>
      <w:pPr>
        <w:ind w:left="3948" w:hanging="360"/>
      </w:pPr>
    </w:lvl>
    <w:lvl w:ilvl="5" w:tplc="1A187C88" w:tentative="1">
      <w:start w:val="1"/>
      <w:numFmt w:val="lowerRoman"/>
      <w:lvlText w:val="%6."/>
      <w:lvlJc w:val="right"/>
      <w:pPr>
        <w:ind w:left="4668" w:hanging="180"/>
      </w:pPr>
    </w:lvl>
    <w:lvl w:ilvl="6" w:tplc="139215E6" w:tentative="1">
      <w:start w:val="1"/>
      <w:numFmt w:val="decimal"/>
      <w:lvlText w:val="%7."/>
      <w:lvlJc w:val="left"/>
      <w:pPr>
        <w:ind w:left="5388" w:hanging="360"/>
      </w:pPr>
    </w:lvl>
    <w:lvl w:ilvl="7" w:tplc="9D68154A" w:tentative="1">
      <w:start w:val="1"/>
      <w:numFmt w:val="lowerLetter"/>
      <w:lvlText w:val="%8."/>
      <w:lvlJc w:val="left"/>
      <w:pPr>
        <w:ind w:left="6108" w:hanging="360"/>
      </w:pPr>
    </w:lvl>
    <w:lvl w:ilvl="8" w:tplc="14D2FC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DC0BE6"/>
    <w:multiLevelType w:val="hybridMultilevel"/>
    <w:tmpl w:val="5E901548"/>
    <w:lvl w:ilvl="0" w:tplc="17CA0AE8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C41605F6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18DC3932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838401AE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0629D82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1BDAD5B6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4A46F4E2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BE4841E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0CA9374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4391643C"/>
    <w:multiLevelType w:val="hybridMultilevel"/>
    <w:tmpl w:val="40CE9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66001"/>
    <w:multiLevelType w:val="multilevel"/>
    <w:tmpl w:val="3BE2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6542D0F"/>
    <w:multiLevelType w:val="hybridMultilevel"/>
    <w:tmpl w:val="AC26BD3C"/>
    <w:lvl w:ilvl="0" w:tplc="AE988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489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F1A"/>
    <w:multiLevelType w:val="hybridMultilevel"/>
    <w:tmpl w:val="AF6AE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66BA5"/>
    <w:multiLevelType w:val="multilevel"/>
    <w:tmpl w:val="00504634"/>
    <w:lvl w:ilvl="0">
      <w:start w:val="1"/>
      <w:numFmt w:val="decimal"/>
      <w:pStyle w:val="01LOLglMain1"/>
      <w:suff w:val="nothing"/>
      <w:lvlText w:val="§ %1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01LOLglMain2"/>
      <w:lvlText w:val="%2"/>
      <w:lvlJc w:val="left"/>
      <w:pPr>
        <w:tabs>
          <w:tab w:val="num" w:pos="0"/>
        </w:tabs>
        <w:ind w:left="709" w:hanging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01LOLglMain3"/>
      <w:lvlText w:val="(%3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8" w15:restartNumberingAfterBreak="0">
    <w:nsid w:val="7F4E2FAB"/>
    <w:multiLevelType w:val="multilevel"/>
    <w:tmpl w:val="B9D6D2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9"/>
    <w:rsid w:val="001B1F0C"/>
    <w:rsid w:val="001D5F3C"/>
    <w:rsid w:val="0024242F"/>
    <w:rsid w:val="002C20E9"/>
    <w:rsid w:val="00360FB0"/>
    <w:rsid w:val="00363052"/>
    <w:rsid w:val="003F7C53"/>
    <w:rsid w:val="00403C24"/>
    <w:rsid w:val="00473E81"/>
    <w:rsid w:val="004D43EB"/>
    <w:rsid w:val="004D5F26"/>
    <w:rsid w:val="004F67BD"/>
    <w:rsid w:val="005C5171"/>
    <w:rsid w:val="00611843"/>
    <w:rsid w:val="006D774A"/>
    <w:rsid w:val="00796859"/>
    <w:rsid w:val="008B2D38"/>
    <w:rsid w:val="00902E75"/>
    <w:rsid w:val="009C20F4"/>
    <w:rsid w:val="00A57FAE"/>
    <w:rsid w:val="00A702C0"/>
    <w:rsid w:val="00BC0999"/>
    <w:rsid w:val="00BD6B86"/>
    <w:rsid w:val="00BE3187"/>
    <w:rsid w:val="00CB74DF"/>
    <w:rsid w:val="00F23950"/>
    <w:rsid w:val="00F9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AA287-7967-4453-A00F-1D2D4FB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999"/>
    <w:pPr>
      <w:spacing w:after="0" w:line="240" w:lineRule="auto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0999"/>
    <w:pPr>
      <w:keepNext/>
      <w:jc w:val="center"/>
      <w:outlineLvl w:val="0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09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C0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999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BC0999"/>
  </w:style>
  <w:style w:type="paragraph" w:styleId="Akapitzlist">
    <w:name w:val="List Paragraph"/>
    <w:basedOn w:val="Normalny"/>
    <w:uiPriority w:val="99"/>
    <w:qFormat/>
    <w:rsid w:val="00BC0999"/>
    <w:pPr>
      <w:ind w:left="708"/>
    </w:pPr>
  </w:style>
  <w:style w:type="paragraph" w:styleId="Tytu">
    <w:name w:val="Title"/>
    <w:basedOn w:val="Normalny"/>
    <w:link w:val="TytuZnak"/>
    <w:qFormat/>
    <w:rsid w:val="008B2D38"/>
    <w:pPr>
      <w:jc w:val="center"/>
    </w:pPr>
    <w:rPr>
      <w:rFonts w:ascii="PalmSprings" w:hAnsi="PalmSprings" w:cs="Times New Roman"/>
      <w:b/>
      <w:sz w:val="2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B2D38"/>
    <w:rPr>
      <w:rFonts w:ascii="PalmSprings" w:eastAsia="Times New Roman" w:hAnsi="PalmSprings" w:cs="Times New Roman"/>
      <w:b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F2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3"/>
    <w:qFormat/>
    <w:rsid w:val="00F23950"/>
    <w:pPr>
      <w:spacing w:after="240"/>
      <w:ind w:firstLine="144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3"/>
    <w:rsid w:val="00F2395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01LOLglMain1">
    <w:name w:val="01 LOLglMain 1"/>
    <w:basedOn w:val="Normalny"/>
    <w:link w:val="01LOLglMain1Char"/>
    <w:rsid w:val="00F23950"/>
    <w:pPr>
      <w:keepNext/>
      <w:numPr>
        <w:numId w:val="9"/>
      </w:numPr>
      <w:spacing w:before="480" w:after="240"/>
      <w:jc w:val="center"/>
      <w:outlineLvl w:val="0"/>
    </w:pPr>
    <w:rPr>
      <w:rFonts w:ascii="Times New Roman" w:hAnsi="Times New Roman" w:cs="Times New Roman"/>
      <w:lang w:eastAsia="en-US"/>
    </w:rPr>
  </w:style>
  <w:style w:type="character" w:customStyle="1" w:styleId="01LOLglMain1Char">
    <w:name w:val="01 LOLglMain 1 Char"/>
    <w:link w:val="01LOLglMain1"/>
    <w:rsid w:val="00F23950"/>
    <w:rPr>
      <w:rFonts w:ascii="Times New Roman" w:eastAsia="Times New Roman" w:hAnsi="Times New Roman" w:cs="Times New Roman"/>
      <w:sz w:val="24"/>
    </w:rPr>
  </w:style>
  <w:style w:type="paragraph" w:customStyle="1" w:styleId="01LOLglMain2">
    <w:name w:val="01 LOLglMain 2"/>
    <w:basedOn w:val="Normalny"/>
    <w:link w:val="01LOLglMain2Char"/>
    <w:rsid w:val="00F23950"/>
    <w:pPr>
      <w:numPr>
        <w:ilvl w:val="1"/>
        <w:numId w:val="9"/>
      </w:numPr>
      <w:spacing w:after="240"/>
      <w:jc w:val="both"/>
      <w:outlineLvl w:val="1"/>
    </w:pPr>
    <w:rPr>
      <w:rFonts w:ascii="Times New Roman" w:hAnsi="Times New Roman" w:cs="Times New Roman"/>
      <w:lang w:eastAsia="en-US"/>
    </w:rPr>
  </w:style>
  <w:style w:type="character" w:customStyle="1" w:styleId="01LOLglMain2Char">
    <w:name w:val="01 LOLglMain 2 Char"/>
    <w:link w:val="01LOLglMain2"/>
    <w:rsid w:val="00F23950"/>
    <w:rPr>
      <w:rFonts w:ascii="Times New Roman" w:eastAsia="Times New Roman" w:hAnsi="Times New Roman" w:cs="Times New Roman"/>
      <w:sz w:val="24"/>
    </w:rPr>
  </w:style>
  <w:style w:type="paragraph" w:customStyle="1" w:styleId="01LOLglMain3">
    <w:name w:val="01 LOLglMain 3"/>
    <w:basedOn w:val="Normalny"/>
    <w:rsid w:val="00F23950"/>
    <w:pPr>
      <w:numPr>
        <w:ilvl w:val="2"/>
        <w:numId w:val="9"/>
      </w:numPr>
      <w:tabs>
        <w:tab w:val="clear" w:pos="0"/>
      </w:tabs>
      <w:spacing w:after="240"/>
      <w:ind w:left="1418"/>
      <w:jc w:val="both"/>
      <w:outlineLvl w:val="2"/>
    </w:pPr>
    <w:rPr>
      <w:rFonts w:ascii="Times New Roman" w:hAnsi="Times New Roman" w:cs="Times New Roman"/>
      <w:lang w:eastAsia="en-US"/>
    </w:rPr>
  </w:style>
  <w:style w:type="paragraph" w:customStyle="1" w:styleId="01LOLglMain4">
    <w:name w:val="01 LOLglMain 4"/>
    <w:basedOn w:val="Normalny"/>
    <w:rsid w:val="00F23950"/>
    <w:pPr>
      <w:numPr>
        <w:ilvl w:val="3"/>
        <w:numId w:val="9"/>
      </w:numPr>
      <w:tabs>
        <w:tab w:val="clear" w:pos="0"/>
        <w:tab w:val="num" w:pos="1440"/>
      </w:tabs>
      <w:spacing w:after="240"/>
      <w:outlineLvl w:val="3"/>
    </w:pPr>
    <w:rPr>
      <w:rFonts w:ascii="Times New Roman" w:hAnsi="Times New Roman" w:cs="Times New Roman"/>
      <w:lang w:val="en-GB" w:eastAsia="en-US"/>
    </w:rPr>
  </w:style>
  <w:style w:type="paragraph" w:customStyle="1" w:styleId="01LOLglMain5">
    <w:name w:val="01 LOLglMain 5"/>
    <w:basedOn w:val="Normalny"/>
    <w:rsid w:val="00F23950"/>
    <w:pPr>
      <w:numPr>
        <w:ilvl w:val="4"/>
        <w:numId w:val="9"/>
      </w:numPr>
      <w:tabs>
        <w:tab w:val="clear" w:pos="0"/>
        <w:tab w:val="num" w:pos="2160"/>
      </w:tabs>
      <w:spacing w:after="240"/>
      <w:outlineLvl w:val="4"/>
    </w:pPr>
    <w:rPr>
      <w:rFonts w:ascii="Times New Roman" w:hAnsi="Times New Roman" w:cs="Times New Roman"/>
      <w:lang w:val="en-GB" w:eastAsia="en-US"/>
    </w:rPr>
  </w:style>
  <w:style w:type="paragraph" w:customStyle="1" w:styleId="01LOLglMain6">
    <w:name w:val="01 LOLglMain 6"/>
    <w:basedOn w:val="Normalny"/>
    <w:rsid w:val="00F23950"/>
    <w:pPr>
      <w:numPr>
        <w:ilvl w:val="5"/>
        <w:numId w:val="9"/>
      </w:numPr>
      <w:tabs>
        <w:tab w:val="clear" w:pos="0"/>
        <w:tab w:val="num" w:pos="2880"/>
      </w:tabs>
      <w:spacing w:after="240"/>
      <w:outlineLvl w:val="5"/>
    </w:pPr>
    <w:rPr>
      <w:rFonts w:ascii="Times New Roman" w:hAnsi="Times New Roman" w:cs="Times New Roman"/>
      <w:lang w:val="en-GB" w:eastAsia="en-US"/>
    </w:rPr>
  </w:style>
  <w:style w:type="paragraph" w:customStyle="1" w:styleId="01LOLglMain7">
    <w:name w:val="01 LOLglMain 7"/>
    <w:basedOn w:val="Normalny"/>
    <w:rsid w:val="00F23950"/>
    <w:pPr>
      <w:numPr>
        <w:ilvl w:val="6"/>
        <w:numId w:val="9"/>
      </w:numPr>
      <w:tabs>
        <w:tab w:val="clear" w:pos="0"/>
        <w:tab w:val="num" w:pos="3600"/>
      </w:tabs>
      <w:spacing w:after="240"/>
      <w:outlineLvl w:val="6"/>
    </w:pPr>
    <w:rPr>
      <w:rFonts w:ascii="Times New Roman" w:hAnsi="Times New Roman" w:cs="Times New Roman"/>
      <w:lang w:val="en-GB" w:eastAsia="en-US"/>
    </w:rPr>
  </w:style>
  <w:style w:type="paragraph" w:customStyle="1" w:styleId="01LOLglMain8">
    <w:name w:val="01 LOLglMain 8"/>
    <w:basedOn w:val="Normalny"/>
    <w:rsid w:val="00F23950"/>
    <w:pPr>
      <w:numPr>
        <w:ilvl w:val="7"/>
        <w:numId w:val="9"/>
      </w:numPr>
      <w:tabs>
        <w:tab w:val="clear" w:pos="0"/>
      </w:tabs>
    </w:pPr>
    <w:rPr>
      <w:rFonts w:ascii="Times New Roman" w:hAnsi="Times New Roman" w:cs="Times New Roman"/>
      <w:lang w:val="en-GB" w:eastAsia="en-US"/>
    </w:rPr>
  </w:style>
  <w:style w:type="paragraph" w:customStyle="1" w:styleId="01LOLglMain9">
    <w:name w:val="01 LOLglMain 9"/>
    <w:basedOn w:val="Normalny"/>
    <w:rsid w:val="00F23950"/>
    <w:pPr>
      <w:numPr>
        <w:ilvl w:val="8"/>
        <w:numId w:val="9"/>
      </w:numPr>
      <w:tabs>
        <w:tab w:val="clear" w:pos="0"/>
      </w:tabs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2070</Words>
  <Characters>12426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BANCYROWSKA Marlena</dc:creator>
  <cp:keywords/>
  <dc:description/>
  <cp:lastModifiedBy>BANCYROWSKA Marlena</cp:lastModifiedBy>
  <cp:revision>8</cp:revision>
  <cp:lastPrinted>2019-09-26T13:56:00Z</cp:lastPrinted>
  <dcterms:created xsi:type="dcterms:W3CDTF">2019-09-26T13:36:00Z</dcterms:created>
  <dcterms:modified xsi:type="dcterms:W3CDTF">2019-09-26T15:26:00Z</dcterms:modified>
</cp:coreProperties>
</file>