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C7" w:rsidRPr="00C65AC7" w:rsidRDefault="00C65AC7" w:rsidP="00C65AC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C65AC7">
        <w:rPr>
          <w:rFonts w:ascii="Times New Roman" w:eastAsia="Times New Roman" w:hAnsi="Times New Roman" w:cs="Times New Roman"/>
          <w:sz w:val="24"/>
          <w:szCs w:val="24"/>
        </w:rPr>
        <w:t>﻿</w:t>
      </w:r>
    </w:p>
    <w:p w:rsidR="00C65AC7" w:rsidRPr="00C65AC7" w:rsidRDefault="00C65AC7" w:rsidP="00C65AC7">
      <w:pPr>
        <w:spacing w:after="120" w:line="288" w:lineRule="auto"/>
        <w:jc w:val="both"/>
        <w:rPr>
          <w:rFonts w:ascii="Times New Roman" w:eastAsia="Times New Roman" w:hAnsi="Times New Roman" w:cs="Times New Roman"/>
        </w:rPr>
      </w:pPr>
      <w:r w:rsidRPr="00C65AC7">
        <w:rPr>
          <w:rFonts w:ascii="Barclays Sans" w:eastAsia="Times New Roman" w:hAnsi="Barclays Sans" w:cs="Times New Roman"/>
          <w:b/>
          <w:bCs/>
          <w:i/>
          <w:iCs/>
          <w:color w:val="000000"/>
          <w:sz w:val="20"/>
          <w:szCs w:val="20"/>
        </w:rPr>
        <w:t xml:space="preserve">NOT FOR PUBLICATION, RELEASE OR DISTRIBUTION, DIRECTLY OR INDIRECTLY, IN WHOLE OR IN PART, </w:t>
      </w:r>
      <w:r w:rsidRPr="00C65AC7">
        <w:rPr>
          <w:rFonts w:ascii="Barclays Sans" w:eastAsia="Times New Roman" w:hAnsi="Barclays Sans" w:cs="Times New Roman"/>
          <w:b/>
          <w:bCs/>
          <w:i/>
          <w:iCs/>
          <w:sz w:val="20"/>
          <w:szCs w:val="20"/>
        </w:rPr>
        <w:t>IN OR INTO THE PEOPLE'S REPUBLIC OF CHINA, HONG KONG, JAPAN, THE REPUBLIC OF SOUTH AFRICA AND ANY OTHER JURISDICTION IN WHICH IT WOULD BE UNLAWFUL TO DO SO.</w:t>
      </w:r>
      <w:r w:rsidRPr="00C65AC7">
        <w:rPr>
          <w:rFonts w:ascii="Times New Roman" w:eastAsia="Times New Roman" w:hAnsi="Times New Roman" w:cs="Times New Roman"/>
          <w:b/>
          <w:bCs/>
          <w:i/>
          <w:iCs/>
        </w:rPr>
        <w:t> </w:t>
      </w:r>
    </w:p>
    <w:p w:rsidR="00C65AC7" w:rsidRPr="00C65AC7" w:rsidRDefault="00C65AC7" w:rsidP="00C65AC7">
      <w:pPr>
        <w:spacing w:after="120" w:line="288" w:lineRule="auto"/>
        <w:jc w:val="both"/>
        <w:rPr>
          <w:rFonts w:ascii="Times New Roman" w:eastAsia="Times New Roman" w:hAnsi="Times New Roman" w:cs="Times New Roman"/>
          <w:b/>
          <w:bCs/>
          <w:i/>
          <w:iCs/>
        </w:rPr>
      </w:pPr>
      <w:r w:rsidRPr="00C65AC7">
        <w:rPr>
          <w:rFonts w:ascii="Barclays Sans" w:eastAsia="Times New Roman" w:hAnsi="Barclays Sans" w:cs="Times New Roman"/>
          <w:b/>
          <w:bCs/>
          <w:i/>
          <w:iCs/>
          <w:sz w:val="20"/>
          <w:szCs w:val="20"/>
        </w:rPr>
        <w:t xml:space="preserve">THIS ANNOUNCEMENT IS AN ADVERTISEMENT AND DOES NOT CONSTITUTE A PROSPECTUS OR PROSPECTUS EQUIVALENT DOCUMENT. INVESTORS SHOULD NOT ACQUIRE ANY SECURITIES REFERRED TO IN THIS ANNOUNCEMENT EXCEPT ON THE BASIS OF INFORMATION CONTAINED IN THE PROSPECTUS. </w:t>
      </w:r>
    </w:p>
    <w:p w:rsidR="00C65AC7" w:rsidRPr="00C65AC7" w:rsidRDefault="00C65AC7" w:rsidP="00C65AC7">
      <w:pPr>
        <w:spacing w:after="120" w:line="288" w:lineRule="auto"/>
        <w:jc w:val="both"/>
        <w:rPr>
          <w:rFonts w:ascii="Times New Roman" w:eastAsia="Times New Roman" w:hAnsi="Times New Roman" w:cs="Times New Roman"/>
          <w:b/>
          <w:bCs/>
          <w:i/>
          <w:iCs/>
        </w:rPr>
      </w:pPr>
      <w:r w:rsidRPr="00C65AC7">
        <w:rPr>
          <w:rFonts w:ascii="Times New Roman" w:eastAsia="Times New Roman" w:hAnsi="Times New Roman" w:cs="Times New Roman"/>
          <w:b/>
          <w:bCs/>
          <w:i/>
          <w:iCs/>
        </w:rPr>
        <w:t>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ind w:left="2240"/>
        <w:jc w:val="right"/>
        <w:rPr>
          <w:rFonts w:ascii="Times New Roman" w:eastAsia="Times New Roman" w:hAnsi="Times New Roman" w:cs="Times New Roman"/>
          <w:b/>
          <w:bCs/>
          <w:sz w:val="20"/>
          <w:szCs w:val="20"/>
        </w:rPr>
      </w:pPr>
      <w:r w:rsidRPr="00C65AC7">
        <w:rPr>
          <w:rFonts w:ascii="Barclays Sans" w:eastAsia="Times New Roman" w:hAnsi="Barclays Sans" w:cs="Times New Roman"/>
          <w:b/>
          <w:bCs/>
        </w:rPr>
        <w:t>16 September 2013</w:t>
      </w:r>
    </w:p>
    <w:p w:rsidR="00C65AC7" w:rsidRPr="00C65AC7" w:rsidRDefault="00C65AC7" w:rsidP="00C65AC7">
      <w:pPr>
        <w:spacing w:after="0" w:line="240" w:lineRule="auto"/>
        <w:ind w:left="2240"/>
        <w:jc w:val="right"/>
        <w:rPr>
          <w:rFonts w:ascii="Times New Roman" w:eastAsia="Times New Roman" w:hAnsi="Times New Roman" w:cs="Times New Roman"/>
          <w:b/>
          <w:bCs/>
          <w:sz w:val="20"/>
          <w:szCs w:val="20"/>
        </w:rPr>
      </w:pPr>
      <w:r w:rsidRPr="00C65AC7">
        <w:rPr>
          <w:rFonts w:ascii="Barclays Sans" w:eastAsia="Times New Roman" w:hAnsi="Barclays Sans" w:cs="Times New Roman"/>
          <w:b/>
          <w:bCs/>
        </w:rPr>
        <w:t> </w:t>
      </w:r>
    </w:p>
    <w:p w:rsidR="00C65AC7" w:rsidRDefault="00C65AC7" w:rsidP="00C65AC7">
      <w:pPr>
        <w:pStyle w:val="da"/>
      </w:pPr>
      <w:r>
        <w:rPr>
          <w:rStyle w:val="cp"/>
        </w:rPr>
        <w:t xml:space="preserve">Rights Issue Prospectus and Timetable and Trading Update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On 30 July 2013, Barclays announced an underwritten rights issue to raise approximately £5.8 billion (net of expenses) (the "</w:t>
      </w:r>
      <w:r w:rsidRPr="00C65AC7">
        <w:rPr>
          <w:rFonts w:ascii="Barclays Sans" w:eastAsia="Times New Roman" w:hAnsi="Barclays Sans" w:cs="Times New Roman"/>
          <w:b/>
          <w:bCs/>
        </w:rPr>
        <w:t>Rights Issue</w:t>
      </w:r>
      <w:r w:rsidRPr="00C65AC7">
        <w:rPr>
          <w:rFonts w:ascii="Barclays Sans" w:eastAsia="Times New Roman" w:hAnsi="Barclays Sans" w:cs="Times New Roman"/>
        </w:rPr>
        <w:t xml:space="preserve">").  Under the terms of the Rights Issue, Barclays is offering 3,219,067,868 New Ordinary Shares by way of rights to Qualifying Shareholders at 185 pence per New Ordinary Share.  The Rights Issue is being made on the basis of one New Ordinary Share for every four Existing Ordinary Shares held by Shareholders at close of business on 13 September 2013, the Record Date.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keepNext/>
        <w:spacing w:after="0" w:line="240" w:lineRule="auto"/>
        <w:rPr>
          <w:rFonts w:ascii="Times New Roman" w:eastAsia="Times New Roman" w:hAnsi="Times New Roman" w:cs="Times New Roman"/>
          <w:sz w:val="20"/>
          <w:szCs w:val="20"/>
        </w:rPr>
      </w:pPr>
      <w:r w:rsidRPr="00C65AC7">
        <w:rPr>
          <w:rFonts w:ascii="Barclays Sans" w:eastAsia="Times New Roman" w:hAnsi="Barclays Sans" w:cs="Times New Roman"/>
          <w:b/>
          <w:bCs/>
        </w:rPr>
        <w:t>1.    Publication of the Prospectus</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xml:space="preserve">Barclays is pleased to announce that it has today published the Prospectus for the Rights Issue in accordance with the Prospectus Rules of the UK Listing Authority.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xml:space="preserve">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The Prospectus will shortly be available on the Company's website Barclays.com/</w:t>
      </w:r>
      <w:proofErr w:type="spellStart"/>
      <w:r w:rsidRPr="00C65AC7">
        <w:rPr>
          <w:rFonts w:ascii="Barclays Sans" w:eastAsia="Times New Roman" w:hAnsi="Barclays Sans" w:cs="Times New Roman"/>
        </w:rPr>
        <w:t>rightsissue</w:t>
      </w:r>
      <w:proofErr w:type="spellEnd"/>
      <w:r w:rsidRPr="00C65AC7">
        <w:rPr>
          <w:rFonts w:ascii="Barclays Sans" w:eastAsia="Times New Roman" w:hAnsi="Barclays Sans" w:cs="Times New Roman"/>
        </w:rPr>
        <w:t xml:space="preserve">.  In addition, the Prospectus will be submitted to the National Storage Mechanism, where it will shortly be available for inspection at </w:t>
      </w:r>
      <w:hyperlink r:id="rId5" w:history="1">
        <w:r w:rsidRPr="00C65AC7">
          <w:rPr>
            <w:rFonts w:ascii="Barclays Sans" w:eastAsia="Times New Roman" w:hAnsi="Barclays Sans" w:cs="Times New Roman"/>
            <w:color w:val="0000FF"/>
            <w:u w:val="single"/>
          </w:rPr>
          <w:t>www.morningstar.co.uk/uk/NSM</w:t>
        </w:r>
      </w:hyperlink>
      <w:r w:rsidRPr="00C65AC7">
        <w:rPr>
          <w:rFonts w:ascii="Barclays Sans" w:eastAsia="Times New Roman" w:hAnsi="Barclays Sans" w:cs="Times New Roman"/>
        </w:rPr>
        <w:t>.</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xml:space="preserve">In the United States and Canada, the Rights Issue will be made pursuant to the US Prospectus and the Canadian Offering Memorandum respectively. Barclays expects to file the US Prospectus today with the SEC and it will thereafter be available free of charge on the SEC's website at </w:t>
      </w:r>
      <w:hyperlink r:id="rId6" w:history="1">
        <w:r w:rsidRPr="00C65AC7">
          <w:rPr>
            <w:rFonts w:ascii="Barclays Sans" w:eastAsia="Times New Roman" w:hAnsi="Barclays Sans" w:cs="Times New Roman"/>
            <w:color w:val="0000FF"/>
            <w:u w:val="single"/>
          </w:rPr>
          <w:t>www.sec.gov</w:t>
        </w:r>
      </w:hyperlink>
      <w:r w:rsidRPr="00C65AC7">
        <w:rPr>
          <w:rFonts w:ascii="Barclays Sans" w:eastAsia="Times New Roman" w:hAnsi="Barclays Sans" w:cs="Times New Roman"/>
        </w:rPr>
        <w:t>. In addition, the US Prospectus and the Canadian Offering Memorandum will be available later today to US and Canadian holders of Existing Ordinary Shares or holders of ADSs, wherever located, on the Company's website Barclays.com/</w:t>
      </w:r>
      <w:proofErr w:type="spellStart"/>
      <w:r w:rsidRPr="00C65AC7">
        <w:rPr>
          <w:rFonts w:ascii="Barclays Sans" w:eastAsia="Times New Roman" w:hAnsi="Barclays Sans" w:cs="Times New Roman"/>
        </w:rPr>
        <w:t>rightsissue</w:t>
      </w:r>
      <w:proofErr w:type="spellEnd"/>
      <w:r w:rsidRPr="00C65AC7">
        <w:rPr>
          <w:rFonts w:ascii="Barclays Sans" w:eastAsia="Times New Roman" w:hAnsi="Barclays Sans" w:cs="Times New Roman"/>
        </w:rPr>
        <w:t>.</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12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2.         Timetable</w:t>
      </w:r>
    </w:p>
    <w:p w:rsidR="00C65AC7" w:rsidRPr="00C65AC7" w:rsidRDefault="00C65AC7" w:rsidP="00C65AC7">
      <w:pPr>
        <w:spacing w:after="12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xml:space="preserve">The expected timetables of the principal events under the Rights Issue in respect of the New Ordinary Shares and the ADSs are set out in the Appendix to this announcement. </w:t>
      </w:r>
    </w:p>
    <w:p w:rsidR="00C65AC7" w:rsidRPr="00C65AC7" w:rsidRDefault="00C65AC7" w:rsidP="00C65AC7">
      <w:pPr>
        <w:spacing w:after="12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12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12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3.         Admission</w:t>
      </w:r>
    </w:p>
    <w:p w:rsidR="00C65AC7" w:rsidRPr="00C65AC7" w:rsidRDefault="00C65AC7" w:rsidP="00C65AC7">
      <w:pPr>
        <w:spacing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xml:space="preserve">Application has been made to the UK Listing Authority for the New Ordinary Shares to be admitted to the premium listing segment of the Official List, and to the London Stock Exchange for the New </w:t>
      </w:r>
      <w:r w:rsidRPr="00C65AC7">
        <w:rPr>
          <w:rFonts w:ascii="Barclays Sans" w:eastAsia="Times New Roman" w:hAnsi="Barclays Sans" w:cs="Times New Roman"/>
        </w:rPr>
        <w:lastRenderedPageBreak/>
        <w:t>Ordinary Shares to be admitted to trading on the London Stock Exchange's main market for listed securities.  It is expected that admission to listing of the New Ordinary Shares, nil paid, and dealings in the New Ordinary Shares, nil paid, on the London Stock Exchange's main market for listed securities will commence at 8.00 a.m. on 18 September 2013.</w:t>
      </w:r>
    </w:p>
    <w:p w:rsidR="00C65AC7" w:rsidRPr="00C65AC7" w:rsidRDefault="00C65AC7" w:rsidP="00C65AC7">
      <w:pPr>
        <w:keepNext/>
        <w:spacing w:after="0" w:line="240" w:lineRule="auto"/>
        <w:rPr>
          <w:rFonts w:ascii="Times New Roman" w:eastAsia="Times New Roman" w:hAnsi="Times New Roman" w:cs="Times New Roman"/>
          <w:b/>
          <w:bCs/>
          <w:sz w:val="20"/>
          <w:szCs w:val="20"/>
        </w:rPr>
      </w:pPr>
      <w:r w:rsidRPr="00C65AC7">
        <w:rPr>
          <w:rFonts w:ascii="Barclays Sans" w:eastAsia="Times New Roman" w:hAnsi="Barclays Sans" w:cs="Times New Roman"/>
          <w:b/>
          <w:bCs/>
        </w:rPr>
        <w:t>4.         Current trading and prospects</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rPr>
        <w:t>Consistent with the Interim Results, Barclays continues to remain cautious about the environment in which it operates and its focus remains on costs, capital, leverage and returns in order to drive sustainable performance improvements.</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rPr>
        <w:t xml:space="preserve">The Group's adjusted income for July and August 2013 was £0.5 billion lower than in the comparable period in 2012. As a result, the Group's adjusted income for the eight month period to 31 August 2013 was down 5% compared with those months in 2012. Adjusted income for the Group, excluding the Investment Bank, for July and August 2013 was broadly flat versus those months in 2012. Income in the Investment Bank for July and August 2013 was significantly below those months in 2012, with lower income in FICC partially offset by growth in Equities and Prime Services. The daily income run rate in the Investment Bank in the current month to 12 September 2013 (being the latest practicable date prior to the publication of the Prospectus) was moderately ahead of the daily income run rate for the months of July and August 2013 and below that for September 2012.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rPr>
        <w:t xml:space="preserve">Group impairments in July and August 2013 were broadly consistent with those months in 2012 and Barclays continues to observe similar trends to those seen in the six month period ended 30 June 2013 with delinquency rates stable, a low, stable annualised Loan Loss Rate below the Group's long term average, and improvements in wholesale lending reflecting lower impairment charges in Europe.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rPr>
        <w:t>Cost control remains a critical component for Barclays to achieve its commitments, with an expectation of £1.2 billion of Costs to Achieve ("</w:t>
      </w:r>
      <w:r w:rsidRPr="00C65AC7">
        <w:rPr>
          <w:rFonts w:ascii="Barclays Sans" w:eastAsia="Times New Roman" w:hAnsi="Barclays Sans" w:cs="Times New Roman"/>
          <w:b/>
          <w:bCs/>
        </w:rPr>
        <w:t>CTA</w:t>
      </w:r>
      <w:r w:rsidRPr="00C65AC7">
        <w:rPr>
          <w:rFonts w:ascii="Barclays Sans" w:eastAsia="Times New Roman" w:hAnsi="Barclays Sans" w:cs="Times New Roman"/>
        </w:rPr>
        <w:t>") Transform in 2013, reflecting the acceleration of £200 million of the £2.7 billion total as previously disclosed and having recognised £640 million during the six months ended 30 June 2013 on restructuring and investment, predominantly in the Investment Bank and Europe Retail and Business Banking. Barclays remains focused on cost efficiency and is on track to meet the £18.5 billion cost target, excluding CTA, for 2013.</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rPr>
          <w:rFonts w:ascii="Times New Roman" w:eastAsia="Times New Roman" w:hAnsi="Times New Roman" w:cs="Times New Roman"/>
          <w:b/>
          <w:bCs/>
        </w:rPr>
      </w:pPr>
      <w:r w:rsidRPr="00C65AC7">
        <w:rPr>
          <w:rFonts w:ascii="Barclays Sans" w:eastAsia="Times New Roman" w:hAnsi="Barclays Sans" w:cs="Times New Roman"/>
          <w:b/>
          <w:bCs/>
        </w:rPr>
        <w:t>ENQUIRIES</w:t>
      </w:r>
    </w:p>
    <w:p w:rsidR="00C65AC7" w:rsidRPr="00C65AC7" w:rsidRDefault="00C65AC7" w:rsidP="00C65AC7">
      <w:pPr>
        <w:spacing w:after="0" w:line="240" w:lineRule="auto"/>
        <w:rPr>
          <w:rFonts w:ascii="Times New Roman" w:eastAsia="Times New Roman" w:hAnsi="Times New Roman" w:cs="Times New Roman"/>
          <w:b/>
          <w:bCs/>
        </w:rPr>
      </w:pPr>
      <w:r w:rsidRPr="00C65AC7">
        <w:rPr>
          <w:rFonts w:ascii="Barclays Sans" w:eastAsia="Times New Roman" w:hAnsi="Barclays Sans" w:cs="Times New Roman"/>
          <w:b/>
          <w:bCs/>
        </w:rPr>
        <w:t>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For furt</w:t>
      </w:r>
      <w:r w:rsidRPr="00C65AC7">
        <w:rPr>
          <w:rFonts w:ascii="Times New Roman" w:eastAsia="Times New Roman" w:hAnsi="Times New Roman" w:cs="Times New Roman"/>
          <w:spacing w:val="-1"/>
        </w:rPr>
        <w:t>h</w:t>
      </w:r>
      <w:r w:rsidRPr="00C65AC7">
        <w:rPr>
          <w:rFonts w:ascii="Barclays Sans" w:eastAsia="Times New Roman" w:hAnsi="Barclays Sans" w:cs="Times New Roman"/>
        </w:rPr>
        <w:t>er in</w:t>
      </w:r>
      <w:r w:rsidRPr="00C65AC7">
        <w:rPr>
          <w:rFonts w:ascii="Times New Roman" w:eastAsia="Times New Roman" w:hAnsi="Times New Roman" w:cs="Times New Roman"/>
          <w:spacing w:val="-2"/>
        </w:rPr>
        <w:t>f</w:t>
      </w:r>
      <w:r w:rsidRPr="00C65AC7">
        <w:rPr>
          <w:rFonts w:ascii="Barclays Sans" w:eastAsia="Times New Roman" w:hAnsi="Barclays Sans" w:cs="Times New Roman"/>
        </w:rPr>
        <w:t>ormati</w:t>
      </w:r>
      <w:r w:rsidRPr="00C65AC7">
        <w:rPr>
          <w:rFonts w:ascii="Times New Roman" w:eastAsia="Times New Roman" w:hAnsi="Times New Roman" w:cs="Times New Roman"/>
          <w:spacing w:val="-1"/>
        </w:rPr>
        <w:t>o</w:t>
      </w:r>
      <w:r w:rsidRPr="00C65AC7">
        <w:rPr>
          <w:rFonts w:ascii="Barclays Sans" w:eastAsia="Times New Roman" w:hAnsi="Barclays Sans" w:cs="Times New Roman"/>
        </w:rPr>
        <w:t>n, pl</w:t>
      </w:r>
      <w:r w:rsidRPr="00C65AC7">
        <w:rPr>
          <w:rFonts w:ascii="Times New Roman" w:eastAsia="Times New Roman" w:hAnsi="Times New Roman" w:cs="Times New Roman"/>
          <w:spacing w:val="-1"/>
        </w:rPr>
        <w:t>e</w:t>
      </w:r>
      <w:r w:rsidRPr="00C65AC7">
        <w:rPr>
          <w:rFonts w:ascii="Barclays Sans" w:eastAsia="Times New Roman" w:hAnsi="Barclays Sans" w:cs="Times New Roman"/>
        </w:rPr>
        <w:t>ase</w:t>
      </w:r>
      <w:r w:rsidRPr="00C65AC7">
        <w:rPr>
          <w:rFonts w:ascii="Times New Roman" w:eastAsia="Times New Roman" w:hAnsi="Times New Roman" w:cs="Times New Roman"/>
          <w:spacing w:val="-2"/>
        </w:rPr>
        <w:t> </w:t>
      </w:r>
      <w:r w:rsidRPr="00C65AC7">
        <w:rPr>
          <w:rFonts w:ascii="Barclays Sans" w:eastAsia="Times New Roman" w:hAnsi="Barclays Sans" w:cs="Times New Roman"/>
        </w:rPr>
        <w:t>con</w:t>
      </w:r>
      <w:r w:rsidRPr="00C65AC7">
        <w:rPr>
          <w:rFonts w:ascii="Barclays Sans" w:eastAsia="Times New Roman" w:hAnsi="Barclays Sans" w:cs="Times New Roman"/>
          <w:spacing w:val="-4"/>
        </w:rPr>
        <w:t>t</w:t>
      </w:r>
      <w:r w:rsidRPr="00C65AC7">
        <w:rPr>
          <w:rFonts w:ascii="Barclays Sans" w:eastAsia="Times New Roman" w:hAnsi="Barclays Sans" w:cs="Times New Roman"/>
        </w:rPr>
        <w:t>act:</w:t>
      </w:r>
    </w:p>
    <w:p w:rsidR="00C65AC7" w:rsidRPr="00C65AC7" w:rsidRDefault="00C65AC7" w:rsidP="00C65AC7">
      <w:pPr>
        <w:spacing w:after="0" w:line="240" w:lineRule="auto"/>
        <w:ind w:left="1702" w:right="1538"/>
        <w:jc w:val="both"/>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ind w:right="1538"/>
        <w:jc w:val="both"/>
        <w:rPr>
          <w:rFonts w:ascii="Times New Roman" w:eastAsia="Times New Roman" w:hAnsi="Times New Roman" w:cs="Times New Roman"/>
          <w:b/>
          <w:bCs/>
        </w:rPr>
      </w:pPr>
      <w:r w:rsidRPr="00C65AC7">
        <w:rPr>
          <w:rFonts w:ascii="Barclays Sans" w:eastAsia="Times New Roman" w:hAnsi="Barclays Sans" w:cs="Times New Roman"/>
          <w:b/>
          <w:bCs/>
        </w:rPr>
        <w:t>Barclays PLC</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Analysts and Investors</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 xml:space="preserve">Charlie </w:t>
      </w:r>
      <w:proofErr w:type="spellStart"/>
      <w:r w:rsidRPr="00C65AC7">
        <w:rPr>
          <w:rFonts w:ascii="Barclays Sans" w:eastAsia="Times New Roman" w:hAnsi="Barclays Sans" w:cs="Times New Roman"/>
          <w:color w:val="000000"/>
        </w:rPr>
        <w:t>Rozes</w:t>
      </w:r>
      <w:proofErr w:type="spellEnd"/>
      <w:r w:rsidRPr="00C65AC7">
        <w:rPr>
          <w:rFonts w:ascii="Barclays Sans" w:eastAsia="Times New Roman" w:hAnsi="Barclays Sans" w:cs="Times New Roman"/>
          <w:color w:val="000000"/>
        </w:rPr>
        <w:t xml:space="preserve">                    </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+44 (0) 20 7116 5752</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 </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Media</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 xml:space="preserve">Giles </w:t>
      </w:r>
      <w:proofErr w:type="spellStart"/>
      <w:r w:rsidRPr="00C65AC7">
        <w:rPr>
          <w:rFonts w:ascii="Barclays Sans" w:eastAsia="Times New Roman" w:hAnsi="Barclays Sans" w:cs="Times New Roman"/>
          <w:color w:val="000000"/>
        </w:rPr>
        <w:t>Croot</w:t>
      </w:r>
      <w:proofErr w:type="spellEnd"/>
      <w:r w:rsidRPr="00C65AC7">
        <w:rPr>
          <w:rFonts w:ascii="Barclays Sans" w:eastAsia="Times New Roman" w:hAnsi="Barclays Sans" w:cs="Times New Roman"/>
          <w:color w:val="000000"/>
        </w:rPr>
        <w:t xml:space="preserve"> </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+44 (0) 20 7116 6132</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 </w:t>
      </w:r>
    </w:p>
    <w:p w:rsidR="00C65AC7" w:rsidRPr="00C65AC7" w:rsidRDefault="00C65AC7" w:rsidP="00C65AC7">
      <w:pPr>
        <w:spacing w:after="0" w:line="240" w:lineRule="auto"/>
        <w:ind w:right="1538"/>
        <w:jc w:val="both"/>
        <w:rPr>
          <w:rFonts w:ascii="Times New Roman" w:eastAsia="Times New Roman" w:hAnsi="Times New Roman" w:cs="Times New Roman"/>
          <w:b/>
          <w:bCs/>
        </w:rPr>
      </w:pPr>
      <w:r w:rsidRPr="00C65AC7">
        <w:rPr>
          <w:rFonts w:ascii="Barclays Sans" w:eastAsia="Times New Roman" w:hAnsi="Barclays Sans" w:cs="Times New Roman"/>
          <w:b/>
          <w:bCs/>
          <w:color w:val="000000"/>
        </w:rPr>
        <w:t xml:space="preserve">The Barclays Shareholder Helpline* </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0871 384 2711 (from inside the UK)</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color w:val="000000"/>
        </w:rPr>
        <w:t>+44 121 415 0094 (from outside the UK)</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b/>
          <w:bCs/>
        </w:rPr>
        <w:t xml:space="preserve">Barclays Investment Bank: Sole Global Co-ordinator and Joint </w:t>
      </w:r>
      <w:proofErr w:type="spellStart"/>
      <w:r w:rsidRPr="00C65AC7">
        <w:rPr>
          <w:rFonts w:ascii="Barclays Sans" w:eastAsia="Times New Roman" w:hAnsi="Barclays Sans" w:cs="Times New Roman"/>
          <w:b/>
          <w:bCs/>
        </w:rPr>
        <w:t>Bookrunner</w:t>
      </w:r>
      <w:proofErr w:type="spellEnd"/>
      <w:r w:rsidRPr="00C65AC7">
        <w:rPr>
          <w:rFonts w:ascii="Barclays Sans" w:eastAsia="Times New Roman" w:hAnsi="Barclays Sans" w:cs="Times New Roman"/>
        </w:rPr>
        <w:t xml:space="preserve">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+44 (0) 20 7623 2323</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Jim Renwick</w:t>
      </w:r>
    </w:p>
    <w:p w:rsidR="00C65AC7" w:rsidRPr="00C65AC7" w:rsidRDefault="00C65AC7" w:rsidP="00C65AC7">
      <w:pPr>
        <w:spacing w:after="0" w:line="240" w:lineRule="auto"/>
        <w:rPr>
          <w:rFonts w:ascii="Times New Roman" w:eastAsia="Times New Roman" w:hAnsi="Times New Roman" w:cs="Times New Roman"/>
        </w:rPr>
      </w:pPr>
      <w:proofErr w:type="spellStart"/>
      <w:r w:rsidRPr="00C65AC7">
        <w:rPr>
          <w:rFonts w:ascii="Barclays Sans" w:eastAsia="Times New Roman" w:hAnsi="Barclays Sans" w:cs="Times New Roman"/>
        </w:rPr>
        <w:lastRenderedPageBreak/>
        <w:t>Kunal</w:t>
      </w:r>
      <w:proofErr w:type="spellEnd"/>
      <w:r w:rsidRPr="00C65AC7">
        <w:rPr>
          <w:rFonts w:ascii="Barclays Sans" w:eastAsia="Times New Roman" w:hAnsi="Barclays Sans" w:cs="Times New Roman"/>
        </w:rPr>
        <w:t xml:space="preserve"> Gandhi</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rPr>
          <w:rFonts w:ascii="Times New Roman" w:eastAsia="Times New Roman" w:hAnsi="Times New Roman" w:cs="Times New Roman"/>
          <w:b/>
          <w:bCs/>
        </w:rPr>
      </w:pPr>
      <w:r w:rsidRPr="00C65AC7">
        <w:rPr>
          <w:rFonts w:ascii="Barclays Sans" w:eastAsia="Times New Roman" w:hAnsi="Barclays Sans" w:cs="Times New Roman"/>
          <w:b/>
          <w:bCs/>
        </w:rPr>
        <w:t xml:space="preserve">Credit Suisse: Sponsor, Joint </w:t>
      </w:r>
      <w:proofErr w:type="spellStart"/>
      <w:r w:rsidRPr="00C65AC7">
        <w:rPr>
          <w:rFonts w:ascii="Barclays Sans" w:eastAsia="Times New Roman" w:hAnsi="Barclays Sans" w:cs="Times New Roman"/>
          <w:b/>
          <w:bCs/>
        </w:rPr>
        <w:t>Bookrunner</w:t>
      </w:r>
      <w:proofErr w:type="spellEnd"/>
      <w:r w:rsidRPr="00C65AC7">
        <w:rPr>
          <w:rFonts w:ascii="Barclays Sans" w:eastAsia="Times New Roman" w:hAnsi="Barclays Sans" w:cs="Times New Roman"/>
          <w:b/>
          <w:bCs/>
        </w:rPr>
        <w:t xml:space="preserve"> and Initial Underwriter</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+44 (0) 20 7888 8888</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xml:space="preserve">James Leigh-Pemberton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xml:space="preserve">Nick </w:t>
      </w:r>
      <w:proofErr w:type="spellStart"/>
      <w:r w:rsidRPr="00C65AC7">
        <w:rPr>
          <w:rFonts w:ascii="Barclays Sans" w:eastAsia="Times New Roman" w:hAnsi="Barclays Sans" w:cs="Times New Roman"/>
        </w:rPr>
        <w:t>Koemtzopoulos</w:t>
      </w:r>
      <w:proofErr w:type="spellEnd"/>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Lewis Burnett</w:t>
      </w:r>
    </w:p>
    <w:p w:rsidR="00C65AC7" w:rsidRPr="00C65AC7" w:rsidRDefault="00C65AC7" w:rsidP="00C65AC7">
      <w:pPr>
        <w:spacing w:after="0" w:line="240" w:lineRule="auto"/>
        <w:rPr>
          <w:rFonts w:ascii="Times New Roman" w:eastAsia="Times New Roman" w:hAnsi="Times New Roman" w:cs="Times New Roman"/>
          <w:b/>
          <w:bCs/>
        </w:rPr>
      </w:pPr>
      <w:r w:rsidRPr="00C65AC7">
        <w:rPr>
          <w:rFonts w:ascii="Barclays Sans" w:eastAsia="Times New Roman" w:hAnsi="Barclays Sans" w:cs="Times New Roman"/>
          <w:b/>
          <w:bCs/>
        </w:rPr>
        <w:t>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b/>
          <w:bCs/>
        </w:rPr>
        <w:t xml:space="preserve">Deutsche Bank: Joint </w:t>
      </w:r>
      <w:proofErr w:type="spellStart"/>
      <w:r w:rsidRPr="00C65AC7">
        <w:rPr>
          <w:rFonts w:ascii="Barclays Sans" w:eastAsia="Times New Roman" w:hAnsi="Barclays Sans" w:cs="Times New Roman"/>
          <w:b/>
          <w:bCs/>
        </w:rPr>
        <w:t>Bookrunner</w:t>
      </w:r>
      <w:proofErr w:type="spellEnd"/>
      <w:r w:rsidRPr="00C65AC7">
        <w:rPr>
          <w:rFonts w:ascii="Barclays Sans" w:eastAsia="Times New Roman" w:hAnsi="Barclays Sans" w:cs="Times New Roman"/>
          <w:b/>
          <w:bCs/>
        </w:rPr>
        <w:t xml:space="preserve"> and Initial Underwriter</w:t>
      </w:r>
      <w:r w:rsidRPr="00C65AC7">
        <w:rPr>
          <w:rFonts w:ascii="Barclays Sans" w:eastAsia="Times New Roman" w:hAnsi="Barclays Sans" w:cs="Times New Roman"/>
        </w:rPr>
        <w:t xml:space="preserve">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+44 (0) 20 7545 8000</w:t>
      </w:r>
    </w:p>
    <w:p w:rsidR="00C65AC7" w:rsidRPr="00C65AC7" w:rsidRDefault="00C65AC7" w:rsidP="00C65AC7">
      <w:pPr>
        <w:spacing w:after="0" w:line="240" w:lineRule="auto"/>
        <w:rPr>
          <w:rFonts w:ascii="Times New Roman" w:eastAsia="Times New Roman" w:hAnsi="Times New Roman" w:cs="Times New Roman"/>
        </w:rPr>
      </w:pPr>
      <w:proofErr w:type="spellStart"/>
      <w:r w:rsidRPr="00C65AC7">
        <w:rPr>
          <w:rFonts w:ascii="Barclays Sans" w:eastAsia="Times New Roman" w:hAnsi="Barclays Sans" w:cs="Times New Roman"/>
        </w:rPr>
        <w:t>Tadhg</w:t>
      </w:r>
      <w:proofErr w:type="spellEnd"/>
      <w:r w:rsidRPr="00C65AC7">
        <w:rPr>
          <w:rFonts w:ascii="Barclays Sans" w:eastAsia="Times New Roman" w:hAnsi="Barclays Sans" w:cs="Times New Roman"/>
        </w:rPr>
        <w:t xml:space="preserve"> Flood</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xml:space="preserve">Neil </w:t>
      </w:r>
      <w:proofErr w:type="spellStart"/>
      <w:r w:rsidRPr="00C65AC7">
        <w:rPr>
          <w:rFonts w:ascii="Barclays Sans" w:eastAsia="Times New Roman" w:hAnsi="Barclays Sans" w:cs="Times New Roman"/>
        </w:rPr>
        <w:t>Kell</w:t>
      </w:r>
      <w:proofErr w:type="spellEnd"/>
    </w:p>
    <w:p w:rsidR="00C65AC7" w:rsidRPr="00C65AC7" w:rsidRDefault="00C65AC7" w:rsidP="00C65AC7">
      <w:pPr>
        <w:spacing w:after="0" w:line="240" w:lineRule="auto"/>
        <w:rPr>
          <w:rFonts w:ascii="Times New Roman" w:eastAsia="Times New Roman" w:hAnsi="Times New Roman" w:cs="Times New Roman"/>
          <w:b/>
          <w:bCs/>
        </w:rPr>
      </w:pPr>
      <w:r w:rsidRPr="00C65AC7">
        <w:rPr>
          <w:rFonts w:ascii="Barclays Sans" w:eastAsia="Times New Roman" w:hAnsi="Barclays Sans" w:cs="Times New Roman"/>
          <w:b/>
          <w:bCs/>
        </w:rPr>
        <w:t> </w:t>
      </w:r>
    </w:p>
    <w:p w:rsidR="00C65AC7" w:rsidRPr="00C65AC7" w:rsidRDefault="00C65AC7" w:rsidP="00C65AC7">
      <w:pPr>
        <w:spacing w:after="0" w:line="240" w:lineRule="auto"/>
        <w:rPr>
          <w:rFonts w:ascii="Times New Roman" w:eastAsia="Times New Roman" w:hAnsi="Times New Roman" w:cs="Times New Roman"/>
          <w:b/>
          <w:bCs/>
        </w:rPr>
      </w:pPr>
      <w:proofErr w:type="spellStart"/>
      <w:r w:rsidRPr="00C65AC7">
        <w:rPr>
          <w:rFonts w:ascii="Barclays Sans" w:eastAsia="Times New Roman" w:hAnsi="Barclays Sans" w:cs="Times New Roman"/>
          <w:b/>
          <w:bCs/>
        </w:rPr>
        <w:t>BofA</w:t>
      </w:r>
      <w:proofErr w:type="spellEnd"/>
      <w:r w:rsidRPr="00C65AC7">
        <w:rPr>
          <w:rFonts w:ascii="Barclays Sans" w:eastAsia="Times New Roman" w:hAnsi="Barclays Sans" w:cs="Times New Roman"/>
          <w:b/>
          <w:bCs/>
        </w:rPr>
        <w:t xml:space="preserve"> Merrill Lynch: Joint </w:t>
      </w:r>
      <w:proofErr w:type="spellStart"/>
      <w:r w:rsidRPr="00C65AC7">
        <w:rPr>
          <w:rFonts w:ascii="Barclays Sans" w:eastAsia="Times New Roman" w:hAnsi="Barclays Sans" w:cs="Times New Roman"/>
          <w:b/>
          <w:bCs/>
        </w:rPr>
        <w:t>Bookrunner</w:t>
      </w:r>
      <w:proofErr w:type="spellEnd"/>
      <w:r w:rsidRPr="00C65AC7">
        <w:rPr>
          <w:rFonts w:ascii="Barclays Sans" w:eastAsia="Times New Roman" w:hAnsi="Barclays Sans" w:cs="Times New Roman"/>
          <w:b/>
          <w:bCs/>
        </w:rPr>
        <w:t xml:space="preserve"> and Initial Underwriter</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+44 (0) 20 7628 1000</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xml:space="preserve">Oliver </w:t>
      </w:r>
      <w:proofErr w:type="spellStart"/>
      <w:r w:rsidRPr="00C65AC7">
        <w:rPr>
          <w:rFonts w:ascii="Barclays Sans" w:eastAsia="Times New Roman" w:hAnsi="Barclays Sans" w:cs="Times New Roman"/>
        </w:rPr>
        <w:t>Holbourn</w:t>
      </w:r>
      <w:proofErr w:type="spellEnd"/>
    </w:p>
    <w:p w:rsidR="00C65AC7" w:rsidRPr="00C65AC7" w:rsidRDefault="00C65AC7" w:rsidP="00C65AC7">
      <w:pPr>
        <w:spacing w:after="0" w:line="240" w:lineRule="auto"/>
        <w:rPr>
          <w:rFonts w:ascii="Times New Roman" w:eastAsia="Times New Roman" w:hAnsi="Times New Roman" w:cs="Times New Roman"/>
        </w:rPr>
      </w:pPr>
      <w:proofErr w:type="spellStart"/>
      <w:r w:rsidRPr="00C65AC7">
        <w:rPr>
          <w:rFonts w:ascii="Barclays Sans" w:eastAsia="Times New Roman" w:hAnsi="Barclays Sans" w:cs="Times New Roman"/>
        </w:rPr>
        <w:t>Arif</w:t>
      </w:r>
      <w:proofErr w:type="spellEnd"/>
      <w:r w:rsidRPr="00C65AC7">
        <w:rPr>
          <w:rFonts w:ascii="Barclays Sans" w:eastAsia="Times New Roman" w:hAnsi="Barclays Sans" w:cs="Times New Roman"/>
        </w:rPr>
        <w:t xml:space="preserve"> </w:t>
      </w:r>
      <w:proofErr w:type="spellStart"/>
      <w:r w:rsidRPr="00C65AC7">
        <w:rPr>
          <w:rFonts w:ascii="Barclays Sans" w:eastAsia="Times New Roman" w:hAnsi="Barclays Sans" w:cs="Times New Roman"/>
        </w:rPr>
        <w:t>Vohra</w:t>
      </w:r>
      <w:proofErr w:type="spellEnd"/>
    </w:p>
    <w:p w:rsidR="00C65AC7" w:rsidRPr="00C65AC7" w:rsidRDefault="00C65AC7" w:rsidP="00C65AC7">
      <w:pPr>
        <w:spacing w:after="0" w:line="240" w:lineRule="auto"/>
        <w:rPr>
          <w:rFonts w:ascii="Times New Roman" w:eastAsia="Times New Roman" w:hAnsi="Times New Roman" w:cs="Times New Roman"/>
          <w:b/>
          <w:bCs/>
        </w:rPr>
      </w:pPr>
      <w:r w:rsidRPr="00C65AC7">
        <w:rPr>
          <w:rFonts w:ascii="Barclays Sans" w:eastAsia="Times New Roman" w:hAnsi="Barclays Sans" w:cs="Times New Roman"/>
          <w:b/>
          <w:bCs/>
        </w:rPr>
        <w:t> </w:t>
      </w:r>
    </w:p>
    <w:p w:rsidR="00C65AC7" w:rsidRPr="00C65AC7" w:rsidRDefault="00C65AC7" w:rsidP="00C65AC7">
      <w:pPr>
        <w:spacing w:after="0" w:line="240" w:lineRule="auto"/>
        <w:rPr>
          <w:rFonts w:ascii="Times New Roman" w:eastAsia="Times New Roman" w:hAnsi="Times New Roman" w:cs="Times New Roman"/>
          <w:b/>
          <w:bCs/>
        </w:rPr>
      </w:pPr>
      <w:r w:rsidRPr="00C65AC7">
        <w:rPr>
          <w:rFonts w:ascii="Barclays Sans" w:eastAsia="Times New Roman" w:hAnsi="Barclays Sans" w:cs="Times New Roman"/>
          <w:b/>
          <w:bCs/>
        </w:rPr>
        <w:t xml:space="preserve">Citi: Joint </w:t>
      </w:r>
      <w:proofErr w:type="spellStart"/>
      <w:r w:rsidRPr="00C65AC7">
        <w:rPr>
          <w:rFonts w:ascii="Barclays Sans" w:eastAsia="Times New Roman" w:hAnsi="Barclays Sans" w:cs="Times New Roman"/>
          <w:b/>
          <w:bCs/>
        </w:rPr>
        <w:t>Bookrunner</w:t>
      </w:r>
      <w:proofErr w:type="spellEnd"/>
      <w:r w:rsidRPr="00C65AC7">
        <w:rPr>
          <w:rFonts w:ascii="Barclays Sans" w:eastAsia="Times New Roman" w:hAnsi="Barclays Sans" w:cs="Times New Roman"/>
          <w:b/>
          <w:bCs/>
        </w:rPr>
        <w:t xml:space="preserve"> and Initial Underwriter</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+44 (0) 20 7986 4000</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xml:space="preserve">John </w:t>
      </w:r>
      <w:proofErr w:type="spellStart"/>
      <w:r w:rsidRPr="00C65AC7">
        <w:rPr>
          <w:rFonts w:ascii="Barclays Sans" w:eastAsia="Times New Roman" w:hAnsi="Barclays Sans" w:cs="Times New Roman"/>
        </w:rPr>
        <w:t>Sandhu</w:t>
      </w:r>
      <w:proofErr w:type="spellEnd"/>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Alex Carter</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ind w:right="1538"/>
        <w:jc w:val="both"/>
        <w:rPr>
          <w:rFonts w:ascii="Times New Roman" w:eastAsia="Times New Roman" w:hAnsi="Times New Roman" w:cs="Times New Roman"/>
        </w:rPr>
      </w:pPr>
      <w:r w:rsidRPr="00C65AC7">
        <w:rPr>
          <w:rFonts w:ascii="Barclays Sans" w:eastAsia="Times New Roman" w:hAnsi="Barclays Sans" w:cs="Times New Roman"/>
          <w:b/>
          <w:bCs/>
          <w:color w:val="000000"/>
          <w:sz w:val="18"/>
          <w:szCs w:val="18"/>
        </w:rPr>
        <w:t>*</w:t>
      </w:r>
      <w:r w:rsidRPr="00C65AC7">
        <w:rPr>
          <w:rFonts w:ascii="Barclays Sans" w:eastAsia="Times New Roman" w:hAnsi="Barclays Sans" w:cs="Times New Roman"/>
          <w:i/>
          <w:iCs/>
          <w:color w:val="000000"/>
          <w:sz w:val="18"/>
          <w:szCs w:val="18"/>
        </w:rPr>
        <w:t>Calls to the 0871 Barclays Shareholder Helpline number are charged at 8 pence per minute (excluding VAT) plus network extras. Calls to the Barclays Shareholder Helpline from outside the UK will be charged at appropriate international rates. Different charges may apply to calls from mobile telephones. Calls may be recorded and randomly monitored for security and training purposes. Please note that the Barclays Shareholder Helpline operators cannot provide advice on the merits of the Rights Issue, nor give financial, tax, investment or legal advice. The Barclays Shareholder Helpline operators can advise you on the choices that are available to you and the actions that you should take once you have decided what you wish to do.</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jc w:val="center"/>
        <w:rPr>
          <w:rFonts w:ascii="Times New Roman" w:eastAsia="Times New Roman" w:hAnsi="Times New Roman" w:cs="Times New Roman"/>
          <w:b/>
          <w:bCs/>
          <w:sz w:val="20"/>
          <w:szCs w:val="20"/>
        </w:rPr>
      </w:pPr>
      <w:r w:rsidRPr="00C65AC7">
        <w:rPr>
          <w:rFonts w:ascii="Barclays Sans" w:eastAsia="Times New Roman" w:hAnsi="Barclays Sans" w:cs="Times New Roman"/>
          <w:b/>
          <w:bCs/>
        </w:rPr>
        <w:t xml:space="preserve">APPENDIX </w:t>
      </w:r>
    </w:p>
    <w:p w:rsidR="00C65AC7" w:rsidRPr="00C65AC7" w:rsidRDefault="00C65AC7" w:rsidP="00C65AC7">
      <w:pPr>
        <w:spacing w:after="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 </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Set out below are the expected timetables of principal events under the Rights Issue in respect of the New Ordinary Shares and the ADSs.</w:t>
      </w:r>
    </w:p>
    <w:p w:rsidR="00C65AC7" w:rsidRPr="00C65AC7" w:rsidRDefault="00C65AC7" w:rsidP="00C65AC7">
      <w:pPr>
        <w:spacing w:after="0" w:line="240" w:lineRule="auto"/>
        <w:jc w:val="both"/>
        <w:rPr>
          <w:rFonts w:ascii="Times New Roman" w:eastAsia="Times New Roman" w:hAnsi="Times New Roman" w:cs="Times New Roman"/>
          <w:sz w:val="20"/>
          <w:szCs w:val="20"/>
        </w:rPr>
      </w:pPr>
      <w:r w:rsidRPr="00C65AC7">
        <w:rPr>
          <w:rFonts w:ascii="Barclays Sans" w:eastAsia="Times New Roman" w:hAnsi="Barclays Sans" w:cs="Times New Roman"/>
        </w:rPr>
        <w:t> </w:t>
      </w:r>
    </w:p>
    <w:p w:rsidR="00C65AC7" w:rsidRPr="00C65AC7" w:rsidRDefault="00C65AC7" w:rsidP="00C65AC7">
      <w:pPr>
        <w:spacing w:after="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Each of the times and dates contained in these timetables are indicative only and may change. If they do change, the Company will notify the FCA, the London Stock Exchange and, where applicable, Qualifying Shareholders or ADS holders.</w:t>
      </w:r>
    </w:p>
    <w:p w:rsidR="00C65AC7" w:rsidRPr="00C65AC7" w:rsidRDefault="00C65AC7" w:rsidP="00C65AC7">
      <w:pPr>
        <w:spacing w:after="0" w:line="240" w:lineRule="auto"/>
        <w:jc w:val="center"/>
        <w:rPr>
          <w:rFonts w:ascii="Times New Roman" w:eastAsia="Times New Roman" w:hAnsi="Times New Roman" w:cs="Times New Roman"/>
          <w:b/>
          <w:bCs/>
          <w:sz w:val="20"/>
          <w:szCs w:val="20"/>
        </w:rPr>
      </w:pPr>
      <w:r w:rsidRPr="00C65AC7">
        <w:rPr>
          <w:rFonts w:ascii="Barclays Sans" w:eastAsia="Times New Roman" w:hAnsi="Barclays Sans" w:cs="Times New Roman"/>
          <w:b/>
          <w:bCs/>
        </w:rPr>
        <w:t> </w:t>
      </w:r>
    </w:p>
    <w:p w:rsidR="00C65AC7" w:rsidRPr="00C65AC7" w:rsidRDefault="00C65AC7" w:rsidP="00C65AC7">
      <w:pPr>
        <w:spacing w:after="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1.   Expected timetable for principal events relating to the New Ordinary Shares</w:t>
      </w:r>
    </w:p>
    <w:p w:rsidR="00C65AC7" w:rsidRPr="00C65AC7" w:rsidRDefault="00C65AC7" w:rsidP="00C65AC7">
      <w:pPr>
        <w:spacing w:after="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 </w:t>
      </w:r>
    </w:p>
    <w:p w:rsidR="00C65AC7" w:rsidRPr="00C65AC7" w:rsidRDefault="00C65AC7" w:rsidP="00C65AC7">
      <w:pPr>
        <w:spacing w:after="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All times referred to in this timetable are London times.</w:t>
      </w:r>
    </w:p>
    <w:p w:rsidR="00C65AC7" w:rsidRPr="00C65AC7" w:rsidRDefault="00C65AC7" w:rsidP="00C65AC7">
      <w:pPr>
        <w:spacing w:line="240" w:lineRule="auto"/>
        <w:jc w:val="right"/>
        <w:rPr>
          <w:rFonts w:ascii="Times New Roman" w:eastAsia="Times New Roman" w:hAnsi="Times New Roman" w:cs="Times New Roman"/>
          <w:b/>
          <w:bCs/>
          <w:sz w:val="20"/>
          <w:szCs w:val="20"/>
        </w:rPr>
      </w:pPr>
      <w:r w:rsidRPr="00C65AC7">
        <w:rPr>
          <w:rFonts w:ascii="Barclays Sans" w:eastAsia="Times New Roman" w:hAnsi="Barclays Sans" w:cs="Times New Roman"/>
          <w:b/>
          <w:bCs/>
        </w:rPr>
        <w:t> </w:t>
      </w:r>
    </w:p>
    <w:tbl>
      <w:tblPr>
        <w:tblW w:w="8700" w:type="dxa"/>
        <w:tblCellSpacing w:w="52" w:type="dxa"/>
        <w:tblInd w:w="112" w:type="dxa"/>
        <w:tblCellMar>
          <w:left w:w="0" w:type="dxa"/>
          <w:right w:w="0" w:type="dxa"/>
        </w:tblCellMar>
        <w:tblLook w:val="04A0" w:firstRow="1" w:lastRow="0" w:firstColumn="1" w:lastColumn="0" w:noHBand="0" w:noVBand="1"/>
      </w:tblPr>
      <w:tblGrid>
        <w:gridCol w:w="4485"/>
        <w:gridCol w:w="4215"/>
      </w:tblGrid>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t> </w:t>
            </w:r>
          </w:p>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t xml:space="preserve">Record Date for entitlement under the Rights Issue for Qualifying Shareholders and Qualifying </w:t>
            </w:r>
            <w:proofErr w:type="spellStart"/>
            <w:r w:rsidRPr="00C65AC7">
              <w:rPr>
                <w:rFonts w:ascii="Barclays Sans" w:eastAsia="Times New Roman" w:hAnsi="Barclays Sans" w:cs="Times New Roman"/>
              </w:rPr>
              <w:t>Sharestore</w:t>
            </w:r>
            <w:proofErr w:type="spellEnd"/>
            <w:r w:rsidRPr="00C65AC7">
              <w:rPr>
                <w:rFonts w:ascii="Barclays Sans" w:eastAsia="Times New Roman" w:hAnsi="Barclays Sans" w:cs="Times New Roman"/>
              </w:rPr>
              <w:t xml:space="preserve"> Members</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b/>
                <w:bCs/>
              </w:rPr>
            </w:pPr>
            <w:r w:rsidRPr="00C65AC7">
              <w:rPr>
                <w:rFonts w:ascii="Barclays Sans" w:eastAsia="Times New Roman" w:hAnsi="Barclays Sans" w:cs="Times New Roman"/>
                <w:b/>
                <w:bCs/>
              </w:rPr>
              <w:t>2013</w:t>
            </w:r>
          </w:p>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rPr>
              <w:t xml:space="preserve">Close of business on 13 September </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t xml:space="preserve">Despatch of Provisional Allotment Letters and </w:t>
            </w:r>
            <w:proofErr w:type="spellStart"/>
            <w:r w:rsidRPr="00C65AC7">
              <w:rPr>
                <w:rFonts w:ascii="Barclays Sans" w:eastAsia="Times New Roman" w:hAnsi="Barclays Sans" w:cs="Times New Roman"/>
              </w:rPr>
              <w:t>Sharestore</w:t>
            </w:r>
            <w:proofErr w:type="spellEnd"/>
            <w:r w:rsidRPr="00C65AC7">
              <w:rPr>
                <w:rFonts w:ascii="Barclays Sans" w:eastAsia="Times New Roman" w:hAnsi="Barclays Sans" w:cs="Times New Roman"/>
              </w:rPr>
              <w:t xml:space="preserve"> Forms of Instruction</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rPr>
              <w:t>17 September</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lastRenderedPageBreak/>
              <w:t>Admission</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rPr>
              <w:t xml:space="preserve">8.00 a.m. on 18 September </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b/>
                <w:bCs/>
              </w:rPr>
            </w:pPr>
            <w:r w:rsidRPr="00C65AC7">
              <w:rPr>
                <w:rFonts w:ascii="Barclays Sans" w:eastAsia="Times New Roman" w:hAnsi="Barclays Sans" w:cs="Times New Roman"/>
                <w:b/>
                <w:bCs/>
              </w:rPr>
              <w:t>Dealings in New Ordinary Shares, nil paid, commence on the London Stock Exchange</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b/>
                <w:bCs/>
              </w:rPr>
              <w:t>8.00 a.m. on 18 September</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t>Existing Ordinary Shares marked "Ex-Rights" by the London Stock Exchange</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rPr>
              <w:t xml:space="preserve">8.00 a.m. on 18 September </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t>Nil Paid Rights credited to stock accounts in CREST</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rPr>
              <w:t xml:space="preserve">As soon as practicable after 8.00 a.m. on 18 September </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t>Nil Paid Rights and Fully Paid Rights enabled in CREST</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rPr>
              <w:t>As soon as practicable after 8.00 a.m. on 18 September</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t>Latest time and date for acceptance and payment by settlement of an MTM instruction in CREST</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rPr>
              <w:t>2.00 p.m. on 2 October</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b/>
                <w:bCs/>
              </w:rPr>
            </w:pPr>
            <w:r w:rsidRPr="00C65AC7">
              <w:rPr>
                <w:rFonts w:ascii="Barclays Sans" w:eastAsia="Times New Roman" w:hAnsi="Barclays Sans" w:cs="Times New Roman"/>
                <w:b/>
                <w:bCs/>
              </w:rPr>
              <w:t xml:space="preserve">Latest time and date for receipt of an acceptance, instruction and payment by returning a Provisional Allotment Letter or a </w:t>
            </w:r>
            <w:proofErr w:type="spellStart"/>
            <w:r w:rsidRPr="00C65AC7">
              <w:rPr>
                <w:rFonts w:ascii="Barclays Sans" w:eastAsia="Times New Roman" w:hAnsi="Barclays Sans" w:cs="Times New Roman"/>
                <w:b/>
                <w:bCs/>
              </w:rPr>
              <w:t>Sharestore</w:t>
            </w:r>
            <w:proofErr w:type="spellEnd"/>
            <w:r w:rsidRPr="00C65AC7">
              <w:rPr>
                <w:rFonts w:ascii="Barclays Sans" w:eastAsia="Times New Roman" w:hAnsi="Barclays Sans" w:cs="Times New Roman"/>
                <w:b/>
                <w:bCs/>
              </w:rPr>
              <w:t xml:space="preserve"> Form of Instruction and registration of renounced Provisional Allotment Letters</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b/>
                <w:bCs/>
              </w:rPr>
              <w:t>11.59 p.m. on 2 October</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rPr>
            </w:pPr>
            <w:r w:rsidRPr="00C65AC7">
              <w:rPr>
                <w:rFonts w:ascii="Barclays Sans" w:eastAsia="Times New Roman" w:hAnsi="Barclays Sans" w:cs="Times New Roman"/>
              </w:rPr>
              <w:t>Results of Rights Issue to be announced</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rPr>
              <w:t>8.00 a.m. on 4 October</w:t>
            </w:r>
          </w:p>
        </w:tc>
      </w:tr>
      <w:tr w:rsidR="00C65AC7" w:rsidRPr="00C65AC7" w:rsidTr="00C65AC7">
        <w:trPr>
          <w:tblCellSpacing w:w="52" w:type="dxa"/>
        </w:trPr>
        <w:tc>
          <w:tcPr>
            <w:tcW w:w="4095" w:type="dxa"/>
            <w:tcMar>
              <w:top w:w="0" w:type="dxa"/>
              <w:left w:w="108" w:type="dxa"/>
              <w:bottom w:w="0" w:type="dxa"/>
              <w:right w:w="108" w:type="dxa"/>
            </w:tcMar>
            <w:hideMark/>
          </w:tcPr>
          <w:p w:rsidR="00C65AC7" w:rsidRPr="00C65AC7" w:rsidRDefault="00C65AC7" w:rsidP="00C65AC7">
            <w:pPr>
              <w:spacing w:after="120" w:line="240" w:lineRule="auto"/>
              <w:rPr>
                <w:rFonts w:ascii="Times New Roman" w:eastAsia="Times New Roman" w:hAnsi="Times New Roman" w:cs="Times New Roman"/>
                <w:b/>
                <w:bCs/>
              </w:rPr>
            </w:pPr>
            <w:r w:rsidRPr="00C65AC7">
              <w:rPr>
                <w:rFonts w:ascii="Barclays Sans" w:eastAsia="Times New Roman" w:hAnsi="Barclays Sans" w:cs="Times New Roman"/>
                <w:b/>
                <w:bCs/>
              </w:rPr>
              <w:t>Dealings in New Ordinary Shares, fully paid, commence on the London Stock Exchange</w:t>
            </w:r>
          </w:p>
        </w:tc>
        <w:tc>
          <w:tcPr>
            <w:tcW w:w="3840" w:type="dxa"/>
            <w:tcMar>
              <w:top w:w="0" w:type="dxa"/>
              <w:left w:w="108" w:type="dxa"/>
              <w:bottom w:w="0" w:type="dxa"/>
              <w:right w:w="108" w:type="dxa"/>
            </w:tcMar>
            <w:hideMark/>
          </w:tcPr>
          <w:p w:rsidR="00C65AC7" w:rsidRPr="00C65AC7" w:rsidRDefault="00C65AC7" w:rsidP="00C65AC7">
            <w:pPr>
              <w:spacing w:after="120" w:line="240" w:lineRule="auto"/>
              <w:jc w:val="right"/>
              <w:rPr>
                <w:rFonts w:ascii="Times New Roman" w:eastAsia="Times New Roman" w:hAnsi="Times New Roman" w:cs="Times New Roman"/>
              </w:rPr>
            </w:pPr>
            <w:r w:rsidRPr="00C65AC7">
              <w:rPr>
                <w:rFonts w:ascii="Barclays Sans" w:eastAsia="Times New Roman" w:hAnsi="Barclays Sans" w:cs="Times New Roman"/>
                <w:b/>
                <w:bCs/>
              </w:rPr>
              <w:t>8.00 a.m. on 4 October</w:t>
            </w:r>
          </w:p>
        </w:tc>
      </w:tr>
    </w:tbl>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rPr>
        <w:t>____________________</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sz w:val="18"/>
          <w:szCs w:val="18"/>
        </w:rPr>
        <w:t>Note:</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sz w:val="18"/>
          <w:szCs w:val="18"/>
          <w:vertAlign w:val="superscript"/>
        </w:rPr>
        <w:t>(1)</w:t>
      </w:r>
      <w:r w:rsidRPr="00C65AC7">
        <w:rPr>
          <w:rFonts w:ascii="Barclays Sans" w:eastAsia="Times New Roman" w:hAnsi="Barclays Sans" w:cs="Times New Roman"/>
          <w:sz w:val="18"/>
          <w:szCs w:val="18"/>
        </w:rPr>
        <w:t>             The ability to participate in the Rights Issue is subject to certain restrictions relating to Qualifying Shareholders with registered addresses or located or resident in jurisdictions outside the UK, details of which are set out in the Prospectus.</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sz w:val="18"/>
          <w:szCs w:val="18"/>
          <w:vertAlign w:val="superscript"/>
        </w:rPr>
        <w:t> (2)</w:t>
      </w:r>
      <w:r w:rsidRPr="00C65AC7">
        <w:rPr>
          <w:rFonts w:ascii="Barclays Sans" w:eastAsia="Times New Roman" w:hAnsi="Barclays Sans" w:cs="Times New Roman"/>
          <w:sz w:val="18"/>
          <w:szCs w:val="18"/>
        </w:rPr>
        <w:t>            Different deadlines and procedures for applications may apply in certain cases.  For example, if you hold your Existing Ordinary Shares through a CREST member or other nominee, that person may set an earlier date for application and payment than the dates noted above.</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sz w:val="18"/>
          <w:szCs w:val="18"/>
        </w:rPr>
        <w:t> </w:t>
      </w:r>
    </w:p>
    <w:p w:rsidR="00C65AC7" w:rsidRPr="00C65AC7" w:rsidRDefault="00C65AC7" w:rsidP="00C65AC7">
      <w:pPr>
        <w:spacing w:after="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2.   Expected timetable for principal events relating to the ADSs</w:t>
      </w:r>
    </w:p>
    <w:p w:rsidR="00C65AC7" w:rsidRPr="00C65AC7" w:rsidRDefault="00C65AC7" w:rsidP="00C65AC7">
      <w:pPr>
        <w:spacing w:after="0" w:line="240" w:lineRule="auto"/>
        <w:jc w:val="both"/>
        <w:rPr>
          <w:rFonts w:ascii="Times New Roman" w:eastAsia="Times New Roman" w:hAnsi="Times New Roman" w:cs="Times New Roman"/>
          <w:b/>
          <w:bCs/>
          <w:sz w:val="20"/>
          <w:szCs w:val="20"/>
        </w:rPr>
      </w:pPr>
      <w:r w:rsidRPr="00C65AC7">
        <w:rPr>
          <w:rFonts w:ascii="Barclays Sans" w:eastAsia="Times New Roman" w:hAnsi="Barclays Sans" w:cs="Times New Roman"/>
          <w:b/>
          <w:bCs/>
        </w:rPr>
        <w:t> </w:t>
      </w:r>
    </w:p>
    <w:p w:rsidR="00C65AC7" w:rsidRPr="00C65AC7" w:rsidRDefault="00C65AC7" w:rsidP="00C65AC7">
      <w:pPr>
        <w:spacing w:after="0" w:line="240" w:lineRule="auto"/>
        <w:rPr>
          <w:rFonts w:ascii="Times New Roman" w:eastAsia="Times New Roman" w:hAnsi="Times New Roman" w:cs="Times New Roman"/>
          <w:b/>
          <w:bCs/>
        </w:rPr>
      </w:pPr>
      <w:r w:rsidRPr="00C65AC7">
        <w:rPr>
          <w:rFonts w:ascii="Barclays Sans" w:eastAsia="Times New Roman" w:hAnsi="Barclays Sans" w:cs="Times New Roman"/>
          <w:b/>
          <w:bCs/>
          <w:color w:val="000000"/>
        </w:rPr>
        <w:t>All times referred to in this timetable are New York City times.</w:t>
      </w:r>
    </w:p>
    <w:p w:rsidR="00C65AC7" w:rsidRPr="00C65AC7" w:rsidRDefault="00C65AC7" w:rsidP="00C65AC7">
      <w:pPr>
        <w:spacing w:line="240" w:lineRule="auto"/>
        <w:jc w:val="right"/>
        <w:rPr>
          <w:rFonts w:ascii="Times New Roman" w:eastAsia="Times New Roman" w:hAnsi="Times New Roman" w:cs="Times New Roman"/>
          <w:b/>
          <w:bCs/>
        </w:rPr>
      </w:pPr>
      <w:r w:rsidRPr="00C65AC7">
        <w:rPr>
          <w:rFonts w:ascii="Barclays Sans" w:eastAsia="Times New Roman" w:hAnsi="Barclays Sans" w:cs="Times New Roman"/>
          <w:b/>
          <w:bCs/>
          <w:color w:val="000000"/>
        </w:rPr>
        <w:t> </w:t>
      </w:r>
    </w:p>
    <w:tbl>
      <w:tblPr>
        <w:tblW w:w="8310" w:type="dxa"/>
        <w:tblCellSpacing w:w="52" w:type="dxa"/>
        <w:tblInd w:w="292" w:type="dxa"/>
        <w:tblCellMar>
          <w:left w:w="0" w:type="dxa"/>
          <w:right w:w="0" w:type="dxa"/>
        </w:tblCellMar>
        <w:tblLook w:val="04A0" w:firstRow="1" w:lastRow="0" w:firstColumn="1" w:lastColumn="0" w:noHBand="0" w:noVBand="1"/>
      </w:tblPr>
      <w:tblGrid>
        <w:gridCol w:w="4449"/>
        <w:gridCol w:w="3861"/>
      </w:tblGrid>
      <w:tr w:rsidR="00C65AC7" w:rsidRPr="00C65AC7" w:rsidTr="00C65AC7">
        <w:trPr>
          <w:tblCellSpacing w:w="52" w:type="dxa"/>
        </w:trPr>
        <w:tc>
          <w:tcPr>
            <w:tcW w:w="2550" w:type="pct"/>
            <w:tcMar>
              <w:top w:w="0" w:type="dxa"/>
              <w:left w:w="108" w:type="dxa"/>
              <w:bottom w:w="0" w:type="dxa"/>
              <w:right w:w="108" w:type="dxa"/>
            </w:tcMar>
            <w:hideMark/>
          </w:tcPr>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Record Date for entitlement under the Rights Issue for ADS holders</w:t>
            </w:r>
          </w:p>
        </w:tc>
        <w:tc>
          <w:tcPr>
            <w:tcW w:w="2200" w:type="pct"/>
            <w:tcMar>
              <w:top w:w="0" w:type="dxa"/>
              <w:left w:w="108" w:type="dxa"/>
              <w:bottom w:w="0" w:type="dxa"/>
              <w:right w:w="108" w:type="dxa"/>
            </w:tcMar>
            <w:hideMark/>
          </w:tcPr>
          <w:p w:rsidR="00C65AC7" w:rsidRPr="00C65AC7" w:rsidRDefault="00C65AC7" w:rsidP="00C65AC7">
            <w:pPr>
              <w:spacing w:after="0" w:line="240" w:lineRule="auto"/>
              <w:jc w:val="right"/>
              <w:rPr>
                <w:rFonts w:ascii="Times New Roman" w:eastAsia="Times New Roman" w:hAnsi="Times New Roman" w:cs="Times New Roman"/>
                <w:b/>
                <w:bCs/>
              </w:rPr>
            </w:pPr>
            <w:r w:rsidRPr="00C65AC7">
              <w:rPr>
                <w:rFonts w:ascii="Barclays Sans" w:eastAsia="Times New Roman" w:hAnsi="Barclays Sans" w:cs="Times New Roman"/>
                <w:b/>
                <w:bCs/>
                <w:color w:val="000000"/>
              </w:rPr>
              <w:t>2013</w:t>
            </w:r>
          </w:p>
          <w:p w:rsidR="00C65AC7" w:rsidRPr="00C65AC7" w:rsidRDefault="00C65AC7" w:rsidP="00C65AC7">
            <w:pPr>
              <w:spacing w:after="0" w:line="240" w:lineRule="auto"/>
              <w:jc w:val="right"/>
              <w:rPr>
                <w:rFonts w:ascii="Times New Roman" w:eastAsia="Times New Roman" w:hAnsi="Times New Roman" w:cs="Times New Roman"/>
              </w:rPr>
            </w:pPr>
            <w:r w:rsidRPr="00C65AC7">
              <w:rPr>
                <w:rFonts w:ascii="Barclays Sans" w:eastAsia="Times New Roman" w:hAnsi="Barclays Sans" w:cs="Times New Roman"/>
                <w:color w:val="000000"/>
              </w:rPr>
              <w:t>5.00 p.m. on 13 September</w:t>
            </w:r>
          </w:p>
        </w:tc>
      </w:tr>
      <w:tr w:rsidR="00C65AC7" w:rsidRPr="00C65AC7" w:rsidTr="00C65AC7">
        <w:trPr>
          <w:tblCellSpacing w:w="52" w:type="dxa"/>
        </w:trPr>
        <w:tc>
          <w:tcPr>
            <w:tcW w:w="2550" w:type="pct"/>
            <w:tcMar>
              <w:top w:w="0" w:type="dxa"/>
              <w:left w:w="108" w:type="dxa"/>
              <w:bottom w:w="0" w:type="dxa"/>
              <w:right w:w="108" w:type="dxa"/>
            </w:tcMar>
            <w:hideMark/>
          </w:tcPr>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Posting of ADS rights certificates to ADS holders</w:t>
            </w:r>
          </w:p>
        </w:tc>
        <w:tc>
          <w:tcPr>
            <w:tcW w:w="2200" w:type="pct"/>
            <w:tcMar>
              <w:top w:w="0" w:type="dxa"/>
              <w:left w:w="108" w:type="dxa"/>
              <w:bottom w:w="0" w:type="dxa"/>
              <w:right w:w="108" w:type="dxa"/>
            </w:tcMar>
            <w:hideMark/>
          </w:tcPr>
          <w:p w:rsidR="00C65AC7" w:rsidRPr="00C65AC7" w:rsidRDefault="00C65AC7" w:rsidP="00C65AC7">
            <w:pPr>
              <w:spacing w:after="0" w:line="240" w:lineRule="auto"/>
              <w:jc w:val="right"/>
              <w:rPr>
                <w:rFonts w:ascii="Times New Roman" w:eastAsia="Times New Roman" w:hAnsi="Times New Roman" w:cs="Times New Roman"/>
              </w:rPr>
            </w:pPr>
            <w:r w:rsidRPr="00C65AC7">
              <w:rPr>
                <w:rFonts w:ascii="Barclays Sans" w:eastAsia="Times New Roman" w:hAnsi="Barclays Sans" w:cs="Times New Roman"/>
                <w:color w:val="000000"/>
              </w:rPr>
              <w:t>On or about 18 September</w:t>
            </w:r>
          </w:p>
        </w:tc>
      </w:tr>
      <w:tr w:rsidR="00C65AC7" w:rsidRPr="00C65AC7" w:rsidTr="00C65AC7">
        <w:trPr>
          <w:tblCellSpacing w:w="52" w:type="dxa"/>
        </w:trPr>
        <w:tc>
          <w:tcPr>
            <w:tcW w:w="2550" w:type="pct"/>
            <w:tcMar>
              <w:top w:w="0" w:type="dxa"/>
              <w:left w:w="108" w:type="dxa"/>
              <w:bottom w:w="0" w:type="dxa"/>
              <w:right w:w="108" w:type="dxa"/>
            </w:tcMar>
            <w:hideMark/>
          </w:tcPr>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ADS rights exercise period commences</w:t>
            </w:r>
          </w:p>
        </w:tc>
        <w:tc>
          <w:tcPr>
            <w:tcW w:w="2200" w:type="pct"/>
            <w:tcMar>
              <w:top w:w="0" w:type="dxa"/>
              <w:left w:w="108" w:type="dxa"/>
              <w:bottom w:w="0" w:type="dxa"/>
              <w:right w:w="108" w:type="dxa"/>
            </w:tcMar>
            <w:hideMark/>
          </w:tcPr>
          <w:p w:rsidR="00C65AC7" w:rsidRPr="00C65AC7" w:rsidRDefault="00C65AC7" w:rsidP="00C65AC7">
            <w:pPr>
              <w:spacing w:after="0" w:line="240" w:lineRule="auto"/>
              <w:jc w:val="right"/>
              <w:rPr>
                <w:rFonts w:ascii="Times New Roman" w:eastAsia="Times New Roman" w:hAnsi="Times New Roman" w:cs="Times New Roman"/>
              </w:rPr>
            </w:pPr>
            <w:r w:rsidRPr="00C65AC7">
              <w:rPr>
                <w:rFonts w:ascii="Barclays Sans" w:eastAsia="Times New Roman" w:hAnsi="Barclays Sans" w:cs="Times New Roman"/>
                <w:color w:val="000000"/>
              </w:rPr>
              <w:t>9.00 a.m. on 18 September</w:t>
            </w:r>
          </w:p>
        </w:tc>
      </w:tr>
      <w:tr w:rsidR="00C65AC7" w:rsidRPr="00C65AC7" w:rsidTr="00C65AC7">
        <w:trPr>
          <w:tblCellSpacing w:w="52" w:type="dxa"/>
        </w:trPr>
        <w:tc>
          <w:tcPr>
            <w:tcW w:w="2550" w:type="pct"/>
            <w:tcMar>
              <w:top w:w="0" w:type="dxa"/>
              <w:left w:w="108" w:type="dxa"/>
              <w:bottom w:w="0" w:type="dxa"/>
              <w:right w:w="108" w:type="dxa"/>
            </w:tcMar>
            <w:hideMark/>
          </w:tcPr>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ADSs are quoted "Ex-Rights" on the NYSE</w:t>
            </w:r>
          </w:p>
        </w:tc>
        <w:tc>
          <w:tcPr>
            <w:tcW w:w="2200" w:type="pct"/>
            <w:tcMar>
              <w:top w:w="0" w:type="dxa"/>
              <w:left w:w="108" w:type="dxa"/>
              <w:bottom w:w="0" w:type="dxa"/>
              <w:right w:w="108" w:type="dxa"/>
            </w:tcMar>
            <w:hideMark/>
          </w:tcPr>
          <w:p w:rsidR="00C65AC7" w:rsidRPr="00C65AC7" w:rsidRDefault="00C65AC7" w:rsidP="00C65AC7">
            <w:pPr>
              <w:spacing w:after="0" w:line="240" w:lineRule="auto"/>
              <w:jc w:val="right"/>
              <w:rPr>
                <w:rFonts w:ascii="Times New Roman" w:eastAsia="Times New Roman" w:hAnsi="Times New Roman" w:cs="Times New Roman"/>
              </w:rPr>
            </w:pPr>
            <w:r w:rsidRPr="00C65AC7">
              <w:rPr>
                <w:rFonts w:ascii="Barclays Sans" w:eastAsia="Times New Roman" w:hAnsi="Barclays Sans" w:cs="Times New Roman"/>
                <w:color w:val="000000"/>
              </w:rPr>
              <w:t xml:space="preserve">9.30 a.m. on 19 September </w:t>
            </w:r>
          </w:p>
        </w:tc>
      </w:tr>
      <w:tr w:rsidR="00C65AC7" w:rsidRPr="00C65AC7" w:rsidTr="00C65AC7">
        <w:trPr>
          <w:tblCellSpacing w:w="52" w:type="dxa"/>
        </w:trPr>
        <w:tc>
          <w:tcPr>
            <w:tcW w:w="2550" w:type="pct"/>
            <w:tcMar>
              <w:top w:w="0" w:type="dxa"/>
              <w:left w:w="108" w:type="dxa"/>
              <w:bottom w:w="0" w:type="dxa"/>
              <w:right w:w="108" w:type="dxa"/>
            </w:tcMar>
            <w:hideMark/>
          </w:tcPr>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ADS rights exercise period ends</w:t>
            </w:r>
          </w:p>
        </w:tc>
        <w:tc>
          <w:tcPr>
            <w:tcW w:w="2200" w:type="pct"/>
            <w:tcMar>
              <w:top w:w="0" w:type="dxa"/>
              <w:left w:w="108" w:type="dxa"/>
              <w:bottom w:w="0" w:type="dxa"/>
              <w:right w:w="108" w:type="dxa"/>
            </w:tcMar>
            <w:hideMark/>
          </w:tcPr>
          <w:p w:rsidR="00C65AC7" w:rsidRPr="00C65AC7" w:rsidRDefault="00C65AC7" w:rsidP="00C65AC7">
            <w:pPr>
              <w:spacing w:after="0" w:line="240" w:lineRule="auto"/>
              <w:jc w:val="right"/>
              <w:rPr>
                <w:rFonts w:ascii="Times New Roman" w:eastAsia="Times New Roman" w:hAnsi="Times New Roman" w:cs="Times New Roman"/>
              </w:rPr>
            </w:pPr>
            <w:r w:rsidRPr="00C65AC7">
              <w:rPr>
                <w:rFonts w:ascii="Barclays Sans" w:eastAsia="Times New Roman" w:hAnsi="Barclays Sans" w:cs="Times New Roman"/>
                <w:color w:val="000000"/>
              </w:rPr>
              <w:t>2.30 p.m. on 1 October</w:t>
            </w:r>
          </w:p>
        </w:tc>
      </w:tr>
      <w:tr w:rsidR="00C65AC7" w:rsidRPr="00C65AC7" w:rsidTr="00C65AC7">
        <w:trPr>
          <w:tblCellSpacing w:w="52" w:type="dxa"/>
        </w:trPr>
        <w:tc>
          <w:tcPr>
            <w:tcW w:w="2550" w:type="pct"/>
            <w:tcMar>
              <w:top w:w="0" w:type="dxa"/>
              <w:left w:w="108" w:type="dxa"/>
              <w:bottom w:w="0" w:type="dxa"/>
              <w:right w:w="108" w:type="dxa"/>
            </w:tcMar>
            <w:hideMark/>
          </w:tcPr>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 xml:space="preserve">Delivery of New Ordinary Shares to custodian of ADS Depositary on account of </w:t>
            </w:r>
            <w:r w:rsidRPr="00C65AC7">
              <w:rPr>
                <w:rFonts w:ascii="Barclays Sans" w:eastAsia="Times New Roman" w:hAnsi="Barclays Sans" w:cs="Times New Roman"/>
                <w:color w:val="000000"/>
              </w:rPr>
              <w:lastRenderedPageBreak/>
              <w:t>ADS rights subscribed and issuance and delivery of the New ADSs promptly thereafter</w:t>
            </w:r>
          </w:p>
        </w:tc>
        <w:tc>
          <w:tcPr>
            <w:tcW w:w="2200" w:type="pct"/>
            <w:tcMar>
              <w:top w:w="0" w:type="dxa"/>
              <w:left w:w="108" w:type="dxa"/>
              <w:bottom w:w="0" w:type="dxa"/>
              <w:right w:w="108" w:type="dxa"/>
            </w:tcMar>
            <w:hideMark/>
          </w:tcPr>
          <w:p w:rsidR="00C65AC7" w:rsidRPr="00C65AC7" w:rsidRDefault="00C65AC7" w:rsidP="00C65AC7">
            <w:pPr>
              <w:spacing w:after="0" w:line="240" w:lineRule="auto"/>
              <w:jc w:val="right"/>
              <w:rPr>
                <w:rFonts w:ascii="Times New Roman" w:eastAsia="Times New Roman" w:hAnsi="Times New Roman" w:cs="Times New Roman"/>
              </w:rPr>
            </w:pPr>
            <w:r w:rsidRPr="00C65AC7">
              <w:rPr>
                <w:rFonts w:ascii="Barclays Sans" w:eastAsia="Times New Roman" w:hAnsi="Barclays Sans" w:cs="Times New Roman"/>
                <w:color w:val="000000"/>
              </w:rPr>
              <w:lastRenderedPageBreak/>
              <w:t>On or after 4 October</w:t>
            </w:r>
          </w:p>
        </w:tc>
      </w:tr>
      <w:tr w:rsidR="00C65AC7" w:rsidRPr="00C65AC7" w:rsidTr="00C65AC7">
        <w:trPr>
          <w:tblCellSpacing w:w="52" w:type="dxa"/>
        </w:trPr>
        <w:tc>
          <w:tcPr>
            <w:tcW w:w="2550" w:type="pct"/>
            <w:tcMar>
              <w:top w:w="0" w:type="dxa"/>
              <w:left w:w="108" w:type="dxa"/>
              <w:bottom w:w="0" w:type="dxa"/>
              <w:right w:w="108" w:type="dxa"/>
            </w:tcMar>
            <w:hideMark/>
          </w:tcPr>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lastRenderedPageBreak/>
              <w:t>Trading in new ADSs on NYSE commences</w:t>
            </w:r>
          </w:p>
        </w:tc>
        <w:tc>
          <w:tcPr>
            <w:tcW w:w="2200" w:type="pct"/>
            <w:tcMar>
              <w:top w:w="0" w:type="dxa"/>
              <w:left w:w="108" w:type="dxa"/>
              <w:bottom w:w="0" w:type="dxa"/>
              <w:right w:w="108" w:type="dxa"/>
            </w:tcMar>
            <w:hideMark/>
          </w:tcPr>
          <w:p w:rsidR="00C65AC7" w:rsidRPr="00C65AC7" w:rsidRDefault="00C65AC7" w:rsidP="00C65AC7">
            <w:pPr>
              <w:spacing w:after="0" w:line="240" w:lineRule="auto"/>
              <w:jc w:val="right"/>
              <w:rPr>
                <w:rFonts w:ascii="Times New Roman" w:eastAsia="Times New Roman" w:hAnsi="Times New Roman" w:cs="Times New Roman"/>
              </w:rPr>
            </w:pPr>
            <w:r w:rsidRPr="00C65AC7">
              <w:rPr>
                <w:rFonts w:ascii="Barclays Sans" w:eastAsia="Times New Roman" w:hAnsi="Barclays Sans" w:cs="Times New Roman"/>
                <w:color w:val="000000"/>
              </w:rPr>
              <w:t>On or after 4 October</w:t>
            </w:r>
          </w:p>
        </w:tc>
      </w:tr>
    </w:tbl>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 </w:t>
      </w:r>
    </w:p>
    <w:p w:rsidR="00C65AC7" w:rsidRPr="00C65AC7" w:rsidRDefault="00C65AC7" w:rsidP="00C65AC7">
      <w:pPr>
        <w:spacing w:after="0" w:line="240" w:lineRule="auto"/>
        <w:rPr>
          <w:rFonts w:ascii="Times New Roman" w:eastAsia="Times New Roman" w:hAnsi="Times New Roman" w:cs="Times New Roman"/>
        </w:rPr>
      </w:pPr>
      <w:r w:rsidRPr="00C65AC7">
        <w:rPr>
          <w:rFonts w:ascii="Barclays Sans" w:eastAsia="Times New Roman" w:hAnsi="Barclays Sans" w:cs="Times New Roman"/>
          <w:color w:val="000000"/>
        </w:rPr>
        <w:t> </w:t>
      </w:r>
    </w:p>
    <w:p w:rsidR="00C65AC7" w:rsidRPr="00C65AC7" w:rsidRDefault="00C65AC7" w:rsidP="00C65AC7">
      <w:pPr>
        <w:spacing w:after="0" w:line="240" w:lineRule="auto"/>
        <w:rPr>
          <w:rFonts w:ascii="Times New Roman" w:eastAsia="Times New Roman" w:hAnsi="Times New Roman" w:cs="Times New Roman"/>
          <w:i/>
          <w:iCs/>
        </w:rPr>
      </w:pPr>
      <w:r w:rsidRPr="00C65AC7">
        <w:rPr>
          <w:rFonts w:ascii="Barclays Sans" w:eastAsia="Times New Roman" w:hAnsi="Barclays Sans" w:cs="Times New Roman"/>
          <w:i/>
          <w:iCs/>
          <w:sz w:val="20"/>
          <w:szCs w:val="20"/>
        </w:rPr>
        <w:t xml:space="preserve">The terms defined in the Prospectus published today shall have the same meaning when used in this announcement.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xml:space="preserve">This announcement shall not constitute, or form part of, an offer to sell, an invitation to induce an offer or a solicitation of an offer to buy or subscribe for securities, nor shall there be any sale of securities referred to in this announcement, in any jurisdiction in which such offer, invitation, solicitation, or sale would be unlawful.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b/>
          <w:bCs/>
          <w:i/>
          <w:iCs/>
        </w:rPr>
      </w:pPr>
      <w:r w:rsidRPr="00C65AC7">
        <w:rPr>
          <w:rFonts w:ascii="Barclays Sans" w:eastAsia="Times New Roman" w:hAnsi="Barclays Sans" w:cs="Times New Roman"/>
          <w:b/>
          <w:bCs/>
          <w:i/>
          <w:iCs/>
          <w:sz w:val="20"/>
          <w:szCs w:val="20"/>
        </w:rPr>
        <w:t>Notice to US investors and ADS holders</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i/>
          <w:iCs/>
          <w:sz w:val="20"/>
          <w:szCs w:val="20"/>
        </w:rPr>
        <w:t xml:space="preserve">In the United States, the Rights Issue is being made pursuant to the prospectus (the "US Prospectus") that Barclays expects to file with the U.S. Securities and Exchange Commission (the "SEC") later today. The US Prospectus describes, among other things, how ADS holders are able to participate in the Rights Issue. Barclays has filed a registration statement on Form F-3 (Registration No. 333-173886) with the SEC for the offering to which this announcement relates (the "US Registration Statement"). Before you invest, you should read the US Registration Statement, as it may be amended from time to time, including the US Prospectus (when it is filed), and other documents Barclays has filed, and will file, with the SEC for more complete information about Barclays and the Rights Issue. You may get these documents for free by visiting EDGAR on the SEC website at </w:t>
      </w:r>
      <w:hyperlink r:id="rId7" w:history="1">
        <w:r w:rsidRPr="00C65AC7">
          <w:rPr>
            <w:rFonts w:ascii="Barclays Sans" w:eastAsia="Times New Roman" w:hAnsi="Barclays Sans" w:cs="Times New Roman"/>
            <w:i/>
            <w:iCs/>
            <w:color w:val="0000FF"/>
            <w:sz w:val="20"/>
            <w:szCs w:val="20"/>
            <w:u w:val="single"/>
          </w:rPr>
          <w:t>www.sec.gov</w:t>
        </w:r>
      </w:hyperlink>
      <w:r w:rsidRPr="00C65AC7">
        <w:rPr>
          <w:rFonts w:ascii="Barclays Sans" w:eastAsia="Times New Roman" w:hAnsi="Barclays Sans" w:cs="Times New Roman"/>
          <w:i/>
          <w:iCs/>
          <w:sz w:val="20"/>
          <w:szCs w:val="20"/>
        </w:rPr>
        <w:t xml:space="preserve"> or by accessing Barclays' website at Barclays.com/</w:t>
      </w:r>
      <w:proofErr w:type="spellStart"/>
      <w:r w:rsidRPr="00C65AC7">
        <w:rPr>
          <w:rFonts w:ascii="Barclays Sans" w:eastAsia="Times New Roman" w:hAnsi="Barclays Sans" w:cs="Times New Roman"/>
          <w:i/>
          <w:iCs/>
          <w:sz w:val="20"/>
          <w:szCs w:val="20"/>
        </w:rPr>
        <w:t>rightsissue</w:t>
      </w:r>
      <w:proofErr w:type="spellEnd"/>
      <w:r w:rsidRPr="00C65AC7">
        <w:rPr>
          <w:rFonts w:ascii="Barclays Sans" w:eastAsia="Times New Roman" w:hAnsi="Barclays Sans" w:cs="Times New Roman"/>
          <w:i/>
          <w:iCs/>
          <w:sz w:val="20"/>
          <w:szCs w:val="20"/>
        </w:rPr>
        <w:t>. Alternatively, copies of the US Prospectus may be obtained by contacting D.F. King &amp; Co., Inc., 48 Wall Street, New York, NY 10005, +1 (212) 269-5550 (call collect) or +1 (800) 269-6427 (toll free from the US or Canada).</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b/>
          <w:bCs/>
          <w:i/>
          <w:iCs/>
        </w:rPr>
      </w:pPr>
      <w:r w:rsidRPr="00C65AC7">
        <w:rPr>
          <w:rFonts w:ascii="Barclays Sans" w:eastAsia="Times New Roman" w:hAnsi="Barclays Sans" w:cs="Times New Roman"/>
          <w:b/>
          <w:bCs/>
          <w:i/>
          <w:iCs/>
          <w:sz w:val="20"/>
          <w:szCs w:val="20"/>
        </w:rPr>
        <w:t>Notice to Canadian investors</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i/>
          <w:iCs/>
          <w:sz w:val="20"/>
          <w:szCs w:val="20"/>
        </w:rPr>
        <w:t>In Canada, the Rights Issue is being made pursuant to a Canadian offering memorandum that includes the US Prospectus (the "Canadian Offering Memorandum"). The Canadian Offering Memorandum is available for free by accessing Barclays' website at Barclays.com/</w:t>
      </w:r>
      <w:proofErr w:type="spellStart"/>
      <w:r w:rsidRPr="00C65AC7">
        <w:rPr>
          <w:rFonts w:ascii="Barclays Sans" w:eastAsia="Times New Roman" w:hAnsi="Barclays Sans" w:cs="Times New Roman"/>
          <w:i/>
          <w:iCs/>
          <w:sz w:val="20"/>
          <w:szCs w:val="20"/>
        </w:rPr>
        <w:t>rightsissue</w:t>
      </w:r>
      <w:proofErr w:type="spellEnd"/>
      <w:r w:rsidRPr="00C65AC7">
        <w:rPr>
          <w:rFonts w:ascii="Barclays Sans" w:eastAsia="Times New Roman" w:hAnsi="Barclays Sans" w:cs="Times New Roman"/>
          <w:i/>
          <w:iCs/>
          <w:sz w:val="20"/>
          <w:szCs w:val="20"/>
        </w:rPr>
        <w:t>. If you are a holder in Canada of Existing Ordinary Shares or ADSs of Barclays, you should have received a notice informing you of how to access the Canadian Offering Memorandum electronically; alternatively, you may contact the bank, broker or financial intermediary through which you hold your Existing Ordinary Shares or ADSs to request a copy of the Canadian Offering Memorandum. Copies of the Canadian Offering Memorandum may also be obtained by contacting D.F. King &amp; Co., Inc., 48 Wall Street, New York, NY 10005, +1 (212) 269-5550 (call collect) or +1 (800) 269-6427 (toll free in the US and Canada).</w:t>
      </w:r>
    </w:p>
    <w:p w:rsidR="00C65AC7" w:rsidRPr="00C65AC7" w:rsidRDefault="00C65AC7" w:rsidP="00C65AC7">
      <w:pPr>
        <w:spacing w:after="0" w:line="240" w:lineRule="auto"/>
        <w:jc w:val="both"/>
        <w:rPr>
          <w:rFonts w:ascii="Times New Roman" w:eastAsia="Times New Roman" w:hAnsi="Times New Roman" w:cs="Times New Roman"/>
          <w:b/>
          <w:bCs/>
          <w:i/>
          <w:iCs/>
        </w:rPr>
      </w:pPr>
      <w:r w:rsidRPr="00C65AC7">
        <w:rPr>
          <w:rFonts w:ascii="Barclays Sans" w:eastAsia="Times New Roman" w:hAnsi="Barclays Sans" w:cs="Times New Roman"/>
          <w:b/>
          <w:bCs/>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b/>
          <w:bCs/>
          <w:i/>
          <w:iCs/>
        </w:rPr>
      </w:pPr>
      <w:r w:rsidRPr="00C65AC7">
        <w:rPr>
          <w:rFonts w:ascii="Barclays Sans" w:eastAsia="Times New Roman" w:hAnsi="Barclays Sans" w:cs="Times New Roman"/>
          <w:b/>
          <w:bCs/>
          <w:i/>
          <w:iCs/>
          <w:sz w:val="20"/>
          <w:szCs w:val="20"/>
        </w:rPr>
        <w:t>Notice to all investors</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xml:space="preserve">Barclays Bank PLC, Credit Suisse Securities (Europe) Limited, Deutsche Bank AG, London Branch, Citigroup Global Markets Limited, Merrill Lynch International, J.P. Morgan Securities </w:t>
      </w:r>
      <w:proofErr w:type="spellStart"/>
      <w:r w:rsidRPr="00C65AC7">
        <w:rPr>
          <w:rFonts w:ascii="Barclays Sans" w:eastAsia="Times New Roman" w:hAnsi="Barclays Sans" w:cs="Times New Roman"/>
          <w:i/>
          <w:iCs/>
          <w:sz w:val="20"/>
          <w:szCs w:val="20"/>
        </w:rPr>
        <w:t>plc</w:t>
      </w:r>
      <w:proofErr w:type="spellEnd"/>
      <w:r w:rsidRPr="00C65AC7">
        <w:rPr>
          <w:rFonts w:ascii="Barclays Sans" w:eastAsia="Times New Roman" w:hAnsi="Barclays Sans" w:cs="Times New Roman"/>
          <w:i/>
          <w:iCs/>
          <w:sz w:val="20"/>
          <w:szCs w:val="20"/>
        </w:rPr>
        <w:t xml:space="preserve">, RBC Europe Limited (trading as RBC Capital Markets), Morgan Stanley Securities Limited, which are each authorised by the Prudential Regulation Authority and regulated by the Financial Conduct Authority and the Prudential Regulation Authority in the United Kingdom,  Credit Suisse AG, London Branch which is authorised and regulated by FINMA in Switzerland, authorised by the Prudential Regulation Authority in the United Kingdom and subject to regulation by the Financial Conduct Authority and limited regulation by the Prudential Regulation Authority in the United Kingdom (details about the extent of Credit Suisse AG, London Branch's regulation by the Prudential Regulation Authority are available from Credit Suisse, AG London Branch on request) and Deutsche Bank AG which is authorised under German Banking Law (Competent authority: </w:t>
      </w:r>
      <w:proofErr w:type="spellStart"/>
      <w:r w:rsidRPr="00C65AC7">
        <w:rPr>
          <w:rFonts w:ascii="Barclays Sans" w:eastAsia="Times New Roman" w:hAnsi="Barclays Sans" w:cs="Times New Roman"/>
          <w:i/>
          <w:iCs/>
          <w:sz w:val="20"/>
          <w:szCs w:val="20"/>
        </w:rPr>
        <w:t>BaFin</w:t>
      </w:r>
      <w:proofErr w:type="spellEnd"/>
      <w:r w:rsidRPr="00C65AC7">
        <w:rPr>
          <w:rFonts w:ascii="Barclays Sans" w:eastAsia="Times New Roman" w:hAnsi="Barclays Sans" w:cs="Times New Roman"/>
          <w:i/>
          <w:iCs/>
          <w:sz w:val="20"/>
          <w:szCs w:val="20"/>
        </w:rPr>
        <w:t xml:space="preserve"> - Federal Financial Supervising Authority) and authorised and subject to limited regulation by the Financial Conduct Authority in the United Kingdom, BNP Paribas which is authorised under French Banking Law (competent authority: </w:t>
      </w:r>
      <w:proofErr w:type="spellStart"/>
      <w:r w:rsidRPr="00C65AC7">
        <w:rPr>
          <w:rFonts w:ascii="Barclays Sans" w:eastAsia="Times New Roman" w:hAnsi="Barclays Sans" w:cs="Times New Roman"/>
          <w:i/>
          <w:iCs/>
          <w:sz w:val="20"/>
          <w:szCs w:val="20"/>
        </w:rPr>
        <w:t>Autorité</w:t>
      </w:r>
      <w:proofErr w:type="spellEnd"/>
      <w:r w:rsidRPr="00C65AC7">
        <w:rPr>
          <w:rFonts w:ascii="Barclays Sans" w:eastAsia="Times New Roman" w:hAnsi="Barclays Sans" w:cs="Times New Roman"/>
          <w:i/>
          <w:iCs/>
          <w:sz w:val="20"/>
          <w:szCs w:val="20"/>
        </w:rPr>
        <w:t xml:space="preserve"> de </w:t>
      </w:r>
      <w:proofErr w:type="spellStart"/>
      <w:r w:rsidRPr="00C65AC7">
        <w:rPr>
          <w:rFonts w:ascii="Barclays Sans" w:eastAsia="Times New Roman" w:hAnsi="Barclays Sans" w:cs="Times New Roman"/>
          <w:i/>
          <w:iCs/>
          <w:sz w:val="20"/>
          <w:szCs w:val="20"/>
        </w:rPr>
        <w:t>Contrôle</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Prudentiel</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Banco</w:t>
      </w:r>
      <w:proofErr w:type="spellEnd"/>
      <w:r w:rsidRPr="00C65AC7">
        <w:rPr>
          <w:rFonts w:ascii="Barclays Sans" w:eastAsia="Times New Roman" w:hAnsi="Barclays Sans" w:cs="Times New Roman"/>
          <w:i/>
          <w:iCs/>
          <w:sz w:val="20"/>
          <w:szCs w:val="20"/>
        </w:rPr>
        <w:t xml:space="preserve"> Santander S.A. which is authorised under Spanish Banking Law (Competent authority: Bank of Spain and </w:t>
      </w:r>
      <w:proofErr w:type="spellStart"/>
      <w:r w:rsidRPr="00C65AC7">
        <w:rPr>
          <w:rFonts w:ascii="Barclays Sans" w:eastAsia="Times New Roman" w:hAnsi="Barclays Sans" w:cs="Times New Roman"/>
          <w:i/>
          <w:iCs/>
          <w:sz w:val="20"/>
          <w:szCs w:val="20"/>
        </w:rPr>
        <w:t>Comisión</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Nacional</w:t>
      </w:r>
      <w:proofErr w:type="spellEnd"/>
      <w:r w:rsidRPr="00C65AC7">
        <w:rPr>
          <w:rFonts w:ascii="Barclays Sans" w:eastAsia="Times New Roman" w:hAnsi="Barclays Sans" w:cs="Times New Roman"/>
          <w:i/>
          <w:iCs/>
          <w:sz w:val="20"/>
          <w:szCs w:val="20"/>
        </w:rPr>
        <w:t xml:space="preserve"> del Mercado de </w:t>
      </w:r>
      <w:proofErr w:type="spellStart"/>
      <w:r w:rsidRPr="00C65AC7">
        <w:rPr>
          <w:rFonts w:ascii="Barclays Sans" w:eastAsia="Times New Roman" w:hAnsi="Barclays Sans" w:cs="Times New Roman"/>
          <w:i/>
          <w:iCs/>
          <w:sz w:val="20"/>
          <w:szCs w:val="20"/>
        </w:rPr>
        <w:t>Valores</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Mediobanca</w:t>
      </w:r>
      <w:proofErr w:type="spellEnd"/>
      <w:r w:rsidRPr="00C65AC7">
        <w:rPr>
          <w:rFonts w:ascii="Barclays Sans" w:eastAsia="Times New Roman" w:hAnsi="Barclays Sans" w:cs="Times New Roman"/>
          <w:i/>
          <w:iCs/>
          <w:sz w:val="20"/>
          <w:szCs w:val="20"/>
        </w:rPr>
        <w:t xml:space="preserve"> - </w:t>
      </w:r>
      <w:proofErr w:type="spellStart"/>
      <w:r w:rsidRPr="00C65AC7">
        <w:rPr>
          <w:rFonts w:ascii="Barclays Sans" w:eastAsia="Times New Roman" w:hAnsi="Barclays Sans" w:cs="Times New Roman"/>
          <w:i/>
          <w:iCs/>
          <w:sz w:val="20"/>
          <w:szCs w:val="20"/>
        </w:rPr>
        <w:t>Banca</w:t>
      </w:r>
      <w:proofErr w:type="spellEnd"/>
      <w:r w:rsidRPr="00C65AC7">
        <w:rPr>
          <w:rFonts w:ascii="Barclays Sans" w:eastAsia="Times New Roman" w:hAnsi="Barclays Sans" w:cs="Times New Roman"/>
          <w:i/>
          <w:iCs/>
          <w:sz w:val="20"/>
          <w:szCs w:val="20"/>
        </w:rPr>
        <w:t xml:space="preserve"> di </w:t>
      </w:r>
      <w:proofErr w:type="spellStart"/>
      <w:r w:rsidRPr="00C65AC7">
        <w:rPr>
          <w:rFonts w:ascii="Barclays Sans" w:eastAsia="Times New Roman" w:hAnsi="Barclays Sans" w:cs="Times New Roman"/>
          <w:i/>
          <w:iCs/>
          <w:sz w:val="20"/>
          <w:szCs w:val="20"/>
        </w:rPr>
        <w:t>Credito</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Finanziario</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S.p.A</w:t>
      </w:r>
      <w:proofErr w:type="spellEnd"/>
      <w:r w:rsidRPr="00C65AC7">
        <w:rPr>
          <w:rFonts w:ascii="Barclays Sans" w:eastAsia="Times New Roman" w:hAnsi="Barclays Sans" w:cs="Times New Roman"/>
          <w:i/>
          <w:iCs/>
          <w:sz w:val="20"/>
          <w:szCs w:val="20"/>
        </w:rPr>
        <w:t xml:space="preserve">. which is authorised under Italian Banking Law (Competent authority: </w:t>
      </w:r>
      <w:proofErr w:type="spellStart"/>
      <w:r w:rsidRPr="00C65AC7">
        <w:rPr>
          <w:rFonts w:ascii="Barclays Sans" w:eastAsia="Times New Roman" w:hAnsi="Barclays Sans" w:cs="Times New Roman"/>
          <w:i/>
          <w:iCs/>
          <w:sz w:val="20"/>
          <w:szCs w:val="20"/>
        </w:rPr>
        <w:t>Banca</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D'Italia</w:t>
      </w:r>
      <w:proofErr w:type="spellEnd"/>
      <w:r w:rsidRPr="00C65AC7">
        <w:rPr>
          <w:rFonts w:ascii="Barclays Sans" w:eastAsia="Times New Roman" w:hAnsi="Barclays Sans" w:cs="Times New Roman"/>
          <w:i/>
          <w:iCs/>
          <w:sz w:val="20"/>
          <w:szCs w:val="20"/>
        </w:rPr>
        <w:t xml:space="preserve"> and </w:t>
      </w:r>
      <w:proofErr w:type="spellStart"/>
      <w:r w:rsidRPr="00C65AC7">
        <w:rPr>
          <w:rFonts w:ascii="Barclays Sans" w:eastAsia="Times New Roman" w:hAnsi="Barclays Sans" w:cs="Times New Roman"/>
          <w:i/>
          <w:iCs/>
          <w:sz w:val="20"/>
          <w:szCs w:val="20"/>
        </w:rPr>
        <w:t>Commissione</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Nazionale</w:t>
      </w:r>
      <w:proofErr w:type="spellEnd"/>
      <w:r w:rsidRPr="00C65AC7">
        <w:rPr>
          <w:rFonts w:ascii="Barclays Sans" w:eastAsia="Times New Roman" w:hAnsi="Barclays Sans" w:cs="Times New Roman"/>
          <w:i/>
          <w:iCs/>
          <w:sz w:val="20"/>
          <w:szCs w:val="20"/>
        </w:rPr>
        <w:t xml:space="preserve"> per le </w:t>
      </w:r>
      <w:proofErr w:type="spellStart"/>
      <w:r w:rsidRPr="00C65AC7">
        <w:rPr>
          <w:rFonts w:ascii="Barclays Sans" w:eastAsia="Times New Roman" w:hAnsi="Barclays Sans" w:cs="Times New Roman"/>
          <w:i/>
          <w:iCs/>
          <w:sz w:val="20"/>
          <w:szCs w:val="20"/>
        </w:rPr>
        <w:t>Società</w:t>
      </w:r>
      <w:proofErr w:type="spellEnd"/>
      <w:r w:rsidRPr="00C65AC7">
        <w:rPr>
          <w:rFonts w:ascii="Barclays Sans" w:eastAsia="Times New Roman" w:hAnsi="Barclays Sans" w:cs="Times New Roman"/>
          <w:i/>
          <w:iCs/>
          <w:sz w:val="20"/>
          <w:szCs w:val="20"/>
        </w:rPr>
        <w:t xml:space="preserve"> e la </w:t>
      </w:r>
      <w:proofErr w:type="spellStart"/>
      <w:r w:rsidRPr="00C65AC7">
        <w:rPr>
          <w:rFonts w:ascii="Barclays Sans" w:eastAsia="Times New Roman" w:hAnsi="Barclays Sans" w:cs="Times New Roman"/>
          <w:i/>
          <w:iCs/>
          <w:sz w:val="20"/>
          <w:szCs w:val="20"/>
        </w:rPr>
        <w:t>Borsa</w:t>
      </w:r>
      <w:proofErr w:type="spellEnd"/>
      <w:r w:rsidRPr="00C65AC7">
        <w:rPr>
          <w:rFonts w:ascii="Barclays Sans" w:eastAsia="Times New Roman" w:hAnsi="Barclays Sans" w:cs="Times New Roman"/>
          <w:i/>
          <w:iCs/>
          <w:sz w:val="20"/>
          <w:szCs w:val="20"/>
        </w:rPr>
        <w:t xml:space="preserve">), ING Bank N.V. which is authorised under Dutch Banking Law (Competent authority: </w:t>
      </w:r>
      <w:proofErr w:type="spellStart"/>
      <w:r w:rsidRPr="00C65AC7">
        <w:rPr>
          <w:rFonts w:ascii="Barclays Sans" w:eastAsia="Times New Roman" w:hAnsi="Barclays Sans" w:cs="Times New Roman"/>
          <w:i/>
          <w:iCs/>
          <w:sz w:val="20"/>
          <w:szCs w:val="20"/>
        </w:rPr>
        <w:t>Autoriteit</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Financiële</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Markten</w:t>
      </w:r>
      <w:proofErr w:type="spellEnd"/>
      <w:r w:rsidRPr="00C65AC7">
        <w:rPr>
          <w:rFonts w:ascii="Barclays Sans" w:eastAsia="Times New Roman" w:hAnsi="Barclays Sans" w:cs="Times New Roman"/>
          <w:i/>
          <w:iCs/>
          <w:sz w:val="20"/>
          <w:szCs w:val="20"/>
        </w:rPr>
        <w:t xml:space="preserve"> and De </w:t>
      </w:r>
      <w:proofErr w:type="spellStart"/>
      <w:r w:rsidRPr="00C65AC7">
        <w:rPr>
          <w:rFonts w:ascii="Barclays Sans" w:eastAsia="Times New Roman" w:hAnsi="Barclays Sans" w:cs="Times New Roman"/>
          <w:i/>
          <w:iCs/>
          <w:sz w:val="20"/>
          <w:szCs w:val="20"/>
        </w:rPr>
        <w:t>Nederlandsche</w:t>
      </w:r>
      <w:proofErr w:type="spellEnd"/>
      <w:r w:rsidRPr="00C65AC7">
        <w:rPr>
          <w:rFonts w:ascii="Barclays Sans" w:eastAsia="Times New Roman" w:hAnsi="Barclays Sans" w:cs="Times New Roman"/>
          <w:i/>
          <w:iCs/>
          <w:sz w:val="20"/>
          <w:szCs w:val="20"/>
        </w:rPr>
        <w:t xml:space="preserve"> Bank), ABN AMRO Bank N.V. </w:t>
      </w:r>
      <w:r w:rsidRPr="00C65AC7">
        <w:rPr>
          <w:rFonts w:ascii="Barclays Sans" w:eastAsia="Times New Roman" w:hAnsi="Barclays Sans" w:cs="Times New Roman"/>
          <w:i/>
          <w:iCs/>
          <w:sz w:val="20"/>
          <w:szCs w:val="20"/>
        </w:rPr>
        <w:lastRenderedPageBreak/>
        <w:t xml:space="preserve">which is authorised under Dutch Banking Law (Competent authority: </w:t>
      </w:r>
      <w:proofErr w:type="spellStart"/>
      <w:r w:rsidRPr="00C65AC7">
        <w:rPr>
          <w:rFonts w:ascii="Barclays Sans" w:eastAsia="Times New Roman" w:hAnsi="Barclays Sans" w:cs="Times New Roman"/>
          <w:i/>
          <w:iCs/>
          <w:sz w:val="20"/>
          <w:szCs w:val="20"/>
        </w:rPr>
        <w:t>Autoriteit</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Financiële</w:t>
      </w:r>
      <w:proofErr w:type="spellEnd"/>
      <w:r w:rsidRPr="00C65AC7">
        <w:rPr>
          <w:rFonts w:ascii="Barclays Sans" w:eastAsia="Times New Roman" w:hAnsi="Barclays Sans" w:cs="Times New Roman"/>
          <w:i/>
          <w:iCs/>
          <w:sz w:val="20"/>
          <w:szCs w:val="20"/>
        </w:rPr>
        <w:t xml:space="preserve"> </w:t>
      </w:r>
      <w:proofErr w:type="spellStart"/>
      <w:r w:rsidRPr="00C65AC7">
        <w:rPr>
          <w:rFonts w:ascii="Barclays Sans" w:eastAsia="Times New Roman" w:hAnsi="Barclays Sans" w:cs="Times New Roman"/>
          <w:i/>
          <w:iCs/>
          <w:sz w:val="20"/>
          <w:szCs w:val="20"/>
        </w:rPr>
        <w:t>Markten</w:t>
      </w:r>
      <w:proofErr w:type="spellEnd"/>
      <w:r w:rsidRPr="00C65AC7">
        <w:rPr>
          <w:rFonts w:ascii="Barclays Sans" w:eastAsia="Times New Roman" w:hAnsi="Barclays Sans" w:cs="Times New Roman"/>
          <w:i/>
          <w:iCs/>
          <w:sz w:val="20"/>
          <w:szCs w:val="20"/>
        </w:rPr>
        <w:t xml:space="preserve"> and De </w:t>
      </w:r>
      <w:proofErr w:type="spellStart"/>
      <w:r w:rsidRPr="00C65AC7">
        <w:rPr>
          <w:rFonts w:ascii="Barclays Sans" w:eastAsia="Times New Roman" w:hAnsi="Barclays Sans" w:cs="Times New Roman"/>
          <w:i/>
          <w:iCs/>
          <w:sz w:val="20"/>
          <w:szCs w:val="20"/>
        </w:rPr>
        <w:t>Nederlandsche</w:t>
      </w:r>
      <w:proofErr w:type="spellEnd"/>
      <w:r w:rsidRPr="00C65AC7">
        <w:rPr>
          <w:rFonts w:ascii="Barclays Sans" w:eastAsia="Times New Roman" w:hAnsi="Barclays Sans" w:cs="Times New Roman"/>
          <w:i/>
          <w:iCs/>
          <w:sz w:val="20"/>
          <w:szCs w:val="20"/>
        </w:rPr>
        <w:t xml:space="preserve"> Bank) and SMBC Nikko Capital Markets Limited which is regulated by the Financial Conduct Authority in the United Kingdom (together, the "</w:t>
      </w:r>
      <w:r w:rsidRPr="00C65AC7">
        <w:rPr>
          <w:rFonts w:ascii="Barclays Sans" w:eastAsia="Times New Roman" w:hAnsi="Barclays Sans" w:cs="Times New Roman"/>
          <w:b/>
          <w:bCs/>
          <w:i/>
          <w:iCs/>
          <w:sz w:val="20"/>
          <w:szCs w:val="20"/>
        </w:rPr>
        <w:t>Banks</w:t>
      </w:r>
      <w:r w:rsidRPr="00C65AC7">
        <w:rPr>
          <w:rFonts w:ascii="Barclays Sans" w:eastAsia="Times New Roman" w:hAnsi="Barclays Sans" w:cs="Times New Roman"/>
          <w:i/>
          <w:iCs/>
          <w:sz w:val="20"/>
          <w:szCs w:val="20"/>
        </w:rPr>
        <w:t>"), are acting exclusively for Barclays and are acting for no one else in connection with the Rights Issue and will not regard any other person as a client in relation to the Rights Issue and will not be responsible to anyone other than Barclays for providing the protections afforded to their respective clients, nor for providing advice in connection with the Rights Issue or any other matter, transaction or arrangement referred to herein. Apart from the responsibilities and liabilities, if any, which may be imposed on Credit Suisse Securities (Europe) Limited as sponsor by the FSMA, none of the Banks accept any responsibility or liability whatsoever for, or make any representation or warranty, express or implied with respect to, the contents of this announcement, including its accuracy, fairness, sufficiency, completeness or verification or for any other statement made or purported to be made by it, or on its behalf, in connection with Barclays or Nil Paid Rights, Fully Paid Rights, Provisional Allotment Letters, New Ordinary Shares or the Rights Issue and nothing in this announcement is, or shall be relied upon as, a promise or representation in this respect, whether as to the past or future. Each of the Banks accordingly disclaims to the fullest extent permitted by law all and any responsibility and liability whether arising in tort, contract or otherwise (save as referred to above) which it might otherwise have in respect of this announcement or any such statement.</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This announcement is not a prospectus or an extract from, a summary or abridged version of a prospectus but an advertisement and is for information purposes only and does not constitute or form part of any offer or invitation to sell, or an invitation to induce an offer or issue, or any solicitation of any offer to acquire Nil Paid Rights, Fully Paid Rights or New Ordinary Shares or to take up any entitlements to New Ordinary Shares in any jurisdiction in which such an offer or solicitation is unlawful. Investors should not acquire any Nil Paid Rights, Fully Paid Rights or New Ordinary Shares referred to in this announcement except on the basis of information contained in the Prospectus or the US Registration Statement (including the US Prospectus) (as applicable). The information contained in this announcement is for background purposes only and does not purport to be full or complete. No reliance may be placed for any purpose on the information contained in this announcement or its accuracy or completeness. The information is subject to change.</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rPr>
      </w:pPr>
      <w:r w:rsidRPr="00C65AC7">
        <w:rPr>
          <w:rFonts w:ascii="Barclays Sans" w:eastAsia="Times New Roman" w:hAnsi="Barclays Sans" w:cs="Times New Roman"/>
          <w:b/>
          <w:bCs/>
          <w:i/>
          <w:iCs/>
          <w:sz w:val="20"/>
          <w:szCs w:val="20"/>
        </w:rPr>
        <w:t>The distribution or release, directly or indirectly, of this</w:t>
      </w:r>
      <w:r w:rsidRPr="00C65AC7">
        <w:rPr>
          <w:rFonts w:ascii="Barclays Sans" w:eastAsia="Times New Roman" w:hAnsi="Barclays Sans" w:cs="Times New Roman"/>
          <w:i/>
          <w:iCs/>
          <w:sz w:val="20"/>
          <w:szCs w:val="20"/>
        </w:rPr>
        <w:t xml:space="preserve"> </w:t>
      </w:r>
      <w:r w:rsidRPr="00C65AC7">
        <w:rPr>
          <w:rFonts w:ascii="Barclays Sans" w:eastAsia="Times New Roman" w:hAnsi="Barclays Sans" w:cs="Times New Roman"/>
          <w:b/>
          <w:bCs/>
          <w:i/>
          <w:iCs/>
          <w:sz w:val="20"/>
          <w:szCs w:val="20"/>
        </w:rPr>
        <w:t>announcement,</w:t>
      </w:r>
      <w:r w:rsidRPr="00C65AC7">
        <w:rPr>
          <w:rFonts w:ascii="Barclays Sans" w:eastAsia="Times New Roman" w:hAnsi="Barclays Sans" w:cs="Times New Roman"/>
          <w:i/>
          <w:iCs/>
          <w:sz w:val="20"/>
          <w:szCs w:val="20"/>
        </w:rPr>
        <w:t xml:space="preserve"> </w:t>
      </w:r>
      <w:r w:rsidRPr="00C65AC7">
        <w:rPr>
          <w:rFonts w:ascii="Barclays Sans" w:eastAsia="Times New Roman" w:hAnsi="Barclays Sans" w:cs="Times New Roman"/>
          <w:b/>
          <w:bCs/>
          <w:i/>
          <w:iCs/>
          <w:sz w:val="20"/>
          <w:szCs w:val="20"/>
        </w:rPr>
        <w:t>the</w:t>
      </w:r>
      <w:r w:rsidRPr="00C65AC7">
        <w:rPr>
          <w:rFonts w:ascii="Barclays Sans" w:eastAsia="Times New Roman" w:hAnsi="Barclays Sans" w:cs="Times New Roman"/>
          <w:i/>
          <w:iCs/>
          <w:sz w:val="20"/>
          <w:szCs w:val="20"/>
        </w:rPr>
        <w:t xml:space="preserve"> </w:t>
      </w:r>
      <w:r w:rsidRPr="00C65AC7">
        <w:rPr>
          <w:rFonts w:ascii="Barclays Sans" w:eastAsia="Times New Roman" w:hAnsi="Barclays Sans" w:cs="Times New Roman"/>
          <w:b/>
          <w:bCs/>
          <w:i/>
          <w:iCs/>
          <w:sz w:val="20"/>
          <w:szCs w:val="20"/>
        </w:rPr>
        <w:t>Prospectus and/or the</w:t>
      </w:r>
      <w:r w:rsidRPr="00C65AC7">
        <w:rPr>
          <w:rFonts w:ascii="Barclays Sans" w:eastAsia="Times New Roman" w:hAnsi="Barclays Sans" w:cs="Times New Roman"/>
          <w:i/>
          <w:iCs/>
          <w:sz w:val="20"/>
          <w:szCs w:val="20"/>
        </w:rPr>
        <w:t xml:space="preserve"> </w:t>
      </w:r>
      <w:r w:rsidRPr="00C65AC7">
        <w:rPr>
          <w:rFonts w:ascii="Barclays Sans" w:eastAsia="Times New Roman" w:hAnsi="Barclays Sans" w:cs="Times New Roman"/>
          <w:b/>
          <w:bCs/>
          <w:i/>
          <w:iCs/>
          <w:sz w:val="20"/>
          <w:szCs w:val="20"/>
        </w:rPr>
        <w:t xml:space="preserve">Provisional Allotment Letter and/or </w:t>
      </w:r>
      <w:proofErr w:type="spellStart"/>
      <w:r w:rsidRPr="00C65AC7">
        <w:rPr>
          <w:rFonts w:ascii="Barclays Sans" w:eastAsia="Times New Roman" w:hAnsi="Barclays Sans" w:cs="Times New Roman"/>
          <w:b/>
          <w:bCs/>
          <w:i/>
          <w:iCs/>
          <w:sz w:val="20"/>
          <w:szCs w:val="20"/>
        </w:rPr>
        <w:t>Sharestore</w:t>
      </w:r>
      <w:proofErr w:type="spellEnd"/>
      <w:r w:rsidRPr="00C65AC7">
        <w:rPr>
          <w:rFonts w:ascii="Barclays Sans" w:eastAsia="Times New Roman" w:hAnsi="Barclays Sans" w:cs="Times New Roman"/>
          <w:b/>
          <w:bCs/>
          <w:i/>
          <w:iCs/>
          <w:sz w:val="20"/>
          <w:szCs w:val="20"/>
        </w:rPr>
        <w:t xml:space="preserve"> Form of Instruction and/or the transfer of Nil Paid Rights, Fully Paid Rights and/or New Ordinary Shares into a jurisdiction other than the United Kingdom may be restricted by law and therefore persons into whose possession this</w:t>
      </w:r>
      <w:r w:rsidRPr="00C65AC7">
        <w:rPr>
          <w:rFonts w:ascii="Barclays Sans" w:eastAsia="Times New Roman" w:hAnsi="Barclays Sans" w:cs="Times New Roman"/>
          <w:i/>
          <w:iCs/>
          <w:sz w:val="20"/>
          <w:szCs w:val="20"/>
        </w:rPr>
        <w:t xml:space="preserve"> </w:t>
      </w:r>
      <w:r w:rsidRPr="00C65AC7">
        <w:rPr>
          <w:rFonts w:ascii="Barclays Sans" w:eastAsia="Times New Roman" w:hAnsi="Barclays Sans" w:cs="Times New Roman"/>
          <w:b/>
          <w:bCs/>
          <w:i/>
          <w:iCs/>
          <w:sz w:val="20"/>
          <w:szCs w:val="20"/>
        </w:rPr>
        <w:t>announcement</w:t>
      </w:r>
      <w:r w:rsidRPr="00C65AC7">
        <w:rPr>
          <w:rFonts w:ascii="Barclays Sans" w:eastAsia="Times New Roman" w:hAnsi="Barclays Sans" w:cs="Times New Roman"/>
          <w:i/>
          <w:iCs/>
          <w:sz w:val="20"/>
          <w:szCs w:val="20"/>
        </w:rPr>
        <w:t xml:space="preserve"> </w:t>
      </w:r>
      <w:r w:rsidRPr="00C65AC7">
        <w:rPr>
          <w:rFonts w:ascii="Barclays Sans" w:eastAsia="Times New Roman" w:hAnsi="Barclays Sans" w:cs="Times New Roman"/>
          <w:b/>
          <w:bCs/>
          <w:i/>
          <w:iCs/>
          <w:sz w:val="20"/>
          <w:szCs w:val="20"/>
        </w:rPr>
        <w:t>and/or any related documents comes should inform themselves about and observe any such restrictions. Any failure to comply with any such restrictions may constitute a violation of the securities laws of any such jurisdictions.</w:t>
      </w:r>
      <w:r w:rsidRPr="00C65AC7">
        <w:rPr>
          <w:rFonts w:ascii="Barclays Sans" w:eastAsia="Times New Roman" w:hAnsi="Barclays Sans" w:cs="Times New Roman"/>
          <w:i/>
          <w:iCs/>
          <w:sz w:val="20"/>
          <w:szCs w:val="20"/>
        </w:rPr>
        <w:t xml:space="preserve">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Neither the content of Barclays' website (or any other website) nor any website accessible by hyperlinks on Barclays' website (or any other website) is incorporated in, or forms part of, this announcement.</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b/>
          <w:bCs/>
          <w:i/>
          <w:iCs/>
        </w:rPr>
      </w:pPr>
      <w:r w:rsidRPr="00C65AC7">
        <w:rPr>
          <w:rFonts w:ascii="Barclays Sans" w:eastAsia="Times New Roman" w:hAnsi="Barclays Sans" w:cs="Times New Roman"/>
          <w:b/>
          <w:bCs/>
          <w:i/>
          <w:iCs/>
          <w:sz w:val="20"/>
          <w:szCs w:val="20"/>
        </w:rPr>
        <w:t>Cautionary statement regarding forward-looking statements</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This announcement may contain certain forward-looking statements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"projected", "expect", "estimate", "intend", "plan", "goal", "believe", "achieve" or other words of similar meaning. Examples of forward-looking statements include, among others, statements regarding the Group's future financial position, income growth, assets, impairment charges and provisions, business strategy, capital, leverage and other regulatory ratios, payment of dividends (including dividend pay-out ratios), projected levels of growth in the banking and financial markets, projected costs, original and revised commitments and targets in connection with the Transform programme, deleveraging actions, estimates of capital expenditures and plans and objectives for future operations and other statements that are not historical fact.</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xml:space="preserve">By their nature, forward-looking statements involve risk and uncertainty because they relate to future events and circumstances. These may be affected by changes in legislation, the development of standards and interpretations under International Financial Reporting Standards (IFRS), evolving practices with regard to the interpretation and application of accounting and regulatory standards, the outcome of current and future legal proceedings and regulatory investigations, future levels of conduct provisions, the policies and actions of governmental and regulatory authorities, geopolitical risks and the impact of competition. In addition, factors including (but not limited to) the following may have an effect: capital, leverage and other regulatory rules </w:t>
      </w:r>
      <w:r w:rsidRPr="00C65AC7">
        <w:rPr>
          <w:rFonts w:ascii="Barclays Sans" w:eastAsia="Times New Roman" w:hAnsi="Barclays Sans" w:cs="Times New Roman"/>
          <w:i/>
          <w:iCs/>
          <w:sz w:val="20"/>
          <w:szCs w:val="20"/>
        </w:rPr>
        <w:lastRenderedPageBreak/>
        <w:t>(including with regard to the future structure of the Group) applicable to past, current and future periods; UK domestic, Eurozone and global macroeconomic and business conditions; the effects of continued volatility in credit markets; market related risks such as changes in interest rates and foreign exchange rates; effects of changes in valuation of credit market exposures; changes in valuation of issued securities; volatility in capital markets; changes in credit ratings of the Group; the potential for one or more countries exiting the Eurozone; the ability to implement the Transform programme; and the success of future acquisitions, disposals and other strategic transactions. A number of these influences and factors are beyond the Group's control. As a result, the Group's actual future results, dividend payments, and capital and leverage ratios may differ materially from the plans, goals, and expectations set forth in the Group's forward-looking statements. The list above is not exhaustive and there are other factors that may cause the Company's actual results to differ materially from the forward-looking statements contained in this announcement. Undue reliance should, therefore, not be placed on such forward-looking statements in this announcement. You are also advised to read carefully the risk factors set out on in the section entitled "Risk Factors" in the Prospectus or US Prospectus (as applicable) for a discussion of certain factors that should be considered when deciding what action to take in relation to the Rights Issue.</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xml:space="preserve">Any forward-looking statements made herein speak only as of the date they are made and it should not be assumed that they have been revised or updated in the light of new information or future events. Except as required by the FCA, the London Stock Exchange, the Prospectus Directive, the Listing Rules, the Disclosure and Transparency Rules, the SEC or applicable law, Barclays, the Banks and their respective affiliates expressly disclaim any obligation or undertaking to update, review or revise any forward-looking statement contained herein to reflect any change in Barclays' expectations with regard thereto or any change in events, conditions or circumstances on which any such statement is based or otherwise. The reader of this announcement should, however, consult any additional disclosures that Barclays has made or may make in documents it has published or may publish via the Regulatory News Service of the London Stock Exchange and/or has filed or may file with the SEC.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xml:space="preserve">Nothing in this announcement is intended, or is to be construed, as a profit forecast or to be interpreted to mean that earnings per Barclays share for the current or future financial years will necessarily match or exceed the historical published earnings per Barclays share. </w:t>
      </w:r>
    </w:p>
    <w:p w:rsidR="00C65AC7" w:rsidRPr="00C65AC7" w:rsidRDefault="00C65AC7" w:rsidP="00C65AC7">
      <w:pPr>
        <w:spacing w:after="0"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 </w:t>
      </w:r>
    </w:p>
    <w:p w:rsidR="00C65AC7" w:rsidRPr="00C65AC7" w:rsidRDefault="00C65AC7" w:rsidP="00C65AC7">
      <w:pPr>
        <w:spacing w:line="240" w:lineRule="auto"/>
        <w:jc w:val="both"/>
        <w:rPr>
          <w:rFonts w:ascii="Times New Roman" w:eastAsia="Times New Roman" w:hAnsi="Times New Roman" w:cs="Times New Roman"/>
          <w:i/>
          <w:iCs/>
        </w:rPr>
      </w:pPr>
      <w:r w:rsidRPr="00C65AC7">
        <w:rPr>
          <w:rFonts w:ascii="Barclays Sans" w:eastAsia="Times New Roman" w:hAnsi="Barclays Sans" w:cs="Times New Roman"/>
          <w:i/>
          <w:iCs/>
          <w:sz w:val="20"/>
          <w:szCs w:val="20"/>
        </w:rPr>
        <w:t>You are advised to read this announcement and the Prospectus, the US Prospectus or the Canadian Offering Memorandum (as applicable) in their entirety for a further discussion of the factors that could affect Barclays' future performance. In light of these risks, uncertainties and assumptions, the events described in the forward-looking statements in this announcement may not occur.</w:t>
      </w:r>
    </w:p>
    <w:p w:rsidR="00E64976" w:rsidRDefault="00E64976"/>
    <w:sectPr w:rsidR="00E649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rclays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C7"/>
    <w:rsid w:val="00403279"/>
    <w:rsid w:val="00C65AC7"/>
    <w:rsid w:val="00E649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5AC7"/>
    <w:rPr>
      <w:color w:val="0000FF"/>
      <w:u w:val="single"/>
    </w:rPr>
  </w:style>
  <w:style w:type="paragraph" w:customStyle="1" w:styleId="f">
    <w:name w:val="f"/>
    <w:basedOn w:val="Normal"/>
    <w:rsid w:val="00C65AC7"/>
    <w:pPr>
      <w:spacing w:after="120" w:line="288" w:lineRule="auto"/>
      <w:jc w:val="both"/>
    </w:pPr>
    <w:rPr>
      <w:rFonts w:ascii="Times New Roman" w:eastAsia="Times New Roman" w:hAnsi="Times New Roman" w:cs="Times New Roman"/>
    </w:rPr>
  </w:style>
  <w:style w:type="paragraph" w:customStyle="1" w:styleId="cx">
    <w:name w:val="cx"/>
    <w:basedOn w:val="Normal"/>
    <w:rsid w:val="00C65AC7"/>
    <w:pPr>
      <w:spacing w:after="120" w:line="288" w:lineRule="auto"/>
      <w:jc w:val="both"/>
    </w:pPr>
    <w:rPr>
      <w:rFonts w:ascii="Times New Roman" w:eastAsia="Times New Roman" w:hAnsi="Times New Roman" w:cs="Times New Roman"/>
      <w:b/>
      <w:bCs/>
      <w:i/>
      <w:iCs/>
    </w:rPr>
  </w:style>
  <w:style w:type="paragraph" w:customStyle="1" w:styleId="cy">
    <w:name w:val="cy"/>
    <w:basedOn w:val="Normal"/>
    <w:rsid w:val="00C65AC7"/>
    <w:pPr>
      <w:spacing w:after="0" w:line="240" w:lineRule="auto"/>
      <w:jc w:val="both"/>
    </w:pPr>
    <w:rPr>
      <w:rFonts w:ascii="Times New Roman" w:eastAsia="Times New Roman" w:hAnsi="Times New Roman" w:cs="Times New Roman"/>
      <w:sz w:val="20"/>
      <w:szCs w:val="20"/>
    </w:rPr>
  </w:style>
  <w:style w:type="paragraph" w:customStyle="1" w:styleId="cz">
    <w:name w:val="cz"/>
    <w:basedOn w:val="Normal"/>
    <w:rsid w:val="00C65AC7"/>
    <w:pPr>
      <w:spacing w:after="0" w:line="240" w:lineRule="auto"/>
      <w:ind w:left="680"/>
      <w:jc w:val="right"/>
    </w:pPr>
    <w:rPr>
      <w:rFonts w:ascii="Times New Roman" w:eastAsia="Times New Roman" w:hAnsi="Times New Roman" w:cs="Times New Roman"/>
      <w:b/>
      <w:bCs/>
      <w:sz w:val="20"/>
      <w:szCs w:val="20"/>
    </w:rPr>
  </w:style>
  <w:style w:type="paragraph" w:customStyle="1" w:styleId="da">
    <w:name w:val="da"/>
    <w:basedOn w:val="Normal"/>
    <w:rsid w:val="00C65AC7"/>
    <w:pPr>
      <w:spacing w:after="0" w:line="240" w:lineRule="auto"/>
      <w:ind w:left="1985" w:right="1984"/>
      <w:jc w:val="center"/>
    </w:pPr>
    <w:rPr>
      <w:rFonts w:ascii="Times New Roman" w:eastAsia="Times New Roman" w:hAnsi="Times New Roman" w:cs="Times New Roman"/>
      <w:b/>
      <w:bCs/>
      <w:sz w:val="20"/>
      <w:szCs w:val="20"/>
    </w:rPr>
  </w:style>
  <w:style w:type="paragraph" w:customStyle="1" w:styleId="db">
    <w:name w:val="db"/>
    <w:basedOn w:val="Normal"/>
    <w:rsid w:val="00C65AC7"/>
    <w:pPr>
      <w:keepNext/>
      <w:spacing w:after="0" w:line="240" w:lineRule="auto"/>
      <w:ind w:left="426" w:hanging="426"/>
    </w:pPr>
    <w:rPr>
      <w:rFonts w:ascii="Times New Roman" w:eastAsia="Times New Roman" w:hAnsi="Times New Roman" w:cs="Times New Roman"/>
      <w:sz w:val="20"/>
      <w:szCs w:val="20"/>
    </w:rPr>
  </w:style>
  <w:style w:type="paragraph" w:customStyle="1" w:styleId="dc">
    <w:name w:val="dc"/>
    <w:basedOn w:val="Normal"/>
    <w:rsid w:val="00C65AC7"/>
    <w:pPr>
      <w:spacing w:after="120" w:line="240" w:lineRule="auto"/>
      <w:jc w:val="both"/>
    </w:pPr>
    <w:rPr>
      <w:rFonts w:ascii="Times New Roman" w:eastAsia="Times New Roman" w:hAnsi="Times New Roman" w:cs="Times New Roman"/>
      <w:b/>
      <w:bCs/>
      <w:sz w:val="20"/>
      <w:szCs w:val="20"/>
    </w:rPr>
  </w:style>
  <w:style w:type="paragraph" w:customStyle="1" w:styleId="dd">
    <w:name w:val="dd"/>
    <w:basedOn w:val="Normal"/>
    <w:rsid w:val="00C65AC7"/>
    <w:pPr>
      <w:spacing w:after="120" w:line="240" w:lineRule="auto"/>
      <w:jc w:val="both"/>
    </w:pPr>
    <w:rPr>
      <w:rFonts w:ascii="Times New Roman" w:eastAsia="Times New Roman" w:hAnsi="Times New Roman" w:cs="Times New Roman"/>
      <w:sz w:val="20"/>
      <w:szCs w:val="20"/>
    </w:rPr>
  </w:style>
  <w:style w:type="paragraph" w:customStyle="1" w:styleId="de">
    <w:name w:val="de"/>
    <w:basedOn w:val="Normal"/>
    <w:rsid w:val="00C65AC7"/>
    <w:pPr>
      <w:spacing w:line="240" w:lineRule="auto"/>
      <w:jc w:val="both"/>
    </w:pPr>
    <w:rPr>
      <w:rFonts w:ascii="Times New Roman" w:eastAsia="Times New Roman" w:hAnsi="Times New Roman" w:cs="Times New Roman"/>
      <w:sz w:val="20"/>
      <w:szCs w:val="20"/>
    </w:rPr>
  </w:style>
  <w:style w:type="paragraph" w:customStyle="1" w:styleId="df">
    <w:name w:val="df"/>
    <w:basedOn w:val="Normal"/>
    <w:rsid w:val="00C65AC7"/>
    <w:pPr>
      <w:keepNext/>
      <w:spacing w:after="0" w:line="240" w:lineRule="auto"/>
    </w:pPr>
    <w:rPr>
      <w:rFonts w:ascii="Times New Roman" w:eastAsia="Times New Roman" w:hAnsi="Times New Roman" w:cs="Times New Roman"/>
      <w:b/>
      <w:bCs/>
      <w:sz w:val="20"/>
      <w:szCs w:val="20"/>
    </w:rPr>
  </w:style>
  <w:style w:type="paragraph" w:customStyle="1" w:styleId="dg">
    <w:name w:val="dg"/>
    <w:basedOn w:val="Normal"/>
    <w:rsid w:val="00C65AC7"/>
    <w:pPr>
      <w:spacing w:after="0" w:line="240" w:lineRule="auto"/>
      <w:jc w:val="both"/>
    </w:pPr>
    <w:rPr>
      <w:rFonts w:ascii="Times New Roman" w:eastAsia="Times New Roman" w:hAnsi="Times New Roman" w:cs="Times New Roman"/>
    </w:rPr>
  </w:style>
  <w:style w:type="paragraph" w:customStyle="1" w:styleId="dh">
    <w:name w:val="dh"/>
    <w:basedOn w:val="Normal"/>
    <w:rsid w:val="00C65AC7"/>
    <w:pPr>
      <w:spacing w:after="0" w:line="240" w:lineRule="auto"/>
    </w:pPr>
    <w:rPr>
      <w:rFonts w:ascii="Times New Roman" w:eastAsia="Times New Roman" w:hAnsi="Times New Roman" w:cs="Times New Roman"/>
    </w:rPr>
  </w:style>
  <w:style w:type="paragraph" w:customStyle="1" w:styleId="di">
    <w:name w:val="di"/>
    <w:basedOn w:val="Normal"/>
    <w:rsid w:val="00C65AC7"/>
    <w:pPr>
      <w:spacing w:after="0" w:line="240" w:lineRule="auto"/>
    </w:pPr>
    <w:rPr>
      <w:rFonts w:ascii="Times New Roman" w:eastAsia="Times New Roman" w:hAnsi="Times New Roman" w:cs="Times New Roman"/>
      <w:b/>
      <w:bCs/>
    </w:rPr>
  </w:style>
  <w:style w:type="paragraph" w:customStyle="1" w:styleId="dj">
    <w:name w:val="dj"/>
    <w:basedOn w:val="Normal"/>
    <w:rsid w:val="00C65AC7"/>
    <w:pPr>
      <w:spacing w:after="0" w:line="240" w:lineRule="auto"/>
      <w:ind w:left="142" w:right="-20"/>
      <w:jc w:val="both"/>
    </w:pPr>
    <w:rPr>
      <w:rFonts w:ascii="Times New Roman" w:eastAsia="Times New Roman" w:hAnsi="Times New Roman" w:cs="Times New Roman"/>
    </w:rPr>
  </w:style>
  <w:style w:type="paragraph" w:customStyle="1" w:styleId="dk">
    <w:name w:val="dk"/>
    <w:basedOn w:val="Normal"/>
    <w:rsid w:val="00C65AC7"/>
    <w:pPr>
      <w:spacing w:after="0" w:line="240" w:lineRule="auto"/>
      <w:ind w:right="-20"/>
      <w:jc w:val="both"/>
    </w:pPr>
    <w:rPr>
      <w:rFonts w:ascii="Times New Roman" w:eastAsia="Times New Roman" w:hAnsi="Times New Roman" w:cs="Times New Roman"/>
      <w:b/>
      <w:bCs/>
    </w:rPr>
  </w:style>
  <w:style w:type="paragraph" w:customStyle="1" w:styleId="dl">
    <w:name w:val="dl"/>
    <w:basedOn w:val="Normal"/>
    <w:rsid w:val="00C65AC7"/>
    <w:pPr>
      <w:spacing w:after="0" w:line="240" w:lineRule="auto"/>
      <w:ind w:right="-20"/>
      <w:jc w:val="both"/>
    </w:pPr>
    <w:rPr>
      <w:rFonts w:ascii="Times New Roman" w:eastAsia="Times New Roman" w:hAnsi="Times New Roman" w:cs="Times New Roman"/>
    </w:rPr>
  </w:style>
  <w:style w:type="paragraph" w:customStyle="1" w:styleId="dm">
    <w:name w:val="dm"/>
    <w:basedOn w:val="Normal"/>
    <w:rsid w:val="00C65AC7"/>
    <w:pPr>
      <w:spacing w:after="0" w:line="240" w:lineRule="auto"/>
      <w:jc w:val="center"/>
    </w:pPr>
    <w:rPr>
      <w:rFonts w:ascii="Times New Roman" w:eastAsia="Times New Roman" w:hAnsi="Times New Roman" w:cs="Times New Roman"/>
      <w:b/>
      <w:bCs/>
      <w:sz w:val="20"/>
      <w:szCs w:val="20"/>
    </w:rPr>
  </w:style>
  <w:style w:type="paragraph" w:customStyle="1" w:styleId="dn">
    <w:name w:val="dn"/>
    <w:basedOn w:val="Normal"/>
    <w:rsid w:val="00C65AC7"/>
    <w:pPr>
      <w:spacing w:after="0" w:line="240" w:lineRule="auto"/>
      <w:jc w:val="both"/>
    </w:pPr>
    <w:rPr>
      <w:rFonts w:ascii="Times New Roman" w:eastAsia="Times New Roman" w:hAnsi="Times New Roman" w:cs="Times New Roman"/>
      <w:b/>
      <w:bCs/>
      <w:sz w:val="20"/>
      <w:szCs w:val="20"/>
    </w:rPr>
  </w:style>
  <w:style w:type="paragraph" w:customStyle="1" w:styleId="do">
    <w:name w:val="do"/>
    <w:basedOn w:val="Normal"/>
    <w:rsid w:val="00C65AC7"/>
    <w:pPr>
      <w:spacing w:after="0" w:line="240" w:lineRule="auto"/>
      <w:jc w:val="right"/>
    </w:pPr>
    <w:rPr>
      <w:rFonts w:ascii="Times New Roman" w:eastAsia="Times New Roman" w:hAnsi="Times New Roman" w:cs="Times New Roman"/>
      <w:b/>
      <w:bCs/>
      <w:sz w:val="20"/>
      <w:szCs w:val="20"/>
    </w:rPr>
  </w:style>
  <w:style w:type="paragraph" w:customStyle="1" w:styleId="dq">
    <w:name w:val="dq"/>
    <w:basedOn w:val="Normal"/>
    <w:rsid w:val="00C65AC7"/>
    <w:pPr>
      <w:spacing w:after="120" w:line="240" w:lineRule="auto"/>
    </w:pPr>
    <w:rPr>
      <w:rFonts w:ascii="Times New Roman" w:eastAsia="Times New Roman" w:hAnsi="Times New Roman" w:cs="Times New Roman"/>
    </w:rPr>
  </w:style>
  <w:style w:type="paragraph" w:customStyle="1" w:styleId="dr">
    <w:name w:val="dr"/>
    <w:basedOn w:val="Normal"/>
    <w:rsid w:val="00C65AC7"/>
    <w:pPr>
      <w:spacing w:after="120" w:line="240" w:lineRule="auto"/>
      <w:jc w:val="right"/>
    </w:pPr>
    <w:rPr>
      <w:rFonts w:ascii="Times New Roman" w:eastAsia="Times New Roman" w:hAnsi="Times New Roman" w:cs="Times New Roman"/>
      <w:b/>
      <w:bCs/>
    </w:rPr>
  </w:style>
  <w:style w:type="paragraph" w:customStyle="1" w:styleId="ds">
    <w:name w:val="ds"/>
    <w:basedOn w:val="Normal"/>
    <w:rsid w:val="00C65AC7"/>
    <w:pPr>
      <w:spacing w:after="120" w:line="240" w:lineRule="auto"/>
      <w:jc w:val="right"/>
    </w:pPr>
    <w:rPr>
      <w:rFonts w:ascii="Times New Roman" w:eastAsia="Times New Roman" w:hAnsi="Times New Roman" w:cs="Times New Roman"/>
    </w:rPr>
  </w:style>
  <w:style w:type="paragraph" w:customStyle="1" w:styleId="dt">
    <w:name w:val="dt"/>
    <w:basedOn w:val="Normal"/>
    <w:rsid w:val="00C65AC7"/>
    <w:pPr>
      <w:spacing w:after="120" w:line="240" w:lineRule="auto"/>
    </w:pPr>
    <w:rPr>
      <w:rFonts w:ascii="Times New Roman" w:eastAsia="Times New Roman" w:hAnsi="Times New Roman" w:cs="Times New Roman"/>
      <w:b/>
      <w:bCs/>
    </w:rPr>
  </w:style>
  <w:style w:type="paragraph" w:customStyle="1" w:styleId="du">
    <w:name w:val="du"/>
    <w:basedOn w:val="Normal"/>
    <w:rsid w:val="00C65AC7"/>
    <w:pPr>
      <w:spacing w:after="0" w:line="240" w:lineRule="auto"/>
      <w:jc w:val="right"/>
    </w:pPr>
    <w:rPr>
      <w:rFonts w:ascii="Times New Roman" w:eastAsia="Times New Roman" w:hAnsi="Times New Roman" w:cs="Times New Roman"/>
      <w:b/>
      <w:bCs/>
    </w:rPr>
  </w:style>
  <w:style w:type="paragraph" w:customStyle="1" w:styleId="dw">
    <w:name w:val="dw"/>
    <w:basedOn w:val="Normal"/>
    <w:rsid w:val="00C65AC7"/>
    <w:pPr>
      <w:spacing w:after="0" w:line="240" w:lineRule="auto"/>
      <w:jc w:val="right"/>
    </w:pPr>
    <w:rPr>
      <w:rFonts w:ascii="Times New Roman" w:eastAsia="Times New Roman" w:hAnsi="Times New Roman" w:cs="Times New Roman"/>
    </w:rPr>
  </w:style>
  <w:style w:type="paragraph" w:customStyle="1" w:styleId="dx">
    <w:name w:val="dx"/>
    <w:basedOn w:val="Normal"/>
    <w:rsid w:val="00C65AC7"/>
    <w:pPr>
      <w:spacing w:after="0" w:line="240" w:lineRule="auto"/>
    </w:pPr>
    <w:rPr>
      <w:rFonts w:ascii="Times New Roman" w:eastAsia="Times New Roman" w:hAnsi="Times New Roman" w:cs="Times New Roman"/>
      <w:i/>
      <w:iCs/>
    </w:rPr>
  </w:style>
  <w:style w:type="paragraph" w:customStyle="1" w:styleId="dy">
    <w:name w:val="dy"/>
    <w:basedOn w:val="Normal"/>
    <w:rsid w:val="00C65AC7"/>
    <w:pPr>
      <w:spacing w:after="0" w:line="240" w:lineRule="auto"/>
      <w:jc w:val="both"/>
    </w:pPr>
    <w:rPr>
      <w:rFonts w:ascii="Times New Roman" w:eastAsia="Times New Roman" w:hAnsi="Times New Roman" w:cs="Times New Roman"/>
      <w:i/>
      <w:iCs/>
    </w:rPr>
  </w:style>
  <w:style w:type="paragraph" w:customStyle="1" w:styleId="dz">
    <w:name w:val="dz"/>
    <w:basedOn w:val="Normal"/>
    <w:rsid w:val="00C65AC7"/>
    <w:pPr>
      <w:spacing w:after="0" w:line="240" w:lineRule="auto"/>
      <w:jc w:val="both"/>
    </w:pPr>
    <w:rPr>
      <w:rFonts w:ascii="Times New Roman" w:eastAsia="Times New Roman" w:hAnsi="Times New Roman" w:cs="Times New Roman"/>
      <w:b/>
      <w:bCs/>
      <w:i/>
      <w:iCs/>
    </w:rPr>
  </w:style>
  <w:style w:type="character" w:customStyle="1" w:styleId="cv">
    <w:name w:val="cv"/>
    <w:basedOn w:val="DefaultParagraphFont"/>
    <w:rsid w:val="00C65AC7"/>
    <w:rPr>
      <w:rFonts w:ascii="Barclays Sans" w:hAnsi="Barclays Sans" w:hint="default"/>
      <w:color w:val="000000"/>
      <w:sz w:val="20"/>
      <w:szCs w:val="20"/>
    </w:rPr>
  </w:style>
  <w:style w:type="character" w:customStyle="1" w:styleId="ct">
    <w:name w:val="ct"/>
    <w:basedOn w:val="DefaultParagraphFont"/>
    <w:rsid w:val="00C65AC7"/>
    <w:rPr>
      <w:rFonts w:ascii="Barclays Sans" w:hAnsi="Barclays Sans" w:hint="default"/>
      <w:sz w:val="20"/>
      <w:szCs w:val="20"/>
    </w:rPr>
  </w:style>
  <w:style w:type="character" w:customStyle="1" w:styleId="cs">
    <w:name w:val="cs"/>
    <w:basedOn w:val="DefaultParagraphFont"/>
    <w:rsid w:val="00C65AC7"/>
  </w:style>
  <w:style w:type="character" w:customStyle="1" w:styleId="cr">
    <w:name w:val="cr"/>
    <w:basedOn w:val="DefaultParagraphFont"/>
    <w:rsid w:val="00C65AC7"/>
    <w:rPr>
      <w:rFonts w:ascii="Barclays Sans" w:hAnsi="Barclays Sans" w:hint="default"/>
      <w:sz w:val="20"/>
      <w:szCs w:val="20"/>
    </w:rPr>
  </w:style>
  <w:style w:type="character" w:customStyle="1" w:styleId="cp">
    <w:name w:val="cp"/>
    <w:basedOn w:val="DefaultParagraphFont"/>
    <w:rsid w:val="00C65AC7"/>
    <w:rPr>
      <w:rFonts w:ascii="Barclays Sans" w:hAnsi="Barclays Sans" w:hint="default"/>
      <w:sz w:val="22"/>
      <w:szCs w:val="22"/>
    </w:rPr>
  </w:style>
  <w:style w:type="character" w:customStyle="1" w:styleId="cl">
    <w:name w:val="cl"/>
    <w:basedOn w:val="DefaultParagraphFont"/>
    <w:rsid w:val="00C65AC7"/>
    <w:rPr>
      <w:rFonts w:ascii="Barclays Sans" w:hAnsi="Barclays Sans" w:hint="default"/>
      <w:sz w:val="22"/>
      <w:szCs w:val="22"/>
    </w:rPr>
  </w:style>
  <w:style w:type="character" w:customStyle="1" w:styleId="cf">
    <w:name w:val="cf"/>
    <w:basedOn w:val="DefaultParagraphFont"/>
    <w:rsid w:val="00C65AC7"/>
    <w:rPr>
      <w:rFonts w:ascii="Barclays Sans" w:hAnsi="Barclays Sans" w:hint="default"/>
    </w:rPr>
  </w:style>
  <w:style w:type="character" w:customStyle="1" w:styleId="cb">
    <w:name w:val="cb"/>
    <w:basedOn w:val="DefaultParagraphFont"/>
    <w:rsid w:val="00C65AC7"/>
    <w:rPr>
      <w:spacing w:val="-1"/>
    </w:rPr>
  </w:style>
  <w:style w:type="character" w:customStyle="1" w:styleId="ca">
    <w:name w:val="ca"/>
    <w:basedOn w:val="DefaultParagraphFont"/>
    <w:rsid w:val="00C65AC7"/>
    <w:rPr>
      <w:spacing w:val="-2"/>
    </w:rPr>
  </w:style>
  <w:style w:type="character" w:customStyle="1" w:styleId="bz">
    <w:name w:val="bz"/>
    <w:basedOn w:val="DefaultParagraphFont"/>
    <w:rsid w:val="00C65AC7"/>
    <w:rPr>
      <w:spacing w:val="-2"/>
    </w:rPr>
  </w:style>
  <w:style w:type="character" w:customStyle="1" w:styleId="by">
    <w:name w:val="by"/>
    <w:basedOn w:val="DefaultParagraphFont"/>
    <w:rsid w:val="00C65AC7"/>
    <w:rPr>
      <w:spacing w:val="-4"/>
    </w:rPr>
  </w:style>
  <w:style w:type="character" w:customStyle="1" w:styleId="bu">
    <w:name w:val="bu"/>
    <w:basedOn w:val="DefaultParagraphFont"/>
    <w:rsid w:val="00C65AC7"/>
    <w:rPr>
      <w:rFonts w:ascii="Barclays Sans" w:hAnsi="Barclays Sans" w:hint="default"/>
      <w:color w:val="000000"/>
    </w:rPr>
  </w:style>
  <w:style w:type="character" w:customStyle="1" w:styleId="bt">
    <w:name w:val="bt"/>
    <w:basedOn w:val="DefaultParagraphFont"/>
    <w:rsid w:val="00C65AC7"/>
    <w:rPr>
      <w:rFonts w:ascii="Barclays Sans" w:hAnsi="Barclays Sans" w:hint="default"/>
      <w:color w:val="000000"/>
      <w:sz w:val="18"/>
      <w:szCs w:val="18"/>
    </w:rPr>
  </w:style>
  <w:style w:type="character" w:customStyle="1" w:styleId="bi">
    <w:name w:val="bi"/>
    <w:basedOn w:val="DefaultParagraphFont"/>
    <w:rsid w:val="00C65AC7"/>
    <w:rPr>
      <w:rFonts w:ascii="Barclays Sans" w:hAnsi="Barclays Sans" w:hint="default"/>
      <w:sz w:val="18"/>
      <w:szCs w:val="18"/>
    </w:rPr>
  </w:style>
  <w:style w:type="character" w:customStyle="1" w:styleId="bh">
    <w:name w:val="bh"/>
    <w:basedOn w:val="DefaultParagraphFont"/>
    <w:rsid w:val="00C65AC7"/>
    <w:rPr>
      <w:rFonts w:ascii="Barclays Sans" w:hAnsi="Barclays Sans" w:hint="default"/>
      <w:sz w:val="18"/>
      <w:szCs w:val="18"/>
    </w:rPr>
  </w:style>
  <w:style w:type="character" w:customStyle="1" w:styleId="bg">
    <w:name w:val="bg"/>
    <w:basedOn w:val="DefaultParagraphFont"/>
    <w:rsid w:val="00C65AC7"/>
    <w:rPr>
      <w:rFonts w:ascii="Barclays Sans" w:hAnsi="Barclays Sans" w:hint="default"/>
      <w:color w:val="000000"/>
    </w:rPr>
  </w:style>
  <w:style w:type="character" w:customStyle="1" w:styleId="ba">
    <w:name w:val="ba"/>
    <w:basedOn w:val="DefaultParagraphFont"/>
    <w:rsid w:val="00C65AC7"/>
    <w:rPr>
      <w:rFonts w:ascii="Barclays Sans" w:hAnsi="Barclays Sans" w:hint="default"/>
      <w:sz w:val="20"/>
      <w:szCs w:val="20"/>
    </w:rPr>
  </w:style>
  <w:style w:type="character" w:customStyle="1" w:styleId="ay">
    <w:name w:val="ay"/>
    <w:basedOn w:val="DefaultParagraphFont"/>
    <w:rsid w:val="00C65AC7"/>
    <w:rPr>
      <w:rFonts w:ascii="Barclays Sans" w:hAnsi="Barclays Sans" w:hint="default"/>
      <w:sz w:val="20"/>
      <w:szCs w:val="20"/>
    </w:rPr>
  </w:style>
  <w:style w:type="paragraph" w:styleId="NormalWeb">
    <w:name w:val="Normal (Web)"/>
    <w:basedOn w:val="Normal"/>
    <w:uiPriority w:val="99"/>
    <w:semiHidden/>
    <w:unhideWhenUsed/>
    <w:rsid w:val="00C65A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5AC7"/>
    <w:rPr>
      <w:color w:val="0000FF"/>
      <w:u w:val="single"/>
    </w:rPr>
  </w:style>
  <w:style w:type="paragraph" w:customStyle="1" w:styleId="f">
    <w:name w:val="f"/>
    <w:basedOn w:val="Normal"/>
    <w:rsid w:val="00C65AC7"/>
    <w:pPr>
      <w:spacing w:after="120" w:line="288" w:lineRule="auto"/>
      <w:jc w:val="both"/>
    </w:pPr>
    <w:rPr>
      <w:rFonts w:ascii="Times New Roman" w:eastAsia="Times New Roman" w:hAnsi="Times New Roman" w:cs="Times New Roman"/>
    </w:rPr>
  </w:style>
  <w:style w:type="paragraph" w:customStyle="1" w:styleId="cx">
    <w:name w:val="cx"/>
    <w:basedOn w:val="Normal"/>
    <w:rsid w:val="00C65AC7"/>
    <w:pPr>
      <w:spacing w:after="120" w:line="288" w:lineRule="auto"/>
      <w:jc w:val="both"/>
    </w:pPr>
    <w:rPr>
      <w:rFonts w:ascii="Times New Roman" w:eastAsia="Times New Roman" w:hAnsi="Times New Roman" w:cs="Times New Roman"/>
      <w:b/>
      <w:bCs/>
      <w:i/>
      <w:iCs/>
    </w:rPr>
  </w:style>
  <w:style w:type="paragraph" w:customStyle="1" w:styleId="cy">
    <w:name w:val="cy"/>
    <w:basedOn w:val="Normal"/>
    <w:rsid w:val="00C65AC7"/>
    <w:pPr>
      <w:spacing w:after="0" w:line="240" w:lineRule="auto"/>
      <w:jc w:val="both"/>
    </w:pPr>
    <w:rPr>
      <w:rFonts w:ascii="Times New Roman" w:eastAsia="Times New Roman" w:hAnsi="Times New Roman" w:cs="Times New Roman"/>
      <w:sz w:val="20"/>
      <w:szCs w:val="20"/>
    </w:rPr>
  </w:style>
  <w:style w:type="paragraph" w:customStyle="1" w:styleId="cz">
    <w:name w:val="cz"/>
    <w:basedOn w:val="Normal"/>
    <w:rsid w:val="00C65AC7"/>
    <w:pPr>
      <w:spacing w:after="0" w:line="240" w:lineRule="auto"/>
      <w:ind w:left="680"/>
      <w:jc w:val="right"/>
    </w:pPr>
    <w:rPr>
      <w:rFonts w:ascii="Times New Roman" w:eastAsia="Times New Roman" w:hAnsi="Times New Roman" w:cs="Times New Roman"/>
      <w:b/>
      <w:bCs/>
      <w:sz w:val="20"/>
      <w:szCs w:val="20"/>
    </w:rPr>
  </w:style>
  <w:style w:type="paragraph" w:customStyle="1" w:styleId="da">
    <w:name w:val="da"/>
    <w:basedOn w:val="Normal"/>
    <w:rsid w:val="00C65AC7"/>
    <w:pPr>
      <w:spacing w:after="0" w:line="240" w:lineRule="auto"/>
      <w:ind w:left="1985" w:right="1984"/>
      <w:jc w:val="center"/>
    </w:pPr>
    <w:rPr>
      <w:rFonts w:ascii="Times New Roman" w:eastAsia="Times New Roman" w:hAnsi="Times New Roman" w:cs="Times New Roman"/>
      <w:b/>
      <w:bCs/>
      <w:sz w:val="20"/>
      <w:szCs w:val="20"/>
    </w:rPr>
  </w:style>
  <w:style w:type="paragraph" w:customStyle="1" w:styleId="db">
    <w:name w:val="db"/>
    <w:basedOn w:val="Normal"/>
    <w:rsid w:val="00C65AC7"/>
    <w:pPr>
      <w:keepNext/>
      <w:spacing w:after="0" w:line="240" w:lineRule="auto"/>
      <w:ind w:left="426" w:hanging="426"/>
    </w:pPr>
    <w:rPr>
      <w:rFonts w:ascii="Times New Roman" w:eastAsia="Times New Roman" w:hAnsi="Times New Roman" w:cs="Times New Roman"/>
      <w:sz w:val="20"/>
      <w:szCs w:val="20"/>
    </w:rPr>
  </w:style>
  <w:style w:type="paragraph" w:customStyle="1" w:styleId="dc">
    <w:name w:val="dc"/>
    <w:basedOn w:val="Normal"/>
    <w:rsid w:val="00C65AC7"/>
    <w:pPr>
      <w:spacing w:after="120" w:line="240" w:lineRule="auto"/>
      <w:jc w:val="both"/>
    </w:pPr>
    <w:rPr>
      <w:rFonts w:ascii="Times New Roman" w:eastAsia="Times New Roman" w:hAnsi="Times New Roman" w:cs="Times New Roman"/>
      <w:b/>
      <w:bCs/>
      <w:sz w:val="20"/>
      <w:szCs w:val="20"/>
    </w:rPr>
  </w:style>
  <w:style w:type="paragraph" w:customStyle="1" w:styleId="dd">
    <w:name w:val="dd"/>
    <w:basedOn w:val="Normal"/>
    <w:rsid w:val="00C65AC7"/>
    <w:pPr>
      <w:spacing w:after="120" w:line="240" w:lineRule="auto"/>
      <w:jc w:val="both"/>
    </w:pPr>
    <w:rPr>
      <w:rFonts w:ascii="Times New Roman" w:eastAsia="Times New Roman" w:hAnsi="Times New Roman" w:cs="Times New Roman"/>
      <w:sz w:val="20"/>
      <w:szCs w:val="20"/>
    </w:rPr>
  </w:style>
  <w:style w:type="paragraph" w:customStyle="1" w:styleId="de">
    <w:name w:val="de"/>
    <w:basedOn w:val="Normal"/>
    <w:rsid w:val="00C65AC7"/>
    <w:pPr>
      <w:spacing w:line="240" w:lineRule="auto"/>
      <w:jc w:val="both"/>
    </w:pPr>
    <w:rPr>
      <w:rFonts w:ascii="Times New Roman" w:eastAsia="Times New Roman" w:hAnsi="Times New Roman" w:cs="Times New Roman"/>
      <w:sz w:val="20"/>
      <w:szCs w:val="20"/>
    </w:rPr>
  </w:style>
  <w:style w:type="paragraph" w:customStyle="1" w:styleId="df">
    <w:name w:val="df"/>
    <w:basedOn w:val="Normal"/>
    <w:rsid w:val="00C65AC7"/>
    <w:pPr>
      <w:keepNext/>
      <w:spacing w:after="0" w:line="240" w:lineRule="auto"/>
    </w:pPr>
    <w:rPr>
      <w:rFonts w:ascii="Times New Roman" w:eastAsia="Times New Roman" w:hAnsi="Times New Roman" w:cs="Times New Roman"/>
      <w:b/>
      <w:bCs/>
      <w:sz w:val="20"/>
      <w:szCs w:val="20"/>
    </w:rPr>
  </w:style>
  <w:style w:type="paragraph" w:customStyle="1" w:styleId="dg">
    <w:name w:val="dg"/>
    <w:basedOn w:val="Normal"/>
    <w:rsid w:val="00C65AC7"/>
    <w:pPr>
      <w:spacing w:after="0" w:line="240" w:lineRule="auto"/>
      <w:jc w:val="both"/>
    </w:pPr>
    <w:rPr>
      <w:rFonts w:ascii="Times New Roman" w:eastAsia="Times New Roman" w:hAnsi="Times New Roman" w:cs="Times New Roman"/>
    </w:rPr>
  </w:style>
  <w:style w:type="paragraph" w:customStyle="1" w:styleId="dh">
    <w:name w:val="dh"/>
    <w:basedOn w:val="Normal"/>
    <w:rsid w:val="00C65AC7"/>
    <w:pPr>
      <w:spacing w:after="0" w:line="240" w:lineRule="auto"/>
    </w:pPr>
    <w:rPr>
      <w:rFonts w:ascii="Times New Roman" w:eastAsia="Times New Roman" w:hAnsi="Times New Roman" w:cs="Times New Roman"/>
    </w:rPr>
  </w:style>
  <w:style w:type="paragraph" w:customStyle="1" w:styleId="di">
    <w:name w:val="di"/>
    <w:basedOn w:val="Normal"/>
    <w:rsid w:val="00C65AC7"/>
    <w:pPr>
      <w:spacing w:after="0" w:line="240" w:lineRule="auto"/>
    </w:pPr>
    <w:rPr>
      <w:rFonts w:ascii="Times New Roman" w:eastAsia="Times New Roman" w:hAnsi="Times New Roman" w:cs="Times New Roman"/>
      <w:b/>
      <w:bCs/>
    </w:rPr>
  </w:style>
  <w:style w:type="paragraph" w:customStyle="1" w:styleId="dj">
    <w:name w:val="dj"/>
    <w:basedOn w:val="Normal"/>
    <w:rsid w:val="00C65AC7"/>
    <w:pPr>
      <w:spacing w:after="0" w:line="240" w:lineRule="auto"/>
      <w:ind w:left="142" w:right="-20"/>
      <w:jc w:val="both"/>
    </w:pPr>
    <w:rPr>
      <w:rFonts w:ascii="Times New Roman" w:eastAsia="Times New Roman" w:hAnsi="Times New Roman" w:cs="Times New Roman"/>
    </w:rPr>
  </w:style>
  <w:style w:type="paragraph" w:customStyle="1" w:styleId="dk">
    <w:name w:val="dk"/>
    <w:basedOn w:val="Normal"/>
    <w:rsid w:val="00C65AC7"/>
    <w:pPr>
      <w:spacing w:after="0" w:line="240" w:lineRule="auto"/>
      <w:ind w:right="-20"/>
      <w:jc w:val="both"/>
    </w:pPr>
    <w:rPr>
      <w:rFonts w:ascii="Times New Roman" w:eastAsia="Times New Roman" w:hAnsi="Times New Roman" w:cs="Times New Roman"/>
      <w:b/>
      <w:bCs/>
    </w:rPr>
  </w:style>
  <w:style w:type="paragraph" w:customStyle="1" w:styleId="dl">
    <w:name w:val="dl"/>
    <w:basedOn w:val="Normal"/>
    <w:rsid w:val="00C65AC7"/>
    <w:pPr>
      <w:spacing w:after="0" w:line="240" w:lineRule="auto"/>
      <w:ind w:right="-20"/>
      <w:jc w:val="both"/>
    </w:pPr>
    <w:rPr>
      <w:rFonts w:ascii="Times New Roman" w:eastAsia="Times New Roman" w:hAnsi="Times New Roman" w:cs="Times New Roman"/>
    </w:rPr>
  </w:style>
  <w:style w:type="paragraph" w:customStyle="1" w:styleId="dm">
    <w:name w:val="dm"/>
    <w:basedOn w:val="Normal"/>
    <w:rsid w:val="00C65AC7"/>
    <w:pPr>
      <w:spacing w:after="0" w:line="240" w:lineRule="auto"/>
      <w:jc w:val="center"/>
    </w:pPr>
    <w:rPr>
      <w:rFonts w:ascii="Times New Roman" w:eastAsia="Times New Roman" w:hAnsi="Times New Roman" w:cs="Times New Roman"/>
      <w:b/>
      <w:bCs/>
      <w:sz w:val="20"/>
      <w:szCs w:val="20"/>
    </w:rPr>
  </w:style>
  <w:style w:type="paragraph" w:customStyle="1" w:styleId="dn">
    <w:name w:val="dn"/>
    <w:basedOn w:val="Normal"/>
    <w:rsid w:val="00C65AC7"/>
    <w:pPr>
      <w:spacing w:after="0" w:line="240" w:lineRule="auto"/>
      <w:jc w:val="both"/>
    </w:pPr>
    <w:rPr>
      <w:rFonts w:ascii="Times New Roman" w:eastAsia="Times New Roman" w:hAnsi="Times New Roman" w:cs="Times New Roman"/>
      <w:b/>
      <w:bCs/>
      <w:sz w:val="20"/>
      <w:szCs w:val="20"/>
    </w:rPr>
  </w:style>
  <w:style w:type="paragraph" w:customStyle="1" w:styleId="do">
    <w:name w:val="do"/>
    <w:basedOn w:val="Normal"/>
    <w:rsid w:val="00C65AC7"/>
    <w:pPr>
      <w:spacing w:after="0" w:line="240" w:lineRule="auto"/>
      <w:jc w:val="right"/>
    </w:pPr>
    <w:rPr>
      <w:rFonts w:ascii="Times New Roman" w:eastAsia="Times New Roman" w:hAnsi="Times New Roman" w:cs="Times New Roman"/>
      <w:b/>
      <w:bCs/>
      <w:sz w:val="20"/>
      <w:szCs w:val="20"/>
    </w:rPr>
  </w:style>
  <w:style w:type="paragraph" w:customStyle="1" w:styleId="dq">
    <w:name w:val="dq"/>
    <w:basedOn w:val="Normal"/>
    <w:rsid w:val="00C65AC7"/>
    <w:pPr>
      <w:spacing w:after="120" w:line="240" w:lineRule="auto"/>
    </w:pPr>
    <w:rPr>
      <w:rFonts w:ascii="Times New Roman" w:eastAsia="Times New Roman" w:hAnsi="Times New Roman" w:cs="Times New Roman"/>
    </w:rPr>
  </w:style>
  <w:style w:type="paragraph" w:customStyle="1" w:styleId="dr">
    <w:name w:val="dr"/>
    <w:basedOn w:val="Normal"/>
    <w:rsid w:val="00C65AC7"/>
    <w:pPr>
      <w:spacing w:after="120" w:line="240" w:lineRule="auto"/>
      <w:jc w:val="right"/>
    </w:pPr>
    <w:rPr>
      <w:rFonts w:ascii="Times New Roman" w:eastAsia="Times New Roman" w:hAnsi="Times New Roman" w:cs="Times New Roman"/>
      <w:b/>
      <w:bCs/>
    </w:rPr>
  </w:style>
  <w:style w:type="paragraph" w:customStyle="1" w:styleId="ds">
    <w:name w:val="ds"/>
    <w:basedOn w:val="Normal"/>
    <w:rsid w:val="00C65AC7"/>
    <w:pPr>
      <w:spacing w:after="120" w:line="240" w:lineRule="auto"/>
      <w:jc w:val="right"/>
    </w:pPr>
    <w:rPr>
      <w:rFonts w:ascii="Times New Roman" w:eastAsia="Times New Roman" w:hAnsi="Times New Roman" w:cs="Times New Roman"/>
    </w:rPr>
  </w:style>
  <w:style w:type="paragraph" w:customStyle="1" w:styleId="dt">
    <w:name w:val="dt"/>
    <w:basedOn w:val="Normal"/>
    <w:rsid w:val="00C65AC7"/>
    <w:pPr>
      <w:spacing w:after="120" w:line="240" w:lineRule="auto"/>
    </w:pPr>
    <w:rPr>
      <w:rFonts w:ascii="Times New Roman" w:eastAsia="Times New Roman" w:hAnsi="Times New Roman" w:cs="Times New Roman"/>
      <w:b/>
      <w:bCs/>
    </w:rPr>
  </w:style>
  <w:style w:type="paragraph" w:customStyle="1" w:styleId="du">
    <w:name w:val="du"/>
    <w:basedOn w:val="Normal"/>
    <w:rsid w:val="00C65AC7"/>
    <w:pPr>
      <w:spacing w:after="0" w:line="240" w:lineRule="auto"/>
      <w:jc w:val="right"/>
    </w:pPr>
    <w:rPr>
      <w:rFonts w:ascii="Times New Roman" w:eastAsia="Times New Roman" w:hAnsi="Times New Roman" w:cs="Times New Roman"/>
      <w:b/>
      <w:bCs/>
    </w:rPr>
  </w:style>
  <w:style w:type="paragraph" w:customStyle="1" w:styleId="dw">
    <w:name w:val="dw"/>
    <w:basedOn w:val="Normal"/>
    <w:rsid w:val="00C65AC7"/>
    <w:pPr>
      <w:spacing w:after="0" w:line="240" w:lineRule="auto"/>
      <w:jc w:val="right"/>
    </w:pPr>
    <w:rPr>
      <w:rFonts w:ascii="Times New Roman" w:eastAsia="Times New Roman" w:hAnsi="Times New Roman" w:cs="Times New Roman"/>
    </w:rPr>
  </w:style>
  <w:style w:type="paragraph" w:customStyle="1" w:styleId="dx">
    <w:name w:val="dx"/>
    <w:basedOn w:val="Normal"/>
    <w:rsid w:val="00C65AC7"/>
    <w:pPr>
      <w:spacing w:after="0" w:line="240" w:lineRule="auto"/>
    </w:pPr>
    <w:rPr>
      <w:rFonts w:ascii="Times New Roman" w:eastAsia="Times New Roman" w:hAnsi="Times New Roman" w:cs="Times New Roman"/>
      <w:i/>
      <w:iCs/>
    </w:rPr>
  </w:style>
  <w:style w:type="paragraph" w:customStyle="1" w:styleId="dy">
    <w:name w:val="dy"/>
    <w:basedOn w:val="Normal"/>
    <w:rsid w:val="00C65AC7"/>
    <w:pPr>
      <w:spacing w:after="0" w:line="240" w:lineRule="auto"/>
      <w:jc w:val="both"/>
    </w:pPr>
    <w:rPr>
      <w:rFonts w:ascii="Times New Roman" w:eastAsia="Times New Roman" w:hAnsi="Times New Roman" w:cs="Times New Roman"/>
      <w:i/>
      <w:iCs/>
    </w:rPr>
  </w:style>
  <w:style w:type="paragraph" w:customStyle="1" w:styleId="dz">
    <w:name w:val="dz"/>
    <w:basedOn w:val="Normal"/>
    <w:rsid w:val="00C65AC7"/>
    <w:pPr>
      <w:spacing w:after="0" w:line="240" w:lineRule="auto"/>
      <w:jc w:val="both"/>
    </w:pPr>
    <w:rPr>
      <w:rFonts w:ascii="Times New Roman" w:eastAsia="Times New Roman" w:hAnsi="Times New Roman" w:cs="Times New Roman"/>
      <w:b/>
      <w:bCs/>
      <w:i/>
      <w:iCs/>
    </w:rPr>
  </w:style>
  <w:style w:type="character" w:customStyle="1" w:styleId="cv">
    <w:name w:val="cv"/>
    <w:basedOn w:val="DefaultParagraphFont"/>
    <w:rsid w:val="00C65AC7"/>
    <w:rPr>
      <w:rFonts w:ascii="Barclays Sans" w:hAnsi="Barclays Sans" w:hint="default"/>
      <w:color w:val="000000"/>
      <w:sz w:val="20"/>
      <w:szCs w:val="20"/>
    </w:rPr>
  </w:style>
  <w:style w:type="character" w:customStyle="1" w:styleId="ct">
    <w:name w:val="ct"/>
    <w:basedOn w:val="DefaultParagraphFont"/>
    <w:rsid w:val="00C65AC7"/>
    <w:rPr>
      <w:rFonts w:ascii="Barclays Sans" w:hAnsi="Barclays Sans" w:hint="default"/>
      <w:sz w:val="20"/>
      <w:szCs w:val="20"/>
    </w:rPr>
  </w:style>
  <w:style w:type="character" w:customStyle="1" w:styleId="cs">
    <w:name w:val="cs"/>
    <w:basedOn w:val="DefaultParagraphFont"/>
    <w:rsid w:val="00C65AC7"/>
  </w:style>
  <w:style w:type="character" w:customStyle="1" w:styleId="cr">
    <w:name w:val="cr"/>
    <w:basedOn w:val="DefaultParagraphFont"/>
    <w:rsid w:val="00C65AC7"/>
    <w:rPr>
      <w:rFonts w:ascii="Barclays Sans" w:hAnsi="Barclays Sans" w:hint="default"/>
      <w:sz w:val="20"/>
      <w:szCs w:val="20"/>
    </w:rPr>
  </w:style>
  <w:style w:type="character" w:customStyle="1" w:styleId="cp">
    <w:name w:val="cp"/>
    <w:basedOn w:val="DefaultParagraphFont"/>
    <w:rsid w:val="00C65AC7"/>
    <w:rPr>
      <w:rFonts w:ascii="Barclays Sans" w:hAnsi="Barclays Sans" w:hint="default"/>
      <w:sz w:val="22"/>
      <w:szCs w:val="22"/>
    </w:rPr>
  </w:style>
  <w:style w:type="character" w:customStyle="1" w:styleId="cl">
    <w:name w:val="cl"/>
    <w:basedOn w:val="DefaultParagraphFont"/>
    <w:rsid w:val="00C65AC7"/>
    <w:rPr>
      <w:rFonts w:ascii="Barclays Sans" w:hAnsi="Barclays Sans" w:hint="default"/>
      <w:sz w:val="22"/>
      <w:szCs w:val="22"/>
    </w:rPr>
  </w:style>
  <w:style w:type="character" w:customStyle="1" w:styleId="cf">
    <w:name w:val="cf"/>
    <w:basedOn w:val="DefaultParagraphFont"/>
    <w:rsid w:val="00C65AC7"/>
    <w:rPr>
      <w:rFonts w:ascii="Barclays Sans" w:hAnsi="Barclays Sans" w:hint="default"/>
    </w:rPr>
  </w:style>
  <w:style w:type="character" w:customStyle="1" w:styleId="cb">
    <w:name w:val="cb"/>
    <w:basedOn w:val="DefaultParagraphFont"/>
    <w:rsid w:val="00C65AC7"/>
    <w:rPr>
      <w:spacing w:val="-1"/>
    </w:rPr>
  </w:style>
  <w:style w:type="character" w:customStyle="1" w:styleId="ca">
    <w:name w:val="ca"/>
    <w:basedOn w:val="DefaultParagraphFont"/>
    <w:rsid w:val="00C65AC7"/>
    <w:rPr>
      <w:spacing w:val="-2"/>
    </w:rPr>
  </w:style>
  <w:style w:type="character" w:customStyle="1" w:styleId="bz">
    <w:name w:val="bz"/>
    <w:basedOn w:val="DefaultParagraphFont"/>
    <w:rsid w:val="00C65AC7"/>
    <w:rPr>
      <w:spacing w:val="-2"/>
    </w:rPr>
  </w:style>
  <w:style w:type="character" w:customStyle="1" w:styleId="by">
    <w:name w:val="by"/>
    <w:basedOn w:val="DefaultParagraphFont"/>
    <w:rsid w:val="00C65AC7"/>
    <w:rPr>
      <w:spacing w:val="-4"/>
    </w:rPr>
  </w:style>
  <w:style w:type="character" w:customStyle="1" w:styleId="bu">
    <w:name w:val="bu"/>
    <w:basedOn w:val="DefaultParagraphFont"/>
    <w:rsid w:val="00C65AC7"/>
    <w:rPr>
      <w:rFonts w:ascii="Barclays Sans" w:hAnsi="Barclays Sans" w:hint="default"/>
      <w:color w:val="000000"/>
    </w:rPr>
  </w:style>
  <w:style w:type="character" w:customStyle="1" w:styleId="bt">
    <w:name w:val="bt"/>
    <w:basedOn w:val="DefaultParagraphFont"/>
    <w:rsid w:val="00C65AC7"/>
    <w:rPr>
      <w:rFonts w:ascii="Barclays Sans" w:hAnsi="Barclays Sans" w:hint="default"/>
      <w:color w:val="000000"/>
      <w:sz w:val="18"/>
      <w:szCs w:val="18"/>
    </w:rPr>
  </w:style>
  <w:style w:type="character" w:customStyle="1" w:styleId="bi">
    <w:name w:val="bi"/>
    <w:basedOn w:val="DefaultParagraphFont"/>
    <w:rsid w:val="00C65AC7"/>
    <w:rPr>
      <w:rFonts w:ascii="Barclays Sans" w:hAnsi="Barclays Sans" w:hint="default"/>
      <w:sz w:val="18"/>
      <w:szCs w:val="18"/>
    </w:rPr>
  </w:style>
  <w:style w:type="character" w:customStyle="1" w:styleId="bh">
    <w:name w:val="bh"/>
    <w:basedOn w:val="DefaultParagraphFont"/>
    <w:rsid w:val="00C65AC7"/>
    <w:rPr>
      <w:rFonts w:ascii="Barclays Sans" w:hAnsi="Barclays Sans" w:hint="default"/>
      <w:sz w:val="18"/>
      <w:szCs w:val="18"/>
    </w:rPr>
  </w:style>
  <w:style w:type="character" w:customStyle="1" w:styleId="bg">
    <w:name w:val="bg"/>
    <w:basedOn w:val="DefaultParagraphFont"/>
    <w:rsid w:val="00C65AC7"/>
    <w:rPr>
      <w:rFonts w:ascii="Barclays Sans" w:hAnsi="Barclays Sans" w:hint="default"/>
      <w:color w:val="000000"/>
    </w:rPr>
  </w:style>
  <w:style w:type="character" w:customStyle="1" w:styleId="ba">
    <w:name w:val="ba"/>
    <w:basedOn w:val="DefaultParagraphFont"/>
    <w:rsid w:val="00C65AC7"/>
    <w:rPr>
      <w:rFonts w:ascii="Barclays Sans" w:hAnsi="Barclays Sans" w:hint="default"/>
      <w:sz w:val="20"/>
      <w:szCs w:val="20"/>
    </w:rPr>
  </w:style>
  <w:style w:type="character" w:customStyle="1" w:styleId="ay">
    <w:name w:val="ay"/>
    <w:basedOn w:val="DefaultParagraphFont"/>
    <w:rsid w:val="00C65AC7"/>
    <w:rPr>
      <w:rFonts w:ascii="Barclays Sans" w:hAnsi="Barclays Sans" w:hint="default"/>
      <w:sz w:val="20"/>
      <w:szCs w:val="20"/>
    </w:rPr>
  </w:style>
  <w:style w:type="paragraph" w:styleId="NormalWeb">
    <w:name w:val="Normal (Web)"/>
    <w:basedOn w:val="Normal"/>
    <w:uiPriority w:val="99"/>
    <w:semiHidden/>
    <w:unhideWhenUsed/>
    <w:rsid w:val="00C65A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7285">
      <w:bodyDiv w:val="1"/>
      <w:marLeft w:val="0"/>
      <w:marRight w:val="0"/>
      <w:marTop w:val="0"/>
      <w:marBottom w:val="0"/>
      <w:divBdr>
        <w:top w:val="none" w:sz="0" w:space="0" w:color="auto"/>
        <w:left w:val="none" w:sz="0" w:space="0" w:color="auto"/>
        <w:bottom w:val="none" w:sz="0" w:space="0" w:color="auto"/>
        <w:right w:val="none" w:sz="0" w:space="0" w:color="auto"/>
      </w:divBdr>
      <w:divsChild>
        <w:div w:id="46415947">
          <w:marLeft w:val="1560"/>
          <w:marRight w:val="1558"/>
          <w:marTop w:val="1440"/>
          <w:marBottom w:val="1560"/>
          <w:divBdr>
            <w:top w:val="none" w:sz="0" w:space="0" w:color="auto"/>
            <w:left w:val="none" w:sz="0" w:space="0" w:color="auto"/>
            <w:bottom w:val="none" w:sz="0" w:space="0" w:color="auto"/>
            <w:right w:val="none" w:sz="0" w:space="0" w:color="auto"/>
          </w:divBdr>
        </w:div>
      </w:divsChild>
    </w:div>
    <w:div w:id="591594127">
      <w:bodyDiv w:val="1"/>
      <w:marLeft w:val="0"/>
      <w:marRight w:val="0"/>
      <w:marTop w:val="0"/>
      <w:marBottom w:val="0"/>
      <w:divBdr>
        <w:top w:val="none" w:sz="0" w:space="0" w:color="auto"/>
        <w:left w:val="none" w:sz="0" w:space="0" w:color="auto"/>
        <w:bottom w:val="none" w:sz="0" w:space="0" w:color="auto"/>
        <w:right w:val="none" w:sz="0" w:space="0" w:color="auto"/>
      </w:divBdr>
      <w:divsChild>
        <w:div w:id="2122215856">
          <w:marLeft w:val="1560"/>
          <w:marRight w:val="1558"/>
          <w:marTop w:val="1440"/>
          <w:marBottom w:val="15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c.gov" TargetMode="External"/><Relationship Id="rId5" Type="http://schemas.openxmlformats.org/officeDocument/2006/relationships/hyperlink" Target="http://www.morningstar.co.uk/uk/NS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23327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Abeyrathna</dc:creator>
  <cp:lastModifiedBy>Ruvindika Edirisinghe</cp:lastModifiedBy>
  <cp:revision>2</cp:revision>
  <dcterms:created xsi:type="dcterms:W3CDTF">2013-09-17T15:11:00Z</dcterms:created>
  <dcterms:modified xsi:type="dcterms:W3CDTF">2013-09-17T15:11:00Z</dcterms:modified>
</cp:coreProperties>
</file>