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59" w:rsidRDefault="000D1659" w:rsidP="000D1659">
      <w:pPr>
        <w:pStyle w:val="BodyText-BarcRA0"/>
      </w:pPr>
    </w:p>
    <w:p w:rsidR="00CC41A9" w:rsidRDefault="00CC41A9" w:rsidP="00CC41A9">
      <w:pPr>
        <w:pStyle w:val="HeadingLevel1-BarcRA"/>
      </w:pPr>
    </w:p>
    <w:p w:rsidR="00CC41A9" w:rsidRDefault="00CC41A9" w:rsidP="00CC41A9">
      <w:pPr>
        <w:pStyle w:val="BodyText-BarcRA0"/>
      </w:pPr>
    </w:p>
    <w:p w:rsidR="00CC41A9" w:rsidRDefault="00CC41A9" w:rsidP="00CC41A9">
      <w:pPr>
        <w:pStyle w:val="BodyText-BarcRA0"/>
      </w:pPr>
    </w:p>
    <w:p w:rsidR="00CC41A9" w:rsidRDefault="00CC41A9" w:rsidP="00CC41A9">
      <w:pPr>
        <w:pStyle w:val="BodyText-BarcRA0"/>
      </w:pPr>
    </w:p>
    <w:p w:rsidR="00CC41A9" w:rsidRDefault="00CC41A9" w:rsidP="00CC41A9">
      <w:pPr>
        <w:pStyle w:val="BodyText-BarcRA0"/>
      </w:pPr>
    </w:p>
    <w:p w:rsidR="00CC41A9" w:rsidRDefault="00CC41A9" w:rsidP="00CC41A9">
      <w:pPr>
        <w:pStyle w:val="BodyText-BarcRA0"/>
      </w:pPr>
    </w:p>
    <w:p w:rsidR="00CC41A9" w:rsidRDefault="00CC41A9" w:rsidP="00CC41A9">
      <w:pPr>
        <w:pStyle w:val="BodyText-BarcRA0"/>
      </w:pPr>
    </w:p>
    <w:p w:rsidR="00CC41A9" w:rsidRDefault="00CC41A9" w:rsidP="00CC41A9">
      <w:pPr>
        <w:pStyle w:val="BodyText-BarcRA0"/>
      </w:pPr>
    </w:p>
    <w:p w:rsidR="00CC41A9" w:rsidRDefault="00CC41A9" w:rsidP="00CC41A9">
      <w:pPr>
        <w:pStyle w:val="BodyText-BarcRA0"/>
      </w:pPr>
    </w:p>
    <w:p w:rsidR="00CC41A9" w:rsidRPr="00491918" w:rsidRDefault="00CC41A9" w:rsidP="00CC41A9">
      <w:pPr>
        <w:pStyle w:val="DocumentTitle-BarcRA"/>
      </w:pPr>
      <w:r w:rsidRPr="00491918">
        <w:t>Barclays Bank PLC</w:t>
      </w:r>
    </w:p>
    <w:p w:rsidR="00CC41A9" w:rsidRPr="00491918" w:rsidRDefault="00CC41A9" w:rsidP="00CC41A9">
      <w:pPr>
        <w:pStyle w:val="DocumentTitle-BarcRA"/>
      </w:pPr>
      <w:r w:rsidRPr="00491918">
        <w:t>Interim Results Announcement</w:t>
      </w:r>
    </w:p>
    <w:p w:rsidR="00CC41A9" w:rsidRPr="00491918" w:rsidRDefault="00CC41A9" w:rsidP="00CC41A9">
      <w:pPr>
        <w:pStyle w:val="DocumentTitle-BarcRA"/>
      </w:pPr>
    </w:p>
    <w:p w:rsidR="00CC41A9" w:rsidRPr="00491918" w:rsidRDefault="00CC41A9" w:rsidP="00CC41A9">
      <w:pPr>
        <w:pStyle w:val="DocumentTitleDetails-BarcRA"/>
      </w:pPr>
      <w:r w:rsidRPr="00491918">
        <w:t>30 June 2013</w:t>
      </w:r>
    </w:p>
    <w:p w:rsidR="00CC41A9" w:rsidRPr="00491918" w:rsidRDefault="00CC41A9" w:rsidP="00CC41A9">
      <w:pPr>
        <w:pStyle w:val="DocumentTitleDetails-BarcRA"/>
      </w:pPr>
    </w:p>
    <w:p w:rsidR="00CC41A9" w:rsidRPr="00491918" w:rsidRDefault="00CC41A9" w:rsidP="00CC41A9">
      <w:pPr>
        <w:sectPr w:rsidR="00CC41A9" w:rsidRPr="00491918">
          <w:type w:val="continuous"/>
          <w:pgSz w:w="11905" w:h="16837"/>
          <w:pgMar w:top="851" w:right="1134" w:bottom="567" w:left="1134" w:header="851" w:footer="567" w:gutter="0"/>
          <w:cols w:space="708"/>
        </w:sectPr>
      </w:pPr>
    </w:p>
    <w:p w:rsidR="00CC41A9" w:rsidRPr="00491918" w:rsidRDefault="00CC41A9" w:rsidP="00CC41A9"/>
    <w:p w:rsidR="00CC41A9" w:rsidRPr="00491918" w:rsidRDefault="00CC41A9" w:rsidP="00CC41A9">
      <w:pPr>
        <w:pStyle w:val="HeadingLevel1-BarcRA"/>
      </w:pPr>
      <w:r w:rsidRPr="00491918">
        <w:br w:type="page"/>
      </w:r>
    </w:p>
    <w:p w:rsidR="00CC41A9" w:rsidRPr="00491918" w:rsidRDefault="00CC41A9" w:rsidP="00CC41A9">
      <w:pPr>
        <w:pStyle w:val="HeadingLevel1-BarcRA"/>
      </w:pPr>
    </w:p>
    <w:p w:rsidR="00CC41A9" w:rsidRPr="00491918" w:rsidRDefault="00CC41A9" w:rsidP="00CC41A9">
      <w:pPr>
        <w:pStyle w:val="HeadingLevel1-BarcRA"/>
        <w:rPr>
          <w:color w:val="auto"/>
          <w:lang w:val="en-GB"/>
        </w:rPr>
      </w:pPr>
      <w:r w:rsidRPr="00491918">
        <w:rPr>
          <w:color w:val="auto"/>
        </w:rPr>
        <w:t>Table of Contents</w:t>
      </w:r>
    </w:p>
    <w:p w:rsidR="00CC41A9" w:rsidRPr="00491918" w:rsidRDefault="00CC41A9" w:rsidP="00CC41A9">
      <w:pPr>
        <w:pStyle w:val="HeaderSpacerwithLine-BarcRA"/>
      </w:pPr>
    </w:p>
    <w:tbl>
      <w:tblPr>
        <w:tblW w:w="0" w:type="auto"/>
        <w:tblLook w:val="04A0" w:firstRow="1" w:lastRow="0" w:firstColumn="1" w:lastColumn="0" w:noHBand="0" w:noVBand="1"/>
      </w:tblPr>
      <w:tblGrid>
        <w:gridCol w:w="7661"/>
        <w:gridCol w:w="2192"/>
      </w:tblGrid>
      <w:tr w:rsidR="00CC41A9" w:rsidRPr="00491918" w:rsidTr="00073B17">
        <w:tc>
          <w:tcPr>
            <w:tcW w:w="7662" w:type="dxa"/>
          </w:tcPr>
          <w:p w:rsidR="00CC41A9" w:rsidRPr="00491918" w:rsidRDefault="00CC41A9" w:rsidP="00073B17">
            <w:pPr>
              <w:pStyle w:val="HeadingLevel1-BarcRA"/>
              <w:rPr>
                <w:color w:val="auto"/>
              </w:rPr>
            </w:pPr>
            <w:r w:rsidRPr="00491918">
              <w:rPr>
                <w:color w:val="auto"/>
                <w:lang w:val="en-GB"/>
              </w:rPr>
              <w:t xml:space="preserve">Interim </w:t>
            </w:r>
            <w:r w:rsidRPr="00491918">
              <w:rPr>
                <w:color w:val="auto"/>
              </w:rPr>
              <w:t>Results Announcement</w:t>
            </w:r>
          </w:p>
        </w:tc>
        <w:tc>
          <w:tcPr>
            <w:tcW w:w="2192" w:type="dxa"/>
            <w:vAlign w:val="center"/>
          </w:tcPr>
          <w:p w:rsidR="00CC41A9" w:rsidRPr="00491918" w:rsidRDefault="00CC41A9" w:rsidP="00073B17">
            <w:pPr>
              <w:pStyle w:val="HeadingLevel1-BarcRA"/>
              <w:jc w:val="right"/>
              <w:rPr>
                <w:color w:val="auto"/>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Basis of Preparation</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 xml:space="preserve">Statement of Directors’ Responsibilities </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Independent Auditors’ Review Report</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Condensed Consolidated Income Statement</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Condensed Consolidated Statement of Profit or Loss and other Comprehensive Income</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Condensed Consolidated Balance Sheet</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Condensed Consolidated Statement of Changes in Equity</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lang w:val="en-GB"/>
              </w:rPr>
            </w:pPr>
            <w:r w:rsidRPr="00491918">
              <w:rPr>
                <w:szCs w:val="18"/>
                <w:lang w:val="en-GB"/>
              </w:rPr>
              <w:t>Condensed Consolidated Cash Flow Statement</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tcPr>
          <w:p w:rsidR="00CC41A9" w:rsidRPr="00491918" w:rsidRDefault="00CC41A9" w:rsidP="00073B17">
            <w:pPr>
              <w:pStyle w:val="Level1Bullet-BarcRA"/>
              <w:numPr>
                <w:ilvl w:val="0"/>
                <w:numId w:val="0"/>
              </w:numPr>
              <w:spacing w:before="96" w:after="96"/>
              <w:jc w:val="left"/>
              <w:rPr>
                <w:szCs w:val="18"/>
              </w:rPr>
            </w:pPr>
            <w:r w:rsidRPr="00491918">
              <w:rPr>
                <w:szCs w:val="18"/>
              </w:rPr>
              <w:t>Financial Statement Notes</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vAlign w:val="center"/>
          </w:tcPr>
          <w:p w:rsidR="00CC41A9" w:rsidRPr="00491918" w:rsidRDefault="00CC41A9" w:rsidP="00073B17">
            <w:pPr>
              <w:pStyle w:val="TableFormat-BarcRA"/>
              <w:spacing w:before="96" w:after="96"/>
              <w:rPr>
                <w:b/>
                <w:sz w:val="24"/>
                <w:szCs w:val="24"/>
              </w:rPr>
            </w:pPr>
            <w:r w:rsidRPr="00491918">
              <w:rPr>
                <w:b/>
                <w:sz w:val="24"/>
                <w:szCs w:val="24"/>
              </w:rPr>
              <w:t>Appendix</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vAlign w:val="center"/>
          </w:tcPr>
          <w:p w:rsidR="00CC41A9" w:rsidRPr="00491918" w:rsidRDefault="00CC41A9" w:rsidP="00073B17">
            <w:pPr>
              <w:pStyle w:val="TableFormat-BarcRA"/>
              <w:spacing w:before="96" w:after="96"/>
              <w:rPr>
                <w:sz w:val="18"/>
                <w:szCs w:val="18"/>
              </w:rPr>
            </w:pPr>
            <w:r w:rsidRPr="00491918">
              <w:rPr>
                <w:sz w:val="18"/>
                <w:szCs w:val="18"/>
              </w:rPr>
              <w:t>Barclays PLC Results Announcement</w:t>
            </w: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vAlign w:val="center"/>
          </w:tcPr>
          <w:p w:rsidR="00CC41A9" w:rsidRPr="00491918" w:rsidRDefault="00CC41A9" w:rsidP="00073B17">
            <w:pPr>
              <w:pStyle w:val="TableFormat-BarcRA"/>
              <w:spacing w:before="96" w:after="96"/>
              <w:rPr>
                <w:sz w:val="18"/>
                <w:szCs w:val="18"/>
              </w:rPr>
            </w:pP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vAlign w:val="center"/>
          </w:tcPr>
          <w:p w:rsidR="00CC41A9" w:rsidRPr="00491918" w:rsidRDefault="00CC41A9" w:rsidP="00073B17">
            <w:pPr>
              <w:pStyle w:val="TableFormat-BarcRA"/>
              <w:spacing w:before="96" w:after="96"/>
              <w:rPr>
                <w:sz w:val="18"/>
                <w:szCs w:val="18"/>
              </w:rPr>
            </w:pP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r w:rsidR="00CC41A9" w:rsidRPr="00491918" w:rsidTr="00073B17">
        <w:tc>
          <w:tcPr>
            <w:tcW w:w="7662" w:type="dxa"/>
            <w:vAlign w:val="center"/>
          </w:tcPr>
          <w:p w:rsidR="00CC41A9" w:rsidRPr="00491918" w:rsidRDefault="00CC41A9" w:rsidP="00073B17">
            <w:pPr>
              <w:pStyle w:val="TableFormat-BarcRA"/>
              <w:spacing w:before="96" w:after="96"/>
              <w:rPr>
                <w:sz w:val="18"/>
                <w:szCs w:val="18"/>
              </w:rPr>
            </w:pPr>
          </w:p>
        </w:tc>
        <w:tc>
          <w:tcPr>
            <w:tcW w:w="2192" w:type="dxa"/>
          </w:tcPr>
          <w:p w:rsidR="00CC41A9" w:rsidRPr="00491918" w:rsidRDefault="00CC41A9" w:rsidP="00073B17">
            <w:pPr>
              <w:pStyle w:val="Level1Bullet-BarcRA"/>
              <w:numPr>
                <w:ilvl w:val="0"/>
                <w:numId w:val="0"/>
              </w:numPr>
              <w:spacing w:before="96" w:after="96"/>
              <w:jc w:val="right"/>
              <w:rPr>
                <w:szCs w:val="18"/>
                <w:lang w:val="en-GB"/>
              </w:rPr>
            </w:pPr>
          </w:p>
        </w:tc>
      </w:tr>
    </w:tbl>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Special1-BarcRA"/>
        <w:jc w:val="left"/>
      </w:pPr>
    </w:p>
    <w:p w:rsidR="00CC41A9" w:rsidRPr="00491918" w:rsidRDefault="00CC41A9" w:rsidP="00CC41A9">
      <w:pPr>
        <w:pStyle w:val="Special1-BarcRA"/>
      </w:pPr>
    </w:p>
    <w:p w:rsidR="00CC41A9" w:rsidRPr="00491918" w:rsidRDefault="00CC41A9" w:rsidP="00CC41A9">
      <w:pPr>
        <w:pStyle w:val="Special1-BarcRA"/>
      </w:pPr>
    </w:p>
    <w:p w:rsidR="00CC41A9" w:rsidRPr="00491918" w:rsidRDefault="00CC41A9" w:rsidP="00CC41A9">
      <w:pPr>
        <w:pStyle w:val="HeadingLevel1-BarcRA"/>
      </w:pPr>
    </w:p>
    <w:p w:rsidR="00CC41A9" w:rsidRPr="00491918" w:rsidRDefault="00CC41A9" w:rsidP="00CC41A9">
      <w:pPr>
        <w:pStyle w:val="Special1-BarcRA"/>
        <w:rPr>
          <w:iCs/>
        </w:rPr>
      </w:pPr>
      <w:r w:rsidRPr="00491918">
        <w:t>BARCLAYS  BANK PLC, 1 CHURCHILL PLACE, LONDON, E14 5HP, UNITED KINGDOM. TELEPHONE: +44 (0) 20 7116 1000. COMPANY NO. 1026167</w:t>
      </w:r>
    </w:p>
    <w:p w:rsidR="00CC41A9" w:rsidRPr="00491918" w:rsidRDefault="00CC41A9" w:rsidP="00CC41A9">
      <w:pPr>
        <w:rPr>
          <w:iCs/>
        </w:rPr>
      </w:pPr>
    </w:p>
    <w:p w:rsidR="00CC41A9" w:rsidRPr="00491918" w:rsidRDefault="00CC41A9" w:rsidP="00CC41A9">
      <w:pPr>
        <w:pStyle w:val="HeaderSpacerwithLine-BarcRA0"/>
      </w:pPr>
    </w:p>
    <w:p w:rsidR="00CC41A9" w:rsidRPr="00491918" w:rsidRDefault="00CC41A9" w:rsidP="00CC41A9">
      <w:pPr>
        <w:pStyle w:val="Normal3"/>
        <w:spacing w:after="60"/>
        <w:jc w:val="both"/>
        <w:rPr>
          <w:sz w:val="16"/>
          <w:szCs w:val="20"/>
        </w:rPr>
      </w:pPr>
      <w:r w:rsidRPr="00491918">
        <w:rPr>
          <w:sz w:val="16"/>
          <w:szCs w:val="20"/>
        </w:rPr>
        <w:t xml:space="preserve">The term ‘Barclays PLC Group’ or the ‘Group’ means Barclays PLC together with its subsidiaries and the term ‘Barclays Bank PLC Group’ means Barclays Bank PLC together with its subsidiaries. ‘Barclays’ is used to refer to either of the preceding groups when the subject matter is identical.  The term ‘Parent Company’ or ‘Parent’ refers to Barclays PLC and the term ‘Bank’ or ‘Company’ refers to Barclays Bank PLC. </w:t>
      </w:r>
    </w:p>
    <w:p w:rsidR="00CC41A9" w:rsidRPr="00491918" w:rsidRDefault="00CC41A9" w:rsidP="00CC41A9">
      <w:pPr>
        <w:pStyle w:val="Normal3"/>
        <w:spacing w:after="60"/>
        <w:jc w:val="both"/>
        <w:rPr>
          <w:sz w:val="16"/>
          <w:szCs w:val="20"/>
        </w:rPr>
      </w:pPr>
      <w:r w:rsidRPr="00491918">
        <w:rPr>
          <w:sz w:val="16"/>
          <w:szCs w:val="20"/>
        </w:rPr>
        <w:lastRenderedPageBreak/>
        <w:t xml:space="preserve">Unless otherwise stated, the income statement analyses compare the six months to 30 June 2013 to the corresponding six months of 2012 and balance sheet comparisons relate to the corresponding position at 31 December 2012. The abbreviations ‘£m’ and ‘£bn’ represent millions and thousands of millions of Pounds Sterling respectively; the abbreviations ‘$m’ and ‘$bn’ represent millions and thousands of millions of US dollars respectively.  </w:t>
      </w:r>
    </w:p>
    <w:p w:rsidR="00CC41A9" w:rsidRPr="00491918" w:rsidRDefault="00CC41A9" w:rsidP="00CC41A9">
      <w:pPr>
        <w:pStyle w:val="Normal3"/>
        <w:spacing w:after="60"/>
        <w:jc w:val="both"/>
        <w:rPr>
          <w:sz w:val="16"/>
          <w:szCs w:val="20"/>
        </w:rPr>
      </w:pPr>
      <w:r w:rsidRPr="00491918">
        <w:rPr>
          <w:sz w:val="16"/>
          <w:szCs w:val="20"/>
        </w:rPr>
        <w:t>The comparatives have been restated to reflect the implementation of IFRS 10 Consolidated Financial Statements and IAS 19 Employee Benefits (Revised 2011), the reallocation of elements of the Head Office results to businesses and portfolio restatements between businesses, as detailed in our announcement on 16 April 2013.</w:t>
      </w:r>
    </w:p>
    <w:p w:rsidR="00CC41A9" w:rsidRPr="00491918" w:rsidRDefault="00CC41A9" w:rsidP="00CC41A9">
      <w:pPr>
        <w:pStyle w:val="Normal3"/>
        <w:spacing w:after="60"/>
        <w:jc w:val="both"/>
        <w:rPr>
          <w:sz w:val="16"/>
          <w:szCs w:val="20"/>
        </w:rPr>
      </w:pPr>
      <w:r w:rsidRPr="00491918">
        <w:rPr>
          <w:sz w:val="16"/>
          <w:szCs w:val="20"/>
        </w:rPr>
        <w:t xml:space="preserve">Relevant terms that are used in this document but are not defined under applicable regulatory guidance or International Financial Reporting Standards (IFRS) are explained in the Results glossary that can be accessed at </w:t>
      </w:r>
      <w:r w:rsidRPr="00491918">
        <w:rPr>
          <w:sz w:val="16"/>
          <w:szCs w:val="16"/>
        </w:rPr>
        <w:t>www.barclays.com/results</w:t>
      </w:r>
    </w:p>
    <w:p w:rsidR="00CC41A9" w:rsidRPr="00491918" w:rsidRDefault="00CC41A9" w:rsidP="00CC41A9">
      <w:pPr>
        <w:pStyle w:val="Normal3"/>
        <w:spacing w:after="60"/>
        <w:jc w:val="both"/>
        <w:rPr>
          <w:sz w:val="16"/>
          <w:szCs w:val="20"/>
        </w:rPr>
      </w:pPr>
      <w:r w:rsidRPr="00491918">
        <w:rPr>
          <w:sz w:val="16"/>
          <w:szCs w:val="20"/>
        </w:rPr>
        <w:t>In accordance with Barclays policy to provide meaningful disclosures that help investors and other stakeholders understand the financial position, performance and changes in the financial position of the Group, and having regard to the British Bank Association Disclosure Code, the information provided in this report goes beyond minimum requirements. Barclays continues to develop its financial reporting considering best practice and welcomes feedback from investors, regulators and other stakeholders on the disclosures that they would find most useful.</w:t>
      </w:r>
    </w:p>
    <w:p w:rsidR="00CC41A9" w:rsidRPr="00491918" w:rsidRDefault="00CC41A9" w:rsidP="00CC41A9">
      <w:pPr>
        <w:pStyle w:val="Normal3"/>
        <w:spacing w:after="60"/>
        <w:jc w:val="both"/>
        <w:rPr>
          <w:sz w:val="16"/>
          <w:szCs w:val="20"/>
        </w:rPr>
      </w:pPr>
      <w:r w:rsidRPr="00491918">
        <w:rPr>
          <w:sz w:val="16"/>
          <w:szCs w:val="20"/>
        </w:rPr>
        <w:t xml:space="preserve">The information in this announcement, which was approved by the Board of Directors on </w:t>
      </w:r>
      <w:r w:rsidRPr="00491918">
        <w:rPr>
          <w:sz w:val="16"/>
        </w:rPr>
        <w:t>29 July 2013 does</w:t>
      </w:r>
      <w:r w:rsidRPr="00491918">
        <w:rPr>
          <w:sz w:val="16"/>
          <w:szCs w:val="20"/>
        </w:rPr>
        <w:t xml:space="preserve"> not comprise statutory accounts within the meaning of Section 434 of the Companies Act 2006. Statutory accounts for the year ended 31 December 2012,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CC41A9" w:rsidRPr="00491918" w:rsidRDefault="00CC41A9" w:rsidP="00CC41A9">
      <w:pPr>
        <w:pStyle w:val="BodyText-BarcRA30"/>
        <w:rPr>
          <w:sz w:val="16"/>
          <w:szCs w:val="16"/>
          <w:lang w:val="la-Latn"/>
        </w:rPr>
      </w:pPr>
      <w:r w:rsidRPr="00491918">
        <w:rPr>
          <w:sz w:val="16"/>
          <w:szCs w:val="16"/>
          <w:lang w:val="la-Latn"/>
        </w:rPr>
        <w:t>These results will be furnished as a Form 6-K to the SEC as soon as practicable following their publication. Once filed with the SEC, copies of the Form 6-K will also be available from the Barclays Investor Relations website www.barclays.com/investorrelations and from the SEC’s website (www.sec.gov).</w:t>
      </w:r>
    </w:p>
    <w:p w:rsidR="00CC41A9" w:rsidRPr="00491918" w:rsidRDefault="00CC41A9" w:rsidP="00CC41A9">
      <w:pPr>
        <w:pStyle w:val="Normal3"/>
        <w:spacing w:after="60"/>
        <w:jc w:val="both"/>
        <w:rPr>
          <w:sz w:val="16"/>
          <w:szCs w:val="20"/>
        </w:rPr>
      </w:pPr>
    </w:p>
    <w:p w:rsidR="00CC41A9" w:rsidRPr="00491918" w:rsidRDefault="00CC41A9" w:rsidP="00CC41A9">
      <w:pPr>
        <w:pStyle w:val="Normal3"/>
        <w:spacing w:after="60"/>
        <w:jc w:val="center"/>
      </w:pPr>
      <w:r w:rsidRPr="00491918">
        <w:br w:type="page"/>
      </w:r>
    </w:p>
    <w:p w:rsidR="00CC41A9" w:rsidRPr="00491918" w:rsidRDefault="00CC41A9" w:rsidP="00CC41A9">
      <w:pPr>
        <w:pStyle w:val="HeadingLevel1-BarcRA"/>
      </w:pPr>
    </w:p>
    <w:p w:rsidR="00CC41A9" w:rsidRPr="00491918" w:rsidRDefault="00CC41A9" w:rsidP="00CC41A9">
      <w:pPr>
        <w:pStyle w:val="Normal3"/>
        <w:spacing w:after="60"/>
        <w:jc w:val="center"/>
      </w:pPr>
      <w:r w:rsidRPr="00491918">
        <w:t>Intentionally left blank</w:t>
      </w:r>
    </w:p>
    <w:p w:rsidR="00CC41A9" w:rsidRPr="00491918" w:rsidRDefault="00CC41A9" w:rsidP="00CC41A9">
      <w:pPr>
        <w:sectPr w:rsidR="00CC41A9" w:rsidRPr="00491918">
          <w:footerReference w:type="default" r:id="rId9"/>
          <w:type w:val="continuous"/>
          <w:pgSz w:w="11905" w:h="16837"/>
          <w:pgMar w:top="851" w:right="1134" w:bottom="567" w:left="1134" w:header="851" w:footer="567" w:gutter="0"/>
          <w:cols w:space="708"/>
        </w:sectPr>
      </w:pPr>
    </w:p>
    <w:p w:rsidR="00CC41A9" w:rsidRPr="00491918" w:rsidRDefault="00CC41A9" w:rsidP="00CC41A9">
      <w:pPr>
        <w:pStyle w:val="HeadingLevel1-BarcRA"/>
      </w:pPr>
      <w:r w:rsidRPr="00491918">
        <w:lastRenderedPageBreak/>
        <w:t>Basis of Preparation</w:t>
      </w:r>
    </w:p>
    <w:p w:rsidR="00CC41A9" w:rsidRPr="00491918" w:rsidRDefault="00CC41A9" w:rsidP="00CC41A9">
      <w:pPr>
        <w:pStyle w:val="BodyText-BarcRA310"/>
        <w:rPr>
          <w:color w:val="000000"/>
          <w:szCs w:val="18"/>
        </w:rPr>
      </w:pPr>
      <w:r w:rsidRPr="00491918">
        <w:rPr>
          <w:color w:val="000000"/>
          <w:szCs w:val="18"/>
        </w:rPr>
        <w:t>Barclays Bank PLC is a wholly owned subsidiary of Barclays PLC, which is the Group’s ultimate parent company. The consolidated financial statements of Barclays Bank PLC and Barclays PLC are materially the same, with the key differences being that, in accordance with IFRS:</w:t>
      </w:r>
    </w:p>
    <w:p w:rsidR="00CC41A9" w:rsidRPr="00491918" w:rsidRDefault="00CC41A9" w:rsidP="00CC41A9">
      <w:pPr>
        <w:pStyle w:val="BodyText-BarcRA310"/>
        <w:numPr>
          <w:ilvl w:val="0"/>
          <w:numId w:val="239"/>
        </w:numPr>
        <w:tabs>
          <w:tab w:val="clear" w:pos="284"/>
        </w:tabs>
        <w:ind w:left="360" w:hanging="360"/>
        <w:rPr>
          <w:color w:val="000000"/>
          <w:szCs w:val="18"/>
        </w:rPr>
      </w:pPr>
      <w:r w:rsidRPr="00491918">
        <w:rPr>
          <w:color w:val="000000"/>
          <w:szCs w:val="18"/>
        </w:rPr>
        <w:t>Preference shares issued by Barclays Bank PLC are included within share capital and share premium in Barclays Bank PLC, but presented as non-controlling interests in the financial statements of Barclays PLC Group.</w:t>
      </w:r>
    </w:p>
    <w:p w:rsidR="00CC41A9" w:rsidRPr="00491918" w:rsidRDefault="00CC41A9" w:rsidP="00CC41A9">
      <w:pPr>
        <w:pStyle w:val="BodyText-BarcRA310"/>
        <w:numPr>
          <w:ilvl w:val="0"/>
          <w:numId w:val="239"/>
        </w:numPr>
        <w:tabs>
          <w:tab w:val="clear" w:pos="284"/>
        </w:tabs>
        <w:ind w:left="360" w:hanging="360"/>
        <w:rPr>
          <w:color w:val="000000"/>
          <w:szCs w:val="18"/>
        </w:rPr>
      </w:pPr>
      <w:r w:rsidRPr="00491918">
        <w:rPr>
          <w:color w:val="000000"/>
          <w:szCs w:val="18"/>
        </w:rPr>
        <w:t>Certain issuances of capital notes by Barclays Bank PLC are included within other shareholders’ equity in Barclays Bank PLC, but presented as non-controlling interests in the financial statements of Barclays PLC Group.</w:t>
      </w:r>
    </w:p>
    <w:p w:rsidR="00CC41A9" w:rsidRPr="00491918" w:rsidRDefault="00CC41A9" w:rsidP="00CC41A9">
      <w:pPr>
        <w:pStyle w:val="BodyText-BarcRA310"/>
        <w:numPr>
          <w:ilvl w:val="0"/>
          <w:numId w:val="239"/>
        </w:numPr>
        <w:tabs>
          <w:tab w:val="clear" w:pos="284"/>
        </w:tabs>
        <w:ind w:left="360" w:hanging="360"/>
        <w:rPr>
          <w:color w:val="000000"/>
          <w:szCs w:val="18"/>
        </w:rPr>
      </w:pPr>
      <w:r w:rsidRPr="00491918">
        <w:rPr>
          <w:color w:val="000000"/>
          <w:szCs w:val="18"/>
        </w:rPr>
        <w:t>Barclays PLC shares held for the purposes of employee share schemes and for trading are recognised as available for sale investments and trading portfolio assets respectively within Barclays Bank PLC. Barclays PLC deducts these treasury shares from shareholders equity.</w:t>
      </w:r>
    </w:p>
    <w:p w:rsidR="00CC41A9" w:rsidRPr="00491918" w:rsidRDefault="00CC41A9" w:rsidP="00CC41A9">
      <w:pPr>
        <w:pStyle w:val="BodyText-BarcRA310"/>
        <w:numPr>
          <w:ilvl w:val="0"/>
          <w:numId w:val="239"/>
        </w:numPr>
        <w:tabs>
          <w:tab w:val="clear" w:pos="284"/>
        </w:tabs>
        <w:ind w:left="360" w:hanging="360"/>
        <w:rPr>
          <w:color w:val="000000"/>
          <w:szCs w:val="18"/>
        </w:rPr>
      </w:pPr>
      <w:r w:rsidRPr="00491918">
        <w:rPr>
          <w:color w:val="000000"/>
          <w:szCs w:val="18"/>
        </w:rPr>
        <w:t xml:space="preserve">The Group has made two issuances of contingent capital notes (CCNs). These were both issued by Barclays Bank PLC and pay interest and principal to the holder unless the consolidated CET 1 ratio of Barclays PLC falls below 7% for both issuances, in which case they are cancelled from the consolidated perspective. The coupon payable on the CCNs is higher than a market rate of interest for a similar note without this risk. </w:t>
      </w:r>
    </w:p>
    <w:p w:rsidR="00CC41A9" w:rsidRPr="00491918" w:rsidRDefault="00CC41A9" w:rsidP="00CC41A9">
      <w:pPr>
        <w:pStyle w:val="BodyText-BarcRA310"/>
        <w:ind w:left="360"/>
        <w:rPr>
          <w:color w:val="000000"/>
          <w:szCs w:val="18"/>
        </w:rPr>
      </w:pPr>
      <w:r w:rsidRPr="00491918">
        <w:rPr>
          <w:color w:val="000000"/>
          <w:szCs w:val="18"/>
        </w:rPr>
        <w:t>The accounting for these instruments differs in the consolidated financial statements of Barclays PLC and Barclays Bank PLC as follows:</w:t>
      </w:r>
    </w:p>
    <w:p w:rsidR="00CC41A9" w:rsidRPr="00491918" w:rsidRDefault="00CC41A9" w:rsidP="00CC41A9">
      <w:pPr>
        <w:pStyle w:val="BodyText-BarcRA310"/>
        <w:numPr>
          <w:ilvl w:val="0"/>
          <w:numId w:val="258"/>
        </w:numPr>
        <w:rPr>
          <w:color w:val="000000"/>
          <w:szCs w:val="18"/>
        </w:rPr>
      </w:pPr>
      <w:r w:rsidRPr="00491918">
        <w:rPr>
          <w:color w:val="000000"/>
          <w:szCs w:val="18"/>
        </w:rPr>
        <w:t>In the case of the first CCN issuance, the cancellation is effected by an automatic legal transfer from the holder to Barclays PLC. In these circumstances, Barclays Bank PLC remains liable to Barclays PLC. Barclays Bank PLC does not benefit from the cancellation feature although it pays a higher than market rate for a similar note, and therefore the initial fair value of the note recognised was higher than par. The difference between fair value and par is amortised to the income statement over time.</w:t>
      </w:r>
    </w:p>
    <w:p w:rsidR="00CC41A9" w:rsidRPr="00491918" w:rsidRDefault="00CC41A9" w:rsidP="00CC41A9">
      <w:pPr>
        <w:pStyle w:val="BodyText-BarcRA310"/>
        <w:numPr>
          <w:ilvl w:val="0"/>
          <w:numId w:val="258"/>
        </w:numPr>
        <w:rPr>
          <w:color w:val="000000"/>
          <w:szCs w:val="18"/>
        </w:rPr>
      </w:pPr>
      <w:r w:rsidRPr="00491918">
        <w:rPr>
          <w:color w:val="000000"/>
          <w:szCs w:val="18"/>
        </w:rPr>
        <w:t xml:space="preserve">In the case of the second CCN issuance, the cancellation is directly effected in Barclays Bank PLC. To Barclays Bank PLC, the cancellation feature is separately valued from the host liability (see accounting policy 15 on page 253 of the Barclays PLC 2012 Annual Report) as an embedded derivative with changes in fair value reported in the income statement. The initial fair value of the host liability recognised was higher than par by the amount of the initial fair value of the derivative and the difference is amortised to the income statement over time. </w:t>
      </w:r>
    </w:p>
    <w:p w:rsidR="00CC41A9" w:rsidRPr="00491918" w:rsidRDefault="00CC41A9" w:rsidP="00CC41A9">
      <w:pPr>
        <w:pStyle w:val="BodyText-BarcRA310"/>
        <w:rPr>
          <w:color w:val="000000"/>
          <w:szCs w:val="18"/>
        </w:rPr>
      </w:pPr>
      <w:r w:rsidRPr="00491918">
        <w:rPr>
          <w:color w:val="000000"/>
          <w:szCs w:val="18"/>
        </w:rPr>
        <w:t>More extensive disclosures are contained in the Barclays PLC Results Announcement for the period ended 30 June 2013, attached, including risk exposures and business performance, which are materially the same as those for Barclays Bank PLC.</w:t>
      </w:r>
    </w:p>
    <w:p w:rsidR="00CC41A9" w:rsidRPr="00491918" w:rsidRDefault="00CC41A9" w:rsidP="00CC41A9">
      <w:pPr>
        <w:pStyle w:val="BodyText-BarcRA310"/>
        <w:rPr>
          <w:szCs w:val="18"/>
        </w:rPr>
      </w:pPr>
      <w:r w:rsidRPr="00491918">
        <w:rPr>
          <w:szCs w:val="18"/>
        </w:rPr>
        <w:t>These consolidated interim financial statements do not comprise the Barclays Bank PLC Group’s statutory accounts. The Barclays Bank PLC Group’s statutory accounts for the year ended 31 December 2012, on which the auditors issued an unmodified audit opinion, have been filed with the Registrar of Companies.</w:t>
      </w:r>
    </w:p>
    <w:p w:rsidR="00CC41A9" w:rsidRPr="00491918" w:rsidRDefault="00CC41A9" w:rsidP="00CC41A9">
      <w:pPr>
        <w:pStyle w:val="BodyText-BarcRA6"/>
        <w:rPr>
          <w:b/>
          <w:color w:val="000000"/>
          <w:szCs w:val="18"/>
        </w:rPr>
      </w:pPr>
      <w:r w:rsidRPr="00491918">
        <w:rPr>
          <w:b/>
          <w:color w:val="000000"/>
          <w:szCs w:val="18"/>
        </w:rPr>
        <w:t>Accounting Policies</w:t>
      </w:r>
    </w:p>
    <w:p w:rsidR="00CC41A9" w:rsidRPr="00491918" w:rsidRDefault="00CC41A9" w:rsidP="00CC41A9">
      <w:pPr>
        <w:pStyle w:val="Normal89"/>
        <w:jc w:val="both"/>
        <w:rPr>
          <w:szCs w:val="18"/>
        </w:rPr>
      </w:pPr>
      <w:r w:rsidRPr="00491918">
        <w:rPr>
          <w:szCs w:val="18"/>
        </w:rPr>
        <w:t xml:space="preserve">The Results Announcement has been prepared in accordance with IAS 34 </w:t>
      </w:r>
      <w:r w:rsidRPr="00491918">
        <w:rPr>
          <w:i/>
          <w:szCs w:val="18"/>
        </w:rPr>
        <w:t>Interim Financial Reporting</w:t>
      </w:r>
      <w:r w:rsidRPr="00491918">
        <w:rPr>
          <w:szCs w:val="18"/>
        </w:rPr>
        <w:t>, using the same accounting policies and methods of computation as those used in the 2012 Annual Report, except for the following accounting standards which were adopted by Barclays Bank PLC Group on 1 January 2013:</w:t>
      </w:r>
    </w:p>
    <w:p w:rsidR="00CC41A9" w:rsidRPr="00491918" w:rsidRDefault="00CC41A9" w:rsidP="00CC41A9">
      <w:pPr>
        <w:pStyle w:val="Normal89"/>
        <w:jc w:val="both"/>
        <w:rPr>
          <w:szCs w:val="18"/>
        </w:rPr>
      </w:pPr>
    </w:p>
    <w:p w:rsidR="00CC41A9" w:rsidRPr="00491918" w:rsidRDefault="00CC41A9" w:rsidP="00CC41A9">
      <w:pPr>
        <w:pStyle w:val="Normal89"/>
        <w:jc w:val="both"/>
        <w:rPr>
          <w:b/>
          <w:szCs w:val="18"/>
        </w:rPr>
      </w:pPr>
      <w:r w:rsidRPr="00491918">
        <w:rPr>
          <w:b/>
          <w:szCs w:val="18"/>
        </w:rPr>
        <w:t xml:space="preserve">IFRS 10 Consolidated Financial Statements </w:t>
      </w:r>
    </w:p>
    <w:p w:rsidR="00CC41A9" w:rsidRPr="00491918" w:rsidRDefault="00CC41A9" w:rsidP="00CC41A9">
      <w:pPr>
        <w:pStyle w:val="Normal89"/>
        <w:jc w:val="both"/>
        <w:rPr>
          <w:b/>
          <w:szCs w:val="18"/>
        </w:rPr>
      </w:pPr>
    </w:p>
    <w:p w:rsidR="00CC41A9" w:rsidRPr="00491918" w:rsidRDefault="00CC41A9" w:rsidP="00CC41A9">
      <w:pPr>
        <w:pStyle w:val="Normal89"/>
        <w:jc w:val="both"/>
        <w:rPr>
          <w:szCs w:val="18"/>
        </w:rPr>
      </w:pPr>
      <w:r w:rsidRPr="00491918">
        <w:rPr>
          <w:szCs w:val="18"/>
        </w:rPr>
        <w:t xml:space="preserve">IFRS 10 replaced requirements in IAS 27 Consolidated and Separate Financial Statements and SIC 12 Consolidation – Special Purpose Entities. This introduced new criteria to determine whether entities in which Barclays Bank PLC Group has interests should be consolidated. The implementation of IFRS 10 resulted in Barclays Bank PLC Group consolidating some entities that were previously not consolidated and deconsolidating some entities that were previously consolidated, principally impacting the consolidation of entities in the Investment Bank with credit market exposures. </w:t>
      </w:r>
    </w:p>
    <w:p w:rsidR="00CC41A9" w:rsidRPr="00491918" w:rsidRDefault="00CC41A9" w:rsidP="00CC41A9">
      <w:pPr>
        <w:pStyle w:val="Normal89"/>
        <w:jc w:val="both"/>
        <w:rPr>
          <w:szCs w:val="18"/>
        </w:rPr>
      </w:pPr>
    </w:p>
    <w:p w:rsidR="00CC41A9" w:rsidRPr="00491918" w:rsidRDefault="00CC41A9" w:rsidP="00CC41A9">
      <w:pPr>
        <w:pStyle w:val="Normal89"/>
        <w:jc w:val="both"/>
        <w:rPr>
          <w:b/>
          <w:szCs w:val="18"/>
        </w:rPr>
      </w:pPr>
      <w:r w:rsidRPr="00491918">
        <w:rPr>
          <w:b/>
          <w:szCs w:val="18"/>
        </w:rPr>
        <w:t>IAS 19 Employee Benefits (Revised 2011)</w:t>
      </w:r>
    </w:p>
    <w:p w:rsidR="00CC41A9" w:rsidRPr="00491918" w:rsidRDefault="00CC41A9" w:rsidP="00CC41A9">
      <w:pPr>
        <w:pStyle w:val="Normal89"/>
        <w:jc w:val="both"/>
        <w:rPr>
          <w:b/>
          <w:szCs w:val="18"/>
        </w:rPr>
      </w:pPr>
    </w:p>
    <w:p w:rsidR="00CC41A9" w:rsidRPr="00491918" w:rsidRDefault="00CC41A9" w:rsidP="00CC41A9">
      <w:pPr>
        <w:pStyle w:val="Normal89"/>
        <w:jc w:val="both"/>
        <w:rPr>
          <w:szCs w:val="18"/>
        </w:rPr>
      </w:pPr>
      <w:r w:rsidRPr="00491918">
        <w:rPr>
          <w:szCs w:val="18"/>
        </w:rPr>
        <w:t xml:space="preserve">IAS 19 (Revised 2011), amongst other changes, requires actuarial gains and losses arising from defined benefit pension schemes to be recognised in full. Previously Barclays Bank PLC Group deferred these over the remaining average service lives of the employees (known as the ‘corridor’ approach). </w:t>
      </w:r>
    </w:p>
    <w:p w:rsidR="00CC41A9" w:rsidRPr="00491918" w:rsidRDefault="00CC41A9" w:rsidP="00CC41A9">
      <w:pPr>
        <w:pStyle w:val="Normal89"/>
        <w:jc w:val="both"/>
        <w:rPr>
          <w:szCs w:val="18"/>
        </w:rPr>
      </w:pPr>
    </w:p>
    <w:p w:rsidR="00CC41A9" w:rsidRPr="00491918" w:rsidRDefault="00CC41A9" w:rsidP="00CC41A9">
      <w:pPr>
        <w:pStyle w:val="Normal89"/>
        <w:jc w:val="both"/>
        <w:rPr>
          <w:szCs w:val="18"/>
        </w:rPr>
      </w:pPr>
      <w:r w:rsidRPr="00491918">
        <w:rPr>
          <w:szCs w:val="18"/>
        </w:rPr>
        <w:t xml:space="preserve">Comparatives have been fully restated for these standards in accordance with their transition requirements. IFRS 10 only requires the presentation of restated comparatives for the period immediately prior to the first period of application.  </w:t>
      </w:r>
    </w:p>
    <w:p w:rsidR="00CC41A9" w:rsidRPr="00491918" w:rsidRDefault="00CC41A9" w:rsidP="00CC41A9">
      <w:pPr>
        <w:pStyle w:val="Normal89"/>
        <w:jc w:val="both"/>
        <w:rPr>
          <w:sz w:val="10"/>
          <w:szCs w:val="10"/>
        </w:rPr>
      </w:pPr>
    </w:p>
    <w:p w:rsidR="00CC41A9" w:rsidRPr="00491918" w:rsidRDefault="00CC41A9" w:rsidP="00CC41A9">
      <w:pPr>
        <w:pStyle w:val="Normal89"/>
        <w:jc w:val="both"/>
        <w:rPr>
          <w:szCs w:val="18"/>
        </w:rPr>
      </w:pPr>
      <w:r w:rsidRPr="00491918">
        <w:rPr>
          <w:szCs w:val="18"/>
        </w:rPr>
        <w:t xml:space="preserve">The Group published a restatement document on 16 April 2013 describing the financial impacts of IFRS 10 and IAS 19. </w:t>
      </w:r>
    </w:p>
    <w:p w:rsidR="00CC41A9" w:rsidRPr="00491918" w:rsidRDefault="00CC41A9" w:rsidP="00CC41A9">
      <w:pPr>
        <w:pStyle w:val="HeadingLevel1-BarcRA"/>
        <w:rPr>
          <w:lang w:val="en-GB"/>
        </w:rPr>
      </w:pPr>
    </w:p>
    <w:p w:rsidR="00CC41A9" w:rsidRPr="00491918" w:rsidRDefault="00CC41A9" w:rsidP="00CC41A9">
      <w:pPr>
        <w:pStyle w:val="HeadingLevel1-BarcRA"/>
      </w:pPr>
      <w:r w:rsidRPr="00491918">
        <w:t>Basis of Preparation</w:t>
      </w:r>
    </w:p>
    <w:p w:rsidR="00CC41A9" w:rsidRPr="00491918" w:rsidRDefault="00CC41A9" w:rsidP="00CC41A9">
      <w:pPr>
        <w:pStyle w:val="Normal1000"/>
        <w:jc w:val="both"/>
        <w:rPr>
          <w:rFonts w:ascii="Expert Sans Regular" w:hAnsi="Expert Sans Regular"/>
          <w:sz w:val="18"/>
          <w:szCs w:val="18"/>
        </w:rPr>
      </w:pPr>
      <w:r w:rsidRPr="00491918">
        <w:rPr>
          <w:rFonts w:ascii="Expert Sans Regular" w:hAnsi="Expert Sans Regular"/>
          <w:sz w:val="18"/>
          <w:szCs w:val="18"/>
        </w:rPr>
        <w:t>The financial impact on Barclays Bank PLC Group for the year ended 31 December 2012 had IFRS 10 and IAS 19 been adopted is shown in the table below:</w:t>
      </w:r>
    </w:p>
    <w:tbl>
      <w:tblPr>
        <w:tblW w:w="9710" w:type="dxa"/>
        <w:tblLook w:val="04A0" w:firstRow="1" w:lastRow="0" w:firstColumn="1" w:lastColumn="0" w:noHBand="0" w:noVBand="1"/>
      </w:tblPr>
      <w:tblGrid>
        <w:gridCol w:w="4377"/>
        <w:gridCol w:w="1333"/>
        <w:gridCol w:w="1333"/>
        <w:gridCol w:w="1334"/>
        <w:gridCol w:w="1333"/>
      </w:tblGrid>
      <w:tr w:rsidR="00CC41A9" w:rsidRPr="00491918" w:rsidTr="00073B17">
        <w:trPr>
          <w:trHeight w:val="545"/>
        </w:trPr>
        <w:tc>
          <w:tcPr>
            <w:tcW w:w="4377"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b/>
                <w:bCs/>
                <w:color w:val="000000"/>
                <w:szCs w:val="18"/>
              </w:rPr>
            </w:pPr>
            <w:r w:rsidRPr="00491918">
              <w:rPr>
                <w:rFonts w:ascii="Expert Sans Regular" w:hAnsi="Expert Sans Regular"/>
                <w:b/>
                <w:bCs/>
                <w:color w:val="000000"/>
                <w:szCs w:val="18"/>
              </w:rPr>
              <w:lastRenderedPageBreak/>
              <w:t>Impact of Accounting Restatements</w:t>
            </w:r>
            <w:r w:rsidRPr="00491918">
              <w:rPr>
                <w:rFonts w:ascii="Expert Sans Regular" w:hAnsi="Expert Sans Regular"/>
                <w:b/>
                <w:bCs/>
                <w:color w:val="000000"/>
                <w:szCs w:val="18"/>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b/>
                <w:bCs/>
                <w:color w:val="000000"/>
                <w:sz w:val="16"/>
                <w:szCs w:val="16"/>
              </w:rPr>
            </w:pPr>
            <w:r w:rsidRPr="00491918">
              <w:rPr>
                <w:rFonts w:ascii="Expert Sans Regular" w:hAnsi="Expert Sans Regular"/>
                <w:b/>
                <w:bCs/>
                <w:color w:val="000000"/>
                <w:sz w:val="16"/>
                <w:szCs w:val="16"/>
              </w:rPr>
              <w:t xml:space="preserve"> </w:t>
            </w:r>
          </w:p>
        </w:tc>
        <w:tc>
          <w:tcPr>
            <w:tcW w:w="2667" w:type="dxa"/>
            <w:gridSpan w:val="2"/>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center"/>
              <w:rPr>
                <w:rFonts w:ascii="Expert Sans Regular" w:hAnsi="Expert Sans Regular"/>
                <w:b/>
                <w:bCs/>
                <w:color w:val="000000"/>
                <w:sz w:val="16"/>
                <w:szCs w:val="16"/>
              </w:rPr>
            </w:pPr>
            <w:r w:rsidRPr="00491918">
              <w:rPr>
                <w:rFonts w:ascii="Expert Sans Regular" w:hAnsi="Expert Sans Regular"/>
                <w:b/>
                <w:bCs/>
                <w:color w:val="000000"/>
                <w:sz w:val="16"/>
                <w:szCs w:val="16"/>
              </w:rPr>
              <w:t>Restatement Adjustments</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b/>
                <w:bCs/>
                <w:color w:val="000000"/>
                <w:sz w:val="16"/>
                <w:szCs w:val="16"/>
              </w:rPr>
            </w:pPr>
            <w:r w:rsidRPr="00491918">
              <w:rPr>
                <w:rFonts w:ascii="Expert Sans Regular" w:hAnsi="Expert Sans Regular"/>
                <w:b/>
                <w:bCs/>
                <w:color w:val="000000"/>
                <w:sz w:val="16"/>
                <w:szCs w:val="16"/>
              </w:rPr>
              <w:t xml:space="preserve"> </w:t>
            </w:r>
          </w:p>
        </w:tc>
      </w:tr>
      <w:tr w:rsidR="00CC41A9" w:rsidRPr="00491918" w:rsidTr="00073B17">
        <w:trPr>
          <w:trHeight w:val="288"/>
        </w:trPr>
        <w:tc>
          <w:tcPr>
            <w:tcW w:w="4377" w:type="dxa"/>
            <w:vMerge w:val="restart"/>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b/>
                <w:bCs/>
                <w:color w:val="000000"/>
                <w:sz w:val="16"/>
                <w:szCs w:val="16"/>
              </w:rPr>
            </w:pPr>
            <w:r w:rsidRPr="00491918">
              <w:rPr>
                <w:rFonts w:ascii="Expert Sans Regular" w:hAnsi="Expert Sans Regular"/>
                <w:b/>
                <w:bCs/>
                <w:color w:val="000000"/>
                <w:sz w:val="16"/>
                <w:szCs w:val="16"/>
              </w:rPr>
              <w:t xml:space="preserve"> </w:t>
            </w:r>
            <w:r w:rsidRPr="00491918">
              <w:rPr>
                <w:rFonts w:ascii="Expert Sans Regular" w:hAnsi="Expert Sans Regular"/>
                <w:b/>
                <w:bCs/>
                <w:color w:val="000000"/>
                <w:sz w:val="16"/>
                <w:szCs w:val="16"/>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b/>
                <w:bCs/>
                <w:color w:val="000000"/>
                <w:sz w:val="16"/>
                <w:szCs w:val="16"/>
              </w:rPr>
            </w:pPr>
            <w:r w:rsidRPr="00491918">
              <w:rPr>
                <w:rFonts w:ascii="Expert Sans Regular" w:hAnsi="Expert Sans Regular"/>
                <w:b/>
                <w:bCs/>
                <w:color w:val="000000"/>
                <w:sz w:val="16"/>
                <w:szCs w:val="16"/>
              </w:rPr>
              <w:t>2012 as</w:t>
            </w:r>
          </w:p>
        </w:tc>
        <w:tc>
          <w:tcPr>
            <w:tcW w:w="1333" w:type="dxa"/>
            <w:vMerge w:val="restart"/>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b/>
                <w:bCs/>
                <w:color w:val="000000"/>
                <w:sz w:val="16"/>
                <w:szCs w:val="16"/>
              </w:rPr>
            </w:pPr>
            <w:r w:rsidRPr="00491918">
              <w:rPr>
                <w:rFonts w:ascii="Expert Sans Regular" w:hAnsi="Expert Sans Regular"/>
                <w:b/>
                <w:bCs/>
                <w:color w:val="000000"/>
                <w:sz w:val="16"/>
                <w:szCs w:val="16"/>
              </w:rPr>
              <w:t>IFRS 10</w:t>
            </w:r>
          </w:p>
        </w:tc>
        <w:tc>
          <w:tcPr>
            <w:tcW w:w="1334" w:type="dxa"/>
            <w:vMerge w:val="restart"/>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b/>
                <w:bCs/>
                <w:color w:val="000000"/>
                <w:sz w:val="16"/>
                <w:szCs w:val="16"/>
              </w:rPr>
            </w:pPr>
            <w:r w:rsidRPr="00491918">
              <w:rPr>
                <w:rFonts w:ascii="Expert Sans Regular" w:hAnsi="Expert Sans Regular"/>
                <w:b/>
                <w:bCs/>
                <w:color w:val="000000"/>
                <w:sz w:val="16"/>
                <w:szCs w:val="16"/>
              </w:rPr>
              <w:t>IAS 19</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b/>
                <w:bCs/>
                <w:color w:val="000000"/>
                <w:sz w:val="16"/>
                <w:szCs w:val="16"/>
              </w:rPr>
            </w:pPr>
            <w:r w:rsidRPr="00491918">
              <w:rPr>
                <w:rFonts w:ascii="Expert Sans Regular" w:hAnsi="Expert Sans Regular"/>
                <w:b/>
                <w:bCs/>
                <w:color w:val="000000"/>
                <w:sz w:val="16"/>
                <w:szCs w:val="16"/>
              </w:rPr>
              <w:t xml:space="preserve">2012 as </w:t>
            </w:r>
          </w:p>
        </w:tc>
      </w:tr>
      <w:tr w:rsidR="00CC41A9" w:rsidRPr="00491918" w:rsidTr="00073B17">
        <w:trPr>
          <w:trHeight w:val="212"/>
        </w:trPr>
        <w:tc>
          <w:tcPr>
            <w:tcW w:w="4377" w:type="dxa"/>
            <w:vMerge/>
            <w:tcBorders>
              <w:top w:val="nil"/>
              <w:left w:val="nil"/>
              <w:bottom w:val="nil"/>
              <w:right w:val="nil"/>
            </w:tcBorders>
            <w:shd w:val="clear" w:color="auto" w:fill="auto"/>
            <w:vAlign w:val="center"/>
          </w:tcPr>
          <w:p w:rsidR="00CC41A9" w:rsidRPr="00491918" w:rsidRDefault="00CC41A9" w:rsidP="00073B17">
            <w:pPr>
              <w:pStyle w:val="Normal5"/>
              <w:rPr>
                <w:rFonts w:ascii="Expert Sans Regular" w:hAnsi="Expert Sans Regular"/>
                <w:b/>
                <w:bCs/>
                <w:color w:val="000000"/>
                <w:sz w:val="16"/>
                <w:szCs w:val="16"/>
              </w:rPr>
            </w:pP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b/>
                <w:bCs/>
                <w:color w:val="000000"/>
                <w:sz w:val="16"/>
                <w:szCs w:val="16"/>
              </w:rPr>
            </w:pPr>
            <w:r w:rsidRPr="00491918">
              <w:rPr>
                <w:rFonts w:ascii="Expert Sans Regular" w:hAnsi="Expert Sans Regular"/>
                <w:b/>
                <w:bCs/>
                <w:color w:val="000000"/>
                <w:sz w:val="16"/>
                <w:szCs w:val="16"/>
              </w:rPr>
              <w:t>Published</w:t>
            </w:r>
          </w:p>
        </w:tc>
        <w:tc>
          <w:tcPr>
            <w:tcW w:w="1333" w:type="dxa"/>
            <w:vMerge/>
            <w:tcBorders>
              <w:top w:val="nil"/>
              <w:left w:val="nil"/>
              <w:bottom w:val="nil"/>
              <w:right w:val="nil"/>
            </w:tcBorders>
            <w:shd w:val="clear" w:color="auto" w:fill="auto"/>
            <w:vAlign w:val="center"/>
          </w:tcPr>
          <w:p w:rsidR="00CC41A9" w:rsidRPr="00491918" w:rsidRDefault="00CC41A9" w:rsidP="00073B17">
            <w:pPr>
              <w:pStyle w:val="Normal5"/>
              <w:rPr>
                <w:rFonts w:ascii="Expert Sans Regular" w:hAnsi="Expert Sans Regular"/>
                <w:b/>
                <w:bCs/>
                <w:color w:val="000000"/>
                <w:sz w:val="16"/>
                <w:szCs w:val="16"/>
              </w:rPr>
            </w:pPr>
          </w:p>
        </w:tc>
        <w:tc>
          <w:tcPr>
            <w:tcW w:w="1334" w:type="dxa"/>
            <w:vMerge/>
            <w:tcBorders>
              <w:top w:val="nil"/>
              <w:left w:val="nil"/>
              <w:bottom w:val="nil"/>
              <w:right w:val="nil"/>
            </w:tcBorders>
            <w:shd w:val="clear" w:color="auto" w:fill="auto"/>
            <w:vAlign w:val="center"/>
          </w:tcPr>
          <w:p w:rsidR="00CC41A9" w:rsidRPr="00491918" w:rsidRDefault="00CC41A9" w:rsidP="00073B17">
            <w:pPr>
              <w:pStyle w:val="Normal5"/>
              <w:rPr>
                <w:rFonts w:ascii="Expert Sans Regular" w:hAnsi="Expert Sans Regular"/>
                <w:b/>
                <w:bCs/>
                <w:color w:val="000000"/>
                <w:sz w:val="16"/>
                <w:szCs w:val="16"/>
              </w:rPr>
            </w:pP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b/>
                <w:bCs/>
                <w:color w:val="000000"/>
                <w:sz w:val="16"/>
                <w:szCs w:val="16"/>
              </w:rPr>
            </w:pPr>
            <w:r w:rsidRPr="00491918">
              <w:rPr>
                <w:rFonts w:ascii="Expert Sans Regular" w:hAnsi="Expert Sans Regular"/>
                <w:b/>
                <w:bCs/>
                <w:color w:val="000000"/>
                <w:sz w:val="16"/>
                <w:szCs w:val="16"/>
              </w:rPr>
              <w:t>Restated</w:t>
            </w:r>
          </w:p>
        </w:tc>
      </w:tr>
      <w:tr w:rsidR="00CC41A9" w:rsidRPr="00491918" w:rsidTr="00073B17">
        <w:trPr>
          <w:trHeight w:val="318"/>
        </w:trPr>
        <w:tc>
          <w:tcPr>
            <w:tcW w:w="4377"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rPr>
                <w:rFonts w:ascii="Expert Sans Regular" w:hAnsi="Expert Sans Regular"/>
                <w:b/>
                <w:bCs/>
                <w:color w:val="000000"/>
                <w:sz w:val="16"/>
                <w:szCs w:val="16"/>
              </w:rPr>
            </w:pPr>
            <w:r w:rsidRPr="00491918">
              <w:rPr>
                <w:rFonts w:ascii="Expert Sans Regular" w:hAnsi="Expert Sans Regular"/>
                <w:b/>
                <w:bCs/>
                <w:color w:val="000000"/>
                <w:sz w:val="16"/>
                <w:szCs w:val="16"/>
              </w:rPr>
              <w:t>Income Statement</w:t>
            </w:r>
            <w:r w:rsidRPr="00491918">
              <w:rPr>
                <w:rFonts w:ascii="Expert Sans Regular" w:hAnsi="Expert Sans Regular"/>
                <w:color w:val="000000"/>
                <w:sz w:val="16"/>
                <w:szCs w:val="16"/>
                <w:vertAlign w:val="superscript"/>
              </w:rPr>
              <w:t xml:space="preserve"> </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£m</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£m</w:t>
            </w:r>
          </w:p>
        </w:tc>
        <w:tc>
          <w:tcPr>
            <w:tcW w:w="1334"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£m</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£m</w:t>
            </w:r>
          </w:p>
        </w:tc>
      </w:tr>
    </w:tbl>
    <w:p w:rsidR="00CC41A9" w:rsidRPr="00491918" w:rsidRDefault="00CC41A9" w:rsidP="00CC41A9"/>
    <w:tbl>
      <w:tblPr>
        <w:tblW w:w="9710" w:type="dxa"/>
        <w:tblLook w:val="04A0" w:firstRow="1" w:lastRow="0" w:firstColumn="1" w:lastColumn="0" w:noHBand="0" w:noVBand="1"/>
      </w:tblPr>
      <w:tblGrid>
        <w:gridCol w:w="4377"/>
        <w:gridCol w:w="1333"/>
        <w:gridCol w:w="1333"/>
        <w:gridCol w:w="1334"/>
        <w:gridCol w:w="1333"/>
      </w:tblGrid>
      <w:tr w:rsidR="00CC41A9" w:rsidRPr="00491918" w:rsidTr="00073B17">
        <w:trPr>
          <w:trHeight w:val="303"/>
        </w:trPr>
        <w:tc>
          <w:tcPr>
            <w:tcW w:w="4377"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color w:val="000000"/>
                <w:sz w:val="16"/>
                <w:szCs w:val="16"/>
              </w:rPr>
            </w:pPr>
            <w:r w:rsidRPr="00491918">
              <w:rPr>
                <w:rFonts w:ascii="Expert Sans Regular" w:hAnsi="Expert Sans Regular"/>
                <w:color w:val="000000"/>
                <w:sz w:val="16"/>
                <w:szCs w:val="16"/>
              </w:rPr>
              <w:t>Profit/(loss) before tax</w:t>
            </w:r>
            <w:r w:rsidRPr="00491918">
              <w:rPr>
                <w:rFonts w:ascii="Expert Sans Regular" w:hAnsi="Expert Sans Regular"/>
                <w:color w:val="000000"/>
                <w:sz w:val="16"/>
                <w:szCs w:val="16"/>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99</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573</w:t>
            </w:r>
          </w:p>
        </w:tc>
        <w:tc>
          <w:tcPr>
            <w:tcW w:w="1334"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(22)</w:t>
            </w:r>
          </w:p>
        </w:tc>
        <w:tc>
          <w:tcPr>
            <w:tcW w:w="1333" w:type="dxa"/>
            <w:tcBorders>
              <w:top w:val="nil"/>
              <w:left w:val="nil"/>
              <w:bottom w:val="nil"/>
              <w:right w:val="nil"/>
            </w:tcBorders>
            <w:shd w:val="clear" w:color="000000" w:fill="EAEAEA"/>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650</w:t>
            </w:r>
          </w:p>
        </w:tc>
      </w:tr>
      <w:tr w:rsidR="00CC41A9" w:rsidRPr="00491918" w:rsidTr="00073B17">
        <w:trPr>
          <w:trHeight w:val="318"/>
        </w:trPr>
        <w:tc>
          <w:tcPr>
            <w:tcW w:w="4377"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rPr>
                <w:rFonts w:ascii="Expert Sans Regular" w:hAnsi="Expert Sans Regular"/>
                <w:color w:val="000000"/>
                <w:sz w:val="16"/>
                <w:szCs w:val="16"/>
              </w:rPr>
            </w:pPr>
            <w:r w:rsidRPr="00491918">
              <w:rPr>
                <w:rFonts w:ascii="Expert Sans Regular" w:hAnsi="Expert Sans Regular"/>
                <w:color w:val="000000"/>
                <w:sz w:val="16"/>
                <w:szCs w:val="16"/>
              </w:rPr>
              <w:t>Tax</w:t>
            </w:r>
            <w:r w:rsidRPr="00491918">
              <w:rPr>
                <w:rFonts w:ascii="Expert Sans Regular" w:hAnsi="Expert Sans Regular"/>
                <w:color w:val="000000"/>
                <w:sz w:val="16"/>
                <w:szCs w:val="16"/>
                <w:vertAlign w:val="superscript"/>
              </w:rPr>
              <w:t xml:space="preserve"> </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(483)</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(134)</w:t>
            </w:r>
          </w:p>
        </w:tc>
        <w:tc>
          <w:tcPr>
            <w:tcW w:w="1334"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w:t>
            </w:r>
          </w:p>
        </w:tc>
        <w:tc>
          <w:tcPr>
            <w:tcW w:w="1333" w:type="dxa"/>
            <w:tcBorders>
              <w:top w:val="nil"/>
              <w:left w:val="nil"/>
              <w:bottom w:val="single" w:sz="8" w:space="0" w:color="969696"/>
              <w:right w:val="nil"/>
            </w:tcBorders>
            <w:shd w:val="clear" w:color="000000" w:fill="EAEAEA"/>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(617)</w:t>
            </w:r>
          </w:p>
        </w:tc>
      </w:tr>
      <w:tr w:rsidR="00CC41A9" w:rsidRPr="00491918" w:rsidTr="00073B17">
        <w:trPr>
          <w:trHeight w:val="303"/>
        </w:trPr>
        <w:tc>
          <w:tcPr>
            <w:tcW w:w="4377"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color w:val="000000"/>
                <w:sz w:val="16"/>
                <w:szCs w:val="16"/>
              </w:rPr>
            </w:pPr>
            <w:r w:rsidRPr="00491918">
              <w:rPr>
                <w:rFonts w:ascii="Expert Sans Regular" w:hAnsi="Expert Sans Regular"/>
                <w:color w:val="000000"/>
                <w:sz w:val="16"/>
                <w:szCs w:val="16"/>
              </w:rPr>
              <w:t>(Loss)/profit after tax</w:t>
            </w:r>
            <w:r w:rsidRPr="00491918">
              <w:rPr>
                <w:rFonts w:ascii="Expert Sans Regular" w:hAnsi="Expert Sans Regular"/>
                <w:color w:val="000000"/>
                <w:sz w:val="16"/>
                <w:szCs w:val="16"/>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(384)</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439</w:t>
            </w:r>
          </w:p>
        </w:tc>
        <w:tc>
          <w:tcPr>
            <w:tcW w:w="1334"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(22)</w:t>
            </w:r>
          </w:p>
        </w:tc>
        <w:tc>
          <w:tcPr>
            <w:tcW w:w="1333" w:type="dxa"/>
            <w:tcBorders>
              <w:top w:val="nil"/>
              <w:left w:val="nil"/>
              <w:bottom w:val="nil"/>
              <w:right w:val="nil"/>
            </w:tcBorders>
            <w:shd w:val="clear" w:color="000000" w:fill="EAEAEA"/>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33</w:t>
            </w:r>
          </w:p>
        </w:tc>
      </w:tr>
      <w:tr w:rsidR="00CC41A9" w:rsidRPr="00491918" w:rsidTr="00073B17">
        <w:trPr>
          <w:trHeight w:val="136"/>
        </w:trPr>
        <w:tc>
          <w:tcPr>
            <w:tcW w:w="4377"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color w:val="000000"/>
                <w:sz w:val="16"/>
                <w:szCs w:val="16"/>
              </w:rPr>
            </w:pPr>
            <w:r w:rsidRPr="00491918">
              <w:rPr>
                <w:rFonts w:ascii="Expert Sans Regular" w:hAnsi="Expert Sans Regular"/>
                <w:color w:val="000000"/>
                <w:sz w:val="16"/>
                <w:szCs w:val="16"/>
              </w:rPr>
              <w:t xml:space="preserve"> </w:t>
            </w:r>
            <w:r w:rsidRPr="00491918">
              <w:rPr>
                <w:rFonts w:ascii="Expert Sans Regular" w:hAnsi="Expert Sans Regular"/>
                <w:color w:val="000000"/>
                <w:sz w:val="16"/>
                <w:szCs w:val="16"/>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c>
          <w:tcPr>
            <w:tcW w:w="1334"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r>
      <w:tr w:rsidR="00CC41A9" w:rsidRPr="00491918" w:rsidTr="00073B17">
        <w:trPr>
          <w:trHeight w:val="318"/>
        </w:trPr>
        <w:tc>
          <w:tcPr>
            <w:tcW w:w="4377"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rPr>
                <w:rFonts w:ascii="Expert Sans Regular" w:hAnsi="Expert Sans Regular"/>
                <w:b/>
                <w:bCs/>
                <w:color w:val="000000"/>
                <w:sz w:val="16"/>
                <w:szCs w:val="16"/>
              </w:rPr>
            </w:pPr>
            <w:r w:rsidRPr="00491918">
              <w:rPr>
                <w:rFonts w:ascii="Expert Sans Regular" w:hAnsi="Expert Sans Regular"/>
                <w:b/>
                <w:bCs/>
                <w:color w:val="000000"/>
                <w:sz w:val="16"/>
                <w:szCs w:val="16"/>
              </w:rPr>
              <w:t>Balance Sheet</w:t>
            </w:r>
            <w:r w:rsidRPr="00491918">
              <w:rPr>
                <w:rFonts w:ascii="Expert Sans Regular" w:hAnsi="Expert Sans Regular"/>
                <w:b/>
                <w:bCs/>
                <w:color w:val="000000"/>
                <w:szCs w:val="18"/>
                <w:vertAlign w:val="superscript"/>
              </w:rPr>
              <w:t xml:space="preserve"> </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c>
          <w:tcPr>
            <w:tcW w:w="1334"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c>
          <w:tcPr>
            <w:tcW w:w="1333" w:type="dxa"/>
            <w:tcBorders>
              <w:top w:val="nil"/>
              <w:left w:val="nil"/>
              <w:bottom w:val="single" w:sz="8" w:space="0" w:color="969696"/>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 </w:t>
            </w:r>
          </w:p>
        </w:tc>
      </w:tr>
      <w:tr w:rsidR="00CC41A9" w:rsidRPr="00491918" w:rsidTr="00073B17">
        <w:trPr>
          <w:trHeight w:val="303"/>
        </w:trPr>
        <w:tc>
          <w:tcPr>
            <w:tcW w:w="4377"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color w:val="000000"/>
                <w:sz w:val="16"/>
                <w:szCs w:val="16"/>
              </w:rPr>
            </w:pPr>
            <w:r w:rsidRPr="00491918">
              <w:rPr>
                <w:rFonts w:ascii="Expert Sans Regular" w:hAnsi="Expert Sans Regular"/>
                <w:color w:val="000000"/>
                <w:sz w:val="16"/>
                <w:szCs w:val="16"/>
              </w:rPr>
              <w:t>Total assets</w:t>
            </w:r>
            <w:r w:rsidRPr="00491918">
              <w:rPr>
                <w:rFonts w:ascii="Expert Sans Regular" w:hAnsi="Expert Sans Regular"/>
                <w:b/>
                <w:bCs/>
                <w:color w:val="000000"/>
                <w:sz w:val="16"/>
                <w:szCs w:val="16"/>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1,490,747</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(144)</w:t>
            </w:r>
          </w:p>
        </w:tc>
        <w:tc>
          <w:tcPr>
            <w:tcW w:w="1334"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(1,842)</w:t>
            </w:r>
          </w:p>
        </w:tc>
        <w:tc>
          <w:tcPr>
            <w:tcW w:w="1333" w:type="dxa"/>
            <w:tcBorders>
              <w:top w:val="nil"/>
              <w:left w:val="nil"/>
              <w:bottom w:val="nil"/>
              <w:right w:val="nil"/>
            </w:tcBorders>
            <w:shd w:val="clear" w:color="000000" w:fill="EAEAEA"/>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1,488,761</w:t>
            </w:r>
          </w:p>
        </w:tc>
      </w:tr>
      <w:tr w:rsidR="00CC41A9" w:rsidRPr="00491918" w:rsidTr="00073B17">
        <w:trPr>
          <w:trHeight w:val="303"/>
        </w:trPr>
        <w:tc>
          <w:tcPr>
            <w:tcW w:w="4377"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color w:val="000000"/>
                <w:sz w:val="16"/>
                <w:szCs w:val="16"/>
              </w:rPr>
            </w:pPr>
            <w:r w:rsidRPr="00491918">
              <w:rPr>
                <w:rFonts w:ascii="Expert Sans Regular" w:hAnsi="Expert Sans Regular"/>
                <w:color w:val="000000"/>
                <w:sz w:val="16"/>
                <w:szCs w:val="16"/>
              </w:rPr>
              <w:t>Total liabilities</w:t>
            </w:r>
            <w:r w:rsidRPr="00491918">
              <w:rPr>
                <w:rFonts w:ascii="Expert Sans Regular" w:hAnsi="Expert Sans Regular"/>
                <w:b/>
                <w:bCs/>
                <w:color w:val="000000"/>
                <w:sz w:val="16"/>
                <w:szCs w:val="16"/>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1,427,853</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333</w:t>
            </w:r>
          </w:p>
        </w:tc>
        <w:tc>
          <w:tcPr>
            <w:tcW w:w="1334"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652</w:t>
            </w:r>
          </w:p>
        </w:tc>
        <w:tc>
          <w:tcPr>
            <w:tcW w:w="1333" w:type="dxa"/>
            <w:tcBorders>
              <w:top w:val="nil"/>
              <w:left w:val="nil"/>
              <w:bottom w:val="nil"/>
              <w:right w:val="nil"/>
            </w:tcBorders>
            <w:shd w:val="clear" w:color="000000" w:fill="EAEAEA"/>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1,428,838</w:t>
            </w:r>
          </w:p>
        </w:tc>
      </w:tr>
      <w:tr w:rsidR="00CC41A9" w:rsidRPr="00491918" w:rsidTr="00073B17">
        <w:trPr>
          <w:trHeight w:val="303"/>
        </w:trPr>
        <w:tc>
          <w:tcPr>
            <w:tcW w:w="4377" w:type="dxa"/>
            <w:tcBorders>
              <w:top w:val="nil"/>
              <w:left w:val="nil"/>
              <w:bottom w:val="nil"/>
              <w:right w:val="nil"/>
            </w:tcBorders>
            <w:shd w:val="clear" w:color="000000" w:fill="FFFFFF"/>
            <w:vAlign w:val="bottom"/>
          </w:tcPr>
          <w:p w:rsidR="00CC41A9" w:rsidRPr="00491918" w:rsidRDefault="00CC41A9" w:rsidP="00073B17">
            <w:pPr>
              <w:pStyle w:val="Normal5"/>
              <w:rPr>
                <w:rFonts w:ascii="Expert Sans Regular" w:hAnsi="Expert Sans Regular"/>
                <w:color w:val="000000"/>
                <w:sz w:val="16"/>
                <w:szCs w:val="16"/>
              </w:rPr>
            </w:pPr>
            <w:r w:rsidRPr="00491918">
              <w:rPr>
                <w:rFonts w:ascii="Expert Sans Regular" w:hAnsi="Expert Sans Regular"/>
                <w:color w:val="000000"/>
                <w:sz w:val="16"/>
                <w:szCs w:val="16"/>
              </w:rPr>
              <w:t>Total shareholders' equity</w:t>
            </w:r>
            <w:r w:rsidRPr="00491918">
              <w:rPr>
                <w:rFonts w:ascii="Expert Sans Regular" w:hAnsi="Expert Sans Regular"/>
                <w:b/>
                <w:bCs/>
                <w:color w:val="000000"/>
                <w:sz w:val="16"/>
                <w:szCs w:val="16"/>
                <w:vertAlign w:val="superscript"/>
              </w:rPr>
              <w:t xml:space="preserve"> </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62,894</w:t>
            </w:r>
          </w:p>
        </w:tc>
        <w:tc>
          <w:tcPr>
            <w:tcW w:w="1333"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(477)</w:t>
            </w:r>
          </w:p>
        </w:tc>
        <w:tc>
          <w:tcPr>
            <w:tcW w:w="1334" w:type="dxa"/>
            <w:tcBorders>
              <w:top w:val="nil"/>
              <w:left w:val="nil"/>
              <w:bottom w:val="nil"/>
              <w:right w:val="nil"/>
            </w:tcBorders>
            <w:shd w:val="clear" w:color="000000" w:fill="FFFFFF"/>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(2,494)</w:t>
            </w:r>
          </w:p>
        </w:tc>
        <w:tc>
          <w:tcPr>
            <w:tcW w:w="1333" w:type="dxa"/>
            <w:tcBorders>
              <w:top w:val="nil"/>
              <w:left w:val="nil"/>
              <w:bottom w:val="nil"/>
              <w:right w:val="nil"/>
            </w:tcBorders>
            <w:shd w:val="clear" w:color="000000" w:fill="EAEAEA"/>
            <w:vAlign w:val="bottom"/>
          </w:tcPr>
          <w:p w:rsidR="00CC41A9" w:rsidRPr="00491918" w:rsidRDefault="00CC41A9" w:rsidP="00073B17">
            <w:pPr>
              <w:pStyle w:val="Normal5"/>
              <w:jc w:val="right"/>
              <w:rPr>
                <w:rFonts w:ascii="Expert Sans Regular" w:hAnsi="Expert Sans Regular"/>
                <w:color w:val="000000"/>
                <w:sz w:val="16"/>
                <w:szCs w:val="16"/>
              </w:rPr>
            </w:pPr>
            <w:r w:rsidRPr="00491918">
              <w:rPr>
                <w:rFonts w:ascii="Expert Sans Regular" w:hAnsi="Expert Sans Regular"/>
                <w:color w:val="000000"/>
                <w:sz w:val="16"/>
                <w:szCs w:val="16"/>
              </w:rPr>
              <w:t>59,923</w:t>
            </w:r>
          </w:p>
        </w:tc>
      </w:tr>
    </w:tbl>
    <w:p w:rsidR="00CC41A9" w:rsidRPr="00491918" w:rsidRDefault="00CC41A9" w:rsidP="00CC41A9">
      <w:pPr>
        <w:pStyle w:val="Normal1000"/>
        <w:jc w:val="both"/>
        <w:rPr>
          <w:sz w:val="10"/>
          <w:szCs w:val="10"/>
        </w:rPr>
      </w:pPr>
    </w:p>
    <w:p w:rsidR="00CC41A9" w:rsidRPr="00491918" w:rsidRDefault="00CC41A9" w:rsidP="00CC41A9">
      <w:pPr>
        <w:pStyle w:val="Level1Bullet-BarcRA11"/>
        <w:numPr>
          <w:ilvl w:val="0"/>
          <w:numId w:val="3"/>
        </w:numPr>
      </w:pPr>
      <w:r w:rsidRPr="00491918">
        <w:t>The positive financial impact of adopting IFRS 10 on Barclays Bank PLC Group’s results for the year ended 31 December 2012 principally reflects an increase in trading income and a reduction in impairment in the Investment Bank. However, there is a cumulative reduction in total shareholders’ equity at 31 December 2012 of £477m as previously disclosed in the 2012 Barclays Bank PLC Annual Report.</w:t>
      </w:r>
    </w:p>
    <w:p w:rsidR="00CC41A9" w:rsidRPr="00491918" w:rsidRDefault="00CC41A9" w:rsidP="00CC41A9">
      <w:pPr>
        <w:pStyle w:val="Level1Bullet-BarcRA11"/>
        <w:numPr>
          <w:ilvl w:val="0"/>
          <w:numId w:val="3"/>
        </w:numPr>
      </w:pPr>
      <w:r w:rsidRPr="00491918">
        <w:t>Following the adoption of IAS 19, retirement benefit assets reduced by £2.3bn and retirement benefit liabilities increased by £1.0bn as at 31 December 2012, with additional deferred tax assets recognised of £0.8bn, of which £0.4bn has been recognised in deferred tax assets and £0.4bn in deferred tax liabilities. As a result total assets reduced by £1.8bn and total liabilities increased by £0.7bn. Profit after tax for the period reduced by £22m with other comprehensive income lower by £2.4bn, resulting in a £2.5bn reduction in shareholders’ equity.</w:t>
      </w:r>
    </w:p>
    <w:p w:rsidR="00CC41A9" w:rsidRPr="00491918" w:rsidRDefault="00CC41A9" w:rsidP="00CC41A9">
      <w:pPr>
        <w:pStyle w:val="Normal89"/>
        <w:jc w:val="both"/>
        <w:rPr>
          <w:b/>
          <w:szCs w:val="18"/>
        </w:rPr>
      </w:pPr>
      <w:r w:rsidRPr="00491918">
        <w:rPr>
          <w:b/>
          <w:szCs w:val="18"/>
        </w:rPr>
        <w:t>IFRS 13 Fair Value Measurement</w:t>
      </w:r>
    </w:p>
    <w:p w:rsidR="00CC41A9" w:rsidRPr="00491918" w:rsidRDefault="00CC41A9" w:rsidP="00CC41A9">
      <w:pPr>
        <w:pStyle w:val="Normal89"/>
        <w:jc w:val="both"/>
        <w:rPr>
          <w:b/>
          <w:szCs w:val="18"/>
        </w:rPr>
      </w:pPr>
      <w:r w:rsidRPr="00491918">
        <w:rPr>
          <w:b/>
          <w:szCs w:val="18"/>
        </w:rPr>
        <w:t xml:space="preserve"> </w:t>
      </w:r>
    </w:p>
    <w:p w:rsidR="00CC41A9" w:rsidRPr="00491918" w:rsidRDefault="00CC41A9" w:rsidP="00CC41A9">
      <w:pPr>
        <w:pStyle w:val="Normal89"/>
        <w:jc w:val="both"/>
        <w:rPr>
          <w:szCs w:val="18"/>
        </w:rPr>
      </w:pPr>
      <w:r w:rsidRPr="00491918">
        <w:rPr>
          <w:szCs w:val="18"/>
        </w:rPr>
        <w:t>IFRS 13 provides comprehensive guidance on how to calculate the fair value of financial and non-financial assets. The adoption of IFRS 13 did not have a material financial impact on Barclays Bank PLC Group.</w:t>
      </w:r>
    </w:p>
    <w:p w:rsidR="00CC41A9" w:rsidRPr="00491918" w:rsidRDefault="00CC41A9" w:rsidP="00CC41A9">
      <w:pPr>
        <w:pStyle w:val="Normal89"/>
        <w:jc w:val="both"/>
        <w:rPr>
          <w:sz w:val="10"/>
          <w:szCs w:val="10"/>
        </w:rPr>
      </w:pPr>
    </w:p>
    <w:p w:rsidR="00CC41A9" w:rsidRPr="00491918" w:rsidRDefault="00CC41A9" w:rsidP="00CC41A9">
      <w:pPr>
        <w:pStyle w:val="Normal89"/>
        <w:jc w:val="both"/>
        <w:rPr>
          <w:b/>
          <w:sz w:val="10"/>
          <w:szCs w:val="10"/>
        </w:rPr>
      </w:pPr>
    </w:p>
    <w:p w:rsidR="00CC41A9" w:rsidRPr="00491918" w:rsidRDefault="00CC41A9" w:rsidP="00CC41A9">
      <w:pPr>
        <w:pStyle w:val="Normal89"/>
        <w:jc w:val="both"/>
        <w:rPr>
          <w:b/>
          <w:sz w:val="20"/>
          <w:szCs w:val="20"/>
        </w:rPr>
      </w:pPr>
      <w:r w:rsidRPr="00491918">
        <w:rPr>
          <w:b/>
          <w:sz w:val="20"/>
          <w:szCs w:val="20"/>
        </w:rPr>
        <w:t>Future Accounting Developments</w:t>
      </w:r>
    </w:p>
    <w:p w:rsidR="00CC41A9" w:rsidRPr="00491918" w:rsidRDefault="00CC41A9" w:rsidP="00CC41A9">
      <w:pPr>
        <w:pStyle w:val="Normal89"/>
        <w:jc w:val="both"/>
        <w:rPr>
          <w:szCs w:val="18"/>
        </w:rPr>
      </w:pPr>
    </w:p>
    <w:p w:rsidR="00CC41A9" w:rsidRPr="00491918" w:rsidRDefault="00CC41A9" w:rsidP="00CC41A9">
      <w:pPr>
        <w:pStyle w:val="Normal89"/>
        <w:jc w:val="both"/>
        <w:rPr>
          <w:b/>
          <w:szCs w:val="18"/>
        </w:rPr>
      </w:pPr>
      <w:r w:rsidRPr="00491918">
        <w:rPr>
          <w:b/>
          <w:szCs w:val="18"/>
        </w:rPr>
        <w:t>IFRS 9 Financial Instruments</w:t>
      </w:r>
    </w:p>
    <w:p w:rsidR="00CC41A9" w:rsidRPr="00491918" w:rsidRDefault="00CC41A9" w:rsidP="00CC41A9">
      <w:pPr>
        <w:pStyle w:val="Normal89"/>
        <w:jc w:val="both"/>
        <w:rPr>
          <w:b/>
          <w:szCs w:val="18"/>
        </w:rPr>
      </w:pPr>
    </w:p>
    <w:p w:rsidR="00CC41A9" w:rsidRPr="00491918" w:rsidRDefault="00CC41A9" w:rsidP="00CC41A9">
      <w:pPr>
        <w:pStyle w:val="Normal89"/>
        <w:jc w:val="both"/>
        <w:rPr>
          <w:szCs w:val="18"/>
        </w:rPr>
      </w:pPr>
      <w:r w:rsidRPr="00491918">
        <w:rPr>
          <w:szCs w:val="18"/>
        </w:rPr>
        <w:t>IFRS 9 will change the classification and therefore the measurement of its financial assets, the recognition of impairment and hedge accounting. In addition to these changes, the portion of gains and losses arising from changes in the Group’ s credit rating included in changes in the value of Barclays Bank PLC Group issued debt securities held at fair value through profit or loss will be included in other comprehensive income rather than the income statement. The proposals have yet to be finalised and it is therefore not yet possible to estimate the financial effects. The current effective date is 1 January 2015, but may be delayed.</w:t>
      </w:r>
    </w:p>
    <w:p w:rsidR="00CC41A9" w:rsidRPr="00491918" w:rsidRDefault="00CC41A9" w:rsidP="00CC41A9">
      <w:pPr>
        <w:pStyle w:val="Normal89"/>
        <w:jc w:val="both"/>
        <w:rPr>
          <w:sz w:val="10"/>
          <w:szCs w:val="10"/>
        </w:rPr>
      </w:pPr>
    </w:p>
    <w:p w:rsidR="00CC41A9" w:rsidRPr="00491918" w:rsidRDefault="00CC41A9" w:rsidP="00CC41A9">
      <w:pPr>
        <w:pStyle w:val="Normal89"/>
        <w:jc w:val="both"/>
        <w:rPr>
          <w:szCs w:val="18"/>
        </w:rPr>
      </w:pPr>
      <w:r w:rsidRPr="00491918">
        <w:rPr>
          <w:szCs w:val="18"/>
        </w:rPr>
        <w:t>For more information on future accounting changes, refer to the Barclays Bank PLC 2012 Annual Report.</w:t>
      </w:r>
    </w:p>
    <w:p w:rsidR="00CC41A9" w:rsidRPr="00491918" w:rsidRDefault="00CC41A9" w:rsidP="00CC41A9">
      <w:pPr>
        <w:pStyle w:val="BodyText-BarcRA6"/>
        <w:rPr>
          <w:b/>
          <w:bCs/>
          <w:color w:val="000000"/>
          <w:szCs w:val="18"/>
        </w:rPr>
      </w:pPr>
      <w:r w:rsidRPr="00491918">
        <w:rPr>
          <w:b/>
          <w:bCs/>
          <w:color w:val="000000"/>
          <w:szCs w:val="18"/>
        </w:rPr>
        <w:t>G</w:t>
      </w:r>
      <w:r w:rsidRPr="00491918">
        <w:rPr>
          <w:b/>
          <w:bCs/>
          <w:color w:val="000000"/>
          <w:szCs w:val="18"/>
          <w:lang w:val="la-Latn"/>
        </w:rPr>
        <w:t>oing Concern</w:t>
      </w:r>
    </w:p>
    <w:p w:rsidR="00CC41A9" w:rsidRPr="00491918" w:rsidRDefault="00CC41A9" w:rsidP="00CC41A9">
      <w:pPr>
        <w:pStyle w:val="BodyText-BarcRA6"/>
        <w:rPr>
          <w:color w:val="000000"/>
          <w:szCs w:val="18"/>
        </w:rPr>
      </w:pPr>
      <w:r w:rsidRPr="00491918">
        <w:rPr>
          <w:szCs w:val="18"/>
        </w:rPr>
        <w:t>Barclays Bank PLC Group</w:t>
      </w:r>
      <w:r w:rsidRPr="00491918">
        <w:rPr>
          <w:color w:val="000000"/>
          <w:szCs w:val="18"/>
        </w:rPr>
        <w:t xml:space="preserve">'s business activities and financial position, the factors likely to affect its future development and performance, and its objectives and policies in managing the financial risks to which it is exposed and its capital are discussed in the Results by Business, Performance Management and Risk Management sections of the Barclays PLC Interim Results Announcement. </w:t>
      </w:r>
    </w:p>
    <w:p w:rsidR="00CC41A9" w:rsidRPr="00491918" w:rsidRDefault="00CC41A9" w:rsidP="00CC41A9">
      <w:pPr>
        <w:pStyle w:val="BodyText-BarcRA6"/>
        <w:rPr>
          <w:color w:val="000000"/>
          <w:szCs w:val="18"/>
        </w:rPr>
      </w:pPr>
      <w:r w:rsidRPr="00491918">
        <w:rPr>
          <w:color w:val="000000"/>
          <w:szCs w:val="18"/>
        </w:rPr>
        <w:t xml:space="preserve">The Directors confirm that they are satisfied that </w:t>
      </w:r>
      <w:r w:rsidRPr="00491918">
        <w:rPr>
          <w:szCs w:val="18"/>
        </w:rPr>
        <w:t xml:space="preserve">Barclays Bank PLC Group </w:t>
      </w:r>
      <w:r w:rsidRPr="00491918">
        <w:rPr>
          <w:color w:val="000000"/>
          <w:szCs w:val="18"/>
        </w:rPr>
        <w:t>has adequate resources to continue in business for the foreseeable future.  For this reason, they continue to adopt the going concern basis for preparing accounts.</w:t>
      </w:r>
    </w:p>
    <w:p w:rsidR="00CC41A9" w:rsidRPr="00491918" w:rsidRDefault="00CC41A9" w:rsidP="00CC41A9">
      <w:pPr>
        <w:rPr>
          <w:color w:val="000000"/>
          <w:szCs w:val="18"/>
        </w:rPr>
        <w:sectPr w:rsidR="00CC41A9" w:rsidRPr="00491918">
          <w:headerReference w:type="default" r:id="rId10"/>
          <w:footerReference w:type="default" r:id="rId11"/>
          <w:pgSz w:w="11905" w:h="16837"/>
          <w:pgMar w:top="851" w:right="1134" w:bottom="567" w:left="1134" w:header="851" w:footer="567" w:gutter="0"/>
          <w:pgNumType w:start="1"/>
          <w:cols w:space="708"/>
        </w:sectPr>
      </w:pPr>
    </w:p>
    <w:p w:rsidR="00CC41A9" w:rsidRPr="00491918" w:rsidRDefault="00CC41A9" w:rsidP="00CC41A9">
      <w:pPr>
        <w:pStyle w:val="HeadingLevel1-BarcRA"/>
      </w:pPr>
      <w:r w:rsidRPr="00491918">
        <w:lastRenderedPageBreak/>
        <w:t>Statement of Directors’ Responsibilities</w:t>
      </w:r>
    </w:p>
    <w:p w:rsidR="00CC41A9" w:rsidRPr="00491918" w:rsidRDefault="00CC41A9" w:rsidP="00CC41A9">
      <w:pPr>
        <w:pStyle w:val="BodyText-BarcRA67"/>
      </w:pPr>
      <w:r w:rsidRPr="00491918">
        <w:t>The Directors confirm to the best of their knowledge that the condensed consolidated interim financial statements set out on pages 5 to 10 have been prepared in accordance with International Accounting Standard 34, ‘Interim Financial Reporting’, as adopted by the European Union, and that the interim management report herein includes a fair review of the information required by Disclosure and Transparency Rules 4.2.7 and 4.2.8 namely:</w:t>
      </w:r>
    </w:p>
    <w:p w:rsidR="00CC41A9" w:rsidRPr="00491918" w:rsidRDefault="00CC41A9" w:rsidP="00CC41A9">
      <w:pPr>
        <w:pStyle w:val="Level1Bullet-BarcRA19"/>
        <w:numPr>
          <w:ilvl w:val="0"/>
          <w:numId w:val="4"/>
        </w:numPr>
      </w:pPr>
      <w:r w:rsidRPr="00491918">
        <w:t>an indication of important events that have occurred during the six months ended 30 June 201</w:t>
      </w:r>
      <w:r w:rsidRPr="00491918">
        <w:rPr>
          <w:lang w:val="en-GB"/>
        </w:rPr>
        <w:t>3</w:t>
      </w:r>
      <w:r w:rsidRPr="00491918">
        <w:t xml:space="preserve"> and their</w:t>
      </w:r>
      <w:r w:rsidRPr="00491918">
        <w:rPr>
          <w:lang w:val="en-GB"/>
        </w:rPr>
        <w:t xml:space="preserve"> </w:t>
      </w:r>
      <w:r w:rsidRPr="00491918">
        <w:t>impact on the condensed consolidated interim financial statements, and a description of the principal risks and</w:t>
      </w:r>
      <w:r w:rsidRPr="00491918">
        <w:rPr>
          <w:lang w:val="en-GB"/>
        </w:rPr>
        <w:t xml:space="preserve"> </w:t>
      </w:r>
      <w:r w:rsidRPr="00491918">
        <w:t>uncertainties for the remaining six months of the financial year; and</w:t>
      </w:r>
    </w:p>
    <w:p w:rsidR="00CC41A9" w:rsidRPr="00491918" w:rsidRDefault="00CC41A9" w:rsidP="00CC41A9">
      <w:pPr>
        <w:pStyle w:val="Level1Bullet-BarcRA19"/>
        <w:numPr>
          <w:ilvl w:val="0"/>
          <w:numId w:val="4"/>
        </w:numPr>
      </w:pPr>
      <w:r w:rsidRPr="00491918">
        <w:t>material related party transactions in the six months ended 30 June 201</w:t>
      </w:r>
      <w:r w:rsidRPr="00491918">
        <w:rPr>
          <w:lang w:val="en-GB"/>
        </w:rPr>
        <w:t>3</w:t>
      </w:r>
      <w:r w:rsidRPr="00491918">
        <w:t xml:space="preserve"> and any material changes in the</w:t>
      </w:r>
      <w:r w:rsidRPr="00491918">
        <w:rPr>
          <w:lang w:val="en-GB"/>
        </w:rPr>
        <w:t xml:space="preserve"> </w:t>
      </w:r>
      <w:r w:rsidRPr="00491918">
        <w:t>related party transactions described in the last Annual Report</w:t>
      </w:r>
      <w:r w:rsidRPr="00491918">
        <w:rPr>
          <w:lang w:val="en-GB"/>
        </w:rPr>
        <w:t>.</w:t>
      </w:r>
    </w:p>
    <w:p w:rsidR="00CC41A9" w:rsidRPr="00491918" w:rsidRDefault="00CC41A9" w:rsidP="00CC41A9">
      <w:pPr>
        <w:pStyle w:val="BodyText-BarcRA67"/>
      </w:pPr>
      <w:r w:rsidRPr="00491918">
        <w:t>On behalf of the Board</w:t>
      </w:r>
    </w:p>
    <w:p w:rsidR="00CC41A9" w:rsidRPr="00491918" w:rsidRDefault="00CC41A9" w:rsidP="00CC41A9">
      <w:pPr>
        <w:pStyle w:val="BodyText-BarcRA67"/>
      </w:pPr>
    </w:p>
    <w:p w:rsidR="00CC41A9" w:rsidRPr="00491918" w:rsidRDefault="00CC41A9" w:rsidP="00CC41A9">
      <w:pPr>
        <w:pStyle w:val="BodyText-BarcRA67"/>
      </w:pPr>
    </w:p>
    <w:p w:rsidR="00CC41A9" w:rsidRPr="00491918" w:rsidRDefault="00CC41A9" w:rsidP="00CC41A9">
      <w:pPr>
        <w:pStyle w:val="BodyText-BarcRA67"/>
      </w:pPr>
    </w:p>
    <w:p w:rsidR="00CC41A9" w:rsidRPr="00491918" w:rsidRDefault="00CC41A9" w:rsidP="00CC41A9">
      <w:pPr>
        <w:pStyle w:val="BodyText-BarcRA67"/>
      </w:pPr>
    </w:p>
    <w:p w:rsidR="00CC41A9" w:rsidRPr="00491918" w:rsidRDefault="00CC41A9" w:rsidP="00CC41A9">
      <w:pPr>
        <w:pStyle w:val="BodyText-BarcRA67"/>
      </w:pPr>
    </w:p>
    <w:p w:rsidR="00CC41A9" w:rsidRPr="00491918" w:rsidRDefault="00CC41A9" w:rsidP="00CC41A9">
      <w:pPr>
        <w:pStyle w:val="BodyText-BarcRA67"/>
      </w:pPr>
    </w:p>
    <w:p w:rsidR="00CC41A9" w:rsidRPr="00491918" w:rsidRDefault="00CC41A9" w:rsidP="00CC41A9">
      <w:pPr>
        <w:pStyle w:val="BodyText-BarcRA67"/>
      </w:pPr>
    </w:p>
    <w:p w:rsidR="00CC41A9" w:rsidRPr="00491918" w:rsidRDefault="00CC41A9" w:rsidP="00CC41A9">
      <w:pPr>
        <w:pStyle w:val="BodyText-BarcRA67"/>
        <w:rPr>
          <w:b/>
        </w:rPr>
      </w:pPr>
      <w:r w:rsidRPr="00491918">
        <w:rPr>
          <w:b/>
        </w:rPr>
        <w:t xml:space="preserve">Anthony Jenkins </w:t>
      </w:r>
      <w:r w:rsidRPr="00491918">
        <w:rPr>
          <w:b/>
        </w:rPr>
        <w:tab/>
      </w:r>
      <w:r w:rsidRPr="00491918">
        <w:rPr>
          <w:b/>
        </w:rPr>
        <w:tab/>
      </w:r>
      <w:r w:rsidRPr="00491918">
        <w:rPr>
          <w:b/>
        </w:rPr>
        <w:tab/>
      </w:r>
      <w:r w:rsidRPr="00491918">
        <w:rPr>
          <w:b/>
        </w:rPr>
        <w:tab/>
      </w:r>
      <w:r w:rsidRPr="00491918">
        <w:rPr>
          <w:b/>
        </w:rPr>
        <w:tab/>
      </w:r>
      <w:r w:rsidRPr="00491918">
        <w:rPr>
          <w:b/>
        </w:rPr>
        <w:tab/>
        <w:t>Chris Lucas</w:t>
      </w:r>
    </w:p>
    <w:p w:rsidR="00CC41A9" w:rsidRPr="00491918" w:rsidRDefault="00CC41A9" w:rsidP="00CC41A9">
      <w:pPr>
        <w:pStyle w:val="BodyText-BarcRA67"/>
      </w:pPr>
      <w:r w:rsidRPr="00491918">
        <w:t xml:space="preserve">Chief Executive </w:t>
      </w:r>
      <w:r w:rsidRPr="00491918">
        <w:tab/>
      </w:r>
      <w:r w:rsidRPr="00491918">
        <w:tab/>
      </w:r>
      <w:r w:rsidRPr="00491918">
        <w:tab/>
      </w:r>
      <w:r w:rsidRPr="00491918">
        <w:tab/>
      </w:r>
      <w:r w:rsidRPr="00491918">
        <w:tab/>
      </w:r>
      <w:r w:rsidRPr="00491918">
        <w:tab/>
        <w:t>Group Finance Director</w:t>
      </w:r>
    </w:p>
    <w:p w:rsidR="00CC41A9" w:rsidRPr="00491918" w:rsidRDefault="00CC41A9" w:rsidP="00CC41A9">
      <w:pPr>
        <w:sectPr w:rsidR="00CC41A9" w:rsidRPr="00491918">
          <w:headerReference w:type="default" r:id="rId12"/>
          <w:pgSz w:w="11905" w:h="16837"/>
          <w:pgMar w:top="851" w:right="1134" w:bottom="567" w:left="1134" w:header="851" w:footer="567" w:gutter="0"/>
          <w:cols w:space="708"/>
        </w:sectPr>
      </w:pPr>
    </w:p>
    <w:p w:rsidR="00CC41A9" w:rsidRPr="00491918" w:rsidRDefault="00CC41A9" w:rsidP="00CC41A9">
      <w:pPr>
        <w:pStyle w:val="HeadingLevel1-BarcRA"/>
      </w:pPr>
      <w:r w:rsidRPr="00491918">
        <w:lastRenderedPageBreak/>
        <w:t>Independent Auditor’s Review</w:t>
      </w:r>
    </w:p>
    <w:p w:rsidR="00CC41A9" w:rsidRPr="00491918" w:rsidRDefault="00CC41A9" w:rsidP="00CC41A9">
      <w:pPr>
        <w:pStyle w:val="HeadingLevel1-BarcRA4"/>
        <w:rPr>
          <w:color w:val="auto"/>
        </w:rPr>
      </w:pPr>
      <w:r w:rsidRPr="00491918">
        <w:rPr>
          <w:color w:val="auto"/>
        </w:rPr>
        <w:t>Independent Auditors’ Review Report to Barclays Bank PLC</w:t>
      </w:r>
    </w:p>
    <w:p w:rsidR="00CC41A9" w:rsidRPr="00491918" w:rsidRDefault="00CC41A9" w:rsidP="00CC41A9">
      <w:pPr>
        <w:pStyle w:val="HeadingLevel2-BarcRA24"/>
      </w:pPr>
      <w:r w:rsidRPr="00491918">
        <w:t>Introduction</w:t>
      </w:r>
    </w:p>
    <w:p w:rsidR="00CC41A9" w:rsidRPr="00491918" w:rsidRDefault="00CC41A9" w:rsidP="00CC41A9">
      <w:pPr>
        <w:rPr>
          <w:sz w:val="18"/>
          <w:szCs w:val="18"/>
        </w:rPr>
      </w:pPr>
    </w:p>
    <w:p w:rsidR="00CC41A9" w:rsidRPr="00491918" w:rsidRDefault="00CC41A9" w:rsidP="00CC41A9">
      <w:pPr>
        <w:rPr>
          <w:b/>
          <w:sz w:val="18"/>
          <w:szCs w:val="18"/>
        </w:rPr>
      </w:pPr>
      <w:r w:rsidRPr="00491918">
        <w:rPr>
          <w:sz w:val="18"/>
          <w:szCs w:val="18"/>
        </w:rPr>
        <w:t>We have been engaged by Barclays Bank PLC to review the condensed set of consolidated interim financial statements in the interim results announcement for the six months ended 30 June 2013, which comprises the Condensed Consolidated Income Statement, Condensed Consolidated Statement of Profit or Loss and other Comprehensive Income, Condensed Consolidated Balance Sheet, Condensed Consolidated Statement of Changes in Equity, Condensed Consolidated Cash Flow Statement and related notes. We have read the other information contained in the interim results announcement and considered whether it contains any apparent misstatements or material inconsistencies with the information in the condensed consolidated interim financial statements.</w:t>
      </w:r>
    </w:p>
    <w:p w:rsidR="00CC41A9" w:rsidRPr="00491918" w:rsidRDefault="00CC41A9" w:rsidP="00CC41A9">
      <w:pPr>
        <w:pStyle w:val="HeadingLevel2-BarcRA24"/>
      </w:pPr>
      <w:r w:rsidRPr="00491918">
        <w:t xml:space="preserve"> Directors’ Responsibilities</w:t>
      </w:r>
      <w:r w:rsidRPr="00491918">
        <w:rPr>
          <w:vertAlign w:val="superscript"/>
          <w:lang w:val="en-GB"/>
        </w:rPr>
        <w:t>1,2</w:t>
      </w:r>
    </w:p>
    <w:p w:rsidR="00CC41A9" w:rsidRPr="00491918" w:rsidRDefault="00CC41A9" w:rsidP="00CC41A9">
      <w:pPr>
        <w:rPr>
          <w:sz w:val="18"/>
          <w:szCs w:val="18"/>
        </w:rPr>
      </w:pPr>
    </w:p>
    <w:p w:rsidR="00CC41A9" w:rsidRPr="00491918" w:rsidRDefault="00CC41A9" w:rsidP="00CC41A9">
      <w:pPr>
        <w:rPr>
          <w:sz w:val="18"/>
          <w:szCs w:val="18"/>
        </w:rPr>
      </w:pPr>
      <w:r w:rsidRPr="00491918">
        <w:rPr>
          <w:sz w:val="18"/>
          <w:szCs w:val="18"/>
        </w:rPr>
        <w:t>The interim results announcement is the responsibility of, and has been approved by, the Directors. The Directors are responsible for preparing the interim results announcement in accordance with the Disclosure and Transparency Rules of the United Kingdom's Financial Conduct Authority.</w:t>
      </w:r>
    </w:p>
    <w:p w:rsidR="00CC41A9" w:rsidRPr="00491918" w:rsidRDefault="00CC41A9" w:rsidP="00CC41A9">
      <w:pPr>
        <w:rPr>
          <w:sz w:val="18"/>
          <w:szCs w:val="18"/>
        </w:rPr>
      </w:pPr>
    </w:p>
    <w:p w:rsidR="00CC41A9" w:rsidRPr="00491918" w:rsidRDefault="00CC41A9" w:rsidP="00CC41A9">
      <w:pPr>
        <w:rPr>
          <w:sz w:val="18"/>
          <w:szCs w:val="18"/>
        </w:rPr>
      </w:pPr>
      <w:r w:rsidRPr="00491918">
        <w:rPr>
          <w:sz w:val="18"/>
          <w:szCs w:val="18"/>
        </w:rPr>
        <w:t>As disclosed in the ‘Accounting Policies’ section, the annual financial statements of the Group are prepared in accordance with IFRSs as adopted by the European Union. The condensed consolidated interim financial statements included in this interim results announcement has been prepared in accordance with International Accounting Standard 34, "Interim Financial Reporting", as adopted by the European Union.</w:t>
      </w:r>
    </w:p>
    <w:p w:rsidR="00CC41A9" w:rsidRPr="00491918" w:rsidRDefault="00CC41A9" w:rsidP="00CC41A9">
      <w:pPr>
        <w:pStyle w:val="HeadingLevel2-BarcRA24"/>
      </w:pPr>
      <w:r w:rsidRPr="00491918">
        <w:t xml:space="preserve"> Our Responsibility</w:t>
      </w:r>
    </w:p>
    <w:p w:rsidR="00CC41A9" w:rsidRPr="00491918" w:rsidRDefault="00CC41A9" w:rsidP="00CC41A9">
      <w:pPr>
        <w:rPr>
          <w:sz w:val="18"/>
          <w:szCs w:val="18"/>
        </w:rPr>
      </w:pPr>
    </w:p>
    <w:p w:rsidR="00CC41A9" w:rsidRPr="00491918" w:rsidRDefault="00CC41A9" w:rsidP="00CC41A9">
      <w:pPr>
        <w:rPr>
          <w:sz w:val="18"/>
          <w:szCs w:val="18"/>
        </w:rPr>
      </w:pPr>
      <w:r w:rsidRPr="00491918">
        <w:rPr>
          <w:sz w:val="18"/>
          <w:szCs w:val="18"/>
        </w:rPr>
        <w:t>Our responsibility is to express to the company a conclusion on the condensed consolidated interim financial statements in the interim results announcement based on our review. This report, including the conclusion, has been prepared for and only for the company for the purpose of the Disclosure and Transparency Rules of the Financial Conduct Authority and for no other purpose. We do not, in producing this report, accept or assume responsibility for any other purpose or to any other person to whom this report is shown or into whose hands it may come save where expressly agreed by our prior consent in writing.</w:t>
      </w:r>
    </w:p>
    <w:p w:rsidR="00CC41A9" w:rsidRPr="00491918" w:rsidRDefault="00CC41A9" w:rsidP="00CC41A9">
      <w:pPr>
        <w:pStyle w:val="HeadingLevel2-BarcRA24"/>
      </w:pPr>
      <w:r w:rsidRPr="00491918">
        <w:t xml:space="preserve"> Scope of Review</w:t>
      </w:r>
    </w:p>
    <w:p w:rsidR="00CC41A9" w:rsidRPr="00491918" w:rsidRDefault="00CC41A9" w:rsidP="00CC41A9">
      <w:pPr>
        <w:pStyle w:val="HeadingLevel2-BarcRA24"/>
        <w:rPr>
          <w:b w:val="0"/>
          <w:sz w:val="18"/>
          <w:szCs w:val="18"/>
          <w:lang w:val="en-GB"/>
        </w:rPr>
      </w:pPr>
      <w:r w:rsidRPr="00491918">
        <w:rPr>
          <w:b w:val="0"/>
          <w:sz w:val="18"/>
          <w:szCs w:val="18"/>
        </w:rPr>
        <w:t>We conducted our review in accordance with International Standard on Review Engagements (UK and Ireland) 2410, ‘Review of Interim Financial Information Performed by the Independent Auditor of the Entity’ issued by the Auditing Practices Board for use in the United Kingdom.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(UK and Ireland) and consequently does not enable us to obtain assurance that we would become aware of all significant matters that might be identified in an audit. Accordingly, we do not express an audit opinion</w:t>
      </w:r>
      <w:r w:rsidRPr="00491918">
        <w:rPr>
          <w:b w:val="0"/>
          <w:sz w:val="18"/>
          <w:szCs w:val="18"/>
          <w:lang w:val="en-GB"/>
        </w:rPr>
        <w:t>.</w:t>
      </w:r>
    </w:p>
    <w:p w:rsidR="00CC41A9" w:rsidRPr="00491918" w:rsidRDefault="00CC41A9" w:rsidP="00CC41A9">
      <w:pPr>
        <w:pStyle w:val="HeadingLevel2-BarcRA24"/>
      </w:pPr>
      <w:r w:rsidRPr="00491918">
        <w:rPr>
          <w:sz w:val="32"/>
          <w:szCs w:val="32"/>
        </w:rPr>
        <w:t xml:space="preserve"> </w:t>
      </w:r>
      <w:r w:rsidRPr="00491918">
        <w:t>Conclusion</w:t>
      </w:r>
    </w:p>
    <w:p w:rsidR="00CC41A9" w:rsidRPr="00491918" w:rsidRDefault="00CC41A9" w:rsidP="00CC41A9">
      <w:pPr>
        <w:rPr>
          <w:sz w:val="18"/>
          <w:szCs w:val="18"/>
        </w:rPr>
      </w:pPr>
    </w:p>
    <w:p w:rsidR="00CC41A9" w:rsidRPr="00491918" w:rsidRDefault="00CC41A9" w:rsidP="00CC41A9">
      <w:pPr>
        <w:rPr>
          <w:sz w:val="18"/>
          <w:szCs w:val="18"/>
        </w:rPr>
      </w:pPr>
      <w:r w:rsidRPr="00491918">
        <w:rPr>
          <w:sz w:val="18"/>
          <w:szCs w:val="18"/>
        </w:rPr>
        <w:t>Based on our review, nothing has come to our attention that causes us to believe that the condensed consolidated interim financial statements in the interim results announcement for the six months ended 30 June 2013 are not prepared, in all material respects, in accordance with International Accounting Standard 34 as adopted by the European Union and the Disclosure and Transparency Rules of the United Kingdom's Financial Conduct Authority.</w:t>
      </w:r>
    </w:p>
    <w:p w:rsidR="00CC41A9" w:rsidRPr="00491918" w:rsidRDefault="00CC41A9" w:rsidP="00CC41A9">
      <w:pPr>
        <w:pStyle w:val="BodyText-BarcRA69"/>
        <w:spacing w:before="0" w:after="0"/>
      </w:pPr>
    </w:p>
    <w:p w:rsidR="00CC41A9" w:rsidRPr="00491918" w:rsidRDefault="00CC41A9" w:rsidP="00CC41A9">
      <w:pPr>
        <w:pStyle w:val="BodyText-BarcRA69"/>
        <w:spacing w:before="0" w:after="0"/>
      </w:pPr>
    </w:p>
    <w:p w:rsidR="00CC41A9" w:rsidRPr="00491918" w:rsidRDefault="00CC41A9" w:rsidP="00CC41A9">
      <w:pPr>
        <w:pStyle w:val="BodyText-BarcRA69"/>
        <w:spacing w:before="0" w:after="0"/>
      </w:pPr>
      <w:r w:rsidRPr="00491918">
        <w:t>PricewaterhouseCoopers LLP</w:t>
      </w:r>
    </w:p>
    <w:p w:rsidR="00CC41A9" w:rsidRPr="00491918" w:rsidRDefault="00CC41A9" w:rsidP="00CC41A9">
      <w:pPr>
        <w:pStyle w:val="BodyText-BarcRA69"/>
        <w:spacing w:before="0" w:after="0"/>
      </w:pPr>
      <w:r w:rsidRPr="00491918">
        <w:t xml:space="preserve">Chartered Accountants London, </w:t>
      </w:r>
    </w:p>
    <w:p w:rsidR="00CC41A9" w:rsidRPr="00491918" w:rsidRDefault="00CC41A9" w:rsidP="00CC41A9">
      <w:pPr>
        <w:pStyle w:val="BodyText-BarcRA69"/>
        <w:spacing w:before="0" w:after="0"/>
      </w:pPr>
      <w:r w:rsidRPr="00491918">
        <w:t xml:space="preserve">United Kingdom </w:t>
      </w:r>
    </w:p>
    <w:p w:rsidR="00CC41A9" w:rsidRPr="00491918" w:rsidRDefault="00CC41A9" w:rsidP="00CC41A9">
      <w:pPr>
        <w:pStyle w:val="BodyText-BarcRA69"/>
        <w:spacing w:before="0" w:after="0"/>
      </w:pPr>
      <w:r w:rsidRPr="00491918">
        <w:t>29 July 2013</w:t>
      </w:r>
    </w:p>
    <w:p w:rsidR="00CC41A9" w:rsidRPr="00491918" w:rsidRDefault="00CC41A9" w:rsidP="00CC41A9">
      <w:pPr>
        <w:pStyle w:val="BodyText-BarcRA69"/>
        <w:spacing w:before="0" w:after="0"/>
      </w:pPr>
    </w:p>
    <w:p w:rsidR="00CC41A9" w:rsidRPr="00491918" w:rsidRDefault="00CC41A9" w:rsidP="00CC41A9">
      <w:pPr>
        <w:pStyle w:val="NoteSourceText-BarcRA17"/>
      </w:pPr>
    </w:p>
    <w:p w:rsidR="00CC41A9" w:rsidRPr="00491918" w:rsidRDefault="00CC41A9" w:rsidP="00CC41A9">
      <w:pPr>
        <w:pStyle w:val="NoteSourceText-BarcRA17"/>
      </w:pPr>
      <w:r w:rsidRPr="00491918">
        <w:t>1</w:t>
      </w:r>
      <w:r w:rsidRPr="00491918">
        <w:tab/>
        <w:t>The maintenance and integrity of the Barclays website is the responsibility of the Directors; the work carried out by the auditors does not involve</w:t>
      </w:r>
    </w:p>
    <w:p w:rsidR="00CC41A9" w:rsidRPr="00491918" w:rsidRDefault="00CC41A9" w:rsidP="00CC41A9">
      <w:pPr>
        <w:pStyle w:val="NoteSourceText-BarcRA17"/>
      </w:pPr>
      <w:r w:rsidRPr="00491918">
        <w:tab/>
        <w:t>consideration of these matters and, accordingly, the auditors accept no responsibility for any changes that may have occurred to the financial</w:t>
      </w:r>
    </w:p>
    <w:p w:rsidR="00CC41A9" w:rsidRPr="00491918" w:rsidRDefault="00CC41A9" w:rsidP="00CC41A9">
      <w:pPr>
        <w:pStyle w:val="NoteSourceText-BarcRA17"/>
      </w:pPr>
      <w:r w:rsidRPr="00491918">
        <w:tab/>
        <w:t>statements since they were initially presented on the website.</w:t>
      </w:r>
    </w:p>
    <w:p w:rsidR="00CC41A9" w:rsidRPr="00491918" w:rsidRDefault="00CC41A9" w:rsidP="00CC41A9">
      <w:pPr>
        <w:pStyle w:val="NoteSourceText-BarcRA17"/>
      </w:pPr>
      <w:r w:rsidRPr="00491918">
        <w:t>2</w:t>
      </w:r>
      <w:r w:rsidRPr="00491918">
        <w:tab/>
        <w:t>Legislation in the United Kingdom governing the preparation and dissemination of financial statements may differ from legislation in other jurisdictions.</w:t>
      </w:r>
    </w:p>
    <w:p w:rsidR="00CC41A9" w:rsidRPr="00491918" w:rsidRDefault="00CC41A9" w:rsidP="00CC41A9">
      <w:pPr>
        <w:sectPr w:rsidR="00CC41A9" w:rsidRPr="00491918">
          <w:headerReference w:type="default" r:id="rId13"/>
          <w:pgSz w:w="11905" w:h="16837"/>
          <w:pgMar w:top="851" w:right="1134" w:bottom="567" w:left="1134" w:header="851" w:footer="567" w:gutter="0"/>
          <w:cols w:space="708"/>
        </w:sectPr>
      </w:pPr>
    </w:p>
    <w:p w:rsidR="00CC41A9" w:rsidRPr="00491918" w:rsidRDefault="00CC41A9" w:rsidP="00CC41A9">
      <w:pPr>
        <w:pStyle w:val="HeadingLevel1-BarcRA"/>
      </w:pPr>
      <w:r w:rsidRPr="00491918">
        <w:lastRenderedPageBreak/>
        <w:t xml:space="preserve">Condensed Consolidated Financial Statements </w:t>
      </w:r>
    </w:p>
    <w:tbl>
      <w:tblPr>
        <w:tblW w:w="0" w:type="auto"/>
        <w:tblLayout w:type="fixed"/>
        <w:tblLook w:val="0000" w:firstRow="0" w:lastRow="0" w:firstColumn="0" w:lastColumn="0" w:noHBand="0" w:noVBand="0"/>
      </w:tblPr>
      <w:tblGrid>
        <w:gridCol w:w="5715"/>
        <w:gridCol w:w="600"/>
        <w:gridCol w:w="1110"/>
        <w:gridCol w:w="1110"/>
        <w:gridCol w:w="1110"/>
      </w:tblGrid>
      <w:tr w:rsidR="00CC41A9" w:rsidRPr="00491918" w:rsidTr="00073B17">
        <w:trPr>
          <w:trHeight w:val="315"/>
        </w:trPr>
        <w:tc>
          <w:tcPr>
            <w:tcW w:w="9645" w:type="dxa"/>
            <w:gridSpan w:val="5"/>
            <w:tcBorders>
              <w:top w:val="nil"/>
              <w:left w:val="nil"/>
              <w:bottom w:val="nil"/>
              <w:right w:val="nil"/>
            </w:tcBorders>
            <w:shd w:val="clear" w:color="auto" w:fill="FFFFFF"/>
            <w:tcMar>
              <w:left w:w="36" w:type="dxa"/>
              <w:right w:w="36" w:type="dxa"/>
            </w:tcMar>
            <w:vAlign w:val="center"/>
          </w:tcPr>
          <w:p w:rsidR="00CC41A9" w:rsidRPr="00491918" w:rsidRDefault="00CC41A9" w:rsidP="00073B17">
            <w:r w:rsidRPr="00491918">
              <w:rPr>
                <w:b/>
                <w:color w:val="000000"/>
                <w:sz w:val="24"/>
              </w:rPr>
              <w:t>Condensed Consolidated Income Statement (Unaudited)</w:t>
            </w:r>
          </w:p>
        </w:tc>
      </w:tr>
      <w:tr w:rsidR="00CC41A9" w:rsidRPr="00491918" w:rsidTr="00073B17">
        <w:trPr>
          <w:trHeight w:val="48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rFonts w:ascii="Calibri" w:eastAsia="Calibri" w:hAnsi="Calibri" w:cs="Calibri"/>
                <w:b/>
                <w:color w:val="000000"/>
                <w:sz w:val="16"/>
              </w:rPr>
              <w:t xml:space="preserve"> </w:t>
            </w:r>
            <w:r w:rsidRPr="00491918">
              <w:rPr>
                <w:b/>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color w:val="000000"/>
                <w:sz w:val="16"/>
                <w:vertAlign w:val="superscript"/>
              </w:rPr>
            </w:pPr>
            <w:r w:rsidRPr="00491918">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Half Year Ended</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Continuing Operations</w:t>
            </w:r>
            <w:r w:rsidRPr="00491918">
              <w:rPr>
                <w:b/>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color w:val="000000"/>
                <w:sz w:val="16"/>
                <w:vertAlign w:val="superscript"/>
              </w:rPr>
            </w:pPr>
            <w:r w:rsidRPr="00491918">
              <w:rPr>
                <w:b/>
                <w:color w:val="000000"/>
                <w:sz w:val="16"/>
              </w:rPr>
              <w:t>30.06.13</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31.12.12</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30.06.12</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Notes</w:t>
            </w:r>
            <w:r w:rsidRPr="00491918">
              <w:rPr>
                <w:color w:val="000000"/>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r>
    </w:tbl>
    <w:p w:rsidR="00CC41A9" w:rsidRPr="00491918" w:rsidRDefault="00CC41A9" w:rsidP="00CC41A9"/>
    <w:tbl>
      <w:tblPr>
        <w:tblW w:w="0" w:type="auto"/>
        <w:tblLayout w:type="fixed"/>
        <w:tblLook w:val="0000" w:firstRow="0" w:lastRow="0" w:firstColumn="0" w:lastColumn="0" w:noHBand="0" w:noVBand="0"/>
      </w:tblPr>
      <w:tblGrid>
        <w:gridCol w:w="5715"/>
        <w:gridCol w:w="600"/>
        <w:gridCol w:w="1110"/>
        <w:gridCol w:w="1110"/>
        <w:gridCol w:w="1110"/>
      </w:tblGrid>
      <w:tr w:rsidR="00CC41A9" w:rsidRPr="00491918" w:rsidTr="00073B17">
        <w:trPr>
          <w:trHeight w:val="240"/>
        </w:trPr>
        <w:tc>
          <w:tcPr>
            <w:tcW w:w="5715"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Net interest income</w:t>
            </w:r>
            <w:r w:rsidRPr="00491918">
              <w:rPr>
                <w:color w:val="000000"/>
                <w:sz w:val="16"/>
                <w:vertAlign w:val="superscript"/>
              </w:rPr>
              <w:t xml:space="preserve"> </w:t>
            </w:r>
          </w:p>
        </w:tc>
        <w:tc>
          <w:tcPr>
            <w:tcW w:w="60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5,601 </w:t>
            </w:r>
          </w:p>
        </w:tc>
        <w:tc>
          <w:tcPr>
            <w:tcW w:w="1110"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5,523 </w:t>
            </w:r>
          </w:p>
        </w:tc>
        <w:tc>
          <w:tcPr>
            <w:tcW w:w="1110"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6,127 </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Net fee and commission income</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4,396 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4,306 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4,230 </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Net trading income</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4,570 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1,741 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1,609 </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Net investment income</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417 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479 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211 </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Net premiums from insurance contracts</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387 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380 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516 </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Net gain on disposal of investment in BlackRock, Inc.</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227 </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 income</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32 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48 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60 </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 xml:space="preserve">Total income </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15,403 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12,477 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12,980 </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Net claims and benefits incurred on insurance contracts</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(268)</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(237)</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(363)</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income net of insurance claims</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15,135 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12,240 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12,617 </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Credit impairment charges and other provisions</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(1,631)</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(1,630)</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(1,710)</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Net operating income</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13,504 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10,610 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10,907 </w:t>
            </w:r>
          </w:p>
        </w:tc>
      </w:tr>
      <w:tr w:rsidR="00CC41A9" w:rsidRPr="00491918" w:rsidTr="00073B17">
        <w:trPr>
          <w:trHeight w:hRule="exac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Staff costs</w:t>
            </w:r>
            <w:r w:rsidRPr="00491918">
              <w:rPr>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(6,431)</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(5,522)</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(5,945)</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Administration and general expenses</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(3,357)</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(3,172)</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(3,573)</w:t>
            </w:r>
          </w:p>
        </w:tc>
      </w:tr>
      <w:tr w:rsidR="00CC41A9" w:rsidRPr="00491918" w:rsidTr="00073B17">
        <w:trPr>
          <w:trHeight w:val="48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Operating expenses excluding UK bank levy, provisions for PPI and interest rate hedging products redress</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(9,788)</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(8,694)</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(9,518)</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UK bank levy</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(345)</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p>
        </w:tc>
      </w:tr>
      <w:tr w:rsidR="00CC41A9" w:rsidRPr="00491918" w:rsidTr="00073B17">
        <w:trPr>
          <w:trHeigh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Provision for PPI redress</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(1,350)</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(1,300)</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(300)</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Provision for interest rate hedging products redress</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(650)</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(400)</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(450)</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Operating expenses</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(11,788)</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(10,739)</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(10,268)</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val="495"/>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(Loss)/profit on disposal of undertakings and share of results of associates and joint ventures</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(68)</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63 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77 </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Profit/(loss) before tax</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1,648 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(66)</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716 </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Tax</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(590)</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(304)</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(313)</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Profit/(loss) after tax</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1,058 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(370)</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403 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Attributable to:</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Equity holders of the parent</w:t>
            </w:r>
            <w:r w:rsidRPr="00491918">
              <w:rPr>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886 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(533)</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227 </w:t>
            </w:r>
          </w:p>
        </w:tc>
      </w:tr>
      <w:tr w:rsidR="00CC41A9" w:rsidRPr="00491918" w:rsidTr="00073B17">
        <w:trPr>
          <w:trHeight w:val="240"/>
        </w:trPr>
        <w:tc>
          <w:tcPr>
            <w:tcW w:w="571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Non-controlling interests</w:t>
            </w:r>
            <w:r w:rsidRPr="00491918">
              <w:rPr>
                <w:color w:val="000000"/>
                <w:sz w:val="16"/>
                <w:vertAlign w:val="superscript"/>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1 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172 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163 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176 </w:t>
            </w:r>
          </w:p>
        </w:tc>
      </w:tr>
      <w:tr w:rsidR="00CC41A9" w:rsidRPr="00491918" w:rsidTr="00073B17">
        <w:trPr>
          <w:trHeight w:val="240"/>
        </w:trPr>
        <w:tc>
          <w:tcPr>
            <w:tcW w:w="571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Profit/ (loss) after tax</w:t>
            </w:r>
            <w:r w:rsidRPr="00491918">
              <w:rPr>
                <w:b/>
                <w:color w:val="000000"/>
                <w:sz w:val="16"/>
                <w:vertAlign w:val="superscript"/>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1,058 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(370)</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403 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r w:rsidRPr="00491918">
              <w:rPr>
                <w:color w:val="000000"/>
                <w:sz w:val="16"/>
                <w:vertAlign w:val="superscript"/>
              </w:rPr>
              <w:t xml:space="preserve"> </w:t>
            </w:r>
          </w:p>
          <w:p w:rsidR="00CC41A9" w:rsidRPr="00491918" w:rsidRDefault="00CC41A9" w:rsidP="00073B17">
            <w:pPr>
              <w:rPr>
                <w:color w:val="000000"/>
                <w:sz w:val="16"/>
                <w:vertAlign w:val="superscript"/>
              </w:rPr>
            </w:pPr>
          </w:p>
          <w:p w:rsidR="00CC41A9" w:rsidRPr="00491918" w:rsidRDefault="00CC41A9" w:rsidP="00073B17">
            <w:pPr>
              <w:rPr>
                <w:color w:val="000000"/>
                <w:sz w:val="16"/>
                <w:vertAlign w:val="superscript"/>
              </w:rPr>
            </w:pPr>
          </w:p>
          <w:p w:rsidR="00CC41A9" w:rsidRPr="00491918" w:rsidRDefault="00CC41A9" w:rsidP="00073B17">
            <w:pPr>
              <w:rPr>
                <w:color w:val="000000"/>
                <w:sz w:val="16"/>
              </w:rPr>
            </w:pP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315"/>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r>
      <w:tr w:rsidR="00CC41A9" w:rsidRPr="00491918" w:rsidTr="00073B17">
        <w:trPr>
          <w:trHeight w:hRule="exact" w:val="315"/>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r>
      <w:tr w:rsidR="00CC41A9" w:rsidRPr="00491918" w:rsidTr="00073B17">
        <w:trPr>
          <w:trHeight w:hRule="exact" w:val="315"/>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p>
        </w:tc>
      </w:tr>
      <w:tr w:rsidR="00CC41A9" w:rsidRPr="00491918" w:rsidTr="00073B17">
        <w:trPr>
          <w:trHeight w:hRule="exact" w:val="315"/>
        </w:trPr>
        <w:tc>
          <w:tcPr>
            <w:tcW w:w="571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60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bl>
    <w:p w:rsidR="00CC41A9" w:rsidRPr="00491918" w:rsidRDefault="00CC41A9" w:rsidP="00CC41A9"/>
    <w:p w:rsidR="00CC41A9" w:rsidRPr="00491918" w:rsidRDefault="00CC41A9" w:rsidP="00CC41A9">
      <w:pPr>
        <w:pStyle w:val="Normal7"/>
      </w:pPr>
    </w:p>
    <w:p w:rsidR="00CC41A9" w:rsidRPr="00491918" w:rsidRDefault="00CC41A9" w:rsidP="00CC41A9">
      <w:pPr>
        <w:pStyle w:val="NoteandSourceText-BarcRA"/>
        <w:numPr>
          <w:ilvl w:val="0"/>
          <w:numId w:val="259"/>
        </w:numPr>
        <w:ind w:left="284" w:hanging="284"/>
      </w:pPr>
      <w:r w:rsidRPr="00491918">
        <w:t>For notes specific to Barclays Bank PLC see page 10 and for those that also relate to B</w:t>
      </w:r>
      <w:r w:rsidR="009620C5">
        <w:t>arclays PLC see pages 97 to 130</w:t>
      </w:r>
      <w:r w:rsidRPr="00491918">
        <w:t xml:space="preserve"> in the Barclays PLC Results Announcement.</w:t>
      </w:r>
    </w:p>
    <w:p w:rsidR="00CC41A9" w:rsidRPr="00491918" w:rsidRDefault="00CC41A9" w:rsidP="00CC41A9">
      <w:pPr>
        <w:spacing w:line="14" w:lineRule="exact"/>
      </w:pPr>
      <w:r w:rsidRPr="00491918">
        <w:br w:type="page"/>
      </w:r>
    </w:p>
    <w:p w:rsidR="00CC41A9" w:rsidRPr="00491918" w:rsidRDefault="00CC41A9" w:rsidP="00CC41A9">
      <w:pPr>
        <w:pStyle w:val="HeadingLevel1-BarcRA"/>
      </w:pPr>
      <w:r w:rsidRPr="00491918">
        <w:lastRenderedPageBreak/>
        <w:t xml:space="preserve">Condensed Consolidated Financial Statements </w:t>
      </w:r>
    </w:p>
    <w:tbl>
      <w:tblPr>
        <w:tblW w:w="0" w:type="auto"/>
        <w:tblLayout w:type="fixed"/>
        <w:tblLook w:val="0000" w:firstRow="0" w:lastRow="0" w:firstColumn="0" w:lastColumn="0" w:noHBand="0" w:noVBand="0"/>
      </w:tblPr>
      <w:tblGrid>
        <w:gridCol w:w="5205"/>
        <w:gridCol w:w="1110"/>
        <w:gridCol w:w="1110"/>
        <w:gridCol w:w="1110"/>
        <w:gridCol w:w="1110"/>
      </w:tblGrid>
      <w:tr w:rsidR="00CC41A9" w:rsidRPr="00491918" w:rsidTr="00073B17">
        <w:trPr>
          <w:trHeight w:val="240"/>
        </w:trPr>
        <w:tc>
          <w:tcPr>
            <w:tcW w:w="9645" w:type="dxa"/>
            <w:gridSpan w:val="5"/>
            <w:tcBorders>
              <w:top w:val="nil"/>
              <w:left w:val="nil"/>
              <w:bottom w:val="nil"/>
              <w:right w:val="nil"/>
            </w:tcBorders>
            <w:shd w:val="clear" w:color="auto" w:fill="FFFFFF"/>
            <w:tcMar>
              <w:left w:w="36" w:type="dxa"/>
              <w:right w:w="36" w:type="dxa"/>
            </w:tcMar>
            <w:vAlign w:val="center"/>
          </w:tcPr>
          <w:p w:rsidR="00CC41A9" w:rsidRPr="00491918" w:rsidRDefault="00CC41A9" w:rsidP="00073B17">
            <w:r w:rsidRPr="00491918">
              <w:rPr>
                <w:b/>
                <w:color w:val="000000"/>
                <w:sz w:val="24"/>
              </w:rPr>
              <w:t>Condensed Consolidated Statement of Profit or Loss and other Comprehensive Income (Unaudited)</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r w:rsidRPr="00491918">
              <w:rPr>
                <w:b/>
                <w:color w:val="000000"/>
                <w:sz w:val="24"/>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vertAlign w:val="superscript"/>
              </w:rPr>
            </w:pPr>
            <w:r w:rsidRPr="00491918">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r>
      <w:tr w:rsidR="00CC41A9" w:rsidRPr="00491918" w:rsidTr="00073B17">
        <w:trPr>
          <w:trHeight w:val="48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rFonts w:ascii="Calibri" w:eastAsia="Calibri" w:hAnsi="Calibri" w:cs="Calibri"/>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rFonts w:ascii="Calibri" w:eastAsia="Calibri" w:hAnsi="Calibri" w:cs="Calibri"/>
                <w:b/>
                <w:color w:val="000000"/>
                <w:sz w:val="16"/>
              </w:rPr>
            </w:pPr>
            <w:r w:rsidRPr="00491918">
              <w:rPr>
                <w:rFonts w:ascii="Calibri" w:eastAsia="Calibri" w:hAnsi="Calibri" w:cs="Calibri"/>
                <w:b/>
                <w:color w:val="000000"/>
                <w:sz w:val="16"/>
              </w:rPr>
              <w:t xml:space="preserve"> </w:t>
            </w:r>
            <w:r w:rsidRPr="00491918">
              <w:rPr>
                <w:rFonts w:ascii="Calibri" w:eastAsia="Calibri" w:hAnsi="Calibri" w:cs="Calibri"/>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rFonts w:ascii="Calibri" w:eastAsia="Calibri" w:hAnsi="Calibri" w:cs="Calibri"/>
                <w:b/>
                <w:color w:val="000000"/>
                <w:sz w:val="16"/>
                <w:vertAlign w:val="superscript"/>
              </w:rPr>
            </w:pPr>
            <w:r w:rsidRPr="00491918">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Half Year Ended</w:t>
            </w:r>
          </w:p>
        </w:tc>
      </w:tr>
      <w:tr w:rsidR="00CC41A9" w:rsidRPr="00491918" w:rsidTr="00073B17">
        <w:trPr>
          <w:trHeigh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b/>
                <w:color w:val="000000"/>
                <w:sz w:val="16"/>
              </w:rPr>
            </w:pPr>
            <w:r w:rsidRPr="00491918">
              <w:rPr>
                <w:b/>
                <w:color w:val="000000"/>
                <w:sz w:val="16"/>
              </w:rPr>
              <w:t>Continuing Operations</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30.06.13</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31.12.12</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30.06.12</w:t>
            </w:r>
          </w:p>
        </w:tc>
      </w:tr>
      <w:tr w:rsidR="00CC41A9" w:rsidRPr="00491918" w:rsidTr="00073B17">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Notes</w:t>
            </w:r>
            <w:r w:rsidRPr="00491918">
              <w:rPr>
                <w:color w:val="000000"/>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r>
    </w:tbl>
    <w:p w:rsidR="00CC41A9" w:rsidRPr="00491918" w:rsidRDefault="00CC41A9" w:rsidP="00CC41A9"/>
    <w:tbl>
      <w:tblPr>
        <w:tblW w:w="0" w:type="auto"/>
        <w:tblLayout w:type="fixed"/>
        <w:tblLook w:val="0000" w:firstRow="0" w:lastRow="0" w:firstColumn="0" w:lastColumn="0" w:noHBand="0" w:noVBand="0"/>
      </w:tblPr>
      <w:tblGrid>
        <w:gridCol w:w="5205"/>
        <w:gridCol w:w="1110"/>
        <w:gridCol w:w="1110"/>
        <w:gridCol w:w="1110"/>
        <w:gridCol w:w="1110"/>
      </w:tblGrid>
      <w:tr w:rsidR="00CC41A9" w:rsidRPr="00491918" w:rsidTr="00073B17">
        <w:trPr>
          <w:trHeight w:val="240"/>
        </w:trPr>
        <w:tc>
          <w:tcPr>
            <w:tcW w:w="520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b/>
                <w:color w:val="000000"/>
                <w:sz w:val="16"/>
              </w:rPr>
              <w:t>Profit/(loss) after tax</w:t>
            </w:r>
          </w:p>
        </w:tc>
        <w:tc>
          <w:tcPr>
            <w:tcW w:w="111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1,058 </w:t>
            </w:r>
          </w:p>
        </w:tc>
        <w:tc>
          <w:tcPr>
            <w:tcW w:w="111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(370)</w:t>
            </w:r>
          </w:p>
        </w:tc>
        <w:tc>
          <w:tcPr>
            <w:tcW w:w="111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403 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b/>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b/>
                <w:color w:val="000000"/>
                <w:sz w:val="16"/>
              </w:rPr>
              <w:t>Other comprehensive income that may be recycled to profit or loss:</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Currency translation reserve</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511 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(946)</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(602)</w:t>
            </w:r>
          </w:p>
        </w:tc>
      </w:tr>
      <w:tr w:rsidR="00CC41A9" w:rsidRPr="00491918" w:rsidTr="00073B17">
        <w:trPr>
          <w:trHeigh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Available for sale reserve</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(97)</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743 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(43)</w:t>
            </w:r>
          </w:p>
        </w:tc>
      </w:tr>
      <w:tr w:rsidR="00CC41A9" w:rsidRPr="00491918" w:rsidTr="00073B17">
        <w:trPr>
          <w:trHeigh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Cash flow hedge reserve</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(1,137)</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420 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242 </w:t>
            </w:r>
          </w:p>
        </w:tc>
      </w:tr>
      <w:tr w:rsidR="00CC41A9" w:rsidRPr="00491918" w:rsidTr="00073B17">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Other</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45 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51 </w:t>
            </w:r>
          </w:p>
        </w:tc>
      </w:tr>
      <w:tr w:rsidR="00CC41A9" w:rsidRPr="00491918" w:rsidTr="00073B17">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comprehensive income that may be recycled to profit or loss</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(703)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262 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(352)</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val="225"/>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Other comprehensive income not recycled to profit or loss:</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val="225"/>
        </w:trPr>
        <w:tc>
          <w:tcPr>
            <w:tcW w:w="520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Retirement benefit remeasurements</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(55)</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(1,180)</w:t>
            </w:r>
          </w:p>
        </w:tc>
      </w:tr>
      <w:tr w:rsidR="00CC41A9" w:rsidRPr="00491918" w:rsidTr="00073B17">
        <w:trPr>
          <w:trHeight w:hRule="exact" w:val="225"/>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val="225"/>
        </w:trPr>
        <w:tc>
          <w:tcPr>
            <w:tcW w:w="520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Other comprehensive income for the period</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(740)</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207 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(1,532)</w:t>
            </w:r>
          </w:p>
        </w:tc>
      </w:tr>
      <w:tr w:rsidR="00CC41A9" w:rsidRPr="00491918" w:rsidTr="00073B17">
        <w:trPr>
          <w:trHeight w:hRule="exact" w:val="225"/>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b/>
                <w:color w:val="000000"/>
                <w:sz w:val="16"/>
              </w:rPr>
              <w:t>Total comprehensive income for the period</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318 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(163)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(1,129)</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b/>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b/>
                <w:color w:val="000000"/>
                <w:sz w:val="16"/>
              </w:rPr>
              <w:t>Attributable to:</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Equity holders of the parent</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444 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(161)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(1,261)</w:t>
            </w:r>
          </w:p>
        </w:tc>
      </w:tr>
      <w:tr w:rsidR="00CC41A9" w:rsidRPr="00491918" w:rsidTr="00073B17">
        <w:trPr>
          <w:trHeight w:val="240"/>
        </w:trPr>
        <w:tc>
          <w:tcPr>
            <w:tcW w:w="520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color w:val="000000"/>
                <w:sz w:val="16"/>
              </w:rPr>
              <w:t>Non-controlling interests</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(126)</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132 </w:t>
            </w:r>
          </w:p>
        </w:tc>
      </w:tr>
      <w:tr w:rsidR="00CC41A9" w:rsidRPr="00491918" w:rsidTr="00073B17">
        <w:trPr>
          <w:trHeight w:val="240"/>
        </w:trPr>
        <w:tc>
          <w:tcPr>
            <w:tcW w:w="520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color w:val="000000"/>
                <w:sz w:val="16"/>
              </w:rPr>
            </w:pPr>
            <w:r w:rsidRPr="00491918">
              <w:rPr>
                <w:b/>
                <w:color w:val="000000"/>
                <w:sz w:val="16"/>
              </w:rPr>
              <w:t>Total comprehensive income for the period</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318 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(163)</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(1,129)</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both"/>
              <w:rPr>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b/>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hRule="exact" w:val="240"/>
        </w:trPr>
        <w:tc>
          <w:tcPr>
            <w:tcW w:w="5205" w:type="dxa"/>
            <w:tcBorders>
              <w:top w:val="nil"/>
              <w:left w:val="nil"/>
              <w:bottom w:val="nil"/>
              <w:right w:val="nil"/>
            </w:tcBorders>
            <w:shd w:val="clear" w:color="auto" w:fill="FFFFFF"/>
            <w:tcMar>
              <w:left w:w="36" w:type="dxa"/>
              <w:right w:w="36" w:type="dxa"/>
            </w:tcMar>
          </w:tcPr>
          <w:p w:rsidR="00CC41A9" w:rsidRPr="00491918" w:rsidRDefault="00CC41A9" w:rsidP="00073B17">
            <w:pPr>
              <w:jc w:val="both"/>
              <w:rPr>
                <w:color w:val="000000"/>
                <w:sz w:val="16"/>
              </w:rPr>
            </w:pPr>
            <w:r w:rsidRPr="00491918">
              <w:rPr>
                <w:i/>
                <w:color w:val="000000"/>
                <w:sz w:val="14"/>
              </w:rPr>
              <w:t xml:space="preserve"> </w:t>
            </w:r>
          </w:p>
        </w:tc>
        <w:tc>
          <w:tcPr>
            <w:tcW w:w="1110" w:type="dxa"/>
            <w:tcMar>
              <w:left w:w="36" w:type="dxa"/>
              <w:right w:w="36" w:type="dxa"/>
            </w:tcMar>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p>
        </w:tc>
        <w:tc>
          <w:tcPr>
            <w:tcW w:w="111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p>
        </w:tc>
      </w:tr>
      <w:tr w:rsidR="00CC41A9" w:rsidRPr="00491918" w:rsidTr="00073B17">
        <w:trPr>
          <w:trHeight w:hRule="exact" w:val="240"/>
        </w:trPr>
        <w:tc>
          <w:tcPr>
            <w:tcW w:w="9645" w:type="dxa"/>
            <w:gridSpan w:val="5"/>
            <w:tcBorders>
              <w:top w:val="nil"/>
              <w:left w:val="nil"/>
              <w:bottom w:val="nil"/>
              <w:right w:val="nil"/>
            </w:tcBorders>
            <w:shd w:val="clear" w:color="auto" w:fill="FFFFFF"/>
            <w:tcMar>
              <w:left w:w="36" w:type="dxa"/>
              <w:right w:w="36" w:type="dxa"/>
            </w:tcMar>
          </w:tcPr>
          <w:p w:rsidR="00CC41A9" w:rsidRPr="00491918" w:rsidRDefault="00CC41A9" w:rsidP="00073B17">
            <w:pPr>
              <w:jc w:val="both"/>
              <w:rPr>
                <w:color w:val="000000"/>
                <w:sz w:val="16"/>
              </w:rPr>
            </w:pPr>
          </w:p>
        </w:tc>
      </w:tr>
    </w:tbl>
    <w:p w:rsidR="00CC41A9" w:rsidRPr="00491918" w:rsidRDefault="00CC41A9" w:rsidP="00CC41A9"/>
    <w:p w:rsidR="00CC41A9" w:rsidRPr="00491918" w:rsidRDefault="00CC41A9" w:rsidP="00CC41A9">
      <w:pPr>
        <w:pStyle w:val="NoteandSourceText-BarcRA"/>
        <w:numPr>
          <w:ilvl w:val="0"/>
          <w:numId w:val="260"/>
        </w:numPr>
        <w:ind w:left="284" w:hanging="284"/>
      </w:pPr>
      <w:r w:rsidRPr="00491918">
        <w:t>For notes specific to Barclays Bank PLC see page 10 and for those that also relate to B</w:t>
      </w:r>
      <w:r w:rsidR="009620C5">
        <w:t>arclays PLC see pages 97 to 130</w:t>
      </w:r>
      <w:r w:rsidRPr="00491918">
        <w:t xml:space="preserve"> in the Barclays PLC Results Announcement.</w:t>
      </w:r>
    </w:p>
    <w:p w:rsidR="00CC41A9" w:rsidRPr="00491918" w:rsidRDefault="00CC41A9" w:rsidP="00CC41A9">
      <w:pPr>
        <w:spacing w:line="14" w:lineRule="exact"/>
      </w:pPr>
      <w:r w:rsidRPr="00491918">
        <w:br w:type="page"/>
      </w:r>
    </w:p>
    <w:p w:rsidR="00CC41A9" w:rsidRPr="00491918" w:rsidRDefault="00CC41A9" w:rsidP="00CC41A9">
      <w:pPr>
        <w:pStyle w:val="HeadingLevel1-BarcRA"/>
      </w:pPr>
      <w:r w:rsidRPr="00491918">
        <w:lastRenderedPageBreak/>
        <w:t xml:space="preserve">Condensed Consolidated Financial Statements </w:t>
      </w:r>
    </w:p>
    <w:tbl>
      <w:tblPr>
        <w:tblW w:w="0" w:type="auto"/>
        <w:tblLayout w:type="fixed"/>
        <w:tblLook w:val="0000" w:firstRow="0" w:lastRow="0" w:firstColumn="0" w:lastColumn="0" w:noHBand="0" w:noVBand="0"/>
      </w:tblPr>
      <w:tblGrid>
        <w:gridCol w:w="5325"/>
        <w:gridCol w:w="990"/>
        <w:gridCol w:w="1110"/>
        <w:gridCol w:w="1110"/>
        <w:gridCol w:w="1110"/>
      </w:tblGrid>
      <w:tr w:rsidR="00CC41A9" w:rsidRPr="00491918" w:rsidTr="00073B17">
        <w:trPr>
          <w:trHeight w:val="315"/>
        </w:trPr>
        <w:tc>
          <w:tcPr>
            <w:tcW w:w="9645" w:type="dxa"/>
            <w:gridSpan w:val="5"/>
            <w:tcBorders>
              <w:top w:val="nil"/>
              <w:left w:val="nil"/>
              <w:bottom w:val="nil"/>
              <w:right w:val="nil"/>
            </w:tcBorders>
            <w:shd w:val="clear" w:color="auto" w:fill="FFFFFF"/>
            <w:tcMar>
              <w:left w:w="36" w:type="dxa"/>
              <w:right w:w="36" w:type="dxa"/>
            </w:tcMar>
            <w:vAlign w:val="center"/>
          </w:tcPr>
          <w:p w:rsidR="00CC41A9" w:rsidRPr="00491918" w:rsidRDefault="00CC41A9" w:rsidP="00073B17">
            <w:r w:rsidRPr="00491918">
              <w:rPr>
                <w:b/>
                <w:color w:val="000000"/>
                <w:sz w:val="24"/>
              </w:rPr>
              <w:t>Condensed Consolidated Balance Sheet (Unaudited)</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rFonts w:ascii="Calibri" w:eastAsia="Calibri" w:hAnsi="Calibri" w:cs="Calibri"/>
                <w:b/>
                <w:color w:val="000000"/>
                <w:sz w:val="20"/>
              </w:rPr>
              <w:t xml:space="preserve"> </w:t>
            </w:r>
            <w:r w:rsidRPr="00491918">
              <w:rPr>
                <w:b/>
                <w:color w:val="000000"/>
                <w:sz w:val="20"/>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20"/>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As at</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As at</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As at</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30.06.13</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31.12.12</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30.06.12</w:t>
            </w:r>
          </w:p>
        </w:tc>
      </w:tr>
      <w:tr w:rsidR="00CC41A9" w:rsidRPr="00491918" w:rsidTr="00073B17">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8"/>
              </w:rPr>
              <w:t xml:space="preserve">Assets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b/>
                <w:color w:val="000000"/>
                <w:sz w:val="18"/>
                <w:vertAlign w:val="superscript"/>
              </w:rPr>
            </w:pPr>
            <w:r w:rsidRPr="00491918">
              <w:rPr>
                <w:color w:val="000000"/>
                <w:sz w:val="16"/>
              </w:rPr>
              <w:t>Notes</w:t>
            </w:r>
            <w:r w:rsidRPr="00491918">
              <w:rPr>
                <w:color w:val="000000"/>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r>
    </w:tbl>
    <w:p w:rsidR="00CC41A9" w:rsidRPr="00491918" w:rsidRDefault="00CC41A9" w:rsidP="00CC41A9"/>
    <w:tbl>
      <w:tblPr>
        <w:tblW w:w="0" w:type="auto"/>
        <w:tblLayout w:type="fixed"/>
        <w:tblLook w:val="0000" w:firstRow="0" w:lastRow="0" w:firstColumn="0" w:lastColumn="0" w:noHBand="0" w:noVBand="0"/>
      </w:tblPr>
      <w:tblGrid>
        <w:gridCol w:w="5325"/>
        <w:gridCol w:w="990"/>
        <w:gridCol w:w="1110"/>
        <w:gridCol w:w="1110"/>
        <w:gridCol w:w="1110"/>
      </w:tblGrid>
      <w:tr w:rsidR="00CC41A9" w:rsidRPr="00491918" w:rsidTr="00073B17">
        <w:trPr>
          <w:trHeight w:val="240"/>
        </w:trPr>
        <w:tc>
          <w:tcPr>
            <w:tcW w:w="5325"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Cash and balances at central banks</w:t>
            </w:r>
            <w:r w:rsidRPr="00491918">
              <w:rPr>
                <w:color w:val="000000"/>
                <w:sz w:val="16"/>
                <w:vertAlign w:val="superscript"/>
              </w:rPr>
              <w:t xml:space="preserve"> </w:t>
            </w:r>
          </w:p>
        </w:tc>
        <w:tc>
          <w:tcPr>
            <w:tcW w:w="99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72,720 </w:t>
            </w:r>
          </w:p>
        </w:tc>
        <w:tc>
          <w:tcPr>
            <w:tcW w:w="111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86,191 </w:t>
            </w:r>
          </w:p>
        </w:tc>
        <w:tc>
          <w:tcPr>
            <w:tcW w:w="111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126,074 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Items in the course of collection from other banks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2,578 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1,473 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2,598 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Trading portfolio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151,990 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146,352 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167,458 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Financial assets designated at fair value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46,847 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46,629 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46,761 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Derivative financial instruments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403,249 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469,156 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517,693 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Loans and advances to banks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46,887 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40,871 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48,765 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Loans and advances to customers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470,062 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423,906 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452,744 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Reverse repurchase agreements and other similar secured lending</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222,881 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176,522 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173,814 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Available for sale financial investments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91,730 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75,133 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68,952 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Current and deferred tax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4,697 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3,811 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3,959 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Prepayments, accrued income and other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5,579 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4,362 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5,896 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Investments in associates and joint ventures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591 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633 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549 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Goodwill and intangible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7,849 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7,915 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7,861 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Property, plant and equipment</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5,618 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5,754 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5,909 </w:t>
            </w:r>
          </w:p>
        </w:tc>
      </w:tr>
      <w:tr w:rsidR="00CC41A9" w:rsidRPr="00491918" w:rsidTr="00073B17">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Retirement benefit assets</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100 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53 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56 </w:t>
            </w:r>
          </w:p>
        </w:tc>
      </w:tr>
      <w:tr w:rsidR="00CC41A9" w:rsidRPr="00491918" w:rsidTr="00073B17">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assets</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1,533,378 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1,488,761 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1,629,089 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8"/>
              </w:rPr>
              <w:t>Liabilities</w:t>
            </w:r>
            <w:r w:rsidRPr="00491918">
              <w:rPr>
                <w:b/>
                <w:color w:val="000000"/>
                <w:sz w:val="18"/>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b/>
                <w:color w:val="000000"/>
                <w:sz w:val="18"/>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Deposits from banks</w:t>
            </w:r>
            <w:r w:rsidRPr="00491918">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78,330 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77,012 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94,467 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Items in the course of collection due to other banks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1,542 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1,587 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1,671 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Customer accounts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460,294 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385,500 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408,351 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Repurchase agreements and other similar secured borrowing</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259,539 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217,178 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245,833 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Trading portfolio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59,360 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44,794 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51,747 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Financial liabilities designated at fair value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71,274 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78,561 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95,150 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Derivative financial instruments </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396,125 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462,721 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507,712 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Debt securities in issue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102,946 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119,525 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124,901 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Accruals, deferred income and other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14,471 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12,532 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12,589 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Current and deferred tax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978 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958 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999 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Subordinated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23,270 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24,422 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22,089 </w:t>
            </w:r>
          </w:p>
        </w:tc>
      </w:tr>
      <w:tr w:rsidR="00CC41A9" w:rsidRPr="00491918" w:rsidTr="00073B17">
        <w:trPr>
          <w:trHeigh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Provisions </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4,425 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2,766 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1,851 </w:t>
            </w:r>
          </w:p>
        </w:tc>
      </w:tr>
      <w:tr w:rsidR="00CC41A9" w:rsidRPr="00491918" w:rsidTr="00073B17">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Retirement benefit liabilities</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1,430 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1,282 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1,358 </w:t>
            </w:r>
          </w:p>
        </w:tc>
      </w:tr>
      <w:tr w:rsidR="00CC41A9" w:rsidRPr="00491918" w:rsidTr="00073B17">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liabilities</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1,473,984 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1,428,838 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1,568,718 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r>
      <w:tr w:rsidR="00CC41A9" w:rsidRPr="00491918" w:rsidTr="00073B17">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20"/>
              </w:rPr>
              <w:t>Shareholders' Equity</w:t>
            </w:r>
            <w:r w:rsidRPr="00491918">
              <w:rPr>
                <w:b/>
                <w:color w:val="000000"/>
                <w:sz w:val="20"/>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b/>
                <w:color w:val="000000"/>
                <w:sz w:val="20"/>
                <w:vertAlign w:val="superscript"/>
              </w:rPr>
            </w:pPr>
            <w:r w:rsidRPr="00491918">
              <w:rPr>
                <w:color w:val="000000"/>
                <w:sz w:val="20"/>
              </w:rPr>
              <w:t xml:space="preserve"> </w:t>
            </w:r>
            <w:r w:rsidRPr="00491918">
              <w:rPr>
                <w:color w:val="000000"/>
                <w:sz w:val="20"/>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20"/>
                <w:vertAlign w:val="superscript"/>
              </w:rPr>
            </w:pPr>
            <w:r w:rsidRPr="00491918">
              <w:rPr>
                <w:color w:val="000000"/>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20"/>
              </w:rPr>
            </w:pPr>
            <w:r w:rsidRPr="00491918">
              <w:rPr>
                <w:color w:val="000000"/>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20"/>
              </w:rPr>
            </w:pPr>
            <w:r w:rsidRPr="00491918">
              <w:rPr>
                <w:color w:val="000000"/>
                <w:sz w:val="20"/>
              </w:rPr>
              <w:t xml:space="preserve"> </w:t>
            </w:r>
          </w:p>
        </w:tc>
      </w:tr>
      <w:tr w:rsidR="00CC41A9" w:rsidRPr="00491918" w:rsidTr="00073B17">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20"/>
              </w:rPr>
            </w:pPr>
            <w:r w:rsidRPr="00491918">
              <w:rPr>
                <w:color w:val="000000"/>
                <w:sz w:val="16"/>
              </w:rPr>
              <w:t>Shareholders' equity excluding non-controlling interests</w:t>
            </w:r>
            <w:r w:rsidRPr="00491918">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56,774 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57,067 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57,414 </w:t>
            </w:r>
          </w:p>
        </w:tc>
      </w:tr>
      <w:tr w:rsidR="00CC41A9" w:rsidRPr="00491918" w:rsidTr="00073B17">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Non-controlling interests</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6"/>
                <w:vertAlign w:val="superscript"/>
              </w:rPr>
            </w:pPr>
            <w:r w:rsidRPr="00491918">
              <w:rPr>
                <w:color w:val="000000"/>
                <w:sz w:val="16"/>
              </w:rPr>
              <w:t>1 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2,620 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2,856 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2,957 </w:t>
            </w:r>
          </w:p>
        </w:tc>
      </w:tr>
      <w:tr w:rsidR="00CC41A9" w:rsidRPr="00491918" w:rsidTr="00073B17">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shareholders' equity</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59,394 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59,923 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60,371 </w:t>
            </w:r>
          </w:p>
        </w:tc>
      </w:tr>
      <w:tr w:rsidR="00CC41A9" w:rsidRPr="00491918" w:rsidTr="00073B17">
        <w:trPr>
          <w:trHeight w:hRule="exac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r>
      <w:tr w:rsidR="00CC41A9" w:rsidRPr="00491918" w:rsidTr="00073B17">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liabilities and shareholders' equity</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1,533,378 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1,488,761 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1,629,089 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r w:rsidR="00CC41A9" w:rsidRPr="00491918" w:rsidTr="00073B17">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bl>
    <w:p w:rsidR="00CC41A9" w:rsidRPr="00491918" w:rsidRDefault="00CC41A9" w:rsidP="00CC41A9"/>
    <w:p w:rsidR="00CC41A9" w:rsidRPr="00491918" w:rsidRDefault="00CC41A9" w:rsidP="00CC41A9">
      <w:pPr>
        <w:pStyle w:val="NoteandSourceText-BarcRA"/>
        <w:numPr>
          <w:ilvl w:val="0"/>
          <w:numId w:val="261"/>
        </w:numPr>
        <w:ind w:left="284" w:hanging="284"/>
      </w:pPr>
      <w:r w:rsidRPr="00491918">
        <w:t>For notes specific to Barclays Bank PLC see page 10 and for those that also relate to B</w:t>
      </w:r>
      <w:r w:rsidR="009620C5">
        <w:t>arclays PLC see pages 97 to 130</w:t>
      </w:r>
      <w:r w:rsidRPr="00491918">
        <w:t xml:space="preserve"> in the Barclays PLC Results Announcement.</w:t>
      </w:r>
    </w:p>
    <w:p w:rsidR="00CC41A9" w:rsidRPr="00491918" w:rsidRDefault="00CC41A9" w:rsidP="00CC41A9">
      <w:pPr>
        <w:spacing w:line="14" w:lineRule="exact"/>
      </w:pPr>
      <w:r w:rsidRPr="00491918">
        <w:br w:type="page"/>
      </w:r>
    </w:p>
    <w:p w:rsidR="00CC41A9" w:rsidRPr="00491918" w:rsidRDefault="00CC41A9" w:rsidP="00CC41A9">
      <w:pPr>
        <w:pStyle w:val="HeadingLevel1-BarcRA"/>
      </w:pPr>
      <w:r w:rsidRPr="00491918">
        <w:lastRenderedPageBreak/>
        <w:t xml:space="preserve">Condensed Consolidated Financial Statements </w:t>
      </w:r>
    </w:p>
    <w:tbl>
      <w:tblPr>
        <w:tblW w:w="9718" w:type="dxa"/>
        <w:tblLayout w:type="fixed"/>
        <w:tblLook w:val="0000" w:firstRow="0" w:lastRow="0" w:firstColumn="0" w:lastColumn="0" w:noHBand="0" w:noVBand="0"/>
      </w:tblPr>
      <w:tblGrid>
        <w:gridCol w:w="4422"/>
        <w:gridCol w:w="1039"/>
        <w:gridCol w:w="832"/>
        <w:gridCol w:w="773"/>
        <w:gridCol w:w="773"/>
        <w:gridCol w:w="921"/>
        <w:gridCol w:w="958"/>
      </w:tblGrid>
      <w:tr w:rsidR="00CC41A9" w:rsidRPr="00491918" w:rsidTr="00980A87">
        <w:trPr>
          <w:trHeight w:val="315"/>
        </w:trPr>
        <w:tc>
          <w:tcPr>
            <w:tcW w:w="9817" w:type="dxa"/>
            <w:gridSpan w:val="7"/>
            <w:tcBorders>
              <w:top w:val="nil"/>
              <w:left w:val="nil"/>
              <w:bottom w:val="nil"/>
              <w:right w:val="nil"/>
            </w:tcBorders>
            <w:shd w:val="clear" w:color="auto" w:fill="FFFFFF"/>
            <w:tcMar>
              <w:left w:w="36" w:type="dxa"/>
              <w:right w:w="36" w:type="dxa"/>
            </w:tcMar>
            <w:vAlign w:val="center"/>
          </w:tcPr>
          <w:p w:rsidR="00CC41A9" w:rsidRPr="00491918" w:rsidRDefault="00CC41A9" w:rsidP="00073B17">
            <w:r w:rsidRPr="00491918">
              <w:rPr>
                <w:b/>
                <w:color w:val="000000"/>
                <w:sz w:val="24"/>
              </w:rPr>
              <w:t>Condensed Consolidated Statement of Changes in Equity (Unaudited)</w:t>
            </w:r>
          </w:p>
        </w:tc>
      </w:tr>
      <w:tr w:rsidR="00CC41A9" w:rsidRPr="00491918" w:rsidTr="00980A87">
        <w:trPr>
          <w:trHeight w:hRule="exact" w:val="240"/>
        </w:trPr>
        <w:tc>
          <w:tcPr>
            <w:tcW w:w="447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b/>
                <w:color w:val="000000"/>
                <w:sz w:val="24"/>
              </w:rPr>
            </w:pPr>
            <w:r w:rsidRPr="00491918">
              <w:rPr>
                <w:b/>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b/>
                <w:color w:val="000000"/>
                <w:sz w:val="20"/>
              </w:rPr>
            </w:pPr>
            <w:r w:rsidRPr="00491918">
              <w:rPr>
                <w:b/>
                <w:color w:val="000000"/>
                <w:sz w:val="20"/>
              </w:rPr>
              <w:t xml:space="preserve"> </w:t>
            </w:r>
            <w:r w:rsidRPr="00491918">
              <w:rPr>
                <w:b/>
                <w:color w:val="000000"/>
                <w:sz w:val="20"/>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b/>
                <w:color w:val="000000"/>
                <w:sz w:val="20"/>
                <w:vertAlign w:val="superscript"/>
              </w:rPr>
            </w:pPr>
            <w:r w:rsidRPr="00491918">
              <w:rPr>
                <w:b/>
                <w:color w:val="000000"/>
                <w:sz w:val="20"/>
              </w:rPr>
              <w:t xml:space="preserve">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vertAlign w:val="superscript"/>
              </w:rPr>
            </w:pPr>
            <w:r w:rsidRPr="00491918">
              <w:rPr>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color w:val="000000"/>
                <w:sz w:val="16"/>
              </w:rPr>
              <w:t xml:space="preserve"> </w:t>
            </w:r>
            <w:r w:rsidRPr="00491918">
              <w:rPr>
                <w:b/>
                <w:color w:val="000000"/>
                <w:sz w:val="20"/>
                <w:vertAlign w:val="superscript"/>
              </w:rPr>
              <w:t xml:space="preserve"> </w:t>
            </w:r>
          </w:p>
        </w:tc>
        <w:tc>
          <w:tcPr>
            <w:tcW w:w="967"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b/>
                <w:color w:val="000000"/>
                <w:sz w:val="20"/>
                <w:vertAlign w:val="superscript"/>
              </w:rPr>
            </w:pPr>
            <w:r w:rsidRPr="00491918">
              <w:rPr>
                <w:color w:val="000000"/>
                <w:sz w:val="16"/>
              </w:rPr>
              <w:t xml:space="preserve"> </w:t>
            </w:r>
          </w:p>
        </w:tc>
      </w:tr>
      <w:tr w:rsidR="00CC41A9" w:rsidRPr="00491918" w:rsidTr="00980A87">
        <w:trPr>
          <w:trHeight w:val="1170"/>
        </w:trPr>
        <w:tc>
          <w:tcPr>
            <w:tcW w:w="447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Called up Share Capital and Share Premium</w:t>
            </w:r>
            <w:r w:rsidRPr="00491918">
              <w:rPr>
                <w:b/>
                <w:color w:val="000000"/>
                <w:sz w:val="16"/>
                <w:vertAlign w:val="superscript"/>
              </w:rPr>
              <w:t>1 </w:t>
            </w:r>
          </w:p>
        </w:tc>
        <w:tc>
          <w:tcPr>
            <w:tcW w:w="84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vertAlign w:val="superscript"/>
              </w:rPr>
            </w:pPr>
            <w:r w:rsidRPr="00491918">
              <w:rPr>
                <w:b/>
                <w:color w:val="000000"/>
                <w:sz w:val="16"/>
              </w:rPr>
              <w:t>Other Reserves</w:t>
            </w:r>
            <w:r w:rsidRPr="00491918">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vertAlign w:val="superscript"/>
              </w:rPr>
            </w:pPr>
            <w:r w:rsidRPr="00491918">
              <w:rPr>
                <w:b/>
                <w:color w:val="000000"/>
                <w:sz w:val="16"/>
              </w:rPr>
              <w:t>Retained Earnings</w:t>
            </w:r>
          </w:p>
        </w:tc>
        <w:tc>
          <w:tcPr>
            <w:tcW w:w="78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Total</w:t>
            </w:r>
          </w:p>
        </w:tc>
        <w:tc>
          <w:tcPr>
            <w:tcW w:w="93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rPr>
            </w:pPr>
            <w:r w:rsidRPr="00491918">
              <w:rPr>
                <w:b/>
                <w:color w:val="000000"/>
                <w:sz w:val="16"/>
              </w:rPr>
              <w:t>Non-controlling Interests</w:t>
            </w:r>
            <w:r w:rsidRPr="00491918">
              <w:rPr>
                <w:b/>
                <w:color w:val="000000"/>
                <w:sz w:val="16"/>
                <w:vertAlign w:val="superscript"/>
              </w:rPr>
              <w:t>1 </w:t>
            </w:r>
          </w:p>
        </w:tc>
        <w:tc>
          <w:tcPr>
            <w:tcW w:w="967"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jc w:val="right"/>
              <w:rPr>
                <w:b/>
                <w:color w:val="000000"/>
                <w:sz w:val="16"/>
                <w:vertAlign w:val="superscript"/>
              </w:rPr>
            </w:pPr>
            <w:r w:rsidRPr="00491918">
              <w:rPr>
                <w:b/>
                <w:color w:val="000000"/>
                <w:sz w:val="16"/>
              </w:rPr>
              <w:t>Total</w:t>
            </w:r>
          </w:p>
          <w:p w:rsidR="00CC41A9" w:rsidRPr="00491918" w:rsidRDefault="00CC41A9" w:rsidP="00073B17">
            <w:pPr>
              <w:jc w:val="right"/>
              <w:rPr>
                <w:b/>
                <w:color w:val="000000"/>
                <w:sz w:val="16"/>
              </w:rPr>
            </w:pPr>
            <w:r w:rsidRPr="00491918">
              <w:rPr>
                <w:b/>
                <w:color w:val="000000"/>
                <w:sz w:val="16"/>
              </w:rPr>
              <w:t>Equity</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Half Year Ended 30.06.13</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color w:val="000000"/>
                <w:sz w:val="16"/>
              </w:rPr>
              <w:t>£m</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£m</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£m</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£m</w:t>
            </w:r>
          </w:p>
        </w:tc>
      </w:tr>
      <w:tr w:rsidR="00CC41A9" w:rsidRPr="00491918" w:rsidTr="00980A87">
        <w:trPr>
          <w:trHeight w:val="210"/>
        </w:trPr>
        <w:tc>
          <w:tcPr>
            <w:tcW w:w="4470"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Balance at 1 January 2013</w:t>
            </w:r>
          </w:p>
        </w:tc>
        <w:tc>
          <w:tcPr>
            <w:tcW w:w="105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14,494 </w:t>
            </w:r>
            <w:r w:rsidRPr="00491918">
              <w:rPr>
                <w:b/>
                <w:color w:val="000000"/>
                <w:sz w:val="16"/>
                <w:vertAlign w:val="superscript"/>
              </w:rPr>
              <w:t xml:space="preserve"> </w:t>
            </w:r>
          </w:p>
        </w:tc>
        <w:tc>
          <w:tcPr>
            <w:tcW w:w="84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3,329 </w:t>
            </w:r>
            <w:r w:rsidRPr="00491918">
              <w:rPr>
                <w:b/>
                <w:color w:val="000000"/>
                <w:sz w:val="16"/>
                <w:vertAlign w:val="superscript"/>
              </w:rPr>
              <w:t xml:space="preserve"> </w:t>
            </w:r>
          </w:p>
        </w:tc>
        <w:tc>
          <w:tcPr>
            <w:tcW w:w="78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39,244 </w:t>
            </w:r>
          </w:p>
        </w:tc>
        <w:tc>
          <w:tcPr>
            <w:tcW w:w="78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57,067 </w:t>
            </w:r>
          </w:p>
        </w:tc>
        <w:tc>
          <w:tcPr>
            <w:tcW w:w="93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2,856 </w:t>
            </w:r>
            <w:r w:rsidRPr="00491918">
              <w:rPr>
                <w:b/>
                <w:color w:val="000000"/>
                <w:sz w:val="16"/>
                <w:vertAlign w:val="superscript"/>
              </w:rPr>
              <w:t xml:space="preserve"> </w:t>
            </w:r>
          </w:p>
        </w:tc>
        <w:tc>
          <w:tcPr>
            <w:tcW w:w="967"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59,923 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Profit after tax</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886 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886 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172 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1,058 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Currency translation movements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750 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750 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(239)</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511 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Available for sale investments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(99)</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(99)</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(97)</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Cash flow hedges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(1,080)</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(1,080)</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(57)</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(1,137)</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Retirement benefit remeasurements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(33)</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(33)</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(37)</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20 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20 </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20 </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comprehensive income for the year</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w:t>
            </w:r>
            <w:r w:rsidRPr="00491918">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(429)</w:t>
            </w:r>
            <w:r w:rsidRPr="00491918">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873 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444 </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(126)</w:t>
            </w:r>
            <w:r w:rsidRPr="00491918">
              <w:rPr>
                <w:b/>
                <w:color w:val="000000"/>
                <w:sz w:val="16"/>
                <w:vertAlign w:val="superscript"/>
              </w:rPr>
              <w:t xml:space="preserve">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318 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Equity settled share schemes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337 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337 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337 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Vesting of Barclays PLC shares under share-based payment schemes</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(1,034)</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(1,034)</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(1,034)</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 xml:space="preserve">Dividends paid </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(489)</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(489)</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(98)</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(587)</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Dividends on preference shares and other shareholders equity</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(225)</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(225)</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(225)</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Capital injection from Barclays PLC</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750 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750 </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750 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Redemption of capital notes</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(100)</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(100)</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(100)</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 reserve movements</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22 </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24 </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12 </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Balance at 30 June 2013</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14,494 </w:t>
            </w:r>
            <w:r w:rsidRPr="00491918">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2,822 </w:t>
            </w:r>
            <w:r w:rsidRPr="00491918">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39,458 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56,774 </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2,620 </w:t>
            </w:r>
            <w:r w:rsidRPr="00491918">
              <w:rPr>
                <w:b/>
                <w:color w:val="000000"/>
                <w:sz w:val="16"/>
                <w:vertAlign w:val="superscript"/>
              </w:rPr>
              <w:t xml:space="preserve">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59,394 </w:t>
            </w:r>
          </w:p>
        </w:tc>
      </w:tr>
      <w:tr w:rsidR="00CC41A9" w:rsidRPr="00491918" w:rsidTr="00980A87">
        <w:trPr>
          <w:trHeight w:hRule="exac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7"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Half Year Ended 31.12.12</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Balance at 1 July 2012</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14,494 </w:t>
            </w:r>
            <w:r w:rsidRPr="00491918">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2,962 </w:t>
            </w:r>
            <w:r w:rsidRPr="00491918">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39,958 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57,414 </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2,957 </w:t>
            </w:r>
            <w:r w:rsidRPr="00491918">
              <w:rPr>
                <w:b/>
                <w:color w:val="000000"/>
                <w:sz w:val="16"/>
                <w:vertAlign w:val="superscript"/>
              </w:rPr>
              <w:t xml:space="preserve">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60,371 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(Loss)/ profit after tax</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(533)</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(533)</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163 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(370)</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Currency translation movements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(758)</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(758)</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(188)</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(946)</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Available for sale investments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718 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718 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25 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743 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Cash flow hedges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423 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423 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420 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Retirement benefit remeasurements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(55)</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(55)</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(55)</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44 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44 </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1 </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45 </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comprehensive income for the year</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w:t>
            </w:r>
            <w:r w:rsidRPr="00491918">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383 </w:t>
            </w:r>
            <w:r w:rsidRPr="00491918">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(544)</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(161)</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w:t>
            </w:r>
            <w:r w:rsidRPr="00491918">
              <w:rPr>
                <w:b/>
                <w:color w:val="000000"/>
                <w:sz w:val="16"/>
                <w:vertAlign w:val="superscript"/>
              </w:rPr>
              <w:t>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(163)</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Equity settled share schemes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348 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348 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348 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Vesting of Barclays PLC shares under share-based payment schemes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(34)</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(34)</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(34)</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Dividends paid </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(234)</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(234)</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(86)</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(320)</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Dividends on preference shares and other shareholders equity</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(244)</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(244)</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(244)</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 reserve movements</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(16)</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(6)</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(22)</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(13)</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(35)</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Balance at 31 December 2012</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14,494 </w:t>
            </w:r>
            <w:r w:rsidRPr="00491918">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3,329 </w:t>
            </w:r>
            <w:r w:rsidRPr="00491918">
              <w:rPr>
                <w:b/>
                <w:color w:val="000000"/>
                <w:sz w:val="16"/>
                <w:vertAlign w:val="superscript"/>
              </w:rPr>
              <w:t>-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39,244 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57,067 </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2,856 </w:t>
            </w:r>
            <w:r w:rsidRPr="00491918">
              <w:rPr>
                <w:b/>
                <w:color w:val="000000"/>
                <w:sz w:val="16"/>
                <w:vertAlign w:val="superscript"/>
              </w:rPr>
              <w:t>-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59,923 </w:t>
            </w:r>
          </w:p>
        </w:tc>
      </w:tr>
      <w:tr w:rsidR="00CC41A9" w:rsidRPr="00491918" w:rsidTr="00980A87">
        <w:trPr>
          <w:trHeight w:hRule="exac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7"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Half Year Ended 30.06.12</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xml:space="preserve"> </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Balance at 1 January 2012</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14,494 </w:t>
            </w:r>
            <w:r w:rsidRPr="00491918">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3,308 </w:t>
            </w:r>
            <w:r w:rsidRPr="00491918">
              <w:rPr>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b/>
                <w:color w:val="000000"/>
                <w:sz w:val="16"/>
              </w:rPr>
              <w:t>42,093 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59,895 </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3,092 </w:t>
            </w:r>
            <w:r w:rsidRPr="00491918">
              <w:rPr>
                <w:b/>
                <w:color w:val="000000"/>
                <w:sz w:val="16"/>
                <w:vertAlign w:val="superscript"/>
              </w:rPr>
              <w:t xml:space="preserve">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62,987 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Profit after tax</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227 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227 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176 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403 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Currency translation movements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(531)</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(531)</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(71)</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(602)</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Available for sale investments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(62)</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(62)</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19 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(43)</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Cash flow hedges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234 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234 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8 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242 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Retirement benefit remeasurements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(1,180)</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(1,180)</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(1,180)</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1 </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50 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51 </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51 </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 comprehensive income for the year</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EC11E5" w:rsidP="00EC11E5">
            <w:pPr>
              <w:jc w:val="center"/>
              <w:rPr>
                <w:b/>
                <w:color w:val="000000"/>
                <w:sz w:val="16"/>
              </w:rPr>
            </w:pPr>
            <w:r>
              <w:rPr>
                <w:b/>
                <w:color w:val="000000"/>
                <w:sz w:val="16"/>
              </w:rPr>
              <w:t xml:space="preserve">              </w:t>
            </w:r>
            <w:bookmarkStart w:id="0" w:name="_GoBack"/>
            <w:bookmarkEnd w:id="0"/>
            <w:r>
              <w:rPr>
                <w:b/>
                <w:color w:val="000000"/>
                <w:sz w:val="16"/>
              </w:rPr>
              <w:t>-</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(358)</w:t>
            </w:r>
            <w:r w:rsidRPr="00491918">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(903)</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(1,261)</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132 </w:t>
            </w:r>
            <w:r w:rsidRPr="00491918">
              <w:rPr>
                <w:b/>
                <w:color w:val="000000"/>
                <w:sz w:val="16"/>
                <w:vertAlign w:val="superscript"/>
              </w:rPr>
              <w:t xml:space="preserve">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(1,129)</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Equity settled share schemes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369 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369 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369 </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Vesting of Barclays PLC shares under share-based payment schemes</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(912)</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(912)</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(912)</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 xml:space="preserve">Dividends paid </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(462)</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(462)</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(143)</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(605)</w:t>
            </w:r>
          </w:p>
        </w:tc>
      </w:tr>
      <w:tr w:rsidR="00CC41A9" w:rsidRPr="00491918" w:rsidTr="00980A87">
        <w:trPr>
          <w:trHeight w:val="210"/>
        </w:trPr>
        <w:tc>
          <w:tcPr>
            <w:tcW w:w="4470" w:type="dxa"/>
            <w:tcBorders>
              <w:top w:val="nil"/>
              <w:left w:val="nil"/>
              <w:bottom w:val="nil"/>
              <w:right w:val="nil"/>
            </w:tcBorders>
            <w:shd w:val="clear" w:color="auto" w:fill="FFFFFF"/>
            <w:tcMar>
              <w:left w:w="36" w:type="dxa"/>
              <w:right w:w="36" w:type="dxa"/>
            </w:tcMar>
          </w:tcPr>
          <w:p w:rsidR="00CC41A9" w:rsidRPr="00491918" w:rsidRDefault="00CC41A9" w:rsidP="00073B17">
            <w:pPr>
              <w:rPr>
                <w:color w:val="000000"/>
                <w:sz w:val="16"/>
              </w:rPr>
            </w:pPr>
            <w:r w:rsidRPr="00491918">
              <w:rPr>
                <w:color w:val="000000"/>
                <w:sz w:val="16"/>
              </w:rPr>
              <w:t>Dividends on preference shares and other shareholders equity</w:t>
            </w:r>
          </w:p>
        </w:tc>
        <w:tc>
          <w:tcPr>
            <w:tcW w:w="105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vertAlign w:val="superscript"/>
              </w:rPr>
            </w:pPr>
            <w:r w:rsidRPr="00491918">
              <w:rPr>
                <w:color w:val="000000"/>
                <w:sz w:val="16"/>
              </w:rPr>
              <w:t>(221)</w:t>
            </w:r>
          </w:p>
        </w:tc>
        <w:tc>
          <w:tcPr>
            <w:tcW w:w="78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(221)</w:t>
            </w:r>
          </w:p>
        </w:tc>
        <w:tc>
          <w:tcPr>
            <w:tcW w:w="930" w:type="dxa"/>
            <w:tcBorders>
              <w:top w:val="nil"/>
              <w:left w:val="nil"/>
              <w:bottom w:val="nil"/>
              <w:right w:val="nil"/>
            </w:tcBorders>
            <w:shd w:val="clear" w:color="auto" w:fill="FFFFFF"/>
            <w:tcMar>
              <w:left w:w="36" w:type="dxa"/>
              <w:right w:w="36" w:type="dxa"/>
            </w:tcMa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967"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(221)</w:t>
            </w:r>
          </w:p>
        </w:tc>
      </w:tr>
      <w:tr w:rsidR="00CC41A9" w:rsidRPr="00491918" w:rsidTr="00980A87">
        <w:trPr>
          <w:trHeight w:val="210"/>
        </w:trPr>
        <w:tc>
          <w:tcPr>
            <w:tcW w:w="447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 reserve movements</w:t>
            </w:r>
          </w:p>
        </w:tc>
        <w:tc>
          <w:tcPr>
            <w:tcW w:w="105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w:t>
            </w:r>
            <w:r w:rsidRPr="00491918">
              <w:rPr>
                <w:color w:val="000000"/>
                <w:sz w:val="16"/>
                <w:vertAlign w:val="superscript"/>
              </w:rPr>
              <w:t xml:space="preserve"> </w:t>
            </w:r>
          </w:p>
        </w:tc>
        <w:tc>
          <w:tcPr>
            <w:tcW w:w="84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12 </w:t>
            </w:r>
            <w:r w:rsidRPr="00491918">
              <w:rPr>
                <w:color w:val="000000"/>
                <w:sz w:val="16"/>
                <w:vertAlign w:val="superscript"/>
              </w:rPr>
              <w:t xml:space="preserve"> </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(6)</w:t>
            </w:r>
          </w:p>
        </w:tc>
        <w:tc>
          <w:tcPr>
            <w:tcW w:w="78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6 </w:t>
            </w:r>
          </w:p>
        </w:tc>
        <w:tc>
          <w:tcPr>
            <w:tcW w:w="930" w:type="dxa"/>
            <w:tcBorders>
              <w:top w:val="nil"/>
              <w:left w:val="nil"/>
              <w:bottom w:val="single" w:sz="6" w:space="0" w:color="808080"/>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(124)</w:t>
            </w:r>
            <w:r w:rsidRPr="00491918">
              <w:rPr>
                <w:color w:val="000000"/>
                <w:sz w:val="16"/>
                <w:vertAlign w:val="superscript"/>
              </w:rPr>
              <w:t xml:space="preserve"> </w:t>
            </w:r>
          </w:p>
        </w:tc>
        <w:tc>
          <w:tcPr>
            <w:tcW w:w="967" w:type="dxa"/>
            <w:tcBorders>
              <w:top w:val="nil"/>
              <w:left w:val="nil"/>
              <w:bottom w:val="single" w:sz="6" w:space="0" w:color="808080"/>
              <w:right w:val="nil"/>
            </w:tcBorders>
            <w:shd w:val="clear" w:color="auto" w:fill="EAEAEA"/>
            <w:tcMar>
              <w:left w:w="36" w:type="dxa"/>
              <w:right w:w="36" w:type="dxa"/>
            </w:tcMar>
            <w:vAlign w:val="center"/>
          </w:tcPr>
          <w:p w:rsidR="00CC41A9" w:rsidRPr="00491918" w:rsidRDefault="00CC41A9" w:rsidP="00073B17">
            <w:pPr>
              <w:jc w:val="right"/>
              <w:rPr>
                <w:color w:val="000000"/>
                <w:sz w:val="16"/>
                <w:vertAlign w:val="superscript"/>
              </w:rPr>
            </w:pPr>
            <w:r w:rsidRPr="00491918">
              <w:rPr>
                <w:color w:val="000000"/>
                <w:sz w:val="16"/>
              </w:rPr>
              <w:t>(118)</w:t>
            </w:r>
          </w:p>
        </w:tc>
      </w:tr>
      <w:tr w:rsidR="00CC41A9" w:rsidRPr="00491918" w:rsidTr="00980A87">
        <w:trPr>
          <w:trHeight w:val="210"/>
        </w:trPr>
        <w:tc>
          <w:tcPr>
            <w:tcW w:w="447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Balance at 30 June 2012</w:t>
            </w:r>
          </w:p>
        </w:tc>
        <w:tc>
          <w:tcPr>
            <w:tcW w:w="105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14,494 </w:t>
            </w:r>
            <w:r w:rsidRPr="00491918">
              <w:rPr>
                <w:b/>
                <w:color w:val="000000"/>
                <w:sz w:val="16"/>
                <w:vertAlign w:val="superscript"/>
              </w:rPr>
              <w:t xml:space="preserve"> </w:t>
            </w:r>
          </w:p>
        </w:tc>
        <w:tc>
          <w:tcPr>
            <w:tcW w:w="84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2,962 </w:t>
            </w:r>
            <w:r w:rsidRPr="00491918">
              <w:rPr>
                <w:b/>
                <w:color w:val="000000"/>
                <w:sz w:val="16"/>
                <w:vertAlign w:val="superscript"/>
              </w:rPr>
              <w:t xml:space="preserve">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39,958 </w:t>
            </w:r>
          </w:p>
        </w:tc>
        <w:tc>
          <w:tcPr>
            <w:tcW w:w="78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57,414 </w:t>
            </w:r>
          </w:p>
        </w:tc>
        <w:tc>
          <w:tcPr>
            <w:tcW w:w="930" w:type="dxa"/>
            <w:tcBorders>
              <w:top w:val="single" w:sz="6" w:space="0" w:color="808080"/>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2,957 </w:t>
            </w:r>
            <w:r w:rsidRPr="00491918">
              <w:rPr>
                <w:b/>
                <w:color w:val="000000"/>
                <w:sz w:val="16"/>
                <w:vertAlign w:val="superscript"/>
              </w:rPr>
              <w:t xml:space="preserve"> </w:t>
            </w:r>
          </w:p>
        </w:tc>
        <w:tc>
          <w:tcPr>
            <w:tcW w:w="967" w:type="dxa"/>
            <w:tcBorders>
              <w:top w:val="single" w:sz="6" w:space="0" w:color="808080"/>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60,371 </w:t>
            </w:r>
          </w:p>
        </w:tc>
      </w:tr>
      <w:tr w:rsidR="00CC41A9" w:rsidRPr="00491918" w:rsidTr="00980A87">
        <w:trPr>
          <w:trHeight w:hRule="exac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7"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r>
      <w:tr w:rsidR="00CC41A9" w:rsidRPr="00491918" w:rsidTr="00980A87">
        <w:trPr>
          <w:trHeight w:hRule="exact" w:val="210"/>
        </w:trPr>
        <w:tc>
          <w:tcPr>
            <w:tcW w:w="447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c>
          <w:tcPr>
            <w:tcW w:w="7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7"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vertAlign w:val="superscript"/>
              </w:rPr>
            </w:pPr>
            <w:r w:rsidRPr="00491918">
              <w:rPr>
                <w:b/>
                <w:color w:val="000000"/>
                <w:sz w:val="16"/>
              </w:rPr>
              <w:t xml:space="preserve"> </w:t>
            </w:r>
          </w:p>
        </w:tc>
      </w:tr>
    </w:tbl>
    <w:p w:rsidR="00CC41A9" w:rsidRPr="00491918" w:rsidRDefault="00CC41A9" w:rsidP="00CC41A9"/>
    <w:p w:rsidR="00CC41A9" w:rsidRPr="00491918" w:rsidRDefault="00CC41A9" w:rsidP="00CC41A9">
      <w:pPr>
        <w:pStyle w:val="NoteandSourceText-BarcRA"/>
        <w:numPr>
          <w:ilvl w:val="0"/>
          <w:numId w:val="262"/>
        </w:numPr>
        <w:ind w:left="284" w:hanging="284"/>
      </w:pPr>
      <w:r w:rsidRPr="00491918">
        <w:t>Details of share capital and non-controlling interests are shown on page 10 .</w:t>
      </w:r>
    </w:p>
    <w:p w:rsidR="00CC41A9" w:rsidRPr="00491918" w:rsidRDefault="00CC41A9" w:rsidP="00CC41A9">
      <w:pPr>
        <w:spacing w:line="14" w:lineRule="exact"/>
      </w:pPr>
      <w:r w:rsidRPr="00491918">
        <w:br w:type="page"/>
      </w:r>
    </w:p>
    <w:p w:rsidR="00CC41A9" w:rsidRPr="00491918" w:rsidRDefault="00CC41A9" w:rsidP="00CC41A9">
      <w:pPr>
        <w:pStyle w:val="HeadingLevel1-BarcRA"/>
      </w:pPr>
      <w:r w:rsidRPr="00491918">
        <w:lastRenderedPageBreak/>
        <w:t xml:space="preserve">Condensed Consolidated Financial Statements </w:t>
      </w:r>
    </w:p>
    <w:tbl>
      <w:tblPr>
        <w:tblW w:w="0" w:type="auto"/>
        <w:tblLayout w:type="fixed"/>
        <w:tblLook w:val="0000" w:firstRow="0" w:lastRow="0" w:firstColumn="0" w:lastColumn="0" w:noHBand="0" w:noVBand="0"/>
      </w:tblPr>
      <w:tblGrid>
        <w:gridCol w:w="5640"/>
        <w:gridCol w:w="1335"/>
        <w:gridCol w:w="1335"/>
        <w:gridCol w:w="1335"/>
      </w:tblGrid>
      <w:tr w:rsidR="00CC41A9" w:rsidRPr="00491918" w:rsidTr="00073B17">
        <w:trPr>
          <w:trHeight w:val="315"/>
        </w:trPr>
        <w:tc>
          <w:tcPr>
            <w:tcW w:w="6975" w:type="dxa"/>
            <w:gridSpan w:val="2"/>
            <w:tcBorders>
              <w:top w:val="nil"/>
              <w:left w:val="nil"/>
              <w:bottom w:val="nil"/>
              <w:right w:val="nil"/>
            </w:tcBorders>
            <w:shd w:val="clear" w:color="auto" w:fill="FFFFFF"/>
            <w:tcMar>
              <w:left w:w="36" w:type="dxa"/>
              <w:right w:w="36" w:type="dxa"/>
            </w:tcMar>
            <w:vAlign w:val="center"/>
          </w:tcPr>
          <w:p w:rsidR="00CC41A9" w:rsidRPr="00491918" w:rsidRDefault="00CC41A9" w:rsidP="00073B17">
            <w:r w:rsidRPr="00491918">
              <w:rPr>
                <w:b/>
                <w:color w:val="000000"/>
                <w:sz w:val="24"/>
              </w:rPr>
              <w:t>Condensed Consolidated Cash Flow Statement (Unaudited)</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color w:val="000000"/>
                <w:sz w:val="2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24"/>
              </w:rPr>
            </w:pPr>
            <w:r w:rsidRPr="00491918">
              <w:rPr>
                <w:color w:val="000000"/>
                <w:sz w:val="24"/>
              </w:rPr>
              <w:t xml:space="preserve"> </w:t>
            </w:r>
          </w:p>
        </w:tc>
      </w:tr>
      <w:tr w:rsidR="00CC41A9" w:rsidRPr="00491918" w:rsidTr="00073B17">
        <w:trPr>
          <w:trHeight w:val="240"/>
        </w:trPr>
        <w:tc>
          <w:tcPr>
            <w:tcW w:w="56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24"/>
              </w:rPr>
            </w:pPr>
            <w:r w:rsidRPr="00491918">
              <w:rPr>
                <w:b/>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Half Year Ended</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Half Year Ended</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Half Year Ended</w:t>
            </w:r>
          </w:p>
        </w:tc>
      </w:tr>
      <w:tr w:rsidR="00CC41A9" w:rsidRPr="00491918" w:rsidTr="00073B17">
        <w:trPr>
          <w:trHeight w:val="240"/>
        </w:trPr>
        <w:tc>
          <w:tcPr>
            <w:tcW w:w="56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Continuing Operations</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30.06.13</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31.12.12</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30.06.12</w:t>
            </w:r>
          </w:p>
        </w:tc>
      </w:tr>
      <w:tr w:rsidR="00CC41A9" w:rsidRPr="00491918" w:rsidTr="00073B17">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£m</w:t>
            </w:r>
          </w:p>
        </w:tc>
      </w:tr>
    </w:tbl>
    <w:p w:rsidR="00CC41A9" w:rsidRPr="00491918" w:rsidRDefault="00CC41A9" w:rsidP="00CC41A9"/>
    <w:tbl>
      <w:tblPr>
        <w:tblW w:w="0" w:type="auto"/>
        <w:tblLayout w:type="fixed"/>
        <w:tblLook w:val="0000" w:firstRow="0" w:lastRow="0" w:firstColumn="0" w:lastColumn="0" w:noHBand="0" w:noVBand="0"/>
      </w:tblPr>
      <w:tblGrid>
        <w:gridCol w:w="5640"/>
        <w:gridCol w:w="1335"/>
        <w:gridCol w:w="1335"/>
        <w:gridCol w:w="1335"/>
      </w:tblGrid>
      <w:tr w:rsidR="00CC41A9" w:rsidRPr="00491918" w:rsidTr="00073B17">
        <w:trPr>
          <w:trHeight w:val="240"/>
        </w:trPr>
        <w:tc>
          <w:tcPr>
            <w:tcW w:w="5640"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Profit/(loss) before tax </w:t>
            </w:r>
          </w:p>
        </w:tc>
        <w:tc>
          <w:tcPr>
            <w:tcW w:w="1335"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1,648 </w:t>
            </w:r>
          </w:p>
        </w:tc>
        <w:tc>
          <w:tcPr>
            <w:tcW w:w="133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(66)</w:t>
            </w:r>
          </w:p>
        </w:tc>
        <w:tc>
          <w:tcPr>
            <w:tcW w:w="133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716 </w:t>
            </w:r>
          </w:p>
        </w:tc>
      </w:tr>
      <w:tr w:rsidR="00CC41A9" w:rsidRPr="00491918" w:rsidTr="00073B17">
        <w:trPr>
          <w:trHeight w:val="240"/>
        </w:trPr>
        <w:tc>
          <w:tcPr>
            <w:tcW w:w="56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Adjustment for non-cash items</w:t>
            </w:r>
          </w:p>
        </w:tc>
        <w:tc>
          <w:tcPr>
            <w:tcW w:w="1335"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(450)</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5,447 </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3,770 </w:t>
            </w:r>
          </w:p>
        </w:tc>
      </w:tr>
      <w:tr w:rsidR="00CC41A9" w:rsidRPr="00491918" w:rsidTr="00073B17">
        <w:trPr>
          <w:trHeight w:val="240"/>
        </w:trPr>
        <w:tc>
          <w:tcPr>
            <w:tcW w:w="56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Changes in operating assets and liabilities</w:t>
            </w:r>
          </w:p>
        </w:tc>
        <w:tc>
          <w:tcPr>
            <w:tcW w:w="1335"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10,094 </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(49,924)</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26,608 </w:t>
            </w:r>
          </w:p>
        </w:tc>
      </w:tr>
      <w:tr w:rsidR="00CC41A9" w:rsidRPr="00491918" w:rsidTr="00073B17">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Corporate income tax paid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(794)</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(627)</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(889)</w:t>
            </w:r>
          </w:p>
        </w:tc>
      </w:tr>
      <w:tr w:rsidR="00CC41A9" w:rsidRPr="00491918" w:rsidTr="00073B17">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Net cash from operating activities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10,498 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(45,170)</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30,205 </w:t>
            </w:r>
          </w:p>
        </w:tc>
      </w:tr>
      <w:tr w:rsidR="00CC41A9" w:rsidRPr="00491918" w:rsidTr="00073B17">
        <w:trPr>
          <w:trHeight w:val="240"/>
        </w:trPr>
        <w:tc>
          <w:tcPr>
            <w:tcW w:w="56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Net cash from investing activities</w:t>
            </w:r>
          </w:p>
        </w:tc>
        <w:tc>
          <w:tcPr>
            <w:tcW w:w="1335"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(16,629)</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(4,627)</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(2,151)</w:t>
            </w:r>
          </w:p>
        </w:tc>
      </w:tr>
      <w:tr w:rsidR="00CC41A9" w:rsidRPr="00491918" w:rsidTr="00073B17">
        <w:trPr>
          <w:trHeight w:val="240"/>
        </w:trPr>
        <w:tc>
          <w:tcPr>
            <w:tcW w:w="564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Net cash from financing activities</w:t>
            </w:r>
          </w:p>
        </w:tc>
        <w:tc>
          <w:tcPr>
            <w:tcW w:w="1335"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(841)</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1,056 </w:t>
            </w:r>
          </w:p>
        </w:tc>
        <w:tc>
          <w:tcPr>
            <w:tcW w:w="133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(2,979)</w:t>
            </w:r>
          </w:p>
        </w:tc>
      </w:tr>
      <w:tr w:rsidR="00CC41A9" w:rsidRPr="00491918" w:rsidTr="00073B17">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Effect of exchange rates on cash and cash equivalents</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3,323 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(1,683)</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(2,428)</w:t>
            </w:r>
          </w:p>
        </w:tc>
      </w:tr>
      <w:tr w:rsidR="00CC41A9" w:rsidRPr="00491918" w:rsidTr="00073B17">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Net increase in cash and cash equivalents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(3,649)</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(50,424)</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22,647 </w:t>
            </w:r>
          </w:p>
        </w:tc>
      </w:tr>
      <w:tr w:rsidR="00CC41A9" w:rsidRPr="00491918" w:rsidTr="00073B17">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Cash and cash equivalents at beginning of the period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121,896 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172,320 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149,673 </w:t>
            </w:r>
          </w:p>
        </w:tc>
      </w:tr>
      <w:tr w:rsidR="00CC41A9" w:rsidRPr="00491918" w:rsidTr="00073B17">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Cash and cash equivalents at end of the period</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118,247 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121,896 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172,320 </w:t>
            </w:r>
          </w:p>
        </w:tc>
      </w:tr>
    </w:tbl>
    <w:p w:rsidR="00CC41A9" w:rsidRPr="00491918" w:rsidRDefault="00CC41A9" w:rsidP="00CC41A9">
      <w:pPr>
        <w:sectPr w:rsidR="00CC41A9" w:rsidRPr="00491918">
          <w:headerReference w:type="default" r:id="rId14"/>
          <w:pgSz w:w="11905" w:h="16837"/>
          <w:pgMar w:top="851" w:right="1134" w:bottom="567" w:left="1134" w:header="851" w:footer="567" w:gutter="0"/>
          <w:cols w:space="708"/>
        </w:sectPr>
      </w:pPr>
    </w:p>
    <w:p w:rsidR="00CC41A9" w:rsidRPr="00491918" w:rsidRDefault="00CC41A9" w:rsidP="00CC41A9">
      <w:pPr>
        <w:sectPr w:rsidR="00CC41A9" w:rsidRPr="00491918">
          <w:headerReference w:type="default" r:id="rId15"/>
          <w:type w:val="continuous"/>
          <w:pgSz w:w="11905" w:h="16837"/>
          <w:pgMar w:top="851" w:right="1134" w:bottom="567" w:left="1134" w:header="851" w:footer="567" w:gutter="0"/>
          <w:cols w:space="708"/>
        </w:sectPr>
      </w:pPr>
    </w:p>
    <w:p w:rsidR="00CC41A9" w:rsidRPr="00491918" w:rsidRDefault="00CC41A9" w:rsidP="00CC41A9">
      <w:pPr>
        <w:pStyle w:val="HeadingLevel1-BarcRA"/>
      </w:pPr>
      <w:r w:rsidRPr="00491918">
        <w:lastRenderedPageBreak/>
        <w:t>Notes</w:t>
      </w:r>
    </w:p>
    <w:tbl>
      <w:tblPr>
        <w:tblW w:w="0" w:type="auto"/>
        <w:tblLayout w:type="fixed"/>
        <w:tblLook w:val="0000" w:firstRow="0" w:lastRow="0" w:firstColumn="0" w:lastColumn="0" w:noHBand="0" w:noVBand="0"/>
      </w:tblPr>
      <w:tblGrid>
        <w:gridCol w:w="2385"/>
        <w:gridCol w:w="255"/>
        <w:gridCol w:w="975"/>
        <w:gridCol w:w="975"/>
        <w:gridCol w:w="975"/>
        <w:gridCol w:w="975"/>
        <w:gridCol w:w="180"/>
        <w:gridCol w:w="975"/>
        <w:gridCol w:w="975"/>
        <w:gridCol w:w="975"/>
      </w:tblGrid>
      <w:tr w:rsidR="00CC41A9" w:rsidRPr="00491918" w:rsidTr="00073B17">
        <w:trPr>
          <w:trHeight w:val="330"/>
        </w:trPr>
        <w:tc>
          <w:tcPr>
            <w:tcW w:w="9645" w:type="dxa"/>
            <w:gridSpan w:val="10"/>
            <w:tcBorders>
              <w:top w:val="nil"/>
              <w:left w:val="nil"/>
              <w:bottom w:val="nil"/>
              <w:right w:val="nil"/>
            </w:tcBorders>
            <w:shd w:val="clear" w:color="auto" w:fill="FFFFFF"/>
            <w:tcMar>
              <w:left w:w="36" w:type="dxa"/>
              <w:right w:w="36" w:type="dxa"/>
            </w:tcMar>
            <w:vAlign w:val="center"/>
          </w:tcPr>
          <w:p w:rsidR="00CC41A9" w:rsidRPr="00491918" w:rsidRDefault="00CC41A9" w:rsidP="00073B17">
            <w:r w:rsidRPr="00491918">
              <w:rPr>
                <w:b/>
                <w:color w:val="000000"/>
                <w:sz w:val="24"/>
              </w:rPr>
              <w:t>1.       Non-controlling Interests</w:t>
            </w:r>
          </w:p>
        </w:tc>
      </w:tr>
      <w:tr w:rsidR="00CC41A9" w:rsidRPr="00491918" w:rsidTr="00073B17">
        <w:trPr>
          <w:trHeight w:hRule="exact" w:val="240"/>
        </w:trPr>
        <w:tc>
          <w:tcPr>
            <w:tcW w:w="238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25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b/>
                <w:color w:val="000000"/>
                <w:sz w:val="24"/>
              </w:rPr>
              <w:t xml:space="preserve"> </w:t>
            </w:r>
          </w:p>
        </w:tc>
      </w:tr>
      <w:tr w:rsidR="00CC41A9" w:rsidRPr="00491918" w:rsidTr="00073B17">
        <w:trPr>
          <w:trHeight w:val="480"/>
        </w:trPr>
        <w:tc>
          <w:tcPr>
            <w:tcW w:w="238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24"/>
              </w:rPr>
            </w:pPr>
            <w:r w:rsidRPr="00491918">
              <w:rPr>
                <w:color w:val="000000"/>
                <w:sz w:val="18"/>
              </w:rPr>
              <w:t xml:space="preserve"> </w:t>
            </w:r>
          </w:p>
        </w:tc>
        <w:tc>
          <w:tcPr>
            <w:tcW w:w="25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8"/>
              </w:rPr>
            </w:pPr>
            <w:r w:rsidRPr="00491918">
              <w:rPr>
                <w:color w:val="000000"/>
                <w:sz w:val="18"/>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8"/>
              </w:rPr>
            </w:pPr>
            <w:r w:rsidRPr="00491918">
              <w:rPr>
                <w:color w:val="000000"/>
                <w:sz w:val="18"/>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color w:val="000000"/>
                <w:sz w:val="18"/>
              </w:rPr>
            </w:pPr>
            <w:r w:rsidRPr="00491918">
              <w:rPr>
                <w:b/>
                <w:color w:val="000000"/>
                <w:sz w:val="16"/>
              </w:rPr>
              <w:t>Profit Attributable to Non-controlling Interest</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center"/>
              <w:rPr>
                <w:b/>
                <w:color w:val="000000"/>
                <w:sz w:val="16"/>
              </w:rPr>
            </w:pPr>
            <w:r w:rsidRPr="00491918">
              <w:rPr>
                <w:b/>
                <w:color w:val="000000"/>
                <w:sz w:val="16"/>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center"/>
              <w:rPr>
                <w:b/>
                <w:color w:val="000000"/>
                <w:sz w:val="16"/>
              </w:rPr>
            </w:pPr>
            <w:r w:rsidRPr="00491918">
              <w:rPr>
                <w:b/>
                <w:color w:val="000000"/>
                <w:sz w:val="16"/>
              </w:rPr>
              <w:t>Equity Attributable to Non-controlling Interest</w:t>
            </w:r>
          </w:p>
        </w:tc>
      </w:tr>
      <w:tr w:rsidR="00CC41A9" w:rsidRPr="00491918" w:rsidTr="00073B17">
        <w:trPr>
          <w:trHeight w:val="240"/>
        </w:trPr>
        <w:tc>
          <w:tcPr>
            <w:tcW w:w="238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p>
        </w:tc>
        <w:tc>
          <w:tcPr>
            <w:tcW w:w="25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b/>
                <w:color w:val="000000"/>
                <w:sz w:val="16"/>
              </w:rPr>
              <w:t>Half Year</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Half Year</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Half Year</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Half Year</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Half Year</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Half Year</w:t>
            </w:r>
          </w:p>
        </w:tc>
      </w:tr>
      <w:tr w:rsidR="00CC41A9" w:rsidRPr="00491918" w:rsidTr="00073B17">
        <w:trPr>
          <w:trHeight w:val="240"/>
        </w:trPr>
        <w:tc>
          <w:tcPr>
            <w:tcW w:w="238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p>
        </w:tc>
        <w:tc>
          <w:tcPr>
            <w:tcW w:w="25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b/>
                <w:color w:val="000000"/>
                <w:sz w:val="16"/>
              </w:rPr>
              <w:t>Ended</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Ended</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Ended</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Ended</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Ended</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Ended</w:t>
            </w:r>
          </w:p>
        </w:tc>
      </w:tr>
      <w:tr w:rsidR="00CC41A9" w:rsidRPr="00491918" w:rsidTr="00073B17">
        <w:trPr>
          <w:trHeight w:val="240"/>
        </w:trPr>
        <w:tc>
          <w:tcPr>
            <w:tcW w:w="238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25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30.06.13</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31.12.12</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30.06.12</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30.06.13</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31.12.12</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30.06.12</w:t>
            </w:r>
          </w:p>
        </w:tc>
      </w:tr>
      <w:tr w:rsidR="00CC41A9" w:rsidRPr="00491918" w:rsidTr="00073B17">
        <w:trPr>
          <w:trHeight w:val="240"/>
        </w:trPr>
        <w:tc>
          <w:tcPr>
            <w:tcW w:w="238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color w:val="000000"/>
                <w:sz w:val="16"/>
              </w:rPr>
              <w:t xml:space="preserve"> </w:t>
            </w:r>
          </w:p>
        </w:tc>
        <w:tc>
          <w:tcPr>
            <w:tcW w:w="25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£m </w:t>
            </w:r>
          </w:p>
        </w:tc>
      </w:tr>
    </w:tbl>
    <w:p w:rsidR="00CC41A9" w:rsidRPr="00491918" w:rsidRDefault="00CC41A9" w:rsidP="00CC41A9"/>
    <w:tbl>
      <w:tblPr>
        <w:tblW w:w="0" w:type="auto"/>
        <w:tblLayout w:type="fixed"/>
        <w:tblLook w:val="0000" w:firstRow="0" w:lastRow="0" w:firstColumn="0" w:lastColumn="0" w:noHBand="0" w:noVBand="0"/>
      </w:tblPr>
      <w:tblGrid>
        <w:gridCol w:w="2385"/>
        <w:gridCol w:w="255"/>
        <w:gridCol w:w="975"/>
        <w:gridCol w:w="975"/>
        <w:gridCol w:w="975"/>
        <w:gridCol w:w="975"/>
        <w:gridCol w:w="180"/>
        <w:gridCol w:w="975"/>
        <w:gridCol w:w="975"/>
        <w:gridCol w:w="975"/>
      </w:tblGrid>
      <w:tr w:rsidR="00CC41A9" w:rsidRPr="00491918" w:rsidTr="00073B17">
        <w:trPr>
          <w:trHeight w:val="240"/>
        </w:trPr>
        <w:tc>
          <w:tcPr>
            <w:tcW w:w="2385"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Absa Group Limited </w:t>
            </w:r>
          </w:p>
        </w:tc>
        <w:tc>
          <w:tcPr>
            <w:tcW w:w="255"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158 </w:t>
            </w:r>
          </w:p>
        </w:tc>
        <w:tc>
          <w:tcPr>
            <w:tcW w:w="97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150 </w:t>
            </w:r>
          </w:p>
        </w:tc>
        <w:tc>
          <w:tcPr>
            <w:tcW w:w="97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154 </w:t>
            </w:r>
          </w:p>
        </w:tc>
        <w:tc>
          <w:tcPr>
            <w:tcW w:w="180"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975"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2,509 </w:t>
            </w:r>
          </w:p>
        </w:tc>
        <w:tc>
          <w:tcPr>
            <w:tcW w:w="97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2,737 </w:t>
            </w:r>
          </w:p>
        </w:tc>
        <w:tc>
          <w:tcPr>
            <w:tcW w:w="97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2,842 </w:t>
            </w:r>
          </w:p>
        </w:tc>
      </w:tr>
      <w:tr w:rsidR="00CC41A9" w:rsidRPr="00491918" w:rsidTr="00073B17">
        <w:trPr>
          <w:trHeight w:val="240"/>
        </w:trPr>
        <w:tc>
          <w:tcPr>
            <w:tcW w:w="238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Other non-controlling interests</w:t>
            </w:r>
          </w:p>
        </w:tc>
        <w:tc>
          <w:tcPr>
            <w:tcW w:w="25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14 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13 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22 </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rPr>
            </w:pPr>
            <w:r w:rsidRPr="00491918">
              <w:rPr>
                <w:color w:val="000000"/>
                <w:sz w:val="16"/>
              </w:rPr>
              <w:t>111 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119 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rPr>
            </w:pPr>
            <w:r w:rsidRPr="00491918">
              <w:rPr>
                <w:color w:val="000000"/>
                <w:sz w:val="16"/>
              </w:rPr>
              <w:t>115 </w:t>
            </w:r>
          </w:p>
        </w:tc>
      </w:tr>
      <w:tr w:rsidR="00CC41A9" w:rsidRPr="00491918" w:rsidTr="00073B17">
        <w:trPr>
          <w:trHeight w:val="240"/>
        </w:trPr>
        <w:tc>
          <w:tcPr>
            <w:tcW w:w="238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rPr>
            </w:pPr>
            <w:r w:rsidRPr="00491918">
              <w:rPr>
                <w:b/>
                <w:color w:val="000000"/>
                <w:sz w:val="16"/>
              </w:rPr>
              <w:t>Total</w:t>
            </w:r>
          </w:p>
        </w:tc>
        <w:tc>
          <w:tcPr>
            <w:tcW w:w="25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172 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163 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176 </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2,620 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2,856 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2,957 </w:t>
            </w:r>
          </w:p>
        </w:tc>
      </w:tr>
      <w:tr w:rsidR="00CC41A9" w:rsidRPr="00491918" w:rsidTr="00073B17">
        <w:trPr>
          <w:trHeight w:hRule="exact" w:val="240"/>
        </w:trPr>
        <w:tc>
          <w:tcPr>
            <w:tcW w:w="238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25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rPr>
            </w:pPr>
            <w:r w:rsidRPr="00491918">
              <w:rPr>
                <w:b/>
                <w:color w:val="000000"/>
                <w:sz w:val="16"/>
              </w:rPr>
              <w:t xml:space="preserve"> </w:t>
            </w:r>
          </w:p>
        </w:tc>
      </w:tr>
    </w:tbl>
    <w:p w:rsidR="00CC41A9" w:rsidRPr="00491918" w:rsidRDefault="00CC41A9" w:rsidP="00CC41A9">
      <w:pPr>
        <w:sectPr w:rsidR="00CC41A9" w:rsidRPr="00491918">
          <w:headerReference w:type="default" r:id="rId16"/>
          <w:pgSz w:w="11905" w:h="16837"/>
          <w:pgMar w:top="851" w:right="1134" w:bottom="567" w:left="1134" w:header="851" w:footer="567" w:gutter="0"/>
          <w:cols w:space="708"/>
        </w:sectPr>
      </w:pPr>
    </w:p>
    <w:p w:rsidR="00CC41A9" w:rsidRPr="00491918" w:rsidRDefault="00CC41A9" w:rsidP="00CC41A9"/>
    <w:p w:rsidR="00CC41A9" w:rsidRPr="00491918" w:rsidRDefault="00CC41A9" w:rsidP="00CC41A9">
      <w:pPr>
        <w:pStyle w:val="HeadingLevel1-BarcRA7"/>
        <w:rPr>
          <w:color w:val="auto"/>
          <w:lang w:val="en-GB"/>
        </w:rPr>
      </w:pPr>
      <w:r w:rsidRPr="00491918">
        <w:rPr>
          <w:color w:val="auto"/>
          <w:lang w:val="en-GB"/>
        </w:rPr>
        <w:t>2</w:t>
      </w:r>
      <w:r w:rsidRPr="00491918">
        <w:rPr>
          <w:color w:val="auto"/>
        </w:rPr>
        <w:t>.</w:t>
      </w:r>
      <w:r w:rsidRPr="00491918">
        <w:rPr>
          <w:color w:val="auto"/>
          <w:lang w:val="en-GB"/>
        </w:rPr>
        <w:tab/>
      </w:r>
      <w:r w:rsidRPr="00491918">
        <w:rPr>
          <w:rFonts w:cs="ExpertSans-Bold"/>
          <w:bCs w:val="0"/>
          <w:lang w:eastAsia="en-GB"/>
        </w:rPr>
        <w:t xml:space="preserve">Dividends </w:t>
      </w:r>
    </w:p>
    <w:p w:rsidR="00CC41A9" w:rsidRPr="00491918" w:rsidRDefault="00CC41A9" w:rsidP="00CC41A9">
      <w:pPr>
        <w:rPr>
          <w:lang w:val="en-GB"/>
        </w:rPr>
      </w:pPr>
    </w:p>
    <w:tbl>
      <w:tblPr>
        <w:tblW w:w="0" w:type="auto"/>
        <w:tblLayout w:type="fixed"/>
        <w:tblLook w:val="0000" w:firstRow="0" w:lastRow="0" w:firstColumn="0" w:lastColumn="0" w:noHBand="0" w:noVBand="0"/>
      </w:tblPr>
      <w:tblGrid>
        <w:gridCol w:w="6720"/>
        <w:gridCol w:w="975"/>
        <w:gridCol w:w="975"/>
        <w:gridCol w:w="975"/>
      </w:tblGrid>
      <w:tr w:rsidR="00CC41A9" w:rsidRPr="00491918" w:rsidTr="00073B17">
        <w:trPr>
          <w:trHeight w:val="720"/>
        </w:trPr>
        <w:tc>
          <w:tcPr>
            <w:tcW w:w="672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lang w:val="en-GB"/>
              </w:rPr>
            </w:pPr>
            <w:r w:rsidRPr="00491918">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b/>
                <w:color w:val="000000"/>
                <w:sz w:val="16"/>
                <w:lang w:val="en-GB"/>
              </w:rPr>
              <w:t>Half Year Ended 30.06.13</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lang w:val="en-GB"/>
              </w:rPr>
            </w:pPr>
            <w:r w:rsidRPr="00491918">
              <w:rPr>
                <w:b/>
                <w:color w:val="000000"/>
                <w:sz w:val="16"/>
                <w:lang w:val="en-GB"/>
              </w:rPr>
              <w:t>Half Year Ended 31.12.12</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lang w:val="en-GB"/>
              </w:rPr>
            </w:pPr>
            <w:r w:rsidRPr="00491918">
              <w:rPr>
                <w:b/>
                <w:color w:val="000000"/>
                <w:sz w:val="16"/>
                <w:lang w:val="en-GB"/>
              </w:rPr>
              <w:t>Half Year Ended 30.06.12</w:t>
            </w:r>
          </w:p>
        </w:tc>
      </w:tr>
      <w:tr w:rsidR="00CC41A9" w:rsidRPr="00491918" w:rsidTr="00073B17">
        <w:trPr>
          <w:trHeight w:val="240"/>
        </w:trPr>
        <w:tc>
          <w:tcPr>
            <w:tcW w:w="672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b/>
                <w:color w:val="000000"/>
                <w:sz w:val="16"/>
                <w:lang w:val="en-GB"/>
              </w:rPr>
            </w:pPr>
            <w:r w:rsidRPr="00491918">
              <w:rPr>
                <w:color w:val="000000"/>
                <w:sz w:val="16"/>
                <w:lang w:val="en-GB"/>
              </w:rPr>
              <w:t>Dividends paid during the period</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£m </w:t>
            </w:r>
          </w:p>
        </w:tc>
      </w:tr>
    </w:tbl>
    <w:p w:rsidR="00CC41A9" w:rsidRPr="00491918" w:rsidRDefault="00CC41A9" w:rsidP="00CC41A9"/>
    <w:tbl>
      <w:tblPr>
        <w:tblW w:w="0" w:type="auto"/>
        <w:tblLayout w:type="fixed"/>
        <w:tblLook w:val="0000" w:firstRow="0" w:lastRow="0" w:firstColumn="0" w:lastColumn="0" w:noHBand="0" w:noVBand="0"/>
      </w:tblPr>
      <w:tblGrid>
        <w:gridCol w:w="6720"/>
        <w:gridCol w:w="975"/>
        <w:gridCol w:w="975"/>
        <w:gridCol w:w="975"/>
      </w:tblGrid>
      <w:tr w:rsidR="00CC41A9" w:rsidRPr="00491918" w:rsidTr="009E537D">
        <w:trPr>
          <w:trHeight w:val="240"/>
        </w:trPr>
        <w:tc>
          <w:tcPr>
            <w:tcW w:w="6720" w:type="dxa"/>
            <w:tcBorders>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lang w:val="en-GB"/>
              </w:rPr>
            </w:pPr>
            <w:r w:rsidRPr="00491918">
              <w:rPr>
                <w:color w:val="000000"/>
                <w:sz w:val="16"/>
                <w:lang w:val="en-GB"/>
              </w:rPr>
              <w:t>Ordinary shares</w:t>
            </w:r>
          </w:p>
        </w:tc>
        <w:tc>
          <w:tcPr>
            <w:tcW w:w="975" w:type="dxa"/>
            <w:tcBorders>
              <w:left w:val="nil"/>
              <w:bottom w:val="nil"/>
              <w:right w:val="nil"/>
            </w:tcBorders>
            <w:shd w:val="clear" w:color="auto" w:fill="EAEAEA"/>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489 </w:t>
            </w:r>
          </w:p>
        </w:tc>
        <w:tc>
          <w:tcPr>
            <w:tcW w:w="97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234 </w:t>
            </w:r>
          </w:p>
        </w:tc>
        <w:tc>
          <w:tcPr>
            <w:tcW w:w="975" w:type="dxa"/>
            <w:tcBorders>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462 </w:t>
            </w:r>
          </w:p>
        </w:tc>
      </w:tr>
      <w:tr w:rsidR="00CC41A9" w:rsidRPr="00491918" w:rsidTr="00073B17">
        <w:trPr>
          <w:trHeight w:val="240"/>
        </w:trPr>
        <w:tc>
          <w:tcPr>
            <w:tcW w:w="6720"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rPr>
                <w:color w:val="000000"/>
                <w:sz w:val="16"/>
                <w:lang w:val="en-GB"/>
              </w:rPr>
            </w:pPr>
            <w:r w:rsidRPr="00491918">
              <w:rPr>
                <w:color w:val="000000"/>
                <w:sz w:val="16"/>
                <w:lang w:val="en-GB"/>
              </w:rPr>
              <w:t>Preference shares</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225 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244 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221 </w:t>
            </w:r>
          </w:p>
        </w:tc>
      </w:tr>
      <w:tr w:rsidR="00CC41A9" w:rsidRPr="00491918" w:rsidTr="00073B17">
        <w:trPr>
          <w:trHeight w:val="240"/>
        </w:trPr>
        <w:tc>
          <w:tcPr>
            <w:tcW w:w="6720"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lang w:val="en-GB"/>
              </w:rPr>
            </w:pPr>
            <w:r w:rsidRPr="00491918">
              <w:rPr>
                <w:b/>
                <w:color w:val="000000"/>
                <w:sz w:val="16"/>
                <w:lang w:val="en-GB"/>
              </w:rPr>
              <w:t>Total</w:t>
            </w:r>
          </w:p>
        </w:tc>
        <w:tc>
          <w:tcPr>
            <w:tcW w:w="975" w:type="dxa"/>
            <w:tcBorders>
              <w:top w:val="single" w:sz="6" w:space="0" w:color="969696"/>
              <w:left w:val="nil"/>
              <w:bottom w:val="nil"/>
              <w:right w:val="nil"/>
            </w:tcBorders>
            <w:shd w:val="clear" w:color="auto" w:fill="EAEAEA"/>
            <w:tcMar>
              <w:left w:w="36" w:type="dxa"/>
              <w:right w:w="36" w:type="dxa"/>
            </w:tcMar>
            <w:vAlign w:val="center"/>
          </w:tcPr>
          <w:p w:rsidR="00CC41A9" w:rsidRPr="00491918" w:rsidRDefault="00CC41A9" w:rsidP="00073B17">
            <w:pPr>
              <w:jc w:val="right"/>
              <w:rPr>
                <w:b/>
                <w:color w:val="000000"/>
                <w:sz w:val="16"/>
                <w:lang w:val="en-GB"/>
              </w:rPr>
            </w:pPr>
            <w:r w:rsidRPr="00491918">
              <w:rPr>
                <w:b/>
                <w:color w:val="000000"/>
                <w:sz w:val="16"/>
                <w:lang w:val="en-GB"/>
              </w:rPr>
              <w:t xml:space="preserve"> 714 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lang w:val="en-GB"/>
              </w:rPr>
            </w:pPr>
            <w:r w:rsidRPr="00491918">
              <w:rPr>
                <w:b/>
                <w:color w:val="000000"/>
                <w:sz w:val="16"/>
                <w:lang w:val="en-GB"/>
              </w:rPr>
              <w:t xml:space="preserve"> 478 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CC41A9" w:rsidRPr="00491918" w:rsidRDefault="00CC41A9" w:rsidP="00073B17">
            <w:pPr>
              <w:jc w:val="right"/>
              <w:rPr>
                <w:b/>
                <w:color w:val="000000"/>
                <w:sz w:val="16"/>
                <w:lang w:val="en-GB"/>
              </w:rPr>
            </w:pPr>
            <w:r w:rsidRPr="00491918">
              <w:rPr>
                <w:b/>
                <w:color w:val="000000"/>
                <w:sz w:val="16"/>
                <w:lang w:val="en-GB"/>
              </w:rPr>
              <w:t xml:space="preserve"> 683 </w:t>
            </w:r>
          </w:p>
        </w:tc>
      </w:tr>
      <w:tr w:rsidR="00CC41A9" w:rsidRPr="00491918" w:rsidTr="00073B17">
        <w:trPr>
          <w:trHeight w:hRule="exact" w:val="240"/>
        </w:trPr>
        <w:tc>
          <w:tcPr>
            <w:tcW w:w="6720"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b/>
                <w:color w:val="000000"/>
                <w:sz w:val="16"/>
                <w:lang w:val="en-GB"/>
              </w:rPr>
            </w:pPr>
            <w:r w:rsidRPr="00491918">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jc w:val="right"/>
              <w:rPr>
                <w:color w:val="000000"/>
                <w:sz w:val="16"/>
                <w:lang w:val="en-GB"/>
              </w:rPr>
            </w:pPr>
            <w:r w:rsidRPr="00491918">
              <w:rPr>
                <w:color w:val="000000"/>
                <w:sz w:val="16"/>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6"/>
                <w:lang w:val="en-GB"/>
              </w:rPr>
            </w:pPr>
            <w:r w:rsidRPr="00491918">
              <w:rPr>
                <w:rFonts w:ascii="Barclays Sans" w:eastAsia="Barclays Sans" w:hAnsi="Barclays Sans" w:cs="Barclays Sans"/>
                <w:color w:val="000000"/>
                <w:sz w:val="16"/>
                <w:lang w:val="en-GB"/>
              </w:rPr>
              <w:t xml:space="preserve"> </w:t>
            </w:r>
          </w:p>
        </w:tc>
      </w:tr>
      <w:tr w:rsidR="00CC41A9" w:rsidRPr="00491918" w:rsidTr="00073B17">
        <w:trPr>
          <w:trHeight w:val="240"/>
        </w:trPr>
        <w:tc>
          <w:tcPr>
            <w:tcW w:w="8670" w:type="dxa"/>
            <w:gridSpan w:val="3"/>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rFonts w:ascii="Barclays Sans" w:eastAsia="Barclays Sans" w:hAnsi="Barclays Sans" w:cs="Barclays Sans"/>
                <w:color w:val="000000"/>
                <w:sz w:val="16"/>
                <w:lang w:val="en-GB"/>
              </w:rPr>
            </w:pPr>
            <w:r w:rsidRPr="00491918">
              <w:rPr>
                <w:color w:val="000000"/>
                <w:sz w:val="18"/>
                <w:lang w:val="en-GB"/>
              </w:rPr>
              <w:t>Ordinary dividends were paid to enable Barclays PLC to fund its dividend to shareholders.</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8"/>
                <w:lang w:val="en-GB"/>
              </w:rPr>
            </w:pPr>
            <w:r w:rsidRPr="00491918">
              <w:rPr>
                <w:rFonts w:ascii="Barclays Sans" w:eastAsia="Barclays Sans" w:hAnsi="Barclays Sans" w:cs="Barclays Sans"/>
                <w:color w:val="000000"/>
                <w:sz w:val="16"/>
                <w:lang w:val="en-GB"/>
              </w:rPr>
              <w:t xml:space="preserve"> </w:t>
            </w:r>
          </w:p>
        </w:tc>
      </w:tr>
      <w:tr w:rsidR="00CC41A9" w:rsidRPr="00491918" w:rsidTr="00073B17">
        <w:trPr>
          <w:trHeight w:hRule="exact" w:val="240"/>
        </w:trPr>
        <w:tc>
          <w:tcPr>
            <w:tcW w:w="6720"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rFonts w:ascii="Barclays Sans" w:eastAsia="Barclays Sans" w:hAnsi="Barclays Sans" w:cs="Barclays Sans"/>
                <w:color w:val="000000"/>
                <w:sz w:val="16"/>
                <w:lang w:val="en-GB"/>
              </w:rPr>
            </w:pPr>
            <w:r w:rsidRPr="00491918">
              <w:rPr>
                <w:color w:val="000000"/>
                <w:sz w:val="18"/>
                <w:lang w:val="en-GB"/>
              </w:rPr>
              <w:t xml:space="preserve"> </w:t>
            </w:r>
          </w:p>
        </w:tc>
        <w:tc>
          <w:tcPr>
            <w:tcW w:w="97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8"/>
                <w:lang w:val="en-GB"/>
              </w:rPr>
            </w:pPr>
            <w:r w:rsidRPr="00491918">
              <w:rPr>
                <w:color w:val="000000"/>
                <w:sz w:val="18"/>
                <w:lang w:val="en-GB"/>
              </w:rPr>
              <w:t xml:space="preserve"> </w:t>
            </w:r>
          </w:p>
        </w:tc>
        <w:tc>
          <w:tcPr>
            <w:tcW w:w="975" w:type="dxa"/>
            <w:tcBorders>
              <w:top w:val="nil"/>
              <w:left w:val="nil"/>
              <w:bottom w:val="nil"/>
              <w:right w:val="nil"/>
            </w:tcBorders>
            <w:shd w:val="clear" w:color="auto" w:fill="FFFFFF"/>
            <w:tcMar>
              <w:left w:w="36" w:type="dxa"/>
              <w:right w:w="36" w:type="dxa"/>
            </w:tcMar>
            <w:vAlign w:val="bottom"/>
          </w:tcPr>
          <w:p w:rsidR="00CC41A9" w:rsidRPr="00491918" w:rsidRDefault="00CC41A9" w:rsidP="00073B17">
            <w:pPr>
              <w:rPr>
                <w:color w:val="000000"/>
                <w:sz w:val="18"/>
                <w:lang w:val="en-GB"/>
              </w:rPr>
            </w:pPr>
            <w:r w:rsidRPr="00491918">
              <w:rPr>
                <w:color w:val="000000"/>
                <w:sz w:val="18"/>
                <w:lang w:val="en-GB"/>
              </w:rPr>
              <w:t xml:space="preserve"> </w:t>
            </w:r>
          </w:p>
        </w:tc>
        <w:tc>
          <w:tcPr>
            <w:tcW w:w="975" w:type="dxa"/>
            <w:tcBorders>
              <w:top w:val="nil"/>
              <w:left w:val="nil"/>
              <w:bottom w:val="nil"/>
              <w:right w:val="nil"/>
            </w:tcBorders>
            <w:shd w:val="clear" w:color="auto" w:fill="FFFFFF"/>
            <w:tcMar>
              <w:left w:w="36" w:type="dxa"/>
              <w:right w:w="36" w:type="dxa"/>
            </w:tcMar>
            <w:vAlign w:val="center"/>
          </w:tcPr>
          <w:p w:rsidR="00CC41A9" w:rsidRPr="00491918" w:rsidRDefault="00CC41A9" w:rsidP="00073B17">
            <w:pPr>
              <w:rPr>
                <w:color w:val="000000"/>
                <w:sz w:val="18"/>
                <w:lang w:val="en-GB"/>
              </w:rPr>
            </w:pPr>
            <w:r w:rsidRPr="00491918">
              <w:rPr>
                <w:rFonts w:ascii="Barclays Sans" w:eastAsia="Barclays Sans" w:hAnsi="Barclays Sans" w:cs="Barclays Sans"/>
                <w:color w:val="000000"/>
                <w:sz w:val="16"/>
                <w:lang w:val="en-GB"/>
              </w:rPr>
              <w:t xml:space="preserve"> </w:t>
            </w:r>
          </w:p>
        </w:tc>
      </w:tr>
    </w:tbl>
    <w:p w:rsidR="00CC41A9" w:rsidRPr="00491918" w:rsidRDefault="00CC41A9" w:rsidP="00CC41A9">
      <w:pPr>
        <w:rPr>
          <w:lang w:val="en-GB"/>
        </w:rPr>
        <w:sectPr w:rsidR="00CC41A9" w:rsidRPr="00491918">
          <w:type w:val="continuous"/>
          <w:pgSz w:w="11905" w:h="16837"/>
          <w:pgMar w:top="851" w:right="1134" w:bottom="567" w:left="1134" w:header="851" w:footer="567" w:gutter="0"/>
          <w:cols w:space="708"/>
        </w:sectPr>
      </w:pPr>
    </w:p>
    <w:p w:rsidR="00CC41A9" w:rsidRPr="00491918" w:rsidRDefault="00CC41A9" w:rsidP="00CC41A9">
      <w:pPr>
        <w:rPr>
          <w:lang w:val="en-GB"/>
        </w:rPr>
      </w:pPr>
    </w:p>
    <w:p w:rsidR="00CC41A9" w:rsidRPr="00491918" w:rsidRDefault="00CC41A9" w:rsidP="00CC41A9">
      <w:pPr>
        <w:pStyle w:val="HeadingLevel1-BarcRA8"/>
        <w:rPr>
          <w:color w:val="auto"/>
        </w:rPr>
      </w:pPr>
      <w:r w:rsidRPr="00491918">
        <w:rPr>
          <w:color w:val="auto"/>
        </w:rPr>
        <w:t>3.</w:t>
      </w:r>
      <w:r w:rsidRPr="00491918">
        <w:rPr>
          <w:color w:val="auto"/>
        </w:rPr>
        <w:tab/>
        <w:t>Share Capital</w:t>
      </w:r>
    </w:p>
    <w:p w:rsidR="00CC41A9" w:rsidRPr="00491918" w:rsidRDefault="00CC41A9" w:rsidP="00CC41A9">
      <w:pPr>
        <w:pStyle w:val="HeadingLevel2-BarcRA"/>
        <w:rPr>
          <w:color w:val="auto"/>
          <w:lang w:val="en-GB"/>
        </w:rPr>
      </w:pPr>
      <w:r w:rsidRPr="00491918">
        <w:rPr>
          <w:color w:val="auto"/>
          <w:lang w:val="en-GB"/>
        </w:rPr>
        <w:t>Ordinary Shares</w:t>
      </w:r>
    </w:p>
    <w:p w:rsidR="00CC41A9" w:rsidRPr="00491918" w:rsidRDefault="00CC41A9" w:rsidP="00CC41A9">
      <w:pPr>
        <w:pStyle w:val="BodyText-BarcRA13"/>
      </w:pPr>
      <w:r w:rsidRPr="00491918">
        <w:t>At 30 June 2013 and 31 December 2012 the issued ordinary share capital of Barclays Bank PLC, comprised 2,342 million ordinary shares of £1 each.</w:t>
      </w:r>
    </w:p>
    <w:p w:rsidR="00CC41A9" w:rsidRPr="00491918" w:rsidRDefault="00CC41A9" w:rsidP="00CC41A9">
      <w:pPr>
        <w:pStyle w:val="HeadingLevel2-BarcRA"/>
        <w:rPr>
          <w:color w:val="auto"/>
          <w:lang w:val="en-GB"/>
        </w:rPr>
      </w:pPr>
      <w:r w:rsidRPr="00491918">
        <w:rPr>
          <w:color w:val="auto"/>
          <w:lang w:val="en-GB"/>
        </w:rPr>
        <w:t>Preference</w:t>
      </w:r>
      <w:r w:rsidRPr="00491918">
        <w:rPr>
          <w:color w:val="auto"/>
        </w:rPr>
        <w:t xml:space="preserve"> Share</w:t>
      </w:r>
      <w:r w:rsidRPr="00491918">
        <w:rPr>
          <w:color w:val="auto"/>
          <w:lang w:val="en-GB"/>
        </w:rPr>
        <w:t>s</w:t>
      </w:r>
    </w:p>
    <w:p w:rsidR="00CC41A9" w:rsidRPr="00491918" w:rsidRDefault="00CC41A9" w:rsidP="00CC41A9">
      <w:pPr>
        <w:pStyle w:val="BodyText-BarcRA13"/>
      </w:pPr>
      <w:r w:rsidRPr="00491918">
        <w:t>At 30 June 2013 and 31 December 2012 the issued preference share capital of Barclays Bank PLC comprised 1,000 Sterling Preference Shares of £1 each; 240,000 Euro Preference Shares of €100 each; 75,000 Sterling Preference Shares of £100 each; 100,000 US Dollar Preference Shares of US$ 100 each; and 237 million US Dollar Preference Shares of US$0.25 each.</w:t>
      </w:r>
    </w:p>
    <w:p w:rsidR="00CC41A9" w:rsidRPr="00491918" w:rsidRDefault="00CC41A9" w:rsidP="00CC41A9">
      <w:pPr>
        <w:sectPr w:rsidR="00CC41A9" w:rsidRPr="00491918">
          <w:type w:val="continuous"/>
          <w:pgSz w:w="11905" w:h="16837"/>
          <w:pgMar w:top="851" w:right="1134" w:bottom="567" w:left="1134" w:header="851" w:footer="567" w:gutter="0"/>
          <w:cols w:space="708"/>
        </w:sect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rPr>
          <w:lang w:val="en-GB"/>
        </w:rPr>
      </w:pPr>
    </w:p>
    <w:p w:rsidR="00CC41A9" w:rsidRPr="00491918" w:rsidRDefault="00CC41A9" w:rsidP="00CC41A9">
      <w:pPr>
        <w:pStyle w:val="HeadingLevel1-BarcRA"/>
      </w:pPr>
      <w:r w:rsidRPr="00491918">
        <w:t>Appendix: Barclays PLC Results Announcement</w:t>
      </w:r>
    </w:p>
    <w:p w:rsidR="00CC41A9" w:rsidRPr="00491918" w:rsidRDefault="00CC41A9" w:rsidP="00CC41A9">
      <w:pPr>
        <w:pStyle w:val="BodyText-BarcRA15"/>
      </w:pPr>
    </w:p>
    <w:p w:rsidR="00CC41A9" w:rsidRPr="00491918" w:rsidRDefault="00CC41A9" w:rsidP="00CC41A9">
      <w:pPr>
        <w:pStyle w:val="BodyText-BarcRA15"/>
        <w:jc w:val="center"/>
      </w:pPr>
    </w:p>
    <w:p w:rsidR="00CC41A9" w:rsidRPr="00491918" w:rsidRDefault="00CC41A9" w:rsidP="00CC41A9">
      <w:pPr>
        <w:pStyle w:val="MyLastParagraph"/>
      </w:pPr>
    </w:p>
    <w:p w:rsidR="007D1F2F" w:rsidRPr="00491918" w:rsidRDefault="007D1F2F" w:rsidP="000D1659">
      <w:pPr>
        <w:pStyle w:val="BodyText-BarcRA0"/>
      </w:pPr>
    </w:p>
    <w:p w:rsidR="007D1F2F" w:rsidRPr="00491918" w:rsidRDefault="007D1F2F" w:rsidP="000D1659">
      <w:pPr>
        <w:pStyle w:val="BodyText-BarcRA0"/>
      </w:pPr>
    </w:p>
    <w:p w:rsidR="007D1F2F" w:rsidRPr="00491918" w:rsidRDefault="007D1F2F" w:rsidP="000D1659">
      <w:pPr>
        <w:pStyle w:val="BodyText-BarcRA0"/>
      </w:pPr>
    </w:p>
    <w:p w:rsidR="007D1F2F" w:rsidRPr="00491918" w:rsidRDefault="007D1F2F" w:rsidP="000D1659">
      <w:pPr>
        <w:pStyle w:val="BodyText-BarcRA0"/>
      </w:pPr>
    </w:p>
    <w:p w:rsidR="007D1F2F" w:rsidRPr="00491918" w:rsidRDefault="007D1F2F" w:rsidP="000D1659">
      <w:pPr>
        <w:pStyle w:val="BodyText-BarcRA0"/>
      </w:pPr>
    </w:p>
    <w:p w:rsidR="007D1F2F" w:rsidRPr="00491918" w:rsidRDefault="007D1F2F" w:rsidP="000D1659">
      <w:pPr>
        <w:pStyle w:val="BodyText-BarcRA0"/>
      </w:pPr>
    </w:p>
    <w:p w:rsidR="007D1F2F" w:rsidRPr="00491918" w:rsidRDefault="007D1F2F" w:rsidP="000D1659">
      <w:pPr>
        <w:pStyle w:val="BodyText-BarcRA0"/>
      </w:pPr>
    </w:p>
    <w:p w:rsidR="000D1659" w:rsidRPr="00491918" w:rsidRDefault="000D1659" w:rsidP="000D1659">
      <w:pPr>
        <w:pStyle w:val="BodyText-BarcRA0"/>
      </w:pPr>
    </w:p>
    <w:p w:rsidR="000D1659" w:rsidRPr="00491918" w:rsidRDefault="000D1659" w:rsidP="000D1659">
      <w:pPr>
        <w:pStyle w:val="BodyText-BarcRA0"/>
      </w:pPr>
    </w:p>
    <w:p w:rsidR="000D1659" w:rsidRPr="00491918" w:rsidRDefault="000D1659" w:rsidP="008D6001">
      <w:pPr>
        <w:pStyle w:val="DocumentTitle-BarcRA"/>
        <w:outlineLvl w:val="0"/>
      </w:pPr>
      <w:r w:rsidRPr="00491918">
        <w:t>Barclays PLC</w:t>
      </w:r>
    </w:p>
    <w:p w:rsidR="000D1659" w:rsidRPr="00491918" w:rsidRDefault="000D1659" w:rsidP="000D1659">
      <w:pPr>
        <w:pStyle w:val="DocumentTitle-BarcRA"/>
      </w:pPr>
      <w:r w:rsidRPr="00491918">
        <w:t>Results Announcement</w:t>
      </w:r>
    </w:p>
    <w:p w:rsidR="000D1659" w:rsidRPr="00491918" w:rsidRDefault="000D1659" w:rsidP="000D1659">
      <w:pPr>
        <w:pStyle w:val="DocumentTitle-BarcRA"/>
      </w:pPr>
    </w:p>
    <w:p w:rsidR="000D1659" w:rsidRPr="00491918" w:rsidRDefault="000D1659" w:rsidP="000D1659">
      <w:pPr>
        <w:pStyle w:val="DocumentTitleDetails-BarcRA"/>
      </w:pPr>
      <w:r w:rsidRPr="00491918">
        <w:t>30 June 2013</w:t>
      </w:r>
    </w:p>
    <w:p w:rsidR="000D1659" w:rsidRPr="00491918" w:rsidRDefault="000D1659" w:rsidP="000D1659">
      <w:pPr>
        <w:pStyle w:val="DocumentTitleDetails-BarcRA"/>
      </w:pPr>
    </w:p>
    <w:p w:rsidR="000D1659" w:rsidRPr="00491918" w:rsidRDefault="000D1659" w:rsidP="000D1659">
      <w:pPr>
        <w:pStyle w:val="DocumentTitleDetails-BarcRA"/>
      </w:pPr>
    </w:p>
    <w:p w:rsidR="000D1659" w:rsidRPr="00491918" w:rsidRDefault="000D1659" w:rsidP="000D1659">
      <w:pPr>
        <w:pStyle w:val="DocumentTitleDetails-BarcRA"/>
      </w:pPr>
    </w:p>
    <w:p w:rsidR="000D1659" w:rsidRPr="00491918" w:rsidRDefault="000D1659" w:rsidP="000D1659">
      <w:pPr>
        <w:pStyle w:val="DocumentTitleDetails-BarcRA"/>
      </w:pPr>
    </w:p>
    <w:p w:rsidR="008B0AE7" w:rsidRPr="00491918" w:rsidRDefault="008B0AE7" w:rsidP="008B0AE7">
      <w:pPr>
        <w:pStyle w:val="Normal10"/>
        <w:rPr>
          <w:b/>
          <w:szCs w:val="18"/>
          <w:lang w:val="la-Latn"/>
        </w:rPr>
      </w:pPr>
      <w:r w:rsidRPr="00491918">
        <w:rPr>
          <w:b/>
          <w:szCs w:val="18"/>
          <w:lang w:val="la-Latn"/>
        </w:rPr>
        <w:t xml:space="preserve">  </w:t>
      </w:r>
    </w:p>
    <w:p w:rsidR="008B0AE7" w:rsidRPr="00491918" w:rsidRDefault="008B0AE7" w:rsidP="000D1659">
      <w:pPr>
        <w:pStyle w:val="DocumentTitleDetails-BarcRA"/>
      </w:pPr>
    </w:p>
    <w:p w:rsidR="000D1659" w:rsidRPr="00491918" w:rsidRDefault="000D1659" w:rsidP="000D1659">
      <w:pPr>
        <w:pStyle w:val="DocumentTitleDetails-BarcRA"/>
        <w:jc w:val="left"/>
      </w:pPr>
    </w:p>
    <w:p w:rsidR="000D1659" w:rsidRPr="00491918" w:rsidRDefault="000D1659" w:rsidP="000D1659">
      <w:pPr>
        <w:pStyle w:val="Normal10"/>
        <w:rPr>
          <w:b/>
          <w:szCs w:val="18"/>
        </w:rPr>
      </w:pPr>
    </w:p>
    <w:p w:rsidR="000D1659" w:rsidRPr="00491918" w:rsidRDefault="000D1659">
      <w:pPr>
        <w:rPr>
          <w:sz w:val="20"/>
          <w:szCs w:val="20"/>
        </w:rPr>
        <w:sectPr w:rsidR="000D1659" w:rsidRPr="00491918" w:rsidSect="00751636">
          <w:type w:val="continuous"/>
          <w:pgSz w:w="11905" w:h="16837"/>
          <w:pgMar w:top="851" w:right="1134" w:bottom="567" w:left="1134" w:header="851" w:footer="567" w:gutter="0"/>
          <w:cols w:space="708"/>
        </w:sectPr>
      </w:pPr>
    </w:p>
    <w:tbl>
      <w:tblPr>
        <w:tblW w:w="0" w:type="auto"/>
        <w:tblLook w:val="04A0" w:firstRow="1" w:lastRow="0" w:firstColumn="1" w:lastColumn="0" w:noHBand="0" w:noVBand="1"/>
      </w:tblPr>
      <w:tblGrid>
        <w:gridCol w:w="7661"/>
        <w:gridCol w:w="2192"/>
      </w:tblGrid>
      <w:tr w:rsidR="002253D7" w:rsidRPr="00491918" w:rsidTr="00EB48CB">
        <w:tc>
          <w:tcPr>
            <w:tcW w:w="7661" w:type="dxa"/>
          </w:tcPr>
          <w:p w:rsidR="002253D7" w:rsidRPr="00491918" w:rsidRDefault="002253D7" w:rsidP="002253D7">
            <w:pPr>
              <w:pStyle w:val="HeadingLevel1-BarcRA"/>
              <w:outlineLvl w:val="0"/>
              <w:rPr>
                <w:color w:val="auto"/>
                <w:lang w:val="en-GB"/>
              </w:rPr>
            </w:pPr>
            <w:r w:rsidRPr="00491918">
              <w:rPr>
                <w:color w:val="auto"/>
              </w:rPr>
              <w:lastRenderedPageBreak/>
              <w:t>Table of Contents</w:t>
            </w:r>
          </w:p>
        </w:tc>
        <w:tc>
          <w:tcPr>
            <w:tcW w:w="2192" w:type="dxa"/>
            <w:vAlign w:val="center"/>
          </w:tcPr>
          <w:p w:rsidR="002253D7" w:rsidRPr="00491918" w:rsidRDefault="002253D7" w:rsidP="000D1659">
            <w:pPr>
              <w:pStyle w:val="HeadingLevel1-BarcRA"/>
              <w:jc w:val="right"/>
              <w:rPr>
                <w:color w:val="auto"/>
                <w:lang w:val="en-GB"/>
              </w:rPr>
            </w:pPr>
          </w:p>
        </w:tc>
      </w:tr>
      <w:tr w:rsidR="000D1659" w:rsidRPr="00491918" w:rsidTr="00EB48CB">
        <w:tc>
          <w:tcPr>
            <w:tcW w:w="7661" w:type="dxa"/>
          </w:tcPr>
          <w:p w:rsidR="000D1659" w:rsidRPr="00491918" w:rsidRDefault="000D1659" w:rsidP="000D1659">
            <w:pPr>
              <w:pStyle w:val="HeadingLevel1-BarcRA"/>
              <w:rPr>
                <w:color w:val="auto"/>
              </w:rPr>
            </w:pPr>
            <w:r w:rsidRPr="00491918">
              <w:rPr>
                <w:color w:val="auto"/>
                <w:lang w:val="en-GB"/>
              </w:rPr>
              <w:t>Interim</w:t>
            </w:r>
            <w:r w:rsidRPr="00491918">
              <w:rPr>
                <w:color w:val="auto"/>
              </w:rPr>
              <w:t xml:space="preserve"> Results Announcement</w:t>
            </w:r>
          </w:p>
        </w:tc>
        <w:tc>
          <w:tcPr>
            <w:tcW w:w="2192" w:type="dxa"/>
            <w:vAlign w:val="center"/>
          </w:tcPr>
          <w:p w:rsidR="000D1659" w:rsidRPr="00491918" w:rsidRDefault="000D1659" w:rsidP="000D1659">
            <w:pPr>
              <w:pStyle w:val="HeadingLevel1-BarcRA"/>
              <w:jc w:val="right"/>
              <w:rPr>
                <w:color w:val="auto"/>
                <w:lang w:val="en-GB"/>
              </w:rPr>
            </w:pPr>
          </w:p>
        </w:tc>
      </w:tr>
      <w:tr w:rsidR="000D1659" w:rsidRPr="00491918" w:rsidTr="00EB48CB">
        <w:tc>
          <w:tcPr>
            <w:tcW w:w="7661" w:type="dxa"/>
          </w:tcPr>
          <w:p w:rsidR="000D1659" w:rsidRPr="00491918" w:rsidRDefault="000D1659" w:rsidP="000D1659">
            <w:pPr>
              <w:pStyle w:val="Level1Bullet-BarcRA"/>
              <w:numPr>
                <w:ilvl w:val="0"/>
                <w:numId w:val="0"/>
              </w:numPr>
              <w:tabs>
                <w:tab w:val="left" w:pos="720"/>
              </w:tabs>
              <w:spacing w:before="96" w:after="96"/>
              <w:ind w:left="284" w:hanging="284"/>
              <w:jc w:val="left"/>
              <w:rPr>
                <w:szCs w:val="18"/>
                <w:lang w:val="en-GB"/>
              </w:rPr>
            </w:pPr>
            <w:r w:rsidRPr="00491918">
              <w:rPr>
                <w:szCs w:val="18"/>
                <w:lang w:val="en-GB"/>
              </w:rPr>
              <w:t>Performance Highlights</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tcPr>
          <w:p w:rsidR="000D1659" w:rsidRPr="00491918" w:rsidRDefault="000D1659" w:rsidP="000D1659">
            <w:pPr>
              <w:pStyle w:val="Level1Bullet-BarcRA"/>
              <w:numPr>
                <w:ilvl w:val="0"/>
                <w:numId w:val="0"/>
              </w:numPr>
              <w:tabs>
                <w:tab w:val="left" w:pos="720"/>
              </w:tabs>
              <w:spacing w:before="96" w:after="96"/>
              <w:ind w:left="284" w:hanging="284"/>
              <w:jc w:val="left"/>
              <w:rPr>
                <w:szCs w:val="18"/>
                <w:lang w:val="en-GB"/>
              </w:rPr>
            </w:pPr>
            <w:r w:rsidRPr="00491918">
              <w:rPr>
                <w:szCs w:val="18"/>
                <w:lang w:val="en-GB"/>
              </w:rPr>
              <w:t>Chief Executive’s Review</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tcPr>
          <w:p w:rsidR="000D1659" w:rsidRPr="00491918" w:rsidRDefault="000D1659" w:rsidP="000D1659">
            <w:pPr>
              <w:pStyle w:val="Level1Bullet-BarcRA"/>
              <w:numPr>
                <w:ilvl w:val="0"/>
                <w:numId w:val="0"/>
              </w:numPr>
              <w:tabs>
                <w:tab w:val="left" w:pos="720"/>
              </w:tabs>
              <w:spacing w:before="96" w:after="96"/>
              <w:ind w:left="284" w:hanging="284"/>
              <w:jc w:val="left"/>
              <w:rPr>
                <w:szCs w:val="18"/>
                <w:lang w:val="en-GB"/>
              </w:rPr>
            </w:pPr>
            <w:r w:rsidRPr="00491918">
              <w:rPr>
                <w:szCs w:val="18"/>
                <w:lang w:val="en-GB"/>
              </w:rPr>
              <w:t>Group Finance Director’s Review</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tcPr>
          <w:p w:rsidR="000D1659" w:rsidRPr="00491918" w:rsidRDefault="000D1659" w:rsidP="000D1659">
            <w:pPr>
              <w:pStyle w:val="Level1Bullet-BarcRA"/>
              <w:numPr>
                <w:ilvl w:val="0"/>
                <w:numId w:val="0"/>
              </w:numPr>
              <w:tabs>
                <w:tab w:val="left" w:pos="720"/>
              </w:tabs>
              <w:spacing w:before="96" w:after="96"/>
              <w:ind w:left="284" w:hanging="284"/>
              <w:jc w:val="left"/>
              <w:rPr>
                <w:szCs w:val="18"/>
                <w:lang w:val="en-GB"/>
              </w:rPr>
            </w:pPr>
            <w:r w:rsidRPr="00491918">
              <w:rPr>
                <w:szCs w:val="18"/>
                <w:lang w:val="en-GB"/>
              </w:rPr>
              <w:t>Barclays Results by Quarter</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tcPr>
          <w:p w:rsidR="000D1659" w:rsidRPr="00491918" w:rsidRDefault="000D1659" w:rsidP="000D1659">
            <w:pPr>
              <w:pStyle w:val="Level1Bullet-BarcRA"/>
              <w:numPr>
                <w:ilvl w:val="0"/>
                <w:numId w:val="0"/>
              </w:numPr>
              <w:tabs>
                <w:tab w:val="left" w:pos="720"/>
              </w:tabs>
              <w:spacing w:before="96" w:after="96"/>
              <w:ind w:left="284" w:hanging="284"/>
              <w:jc w:val="left"/>
              <w:rPr>
                <w:szCs w:val="18"/>
              </w:rPr>
            </w:pPr>
            <w:r w:rsidRPr="00491918">
              <w:rPr>
                <w:szCs w:val="18"/>
              </w:rPr>
              <w:t>Condensed Consolidated Financial Statements</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tcPr>
          <w:p w:rsidR="000D1659" w:rsidRPr="00491918" w:rsidRDefault="000D1659" w:rsidP="000D1659">
            <w:pPr>
              <w:pStyle w:val="Level1Bullet-BarcRA"/>
              <w:numPr>
                <w:ilvl w:val="0"/>
                <w:numId w:val="0"/>
              </w:numPr>
              <w:spacing w:before="96" w:after="96"/>
              <w:jc w:val="left"/>
              <w:rPr>
                <w:b/>
                <w:szCs w:val="18"/>
                <w:lang w:val="en-GB"/>
              </w:rPr>
            </w:pPr>
            <w:r w:rsidRPr="00491918">
              <w:rPr>
                <w:b/>
                <w:szCs w:val="18"/>
              </w:rPr>
              <w:t>Results by Business</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tcPr>
          <w:p w:rsidR="000D1659" w:rsidRPr="00491918" w:rsidRDefault="000D1659" w:rsidP="000D1659">
            <w:pPr>
              <w:pStyle w:val="Level1Bullet-BarcRA"/>
              <w:spacing w:before="96" w:after="96"/>
            </w:pPr>
            <w:r w:rsidRPr="00491918">
              <w:t>Retail and Business Banking</w:t>
            </w:r>
          </w:p>
        </w:tc>
        <w:tc>
          <w:tcPr>
            <w:tcW w:w="2192" w:type="dxa"/>
          </w:tcPr>
          <w:p w:rsidR="000D1659" w:rsidRPr="00491918" w:rsidRDefault="000D1659" w:rsidP="000D1659">
            <w:pPr>
              <w:pStyle w:val="Level1Bullet-BarcRA"/>
              <w:numPr>
                <w:ilvl w:val="0"/>
                <w:numId w:val="0"/>
              </w:numPr>
              <w:spacing w:before="96" w:after="96"/>
              <w:jc w:val="right"/>
              <w:rPr>
                <w:b/>
                <w:szCs w:val="18"/>
              </w:rPr>
            </w:pPr>
          </w:p>
        </w:tc>
      </w:tr>
      <w:tr w:rsidR="000D1659" w:rsidRPr="00491918" w:rsidTr="00EB48CB">
        <w:tc>
          <w:tcPr>
            <w:tcW w:w="7661" w:type="dxa"/>
            <w:vAlign w:val="center"/>
          </w:tcPr>
          <w:p w:rsidR="000D1659" w:rsidRPr="00491918" w:rsidRDefault="000D1659" w:rsidP="000D1659">
            <w:pPr>
              <w:pStyle w:val="Level2Bullet-BarcRA"/>
              <w:spacing w:before="40" w:after="40"/>
              <w:ind w:left="1049" w:hanging="737"/>
            </w:pPr>
            <w:r w:rsidRPr="00491918">
              <w:t>UK</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Level2Bullet-BarcRA"/>
              <w:spacing w:before="40" w:after="40"/>
              <w:ind w:left="1049" w:hanging="737"/>
            </w:pPr>
            <w:r w:rsidRPr="00491918">
              <w:t>Europe</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Level2Bullet-BarcRA"/>
              <w:spacing w:before="40" w:after="40"/>
              <w:ind w:left="1049" w:hanging="737"/>
            </w:pPr>
            <w:r w:rsidRPr="00491918">
              <w:t>Africa</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pPr>
            <w:r w:rsidRPr="00491918">
              <w:rPr>
                <w:szCs w:val="18"/>
                <w:lang w:val="en-GB"/>
              </w:rPr>
              <w:t>Barclaycard</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lang w:val="en-GB"/>
              </w:rPr>
            </w:pPr>
            <w:r w:rsidRPr="00491918">
              <w:rPr>
                <w:szCs w:val="18"/>
                <w:lang w:val="en-GB"/>
              </w:rPr>
              <w:t>Investment Bank</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lang w:val="en-GB"/>
              </w:rPr>
            </w:pPr>
            <w:r w:rsidRPr="00491918">
              <w:rPr>
                <w:szCs w:val="18"/>
                <w:lang w:val="en-GB"/>
              </w:rPr>
              <w:t>Corporate Banking</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rPr>
            </w:pPr>
            <w:r w:rsidRPr="00491918">
              <w:rPr>
                <w:szCs w:val="18"/>
              </w:rPr>
              <w:t>Wealth and Investment Management</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rPr>
            </w:pPr>
            <w:r w:rsidRPr="00491918">
              <w:rPr>
                <w:szCs w:val="18"/>
              </w:rPr>
              <w:t>Head Office and Other Operations</w:t>
            </w:r>
          </w:p>
        </w:tc>
        <w:tc>
          <w:tcPr>
            <w:tcW w:w="2192" w:type="dxa"/>
            <w:vAlign w:val="center"/>
          </w:tcPr>
          <w:p w:rsidR="000D1659" w:rsidRPr="00491918" w:rsidRDefault="000D1659" w:rsidP="000D1659">
            <w:pPr>
              <w:pStyle w:val="TableFormat-BarcRA"/>
              <w:spacing w:before="96" w:after="96"/>
              <w:jc w:val="right"/>
              <w:rPr>
                <w:sz w:val="18"/>
                <w:szCs w:val="18"/>
              </w:rPr>
            </w:pPr>
          </w:p>
        </w:tc>
      </w:tr>
      <w:tr w:rsidR="000D1659" w:rsidRPr="00491918" w:rsidTr="00EB48CB">
        <w:tc>
          <w:tcPr>
            <w:tcW w:w="7661" w:type="dxa"/>
            <w:vAlign w:val="center"/>
          </w:tcPr>
          <w:p w:rsidR="000D1659" w:rsidRPr="00491918" w:rsidRDefault="000D1659" w:rsidP="000D1659">
            <w:pPr>
              <w:pStyle w:val="TableFormat-BarcRA"/>
              <w:spacing w:before="96" w:after="96"/>
              <w:rPr>
                <w:b/>
                <w:sz w:val="18"/>
                <w:szCs w:val="18"/>
              </w:rPr>
            </w:pPr>
            <w:r w:rsidRPr="00491918">
              <w:rPr>
                <w:b/>
                <w:sz w:val="18"/>
                <w:szCs w:val="18"/>
              </w:rPr>
              <w:t>Business Results by Quarter</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vAlign w:val="center"/>
          </w:tcPr>
          <w:p w:rsidR="000D1659" w:rsidRPr="00491918" w:rsidRDefault="000D1659" w:rsidP="000D1659">
            <w:pPr>
              <w:pStyle w:val="TableFormat-BarcRA"/>
              <w:spacing w:before="96" w:after="96"/>
              <w:rPr>
                <w:b/>
                <w:sz w:val="18"/>
                <w:szCs w:val="18"/>
              </w:rPr>
            </w:pPr>
            <w:r w:rsidRPr="00491918">
              <w:rPr>
                <w:b/>
                <w:sz w:val="18"/>
                <w:szCs w:val="18"/>
              </w:rPr>
              <w:t>Performance Management</w:t>
            </w:r>
          </w:p>
        </w:tc>
        <w:tc>
          <w:tcPr>
            <w:tcW w:w="2192" w:type="dxa"/>
          </w:tcPr>
          <w:p w:rsidR="000D1659" w:rsidRPr="00491918" w:rsidRDefault="000D1659" w:rsidP="000D1659">
            <w:pPr>
              <w:pStyle w:val="Level1Bullet-BarcRA"/>
              <w:numPr>
                <w:ilvl w:val="0"/>
                <w:numId w:val="0"/>
              </w:numPr>
              <w:spacing w:before="96" w:after="96"/>
              <w:jc w:val="right"/>
              <w:rPr>
                <w:b/>
                <w:szCs w:val="18"/>
              </w:rPr>
            </w:pPr>
          </w:p>
        </w:tc>
      </w:tr>
      <w:tr w:rsidR="000D1659" w:rsidRPr="00491918" w:rsidTr="00EB48CB">
        <w:tc>
          <w:tcPr>
            <w:tcW w:w="7661" w:type="dxa"/>
            <w:vAlign w:val="center"/>
          </w:tcPr>
          <w:p w:rsidR="00EB48CB" w:rsidRPr="00491918" w:rsidRDefault="000D1659" w:rsidP="00EB48CB">
            <w:pPr>
              <w:pStyle w:val="Level1Bullet-BarcRA"/>
              <w:spacing w:before="96" w:after="96"/>
              <w:jc w:val="left"/>
              <w:rPr>
                <w:szCs w:val="18"/>
              </w:rPr>
            </w:pPr>
            <w:r w:rsidRPr="00491918">
              <w:rPr>
                <w:szCs w:val="18"/>
              </w:rPr>
              <w:t>Returns and Equity</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EB48CB" w:rsidRPr="00491918" w:rsidTr="00EB48CB">
        <w:tc>
          <w:tcPr>
            <w:tcW w:w="7661" w:type="dxa"/>
            <w:vAlign w:val="center"/>
          </w:tcPr>
          <w:p w:rsidR="00EB48CB" w:rsidRPr="00491918" w:rsidRDefault="00EB48CB" w:rsidP="00EB48CB">
            <w:pPr>
              <w:pStyle w:val="Level1Bullet-BarcRA"/>
              <w:spacing w:before="96" w:after="96"/>
              <w:jc w:val="left"/>
              <w:rPr>
                <w:szCs w:val="18"/>
              </w:rPr>
            </w:pPr>
            <w:r w:rsidRPr="00491918">
              <w:rPr>
                <w:szCs w:val="18"/>
                <w:lang w:val="en-GB"/>
              </w:rPr>
              <w:t>Transform Update</w:t>
            </w:r>
          </w:p>
        </w:tc>
        <w:tc>
          <w:tcPr>
            <w:tcW w:w="2192" w:type="dxa"/>
          </w:tcPr>
          <w:p w:rsidR="00EB48CB" w:rsidRPr="00491918" w:rsidRDefault="00EB48CB" w:rsidP="000D1659">
            <w:pPr>
              <w:pStyle w:val="Level1Bullet-BarcRA"/>
              <w:numPr>
                <w:ilvl w:val="0"/>
                <w:numId w:val="0"/>
              </w:numPr>
              <w:spacing w:before="96" w:after="96"/>
              <w:jc w:val="right"/>
              <w:rPr>
                <w:b/>
                <w:szCs w:val="18"/>
                <w:lang w:val="en-GB"/>
              </w:rPr>
            </w:pPr>
          </w:p>
        </w:tc>
      </w:tr>
      <w:tr w:rsidR="000D1659" w:rsidRPr="00491918" w:rsidTr="00EB48CB">
        <w:tc>
          <w:tcPr>
            <w:tcW w:w="7661" w:type="dxa"/>
            <w:vAlign w:val="center"/>
          </w:tcPr>
          <w:p w:rsidR="00EB48CB" w:rsidRPr="00491918" w:rsidRDefault="000D1659" w:rsidP="00EB48CB">
            <w:pPr>
              <w:pStyle w:val="Level1Bullet-BarcRA"/>
              <w:spacing w:before="96" w:after="96"/>
              <w:jc w:val="left"/>
              <w:rPr>
                <w:szCs w:val="18"/>
              </w:rPr>
            </w:pPr>
            <w:r w:rsidRPr="00491918">
              <w:rPr>
                <w:szCs w:val="18"/>
              </w:rPr>
              <w:t>Margins and Balances</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vAlign w:val="center"/>
          </w:tcPr>
          <w:p w:rsidR="000D1659" w:rsidRPr="00491918" w:rsidRDefault="000D1659" w:rsidP="000D1659">
            <w:pPr>
              <w:pStyle w:val="TableFormat-BarcRA"/>
              <w:spacing w:before="96" w:after="96"/>
              <w:rPr>
                <w:b/>
                <w:sz w:val="18"/>
                <w:szCs w:val="18"/>
              </w:rPr>
            </w:pPr>
            <w:r w:rsidRPr="00491918">
              <w:rPr>
                <w:b/>
                <w:sz w:val="18"/>
                <w:szCs w:val="18"/>
              </w:rPr>
              <w:t>Risk Management</w:t>
            </w:r>
          </w:p>
        </w:tc>
        <w:tc>
          <w:tcPr>
            <w:tcW w:w="2192" w:type="dxa"/>
          </w:tcPr>
          <w:p w:rsidR="000D1659" w:rsidRPr="00491918" w:rsidRDefault="000D1659" w:rsidP="000D1659">
            <w:pPr>
              <w:pStyle w:val="Level1Bullet-BarcRA"/>
              <w:numPr>
                <w:ilvl w:val="0"/>
                <w:numId w:val="0"/>
              </w:numPr>
              <w:spacing w:before="96" w:after="96"/>
              <w:jc w:val="right"/>
              <w:rPr>
                <w:b/>
                <w:szCs w:val="18"/>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rPr>
            </w:pPr>
            <w:r w:rsidRPr="00491918">
              <w:rPr>
                <w:szCs w:val="18"/>
                <w:lang w:val="en-GB"/>
              </w:rPr>
              <w:t>Funding</w:t>
            </w:r>
            <w:r w:rsidRPr="00491918">
              <w:rPr>
                <w:szCs w:val="18"/>
              </w:rPr>
              <w:t xml:space="preserve"> Risk</w:t>
            </w:r>
            <w:r w:rsidRPr="00491918">
              <w:rPr>
                <w:szCs w:val="18"/>
                <w:lang w:val="en-GB"/>
              </w:rPr>
              <w:t xml:space="preserve"> </w:t>
            </w:r>
            <w:r w:rsidR="00073B17" w:rsidRPr="00491918">
              <w:rPr>
                <w:szCs w:val="18"/>
              </w:rPr>
              <w:t>–</w:t>
            </w:r>
            <w:r w:rsidRPr="00491918">
              <w:rPr>
                <w:szCs w:val="18"/>
              </w:rPr>
              <w:t xml:space="preserve"> </w:t>
            </w:r>
            <w:r w:rsidRPr="00491918">
              <w:rPr>
                <w:szCs w:val="18"/>
                <w:lang w:val="en-GB"/>
              </w:rPr>
              <w:t>Capital</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rPr>
            </w:pPr>
            <w:r w:rsidRPr="00491918">
              <w:rPr>
                <w:szCs w:val="18"/>
                <w:lang w:val="en-GB"/>
              </w:rPr>
              <w:t>Funding</w:t>
            </w:r>
            <w:r w:rsidRPr="00491918">
              <w:rPr>
                <w:szCs w:val="18"/>
              </w:rPr>
              <w:t xml:space="preserve"> Risk</w:t>
            </w:r>
            <w:r w:rsidRPr="00491918">
              <w:rPr>
                <w:szCs w:val="18"/>
                <w:lang w:val="en-GB"/>
              </w:rPr>
              <w:t xml:space="preserve"> </w:t>
            </w:r>
            <w:r w:rsidR="00073B17" w:rsidRPr="00491918">
              <w:rPr>
                <w:szCs w:val="18"/>
              </w:rPr>
              <w:t>–</w:t>
            </w:r>
            <w:r w:rsidRPr="00491918">
              <w:rPr>
                <w:szCs w:val="18"/>
              </w:rPr>
              <w:t xml:space="preserve"> Liquidity</w:t>
            </w:r>
          </w:p>
        </w:tc>
        <w:tc>
          <w:tcPr>
            <w:tcW w:w="2192" w:type="dxa"/>
          </w:tcPr>
          <w:p w:rsidR="000D1659" w:rsidRPr="00491918" w:rsidRDefault="000D1659" w:rsidP="000D1659">
            <w:pPr>
              <w:pStyle w:val="Level1Bullet-BarcRA"/>
              <w:numPr>
                <w:ilvl w:val="0"/>
                <w:numId w:val="0"/>
              </w:numPr>
              <w:spacing w:before="96" w:after="96"/>
              <w:jc w:val="right"/>
              <w:rPr>
                <w:b/>
                <w:szCs w:val="18"/>
                <w:lang w:val="en-GB"/>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rPr>
            </w:pPr>
            <w:r w:rsidRPr="00491918">
              <w:rPr>
                <w:szCs w:val="18"/>
              </w:rPr>
              <w:t>Credit Risk</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r w:rsidR="000D1659" w:rsidRPr="00491918" w:rsidTr="00EB48CB">
        <w:tc>
          <w:tcPr>
            <w:tcW w:w="7661" w:type="dxa"/>
            <w:vAlign w:val="center"/>
          </w:tcPr>
          <w:p w:rsidR="000D1659" w:rsidRPr="00491918" w:rsidRDefault="000D1659" w:rsidP="000D1659">
            <w:pPr>
              <w:pStyle w:val="Level1Bullet-BarcRA"/>
              <w:spacing w:before="96" w:after="96"/>
              <w:jc w:val="left"/>
              <w:rPr>
                <w:szCs w:val="18"/>
              </w:rPr>
            </w:pPr>
            <w:r w:rsidRPr="00491918">
              <w:rPr>
                <w:szCs w:val="18"/>
              </w:rPr>
              <w:t>Market Risk</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r w:rsidR="000D1659" w:rsidRPr="00491918" w:rsidTr="00EB48CB">
        <w:tc>
          <w:tcPr>
            <w:tcW w:w="7661" w:type="dxa"/>
            <w:vAlign w:val="center"/>
          </w:tcPr>
          <w:p w:rsidR="000D1659" w:rsidRPr="00491918" w:rsidRDefault="000D1659" w:rsidP="000D1659">
            <w:pPr>
              <w:pStyle w:val="TableFormat-BarcRA"/>
              <w:spacing w:before="96" w:after="96"/>
              <w:rPr>
                <w:sz w:val="18"/>
                <w:szCs w:val="18"/>
              </w:rPr>
            </w:pPr>
            <w:r w:rsidRPr="00491918">
              <w:rPr>
                <w:sz w:val="18"/>
                <w:szCs w:val="18"/>
              </w:rPr>
              <w:t>Statement of Directors’ Responsibilities</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r w:rsidR="000D1659" w:rsidRPr="00491918" w:rsidTr="00EB48CB">
        <w:tc>
          <w:tcPr>
            <w:tcW w:w="7661" w:type="dxa"/>
            <w:vAlign w:val="center"/>
          </w:tcPr>
          <w:p w:rsidR="000D1659" w:rsidRPr="00491918" w:rsidRDefault="000D1659" w:rsidP="000D1659">
            <w:pPr>
              <w:pStyle w:val="TableFormat-BarcRA"/>
              <w:spacing w:before="96" w:after="96"/>
              <w:rPr>
                <w:sz w:val="18"/>
                <w:szCs w:val="18"/>
              </w:rPr>
            </w:pPr>
            <w:r w:rsidRPr="00491918">
              <w:rPr>
                <w:sz w:val="18"/>
                <w:szCs w:val="18"/>
              </w:rPr>
              <w:t>Independent Auditors’ Review Report</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r w:rsidR="000D1659" w:rsidRPr="00491918" w:rsidTr="00EB48CB">
        <w:tc>
          <w:tcPr>
            <w:tcW w:w="7661" w:type="dxa"/>
            <w:vAlign w:val="center"/>
          </w:tcPr>
          <w:p w:rsidR="000D1659" w:rsidRPr="00491918" w:rsidRDefault="000D1659" w:rsidP="000D1659">
            <w:pPr>
              <w:pStyle w:val="TableFormat-BarcRA"/>
              <w:spacing w:before="96" w:after="96"/>
              <w:rPr>
                <w:sz w:val="18"/>
                <w:szCs w:val="18"/>
              </w:rPr>
            </w:pPr>
            <w:r w:rsidRPr="00491918">
              <w:rPr>
                <w:sz w:val="18"/>
                <w:szCs w:val="18"/>
              </w:rPr>
              <w:t>Financial Statement Notes</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r w:rsidR="000D1659" w:rsidRPr="00491918" w:rsidTr="00EB48CB">
        <w:tc>
          <w:tcPr>
            <w:tcW w:w="7661" w:type="dxa"/>
            <w:vAlign w:val="center"/>
          </w:tcPr>
          <w:p w:rsidR="000D1659" w:rsidRPr="00491918" w:rsidRDefault="000D1659" w:rsidP="000D1659">
            <w:pPr>
              <w:pStyle w:val="Level1Bullet-BarcRA"/>
              <w:numPr>
                <w:ilvl w:val="0"/>
                <w:numId w:val="0"/>
              </w:numPr>
              <w:spacing w:before="96" w:after="96"/>
              <w:ind w:left="284" w:hanging="284"/>
              <w:jc w:val="left"/>
              <w:rPr>
                <w:szCs w:val="18"/>
              </w:rPr>
            </w:pPr>
            <w:r w:rsidRPr="00491918">
              <w:rPr>
                <w:szCs w:val="18"/>
                <w:lang w:val="en-GB"/>
              </w:rPr>
              <w:t>CRD IV</w:t>
            </w:r>
            <w:r w:rsidR="00CB3E2C" w:rsidRPr="00491918">
              <w:rPr>
                <w:szCs w:val="18"/>
                <w:lang w:val="en-GB"/>
              </w:rPr>
              <w:t xml:space="preserve"> </w:t>
            </w:r>
            <w:r w:rsidRPr="00491918">
              <w:rPr>
                <w:szCs w:val="18"/>
                <w:lang w:val="en-GB"/>
              </w:rPr>
              <w:t>Appendices</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r w:rsidR="000D1659" w:rsidRPr="00491918" w:rsidTr="00EB48CB">
        <w:tc>
          <w:tcPr>
            <w:tcW w:w="7661" w:type="dxa"/>
            <w:vAlign w:val="center"/>
          </w:tcPr>
          <w:p w:rsidR="000D1659" w:rsidRPr="00491918" w:rsidRDefault="000D1659" w:rsidP="000D1659">
            <w:pPr>
              <w:pStyle w:val="TableFormat-BarcRA"/>
              <w:spacing w:before="96" w:after="96"/>
              <w:rPr>
                <w:sz w:val="18"/>
                <w:szCs w:val="18"/>
              </w:rPr>
            </w:pPr>
            <w:r w:rsidRPr="00491918">
              <w:rPr>
                <w:sz w:val="18"/>
                <w:szCs w:val="18"/>
              </w:rPr>
              <w:t>Shareholder Information</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r w:rsidR="000D1659" w:rsidRPr="00491918" w:rsidTr="00EB48CB">
        <w:tc>
          <w:tcPr>
            <w:tcW w:w="7661" w:type="dxa"/>
            <w:vAlign w:val="center"/>
          </w:tcPr>
          <w:p w:rsidR="000D1659" w:rsidRPr="00491918" w:rsidRDefault="000D1659" w:rsidP="000D1659">
            <w:pPr>
              <w:pStyle w:val="TableFormat-BarcRA"/>
              <w:spacing w:before="96" w:after="96"/>
              <w:rPr>
                <w:sz w:val="18"/>
                <w:szCs w:val="18"/>
              </w:rPr>
            </w:pPr>
            <w:r w:rsidRPr="00491918">
              <w:rPr>
                <w:sz w:val="18"/>
                <w:szCs w:val="18"/>
              </w:rPr>
              <w:t>Index</w:t>
            </w:r>
          </w:p>
        </w:tc>
        <w:tc>
          <w:tcPr>
            <w:tcW w:w="2192" w:type="dxa"/>
          </w:tcPr>
          <w:p w:rsidR="000D1659" w:rsidRPr="00491918" w:rsidRDefault="000D1659" w:rsidP="000D1659">
            <w:pPr>
              <w:pStyle w:val="Level1Bullet-BarcRA"/>
              <w:numPr>
                <w:ilvl w:val="0"/>
                <w:numId w:val="0"/>
              </w:numPr>
              <w:spacing w:before="96" w:after="96"/>
              <w:jc w:val="right"/>
              <w:rPr>
                <w:szCs w:val="18"/>
                <w:lang w:val="en-GB"/>
              </w:rPr>
            </w:pPr>
          </w:p>
        </w:tc>
      </w:tr>
    </w:tbl>
    <w:p w:rsidR="006C2A38" w:rsidRPr="00491918" w:rsidRDefault="000D1659" w:rsidP="000D1659">
      <w:pPr>
        <w:pStyle w:val="Special1-BarcRA"/>
        <w:sectPr w:rsidR="006C2A38" w:rsidRPr="00491918" w:rsidSect="00751636">
          <w:headerReference w:type="default" r:id="rId17"/>
          <w:footerReference w:type="default" r:id="rId18"/>
          <w:pgSz w:w="11905" w:h="16837"/>
          <w:pgMar w:top="851" w:right="1134" w:bottom="567" w:left="1134" w:header="851" w:footer="567" w:gutter="0"/>
          <w:cols w:space="708"/>
        </w:sectPr>
      </w:pPr>
      <w:r w:rsidRPr="00491918">
        <w:t>BARCLAYS PLC, 1 CHURCHILL PLACE, LONDON, E14 5HP, UNITED KINGDOM. TELEPHONE: +44 (0) 20 7116 1000. COMPANY NO. 48839</w:t>
      </w:r>
    </w:p>
    <w:p w:rsidR="000D1659" w:rsidRPr="00491918" w:rsidRDefault="000D1659" w:rsidP="008D6001">
      <w:pPr>
        <w:pStyle w:val="HeadingLevel1-BarcRA0"/>
        <w:spacing w:after="60"/>
        <w:jc w:val="left"/>
        <w:outlineLvl w:val="0"/>
        <w:rPr>
          <w:color w:val="auto"/>
        </w:rPr>
      </w:pPr>
      <w:bookmarkStart w:id="1" w:name="_DV_M1"/>
      <w:bookmarkStart w:id="2" w:name="_DV_M6"/>
      <w:bookmarkStart w:id="3" w:name="_DV_M5"/>
      <w:bookmarkEnd w:id="1"/>
      <w:bookmarkEnd w:id="2"/>
      <w:bookmarkEnd w:id="3"/>
      <w:r w:rsidRPr="00491918">
        <w:rPr>
          <w:color w:val="auto"/>
        </w:rPr>
        <w:lastRenderedPageBreak/>
        <w:t>Notes</w:t>
      </w:r>
    </w:p>
    <w:p w:rsidR="000D1659" w:rsidRPr="00491918" w:rsidRDefault="000D1659" w:rsidP="000D1659">
      <w:pPr>
        <w:pStyle w:val="Normal3"/>
        <w:spacing w:after="60"/>
        <w:jc w:val="both"/>
        <w:rPr>
          <w:sz w:val="16"/>
          <w:szCs w:val="20"/>
        </w:rPr>
      </w:pPr>
      <w:r w:rsidRPr="00491918">
        <w:rPr>
          <w:sz w:val="16"/>
          <w:szCs w:val="20"/>
        </w:rPr>
        <w:t>The term Barclays or Group refers to Barclays PLC together with its subsidiaries. Unless otherwise stated, the income statement analysis compares the six months to 30 June 2013 to the corresponding six months of 2012 and balance sheet comparatives relate to 31 December 2012. The abbreviations ‘£m’ and ‘£bn’ represent millions and thousands of millions of Pounds Sterling respectively; the abbreviations ‘$m’ and ‘$bn’ represent millions and thousands of millions of US Dollars respectively; ‘€m’ and ‘€bn’ represent millions and thousands of millions of Euros respectively; and ‘C$m’ and ‘C$bn’ represent millions and thousands of millions of Canadian Dollars respectively.</w:t>
      </w:r>
    </w:p>
    <w:p w:rsidR="000D1659" w:rsidRPr="00491918" w:rsidRDefault="000D1659" w:rsidP="000D1659">
      <w:pPr>
        <w:pStyle w:val="Normal3"/>
        <w:spacing w:after="60"/>
        <w:jc w:val="both"/>
        <w:rPr>
          <w:sz w:val="16"/>
          <w:szCs w:val="20"/>
        </w:rPr>
      </w:pPr>
      <w:r w:rsidRPr="00491918">
        <w:rPr>
          <w:sz w:val="16"/>
          <w:szCs w:val="20"/>
        </w:rPr>
        <w:t>The comparatives have been restated to reflect the implementation of IFRS 10 Consolidated Financial Statements and IAS 19 Employee Benefits (Revised 2011), the reallocation of elements of the Head Office results to businesses and portfolio restatements between businesses, as detailed in our announcement on 16 April 2013.</w:t>
      </w:r>
    </w:p>
    <w:p w:rsidR="000D1659" w:rsidRPr="00491918" w:rsidRDefault="000D1659" w:rsidP="000D1659">
      <w:pPr>
        <w:pStyle w:val="Normal3"/>
        <w:spacing w:after="60"/>
        <w:jc w:val="both"/>
        <w:rPr>
          <w:sz w:val="16"/>
          <w:szCs w:val="20"/>
        </w:rPr>
      </w:pPr>
      <w:r w:rsidRPr="00491918">
        <w:rPr>
          <w:sz w:val="16"/>
          <w:szCs w:val="20"/>
        </w:rPr>
        <w:t>Adjusted profit before tax and adjusted performance metrics have been presented to provide a more consistent basis for comparing business performance between periods. Adjusting items are considered to be significant and not representative of the underlying business performance. Items excluded from the adjusted measures are: the impact of own credit; gains on debt buy-backs; impairment and disposal of the investment in BlackRock, Inc.; the provision for Payment Protection Insurance redress payments and claims management costs (PPI redress); the provision for interest rate hedging products redress and claims management costs (interest rate hedging products redress); goodwill impairments; and losses and gains on acquisitions and disposals. The regulatory penalties relating to the industry-wide investigation into the setting</w:t>
      </w:r>
      <w:r w:rsidR="00B95045" w:rsidRPr="00491918">
        <w:rPr>
          <w:sz w:val="16"/>
          <w:szCs w:val="20"/>
        </w:rPr>
        <w:t xml:space="preserve"> of interbank offered rates were</w:t>
      </w:r>
      <w:r w:rsidRPr="00491918">
        <w:rPr>
          <w:sz w:val="16"/>
          <w:szCs w:val="20"/>
        </w:rPr>
        <w:t xml:space="preserve"> not excluded from adjusted measures.</w:t>
      </w:r>
    </w:p>
    <w:p w:rsidR="000D1659" w:rsidRPr="00491918" w:rsidRDefault="000D1659" w:rsidP="000D1659">
      <w:pPr>
        <w:pStyle w:val="Normal3"/>
        <w:spacing w:after="60"/>
        <w:jc w:val="both"/>
        <w:rPr>
          <w:sz w:val="16"/>
          <w:szCs w:val="20"/>
        </w:rPr>
      </w:pPr>
      <w:r w:rsidRPr="00491918">
        <w:rPr>
          <w:sz w:val="16"/>
          <w:szCs w:val="20"/>
        </w:rPr>
        <w:t xml:space="preserve">Relevant terms that are used in this document but are not defined under applicable regulatory guidance or International Financial Reporting Standards (IFRS) are explained in the Results glossary that can be accessed at </w:t>
      </w:r>
      <w:r w:rsidRPr="00491918">
        <w:rPr>
          <w:sz w:val="16"/>
          <w:szCs w:val="16"/>
        </w:rPr>
        <w:t>www.Barclays.com/results.</w:t>
      </w:r>
    </w:p>
    <w:p w:rsidR="000D1659" w:rsidRPr="00491918" w:rsidRDefault="000D1659" w:rsidP="000D1659">
      <w:pPr>
        <w:pStyle w:val="Normal3"/>
        <w:spacing w:after="60"/>
        <w:jc w:val="both"/>
        <w:rPr>
          <w:sz w:val="16"/>
          <w:szCs w:val="20"/>
        </w:rPr>
      </w:pPr>
      <w:r w:rsidRPr="00491918">
        <w:rPr>
          <w:sz w:val="16"/>
          <w:szCs w:val="20"/>
        </w:rPr>
        <w:t>In accordance with Barclays’ policy to provide meaningful disclosures that help investors and other stakeholders understand the financial position, performance and changes in the financial position of the Group, and having regard to the British Bank Association Disclosure Code</w:t>
      </w:r>
      <w:r w:rsidR="00B95045" w:rsidRPr="00491918">
        <w:rPr>
          <w:sz w:val="16"/>
          <w:szCs w:val="20"/>
        </w:rPr>
        <w:t xml:space="preserve"> and the Enhanced</w:t>
      </w:r>
      <w:r w:rsidRPr="00491918">
        <w:rPr>
          <w:sz w:val="16"/>
          <w:szCs w:val="20"/>
        </w:rPr>
        <w:t xml:space="preserve"> Disclosure Task Force recommendations, the information provided in this report goes beyond minimum requirements. Barclays continues to develop its financial reporting considering best practice and welcomes feedback from investors, regulators and other stakeholders on the disclosures that they would find most useful.</w:t>
      </w:r>
    </w:p>
    <w:p w:rsidR="000D1659" w:rsidRPr="00491918" w:rsidRDefault="000D1659" w:rsidP="000D1659">
      <w:pPr>
        <w:pStyle w:val="Normal3"/>
        <w:spacing w:after="60"/>
        <w:jc w:val="both"/>
        <w:rPr>
          <w:sz w:val="16"/>
          <w:szCs w:val="20"/>
        </w:rPr>
      </w:pPr>
      <w:r w:rsidRPr="00491918">
        <w:rPr>
          <w:sz w:val="16"/>
          <w:szCs w:val="20"/>
        </w:rPr>
        <w:t xml:space="preserve">The information in this announcement, which was approved by the Board of Directors on </w:t>
      </w:r>
      <w:r w:rsidRPr="00491918">
        <w:rPr>
          <w:sz w:val="16"/>
        </w:rPr>
        <w:t>29 July 2013 does</w:t>
      </w:r>
      <w:r w:rsidRPr="00491918">
        <w:rPr>
          <w:sz w:val="16"/>
          <w:szCs w:val="20"/>
        </w:rPr>
        <w:t xml:space="preserve"> not comprise statutory accounts within the meaning of Section 434 of the Companies Act 2006. Statutory accounts for the year ended 31 December 2012,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0D1659" w:rsidRPr="00491918" w:rsidRDefault="000D1659" w:rsidP="000D1659">
      <w:pPr>
        <w:pStyle w:val="HeadingLevel1-BarcRA0"/>
        <w:spacing w:after="60"/>
        <w:rPr>
          <w:color w:val="auto"/>
          <w:lang w:val="en-GB"/>
        </w:rPr>
      </w:pPr>
    </w:p>
    <w:p w:rsidR="000D1659" w:rsidRPr="00491918" w:rsidRDefault="000D1659" w:rsidP="008D6001">
      <w:pPr>
        <w:pStyle w:val="HeadingLevel1-BarcRA0"/>
        <w:spacing w:after="60"/>
        <w:outlineLvl w:val="0"/>
        <w:rPr>
          <w:color w:val="auto"/>
        </w:rPr>
      </w:pPr>
      <w:r w:rsidRPr="00491918">
        <w:rPr>
          <w:color w:val="auto"/>
        </w:rPr>
        <w:t xml:space="preserve">Forward-looking </w:t>
      </w:r>
      <w:r w:rsidRPr="00491918">
        <w:rPr>
          <w:color w:val="auto"/>
          <w:lang w:val="en-GB"/>
        </w:rPr>
        <w:t>s</w:t>
      </w:r>
      <w:r w:rsidRPr="00491918">
        <w:rPr>
          <w:color w:val="auto"/>
        </w:rPr>
        <w:t>tatements</w:t>
      </w:r>
    </w:p>
    <w:p w:rsidR="00F31D37" w:rsidRPr="00491918" w:rsidRDefault="00F31D37" w:rsidP="00F31D37">
      <w:pPr>
        <w:pStyle w:val="Normal3"/>
        <w:spacing w:after="60"/>
        <w:jc w:val="both"/>
        <w:rPr>
          <w:sz w:val="16"/>
          <w:szCs w:val="20"/>
        </w:rPr>
      </w:pPr>
      <w:r w:rsidRPr="00491918">
        <w:rPr>
          <w:sz w:val="16"/>
          <w:szCs w:val="20"/>
        </w:rPr>
        <w:t xml:space="preserve">This document contains certain forward-looking statements within the meaning of Section 21E of the US Securities Exchange Act of 1934, as amended, and Section 27A of the US Securities Act of 1933, as amended, with respect to certain of the Barclays Group’s (the Group)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“projected”, “expect”, “estimate”, “intend”, “plan”, “goal”, “believe”, “achieve” or other words of similar meaning. Examples of forward-looking statements include, among others, statements regarding the Group’s future financial position, income growth, assets, impairment charges and provisions, business strategy, capital ratios, leverage, payment of dividends, projected levels of growth in the banking and financial markets, projected costs, commitments and targets in connection with the Transform Programme, estimates of capital expenditures and plans and objectives for future operations and other statements that are not historical fact. By their nature, forward-looking statements involve risk and uncertainty because they relate to future events and circumstances.  These may be affected by changes in legislation, the development of standards and interpretations under International Financial Reporting Standards (IFRS), evolving practices with regard to the interpretation and application of standards, the outcome of current and future legal proceedings and regulatory investigations, future levels of conduct provisions, the policies and actions of governmental and regulatory authorities, geopolitical risks and the impact of competition. In addition, factors including (but not limited to) the following may have an effect: prudential capital rules applicable to past, current and future periods; UK domestic, Eurozone and global macroeconomic and business conditions; the effects of continued volatility in credit markets; market related risks such as changes in interest rates and foreign exchange rates; changes in valuation of issued notes; volatility in capital markets, particularly as it may affect the timing and cost of planned capital raisings, changes in credit ratings of the Group; requirements regarding capital and Group structures; the potential for one or more countries exiting the Eurozone; the ability to implement the Transform Programme and the success of future acquisitions, disposals and other strategic transactions.  A number of these influences and factors are beyond the Group’s control. As a result, the Group’s actual future results, dividend payments, and capital and leverage ratios may differ materially from the plans, goals, and expectations set forth in the Group’s forward-looking statements. </w:t>
      </w:r>
    </w:p>
    <w:p w:rsidR="000D1659" w:rsidRPr="00491918" w:rsidRDefault="000D1659" w:rsidP="00514B3B">
      <w:pPr>
        <w:pStyle w:val="Normal3"/>
        <w:spacing w:after="60"/>
        <w:jc w:val="both"/>
        <w:rPr>
          <w:sz w:val="16"/>
          <w:szCs w:val="20"/>
        </w:rPr>
      </w:pPr>
      <w:r w:rsidRPr="00491918">
        <w:rPr>
          <w:rFonts w:eastAsia="Expert Sans Regular"/>
          <w:sz w:val="16"/>
        </w:rPr>
        <w:t xml:space="preserve">Any forward-looking statements made herein speak only as of the date they are made. Except as required by the Prudential Regulation Authority, the Financial Conduct Authority, the London Stock Exchange </w:t>
      </w:r>
      <w:r w:rsidRPr="00491918">
        <w:rPr>
          <w:sz w:val="16"/>
        </w:rPr>
        <w:t xml:space="preserve">plc (the LSE) </w:t>
      </w:r>
      <w:r w:rsidRPr="00491918">
        <w:rPr>
          <w:rFonts w:eastAsia="Expert Sans Regular"/>
          <w:sz w:val="16"/>
        </w:rPr>
        <w:t xml:space="preserve">or applicable law, Barclays expressly disclaims any obligation or undertaking to release publicly any updates or revisions to any forward-looking statements contained herein to reflect any change in Barclays expectations with regard thereto or any change in events, conditions or circumstances on which any such statement is based. The reader should, however, consult any additional disclosures that Barclays has made or may make in documents it has published or may publish via the Regulatory News Service of the </w:t>
      </w:r>
      <w:r w:rsidRPr="00491918">
        <w:rPr>
          <w:sz w:val="16"/>
        </w:rPr>
        <w:t xml:space="preserve">LSE and/or has filed or may file with the </w:t>
      </w:r>
      <w:r w:rsidRPr="00491918">
        <w:rPr>
          <w:rFonts w:eastAsia="Expert Sans Regular"/>
          <w:sz w:val="16"/>
        </w:rPr>
        <w:t>US Securities and Exchange Commission.</w:t>
      </w:r>
    </w:p>
    <w:p w:rsidR="000D1659" w:rsidRPr="00491918" w:rsidRDefault="000D1659">
      <w:pPr>
        <w:rPr>
          <w:sz w:val="14"/>
        </w:rPr>
      </w:pPr>
    </w:p>
    <w:p w:rsidR="000464EA" w:rsidRPr="00491918" w:rsidRDefault="000464EA">
      <w:pPr>
        <w:rPr>
          <w:sz w:val="14"/>
        </w:rPr>
      </w:pPr>
    </w:p>
    <w:p w:rsidR="000464EA" w:rsidRPr="00491918" w:rsidRDefault="000464EA">
      <w:pPr>
        <w:rPr>
          <w:sz w:val="14"/>
        </w:rPr>
      </w:pPr>
    </w:p>
    <w:p w:rsidR="000464EA" w:rsidRPr="00491918" w:rsidRDefault="000464EA">
      <w:pPr>
        <w:rPr>
          <w:sz w:val="14"/>
        </w:rPr>
      </w:pPr>
    </w:p>
    <w:p w:rsidR="000464EA" w:rsidRPr="00491918" w:rsidRDefault="000464EA">
      <w:pPr>
        <w:rPr>
          <w:sz w:val="14"/>
        </w:rPr>
      </w:pPr>
    </w:p>
    <w:p w:rsidR="000464EA" w:rsidRPr="00491918" w:rsidRDefault="000464EA">
      <w:pPr>
        <w:rPr>
          <w:sz w:val="14"/>
        </w:rPr>
      </w:pPr>
    </w:p>
    <w:p w:rsidR="00C24897" w:rsidRPr="00491918" w:rsidRDefault="00C24897">
      <w:pPr>
        <w:rPr>
          <w:sz w:val="14"/>
        </w:rPr>
      </w:pPr>
    </w:p>
    <w:p w:rsidR="000464EA" w:rsidRPr="00491918" w:rsidRDefault="000464EA">
      <w:pPr>
        <w:rPr>
          <w:sz w:val="14"/>
        </w:rPr>
      </w:pPr>
    </w:p>
    <w:p w:rsidR="002253D7" w:rsidRPr="00491918" w:rsidRDefault="002253D7">
      <w:pPr>
        <w:rPr>
          <w:sz w:val="14"/>
        </w:rPr>
      </w:pPr>
    </w:p>
    <w:p w:rsidR="000464EA" w:rsidRPr="00491918" w:rsidRDefault="000464EA">
      <w:pPr>
        <w:rPr>
          <w:sz w:val="14"/>
        </w:rPr>
      </w:pPr>
    </w:p>
    <w:p w:rsidR="000464EA" w:rsidRPr="00491918" w:rsidRDefault="000464EA">
      <w:pPr>
        <w:rPr>
          <w:sz w:val="14"/>
        </w:rPr>
      </w:pPr>
    </w:p>
    <w:p w:rsidR="000464EA" w:rsidRPr="00491918" w:rsidRDefault="000464EA" w:rsidP="000464EA">
      <w:pPr>
        <w:pStyle w:val="HeadingLevel1-BarcRA1"/>
        <w:rPr>
          <w:lang w:val="en-GB"/>
        </w:rPr>
      </w:pPr>
      <w:r w:rsidRPr="00491918">
        <w:rPr>
          <w:lang w:val="en-GB"/>
        </w:rPr>
        <w:t>Performance Highlights</w:t>
      </w:r>
    </w:p>
    <w:p w:rsidR="000D1659" w:rsidRPr="00491918" w:rsidRDefault="000D1659" w:rsidP="000464EA">
      <w:pPr>
        <w:pStyle w:val="HeadingLevel1-BarcRA1"/>
        <w:rPr>
          <w:b w:val="0"/>
          <w:sz w:val="20"/>
          <w:lang w:val="en-GB"/>
        </w:rPr>
      </w:pPr>
      <w:r w:rsidRPr="00491918">
        <w:rPr>
          <w:sz w:val="20"/>
          <w:lang w:val="en-GB"/>
        </w:rPr>
        <w:t>Performance Highlights</w:t>
      </w:r>
    </w:p>
    <w:p w:rsidR="000D1659" w:rsidRPr="00491918" w:rsidRDefault="000D1659" w:rsidP="00464814">
      <w:pPr>
        <w:pStyle w:val="Level1Bullet-BarcRA1"/>
        <w:numPr>
          <w:ilvl w:val="0"/>
          <w:numId w:val="0"/>
        </w:numPr>
        <w:pBdr>
          <w:top w:val="single" w:sz="4" w:space="1" w:color="969696"/>
          <w:left w:val="single" w:sz="4" w:space="1" w:color="969696"/>
          <w:bottom w:val="single" w:sz="4" w:space="13" w:color="969696"/>
          <w:right w:val="single" w:sz="4" w:space="1" w:color="969696"/>
        </w:pBdr>
        <w:tabs>
          <w:tab w:val="left" w:pos="720"/>
        </w:tabs>
        <w:spacing w:before="0" w:after="0"/>
        <w:rPr>
          <w:b/>
          <w:lang w:val="en-GB"/>
        </w:rPr>
      </w:pP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Adjusted profit before tax was down 1</w:t>
      </w:r>
      <w:r w:rsidR="003C1565" w:rsidRPr="00491918">
        <w:t>7</w:t>
      </w:r>
      <w:r w:rsidRPr="00491918">
        <w:t>% (£</w:t>
      </w:r>
      <w:r w:rsidR="003C1565" w:rsidRPr="00491918">
        <w:t>748</w:t>
      </w:r>
      <w:r w:rsidRPr="00491918">
        <w:t>m) to £3,</w:t>
      </w:r>
      <w:r w:rsidR="0009324F" w:rsidRPr="00491918">
        <w:t>591</w:t>
      </w:r>
      <w:r w:rsidRPr="00491918">
        <w:t>m, driven by costs to achieve Transform of £640m</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lastRenderedPageBreak/>
        <w:t>Statutory profit increased £</w:t>
      </w:r>
      <w:r w:rsidR="00D31F32" w:rsidRPr="00491918">
        <w:t>806</w:t>
      </w:r>
      <w:r w:rsidRPr="00491918">
        <w:t>m to £1,</w:t>
      </w:r>
      <w:r w:rsidR="003C1565" w:rsidRPr="00491918">
        <w:t>677m</w:t>
      </w:r>
      <w:r w:rsidRPr="00491918">
        <w:t>, including a £1,350m (2012: £300m) provision relating to PPI redress, a £650m (2012: £450m) provision relating to interest rate hedging products redress and an own credit gain of £86m (2012: charge of £2,945m)</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 xml:space="preserve">Adjusted return on average shareholders’ equity decreased to </w:t>
      </w:r>
      <w:r w:rsidR="00D31F32" w:rsidRPr="00491918">
        <w:t>7.8</w:t>
      </w:r>
      <w:r w:rsidRPr="00491918">
        <w:t xml:space="preserve">% (2012: 10.6%) principally reflecting costs to achieve Transform. Statutory return on shareholders’ equity increased to </w:t>
      </w:r>
      <w:r w:rsidR="00D31F32" w:rsidRPr="00491918">
        <w:t>2.6</w:t>
      </w:r>
      <w:r w:rsidRPr="00491918">
        <w:t>% (2012: 0.6%)</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Adjusted income decreased 3% to £15,071m, with income growth across the majority of businesses offset by cost of funding deposit growth across the Group</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Investment Bank income was stable at £6,473m driven by increases in Equities and Prime Services and Investment Banking, offset by a decrease in Fixed Income, Currency and Commodities (FICC) income</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 xml:space="preserve">Credit impairment charges were down </w:t>
      </w:r>
      <w:r w:rsidR="00492E29" w:rsidRPr="00491918">
        <w:t>5</w:t>
      </w:r>
      <w:r w:rsidRPr="00491918">
        <w:t>% to £1,</w:t>
      </w:r>
      <w:r w:rsidR="00492E29" w:rsidRPr="00491918">
        <w:t>631m</w:t>
      </w:r>
      <w:r w:rsidRPr="00491918">
        <w:t>, reflecting improvements in  Corporate Banking</w:t>
      </w:r>
      <w:r w:rsidR="0009324F" w:rsidRPr="00491918">
        <w:t xml:space="preserve"> and </w:t>
      </w:r>
      <w:r w:rsidRPr="00491918">
        <w:t>Africa RBB, partially offset by increases in Barclaycard, UK RBB, Wealth and Investment Management and Europe RBB</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Adjusted operating expenses were up 3% (£261m) to £9,781m, reflecting costs to achieve Transform of £640m, principally related to restructuring costs in Europe RBB and the Investment Bank. The adjusted cost: income ratio increased to 65% (2012: 61%) largely due to costs to achieve Transform. Excluding costs to achieve Transform, the Investment Bank c</w:t>
      </w:r>
      <w:r w:rsidR="00093A31" w:rsidRPr="00491918">
        <w:t>ompensation: income ratio was 38</w:t>
      </w:r>
      <w:r w:rsidRPr="00491918">
        <w:t>% (2012: 40%)</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Risk weighted assets (RWAs) were stable at £387bn. On an estimated CRD IV basis, Transform Exit Quadrant RWAs reduced by £25.</w:t>
      </w:r>
      <w:r w:rsidR="004A2896" w:rsidRPr="00491918">
        <w:t>4</w:t>
      </w:r>
      <w:r w:rsidRPr="00491918">
        <w:t>bn to £68.</w:t>
      </w:r>
      <w:r w:rsidR="004A2896" w:rsidRPr="00491918">
        <w:t>4</w:t>
      </w:r>
      <w:r w:rsidRPr="00491918">
        <w:t>bn</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Core Tier 1 ratio increased to 11.1% (2012: 10.8%) principally reflecting capital generated through earnings and the exercise of warrants offset</w:t>
      </w:r>
      <w:r w:rsidR="004A2896" w:rsidRPr="00491918">
        <w:t xml:space="preserve"> by</w:t>
      </w:r>
      <w:r w:rsidRPr="00491918">
        <w:t xml:space="preserve"> </w:t>
      </w:r>
      <w:r w:rsidR="003C1565" w:rsidRPr="00491918">
        <w:t>dividends paid</w:t>
      </w:r>
      <w:r w:rsidRPr="00491918">
        <w:t xml:space="preserve"> </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Total assets increased to £1,533bn (2012: £1,488bn), principally reflecting increases in reverse repurchase agreements and other similar secured lending, growth in loans and advances and an increase in available for sale investments.  These increases were partially offset by a decrease in derivative assets</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Total liabilities increased to £1,473bn (2012: £1,428bn) primarily due to higher than expected deposit inflows, resulting in a decrease in the loan: deposit ratio from 110% to 102%</w:t>
      </w:r>
    </w:p>
    <w:p w:rsidR="000D1659" w:rsidRPr="00491918" w:rsidRDefault="000D1659"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Net asset value per share of 3</w:t>
      </w:r>
      <w:r w:rsidR="000F2DD4" w:rsidRPr="00491918">
        <w:t>97</w:t>
      </w:r>
      <w:r w:rsidRPr="00491918">
        <w:t>p (2012: 414p) and net tangible asset value per share of 33</w:t>
      </w:r>
      <w:r w:rsidR="000F2DD4" w:rsidRPr="00491918">
        <w:t>6</w:t>
      </w:r>
      <w:r w:rsidRPr="00491918">
        <w:t>p (2012: 349p) reflecting an increase in shares issued, including the exercise of warrants</w:t>
      </w:r>
    </w:p>
    <w:p w:rsidR="000D1659" w:rsidRPr="00491918" w:rsidRDefault="00844B98" w:rsidP="000D1659">
      <w:pPr>
        <w:pStyle w:val="Level1Bullet-BarcRA11"/>
        <w:pBdr>
          <w:top w:val="single" w:sz="4" w:space="1" w:color="969696"/>
          <w:left w:val="single" w:sz="4" w:space="1" w:color="969696"/>
          <w:bottom w:val="single" w:sz="4" w:space="13" w:color="969696"/>
          <w:right w:val="single" w:sz="4" w:space="1" w:color="969696"/>
        </w:pBdr>
        <w:spacing w:before="0" w:after="360"/>
      </w:pPr>
      <w:r w:rsidRPr="00491918">
        <w:t>An estimated £4</w:t>
      </w:r>
      <w:r w:rsidR="00514B3B" w:rsidRPr="00491918">
        <w:t>2</w:t>
      </w:r>
      <w:r w:rsidR="000D1659" w:rsidRPr="00491918">
        <w:t>bn of Funding for Lending (FLS) eligible gross new lending was made to UK households and businesses in H113</w:t>
      </w:r>
    </w:p>
    <w:p w:rsidR="000464EA" w:rsidRPr="00491918" w:rsidRDefault="000464EA" w:rsidP="000464EA">
      <w:pPr>
        <w:pStyle w:val="HeadingLevel1-BarcRA1"/>
        <w:rPr>
          <w:lang w:val="en-GB"/>
        </w:rPr>
      </w:pPr>
    </w:p>
    <w:p w:rsidR="000464EA" w:rsidRPr="00491918" w:rsidRDefault="000464EA" w:rsidP="000464EA">
      <w:pPr>
        <w:pStyle w:val="HeadingLevel1-BarcRA1"/>
        <w:rPr>
          <w:lang w:val="en-GB"/>
        </w:rPr>
      </w:pPr>
    </w:p>
    <w:p w:rsidR="000464EA" w:rsidRPr="00491918" w:rsidRDefault="000464EA" w:rsidP="000464EA">
      <w:pPr>
        <w:pStyle w:val="HeadingLevel1-BarcRA1"/>
        <w:rPr>
          <w:lang w:val="en-GB"/>
        </w:rPr>
      </w:pPr>
    </w:p>
    <w:p w:rsidR="000464EA" w:rsidRPr="00491918" w:rsidRDefault="000464EA" w:rsidP="000464EA">
      <w:pPr>
        <w:pStyle w:val="HeadingLevel1-BarcRA1"/>
        <w:rPr>
          <w:lang w:val="en-GB"/>
        </w:rPr>
      </w:pPr>
    </w:p>
    <w:p w:rsidR="00C24897" w:rsidRPr="00491918" w:rsidRDefault="00C24897" w:rsidP="00C24897">
      <w:pPr>
        <w:pStyle w:val="Normal5"/>
        <w:rPr>
          <w:lang w:eastAsia="en-US"/>
        </w:rPr>
      </w:pPr>
    </w:p>
    <w:p w:rsidR="000464EA" w:rsidRPr="00491918" w:rsidRDefault="000464EA" w:rsidP="000464EA">
      <w:pPr>
        <w:pStyle w:val="HeadingLevel1-BarcRA1"/>
        <w:rPr>
          <w:lang w:val="en-GB"/>
        </w:rPr>
      </w:pPr>
    </w:p>
    <w:p w:rsidR="000D1659" w:rsidRPr="00491918" w:rsidRDefault="000464EA" w:rsidP="000464EA">
      <w:pPr>
        <w:pStyle w:val="HeadingLevel1-BarcRA1"/>
        <w:rPr>
          <w:i/>
        </w:rPr>
      </w:pPr>
      <w:r w:rsidRPr="00491918">
        <w:rPr>
          <w:lang w:val="en-GB"/>
        </w:rPr>
        <w:t>Performance Highlights</w:t>
      </w:r>
    </w:p>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9E6048" w:rsidRPr="00491918" w:rsidTr="000732DD">
        <w:trPr>
          <w:trHeight w:val="182"/>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i/>
              </w:rPr>
            </w:pPr>
            <w:r w:rsidRPr="00491918">
              <w:rPr>
                <w:b/>
                <w:color w:val="000000"/>
                <w:sz w:val="20"/>
              </w:rPr>
              <w:t>Barclays Unaudited Results</w:t>
            </w:r>
            <w:r w:rsidRPr="00491918">
              <w:rPr>
                <w:b/>
                <w:color w:val="000000"/>
                <w:sz w:val="16"/>
                <w:vertAlign w:val="superscript"/>
              </w:rPr>
              <w:t>1 </w:t>
            </w:r>
          </w:p>
        </w:tc>
        <w:tc>
          <w:tcPr>
            <w:tcW w:w="288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Adjusted</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288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Statutory</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 xml:space="preserve"> </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30.06.13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30.06.13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p>
        </w:tc>
      </w:tr>
    </w:tbl>
    <w:p w:rsidR="000732DD" w:rsidRPr="00491918" w:rsidRDefault="000732DD"/>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0D1659" w:rsidRPr="00491918" w:rsidTr="000732DD">
        <w:trPr>
          <w:trHeight w:val="240"/>
        </w:trPr>
        <w:tc>
          <w:tcPr>
            <w:tcW w:w="372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Total income net of insurance claims</w:t>
            </w:r>
            <w:r w:rsidRPr="00491918">
              <w:rPr>
                <w:color w:val="000000"/>
                <w:sz w:val="16"/>
                <w:vertAlign w:val="superscript"/>
              </w:rPr>
              <w:t xml:space="preserve">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15,071 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15,492 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w:t>
            </w:r>
            <w:r w:rsidRPr="00491918">
              <w:rPr>
                <w:color w:val="000000"/>
                <w:sz w:val="16"/>
                <w:vertAlign w:val="superscript"/>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15,157 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12,774 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r>
      <w:tr w:rsidR="000D1659" w:rsidRPr="00491918">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Credit impairment charges and other provisions </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940C64">
            <w:pPr>
              <w:jc w:val="right"/>
              <w:rPr>
                <w:color w:val="000000"/>
                <w:sz w:val="16"/>
                <w:vertAlign w:val="superscript"/>
              </w:rPr>
            </w:pPr>
            <w:r w:rsidRPr="00491918">
              <w:rPr>
                <w:color w:val="000000"/>
                <w:sz w:val="16"/>
              </w:rPr>
              <w:t>(1,</w:t>
            </w:r>
            <w:r w:rsidR="00940C64" w:rsidRPr="00491918">
              <w:rPr>
                <w:color w:val="000000"/>
                <w:sz w:val="16"/>
              </w:rPr>
              <w:t>631</w:t>
            </w:r>
            <w:r w:rsidRPr="00491918">
              <w:rPr>
                <w:color w:val="000000"/>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(1,710)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00940C64" w:rsidRPr="00491918">
              <w:rPr>
                <w:color w:val="000000"/>
                <w:sz w:val="16"/>
              </w:rPr>
              <w:t>5</w:t>
            </w:r>
            <w:r w:rsidRPr="00491918">
              <w:rPr>
                <w:color w:val="000000"/>
                <w:sz w:val="16"/>
              </w:rPr>
              <w:t>)</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w:t>
            </w:r>
            <w:r w:rsidR="00940C64" w:rsidRPr="00491918">
              <w:rPr>
                <w:color w:val="000000"/>
                <w:sz w:val="16"/>
              </w:rPr>
              <w:t>631</w:t>
            </w:r>
            <w:r w:rsidRPr="00491918">
              <w:rPr>
                <w:color w:val="000000"/>
                <w:sz w:val="16"/>
              </w:rPr>
              <w:t>)</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(1,710)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00940C64" w:rsidRPr="00491918">
              <w:rPr>
                <w:color w:val="000000"/>
                <w:sz w:val="16"/>
              </w:rPr>
              <w:t>5</w:t>
            </w:r>
            <w:r w:rsidRPr="00491918">
              <w:rPr>
                <w:color w:val="000000"/>
                <w:sz w:val="16"/>
              </w:rPr>
              <w:t>)</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Net operating income </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13,</w:t>
            </w:r>
            <w:r w:rsidR="00940C64" w:rsidRPr="00491918">
              <w:rPr>
                <w:b/>
                <w:color w:val="000000"/>
                <w:sz w:val="16"/>
              </w:rPr>
              <w:t>440</w:t>
            </w:r>
            <w:r w:rsidRPr="00491918">
              <w:rPr>
                <w:b/>
                <w:color w:val="000000"/>
                <w:sz w:val="16"/>
              </w:rPr>
              <w:t>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13,782 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w:t>
            </w:r>
            <w:r w:rsidR="00940C64" w:rsidRPr="00491918">
              <w:rPr>
                <w:b/>
                <w:color w:val="000000"/>
                <w:sz w:val="16"/>
              </w:rPr>
              <w:t>2</w:t>
            </w:r>
            <w:r w:rsidRPr="00491918">
              <w:rPr>
                <w:b/>
                <w:color w:val="000000"/>
                <w:sz w:val="16"/>
              </w:rPr>
              <w:t>)</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13,</w:t>
            </w:r>
            <w:r w:rsidR="00940C64" w:rsidRPr="00491918">
              <w:rPr>
                <w:b/>
                <w:color w:val="000000"/>
                <w:sz w:val="16"/>
              </w:rPr>
              <w:t>526</w:t>
            </w:r>
            <w:r w:rsidRPr="00491918">
              <w:rPr>
                <w:b/>
                <w:color w:val="000000"/>
                <w:sz w:val="16"/>
              </w:rPr>
              <w:t>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11,064 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w:t>
            </w:r>
            <w:r w:rsidR="00940C64" w:rsidRPr="00491918">
              <w:rPr>
                <w:b/>
                <w:color w:val="000000"/>
                <w:sz w:val="16"/>
              </w:rPr>
              <w:t>2</w:t>
            </w:r>
            <w:r w:rsidRPr="00491918">
              <w:rPr>
                <w:b/>
                <w:color w:val="000000"/>
                <w:sz w:val="16"/>
              </w:rPr>
              <w:t> </w:t>
            </w:r>
          </w:p>
        </w:tc>
      </w:tr>
      <w:tr w:rsidR="000D1659" w:rsidRPr="00491918">
        <w:trPr>
          <w:trHeight w:val="51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Operating expenses (excluding costs to achieve Transform)</w:t>
            </w:r>
            <w:r w:rsidRPr="00491918">
              <w:rPr>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(9,141)</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(9,520)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(11,141)</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(10,270)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8 </w:t>
            </w:r>
          </w:p>
        </w:tc>
      </w:tr>
      <w:tr w:rsidR="000D1659" w:rsidRPr="00491918">
        <w:trPr>
          <w:trHeight w:val="255"/>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lastRenderedPageBreak/>
              <w:t>Costs to achieve Transform</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(640)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(640)</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55"/>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Operating expenses</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(9,781)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(9,520)</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(11,781)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(10,270)</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15 </w:t>
            </w:r>
          </w:p>
        </w:tc>
      </w:tr>
      <w:tr w:rsidR="000D1659" w:rsidRPr="00491918">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Other net (expense)/ income </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(68)</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77 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(68)</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77 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Profit before tax </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w:t>
            </w:r>
            <w:r w:rsidR="00940C64" w:rsidRPr="00491918">
              <w:rPr>
                <w:b/>
                <w:color w:val="000000"/>
                <w:sz w:val="16"/>
              </w:rPr>
              <w:t>591</w:t>
            </w:r>
            <w:r w:rsidRPr="00491918">
              <w:rPr>
                <w:b/>
                <w:color w:val="000000"/>
                <w:sz w:val="16"/>
              </w:rPr>
              <w:t>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4,339 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w:t>
            </w:r>
            <w:r w:rsidR="00940C64" w:rsidRPr="00491918">
              <w:rPr>
                <w:b/>
                <w:color w:val="000000"/>
                <w:sz w:val="16"/>
              </w:rPr>
              <w:t>7</w:t>
            </w:r>
            <w:r w:rsidRPr="00491918">
              <w:rPr>
                <w:b/>
                <w:color w:val="000000"/>
                <w:sz w:val="16"/>
              </w:rPr>
              <w:t>)</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w:t>
            </w:r>
            <w:r w:rsidR="00940C64" w:rsidRPr="00491918">
              <w:rPr>
                <w:b/>
                <w:color w:val="000000"/>
                <w:sz w:val="16"/>
              </w:rPr>
              <w:t>677</w:t>
            </w:r>
            <w:r w:rsidRPr="00491918">
              <w:rPr>
                <w:b/>
                <w:color w:val="000000"/>
                <w:sz w:val="16"/>
              </w:rPr>
              <w:t>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871 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940C64">
            <w:pPr>
              <w:jc w:val="right"/>
              <w:rPr>
                <w:b/>
                <w:color w:val="000000"/>
                <w:sz w:val="16"/>
              </w:rPr>
            </w:pPr>
            <w:r w:rsidRPr="00491918">
              <w:rPr>
                <w:b/>
                <w:color w:val="000000"/>
                <w:sz w:val="16"/>
              </w:rPr>
              <w:t xml:space="preserve">93 </w:t>
            </w:r>
            <w:r w:rsidR="000D1659" w:rsidRPr="00491918">
              <w:rPr>
                <w:b/>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Profit after tax  </w:t>
            </w:r>
            <w:r w:rsidRPr="00491918">
              <w:rPr>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w:t>
            </w:r>
            <w:r w:rsidR="00E87BA7" w:rsidRPr="00491918">
              <w:rPr>
                <w:color w:val="000000"/>
                <w:sz w:val="16"/>
              </w:rPr>
              <w:t>46</w:t>
            </w:r>
            <w:r w:rsidR="00DC613A" w:rsidRPr="00491918">
              <w:rPr>
                <w:color w:val="000000"/>
                <w:sz w:val="16"/>
              </w:rPr>
              <w:t>7</w:t>
            </w:r>
            <w:r w:rsidRPr="00491918">
              <w:rPr>
                <w:color w:val="000000"/>
                <w:sz w:val="16"/>
              </w:rPr>
              <w:t>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3,148 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00940C64" w:rsidRPr="00491918">
              <w:rPr>
                <w:color w:val="000000"/>
                <w:sz w:val="16"/>
              </w:rPr>
              <w:t>22</w:t>
            </w:r>
            <w:r w:rsidRPr="00491918">
              <w:rPr>
                <w:color w:val="000000"/>
                <w:sz w:val="16"/>
              </w:rPr>
              <w:t>)</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1,</w:t>
            </w:r>
            <w:r w:rsidR="00940C64" w:rsidRPr="00491918">
              <w:rPr>
                <w:color w:val="000000"/>
                <w:sz w:val="16"/>
              </w:rPr>
              <w:t>083</w:t>
            </w:r>
            <w:r w:rsidRPr="00491918">
              <w:rPr>
                <w:color w:val="000000"/>
                <w:sz w:val="16"/>
              </w:rPr>
              <w:t>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558 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940C64" w:rsidP="00491918">
            <w:pPr>
              <w:jc w:val="right"/>
              <w:rPr>
                <w:b/>
                <w:color w:val="000000"/>
                <w:sz w:val="16"/>
              </w:rPr>
            </w:pPr>
            <w:r w:rsidRPr="00491918">
              <w:rPr>
                <w:b/>
                <w:color w:val="000000"/>
                <w:sz w:val="16"/>
              </w:rPr>
              <w:t>94</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rsidP="00093A31">
            <w:pPr>
              <w:rPr>
                <w:color w:val="000000"/>
                <w:sz w:val="16"/>
              </w:rPr>
            </w:pPr>
            <w:r w:rsidRPr="00491918">
              <w:rPr>
                <w:color w:val="000000"/>
                <w:sz w:val="16"/>
              </w:rPr>
              <w:t xml:space="preserve">Attributable </w:t>
            </w:r>
            <w:r w:rsidR="00093A31" w:rsidRPr="00491918">
              <w:rPr>
                <w:color w:val="000000"/>
                <w:sz w:val="16"/>
              </w:rPr>
              <w:t>p</w:t>
            </w:r>
            <w:r w:rsidRPr="00491918">
              <w:rPr>
                <w:color w:val="000000"/>
                <w:sz w:val="16"/>
              </w:rPr>
              <w:t>rofit</w:t>
            </w:r>
            <w:r w:rsidRPr="00491918">
              <w:rPr>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w:t>
            </w:r>
            <w:r w:rsidR="00E87BA7" w:rsidRPr="00491918">
              <w:rPr>
                <w:color w:val="000000"/>
                <w:sz w:val="16"/>
              </w:rPr>
              <w:t>05</w:t>
            </w:r>
            <w:r w:rsidR="00DC613A" w:rsidRPr="00491918">
              <w:rPr>
                <w:color w:val="000000"/>
                <w:sz w:val="16"/>
              </w:rPr>
              <w:t>5</w:t>
            </w:r>
            <w:r w:rsidRPr="00491918">
              <w:rPr>
                <w:color w:val="000000"/>
                <w:sz w:val="16"/>
              </w:rPr>
              <w:t>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2,738 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00940C64" w:rsidRPr="00491918">
              <w:rPr>
                <w:color w:val="000000"/>
                <w:sz w:val="16"/>
              </w:rPr>
              <w:t>25</w:t>
            </w:r>
            <w:r w:rsidRPr="00491918">
              <w:rPr>
                <w:color w:val="000000"/>
                <w:sz w:val="16"/>
              </w:rPr>
              <w:t>)</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940C64">
            <w:pPr>
              <w:jc w:val="right"/>
              <w:rPr>
                <w:b/>
                <w:color w:val="000000"/>
                <w:sz w:val="16"/>
              </w:rPr>
            </w:pPr>
            <w:r w:rsidRPr="00491918">
              <w:rPr>
                <w:color w:val="000000"/>
                <w:sz w:val="16"/>
              </w:rPr>
              <w:t>671</w:t>
            </w:r>
            <w:r w:rsidR="000D1659" w:rsidRPr="00491918">
              <w:rPr>
                <w:color w:val="000000"/>
                <w:sz w:val="16"/>
              </w:rPr>
              <w:t>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148 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4016B0">
        <w:trPr>
          <w:trHeight w:hRule="exact" w:val="106"/>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rsidTr="004016B0">
        <w:trPr>
          <w:trHeight w:val="106"/>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Performance Measures</w:t>
            </w:r>
            <w:r w:rsidRPr="00491918">
              <w:rPr>
                <w:b/>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Return on average shareholders' equity</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940C64">
            <w:pPr>
              <w:jc w:val="right"/>
              <w:rPr>
                <w:b/>
                <w:color w:val="000000"/>
                <w:sz w:val="16"/>
                <w:vertAlign w:val="superscript"/>
              </w:rPr>
            </w:pPr>
            <w:r w:rsidRPr="00491918">
              <w:rPr>
                <w:color w:val="000000"/>
                <w:sz w:val="16"/>
              </w:rPr>
              <w:t>7.8</w:t>
            </w:r>
            <w:r w:rsidR="000D1659" w:rsidRPr="00491918">
              <w:rPr>
                <w:color w:val="000000"/>
                <w:sz w:val="16"/>
              </w:rPr>
              <w:t>%</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10.6%</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940C64">
            <w:pPr>
              <w:jc w:val="right"/>
              <w:rPr>
                <w:b/>
                <w:color w:val="000000"/>
                <w:sz w:val="16"/>
              </w:rPr>
            </w:pPr>
            <w:r w:rsidRPr="00491918">
              <w:rPr>
                <w:color w:val="000000"/>
                <w:sz w:val="16"/>
              </w:rPr>
              <w:t>2.6</w:t>
            </w:r>
            <w:r w:rsidR="000D1659" w:rsidRPr="00491918">
              <w:rPr>
                <w:color w:val="000000"/>
                <w:sz w:val="16"/>
              </w:rPr>
              <w:t>%</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0.6%</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Return on average tangible shareholders' equity</w:t>
            </w:r>
            <w:r w:rsidRPr="00491918">
              <w:rPr>
                <w:b/>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9.</w:t>
            </w:r>
            <w:r w:rsidR="00940C64" w:rsidRPr="00491918">
              <w:rPr>
                <w:color w:val="000000"/>
                <w:sz w:val="16"/>
              </w:rPr>
              <w:t>1</w:t>
            </w:r>
            <w:r w:rsidRPr="00491918">
              <w:rPr>
                <w:color w:val="000000"/>
                <w:sz w:val="16"/>
              </w:rPr>
              <w:t>%</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12.5%</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3.</w:t>
            </w:r>
            <w:r w:rsidR="00940C64" w:rsidRPr="00491918">
              <w:rPr>
                <w:color w:val="000000"/>
                <w:sz w:val="16"/>
              </w:rPr>
              <w:t>0</w:t>
            </w:r>
            <w:r w:rsidRPr="00491918">
              <w:rPr>
                <w:color w:val="000000"/>
                <w:sz w:val="16"/>
              </w:rPr>
              <w:t>%</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Return on average risk weighted assets</w:t>
            </w:r>
            <w:r w:rsidRPr="00491918">
              <w:rPr>
                <w:b/>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rsidP="00111BFE">
            <w:pPr>
              <w:jc w:val="right"/>
              <w:rPr>
                <w:b/>
                <w:color w:val="000000"/>
                <w:sz w:val="16"/>
                <w:vertAlign w:val="superscript"/>
              </w:rPr>
            </w:pPr>
            <w:r w:rsidRPr="00491918">
              <w:rPr>
                <w:color w:val="000000"/>
                <w:sz w:val="16"/>
              </w:rPr>
              <w:t>1.</w:t>
            </w:r>
            <w:r w:rsidR="00111BFE" w:rsidRPr="00491918">
              <w:rPr>
                <w:color w:val="000000"/>
                <w:sz w:val="16"/>
              </w:rPr>
              <w:t>3</w:t>
            </w:r>
            <w:r w:rsidRPr="00491918">
              <w:rPr>
                <w:color w:val="000000"/>
                <w:sz w:val="16"/>
              </w:rPr>
              <w:t>%</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0.</w:t>
            </w:r>
            <w:r w:rsidR="00940C64" w:rsidRPr="00491918">
              <w:rPr>
                <w:color w:val="000000"/>
                <w:sz w:val="16"/>
              </w:rPr>
              <w:t>5</w:t>
            </w:r>
            <w:r w:rsidRPr="00491918">
              <w:rPr>
                <w:color w:val="000000"/>
                <w:sz w:val="16"/>
              </w:rPr>
              <w:t>%</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Cost: income ratio</w:t>
            </w:r>
            <w:r w:rsidRPr="00491918">
              <w:rPr>
                <w:b/>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65%</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78%</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Compensation: net operating income ratio</w:t>
            </w:r>
            <w:r w:rsidRPr="00491918">
              <w:rPr>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38%</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3</w:t>
            </w:r>
            <w:r w:rsidR="00940C64" w:rsidRPr="00491918">
              <w:rPr>
                <w:color w:val="000000"/>
                <w:sz w:val="16"/>
              </w:rPr>
              <w:t>8</w:t>
            </w:r>
            <w:r w:rsidRPr="00491918">
              <w:rPr>
                <w:color w:val="000000"/>
                <w:sz w:val="16"/>
              </w:rPr>
              <w:t>%</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47%</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Loan loss rate</w:t>
            </w:r>
            <w:r w:rsidRPr="00491918">
              <w:rPr>
                <w:b/>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940C64">
            <w:pPr>
              <w:jc w:val="right"/>
              <w:rPr>
                <w:b/>
                <w:color w:val="000000"/>
                <w:sz w:val="16"/>
                <w:vertAlign w:val="superscript"/>
              </w:rPr>
            </w:pPr>
            <w:r w:rsidRPr="00491918">
              <w:rPr>
                <w:color w:val="000000"/>
                <w:sz w:val="16"/>
              </w:rPr>
              <w:t>6</w:t>
            </w:r>
            <w:r w:rsidR="007D257D" w:rsidRPr="00491918">
              <w:rPr>
                <w:color w:val="000000"/>
                <w:sz w:val="16"/>
              </w:rPr>
              <w:t>3</w:t>
            </w:r>
            <w:r w:rsidR="000D1659" w:rsidRPr="00491918">
              <w:rPr>
                <w:color w:val="000000"/>
                <w:sz w:val="16"/>
              </w:rPr>
              <w:t>bps</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67bps</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940C64">
            <w:pPr>
              <w:jc w:val="right"/>
              <w:rPr>
                <w:b/>
                <w:color w:val="000000"/>
                <w:sz w:val="16"/>
              </w:rPr>
            </w:pPr>
            <w:r w:rsidRPr="00491918">
              <w:rPr>
                <w:color w:val="000000"/>
                <w:sz w:val="16"/>
              </w:rPr>
              <w:t>6</w:t>
            </w:r>
            <w:r w:rsidR="006156EE" w:rsidRPr="00491918">
              <w:rPr>
                <w:color w:val="000000"/>
                <w:sz w:val="16"/>
              </w:rPr>
              <w:t>3</w:t>
            </w:r>
            <w:r w:rsidR="000D1659" w:rsidRPr="00491918">
              <w:rPr>
                <w:color w:val="000000"/>
                <w:sz w:val="16"/>
              </w:rPr>
              <w:t>bps</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67bps</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90"/>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Basic earnings per share </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1</w:t>
            </w:r>
            <w:r w:rsidR="00DC613A" w:rsidRPr="00491918">
              <w:rPr>
                <w:color w:val="000000"/>
                <w:sz w:val="16"/>
              </w:rPr>
              <w:t>6.2</w:t>
            </w:r>
            <w:r w:rsidRPr="00491918">
              <w:rPr>
                <w:color w:val="000000"/>
                <w:sz w:val="16"/>
              </w:rPr>
              <w:t>p</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22.4p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DC613A">
            <w:pPr>
              <w:jc w:val="right"/>
              <w:rPr>
                <w:b/>
                <w:color w:val="000000"/>
                <w:sz w:val="16"/>
              </w:rPr>
            </w:pPr>
            <w:r w:rsidRPr="00491918">
              <w:rPr>
                <w:color w:val="000000"/>
                <w:sz w:val="16"/>
              </w:rPr>
              <w:t>5.3</w:t>
            </w:r>
            <w:r w:rsidR="000D1659" w:rsidRPr="00491918">
              <w:rPr>
                <w:color w:val="000000"/>
                <w:sz w:val="16"/>
              </w:rPr>
              <w:t>p</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Dividend per share </w:t>
            </w:r>
            <w:r w:rsidRPr="00491918">
              <w:rPr>
                <w:b/>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2.0p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2.0p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12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4016B0">
        <w:trPr>
          <w:trHeight w:val="183"/>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 xml:space="preserve">Capital and Balance Sheet </w:t>
            </w:r>
            <w:r w:rsidRPr="00491918">
              <w:rPr>
                <w:b/>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Core Tier 1 ratio </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11.1%</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10.8%</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Risk weighted assets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£387bn</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£387bn</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Adjusted gross leverage</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20x</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19x</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Group liquidity pool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£138bn</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£150bn</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Net asset value per share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rsidP="00206F8B">
            <w:pPr>
              <w:jc w:val="right"/>
              <w:rPr>
                <w:color w:val="000000"/>
                <w:sz w:val="16"/>
              </w:rPr>
            </w:pPr>
            <w:r w:rsidRPr="00491918">
              <w:rPr>
                <w:color w:val="000000"/>
                <w:sz w:val="16"/>
              </w:rPr>
              <w:t>39</w:t>
            </w:r>
            <w:r w:rsidR="00206F8B" w:rsidRPr="00491918">
              <w:rPr>
                <w:color w:val="000000"/>
                <w:sz w:val="16"/>
              </w:rPr>
              <w:t>7</w:t>
            </w:r>
            <w:r w:rsidRPr="00491918">
              <w:rPr>
                <w:color w:val="000000"/>
                <w:sz w:val="16"/>
              </w:rPr>
              <w:t>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414p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Net tangible asset value per share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33</w:t>
            </w:r>
            <w:r w:rsidR="00206F8B" w:rsidRPr="00491918">
              <w:rPr>
                <w:color w:val="000000"/>
                <w:sz w:val="16"/>
              </w:rPr>
              <w:t>6</w:t>
            </w:r>
            <w:r w:rsidRPr="00491918">
              <w:rPr>
                <w:color w:val="000000"/>
                <w:sz w:val="16"/>
              </w:rPr>
              <w:t>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349p</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Loan: deposit ratio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102%</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12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Adjusted Profit Reconciliation</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30.06.13</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Adjusted profit before tax</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3,</w:t>
            </w:r>
            <w:r w:rsidR="00755E76" w:rsidRPr="00491918">
              <w:rPr>
                <w:b/>
                <w:color w:val="000000"/>
                <w:sz w:val="16"/>
              </w:rPr>
              <w:t>591</w:t>
            </w:r>
            <w:r w:rsidRPr="00491918">
              <w:rPr>
                <w:b/>
                <w:color w:val="000000"/>
                <w:sz w:val="16"/>
              </w:rPr>
              <w:t>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4,339 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Own credit</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86 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(2,945)</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55"/>
        </w:trPr>
        <w:tc>
          <w:tcPr>
            <w:tcW w:w="372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Gain on disposal of BlackRock investment</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227 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Provision for PPI redress</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(1,350)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Provision for interest rate hedging products redress</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(650)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(450)</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Statutory profit before tax</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755E76">
            <w:pPr>
              <w:jc w:val="right"/>
              <w:rPr>
                <w:color w:val="000000"/>
                <w:sz w:val="16"/>
              </w:rPr>
            </w:pPr>
            <w:r w:rsidRPr="00491918">
              <w:rPr>
                <w:b/>
                <w:color w:val="000000"/>
                <w:sz w:val="16"/>
              </w:rPr>
              <w:t>1,</w:t>
            </w:r>
            <w:r w:rsidR="00755E76" w:rsidRPr="00491918">
              <w:rPr>
                <w:b/>
                <w:color w:val="000000"/>
                <w:sz w:val="16"/>
              </w:rPr>
              <w:t>677 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871 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rsidTr="004016B0">
        <w:trPr>
          <w:trHeight w:hRule="exact" w:val="119"/>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bl>
    <w:p w:rsidR="000D1659" w:rsidRPr="00491918" w:rsidRDefault="000D1659">
      <w:pPr>
        <w:rPr>
          <w:i/>
        </w:rPr>
      </w:pPr>
    </w:p>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9E6048" w:rsidRPr="00491918" w:rsidTr="004016B0">
        <w:trPr>
          <w:trHeight w:val="106"/>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i/>
              </w:rPr>
            </w:pPr>
            <w:r w:rsidRPr="00491918">
              <w:rPr>
                <w:color w:val="000000"/>
                <w:sz w:val="16"/>
              </w:rPr>
              <w:t xml:space="preserve"> </w:t>
            </w:r>
          </w:p>
        </w:tc>
        <w:tc>
          <w:tcPr>
            <w:tcW w:w="288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Adjusted</w:t>
            </w:r>
            <w:r w:rsidRPr="00491918">
              <w:rPr>
                <w:b/>
                <w:color w:val="000000"/>
                <w:sz w:val="16"/>
                <w:vertAlign w:val="superscript"/>
              </w:rPr>
              <w:t>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288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Statutory</w:t>
            </w:r>
          </w:p>
        </w:tc>
      </w:tr>
      <w:tr w:rsidR="000D1659" w:rsidRPr="00491918" w:rsidTr="004016B0">
        <w:trPr>
          <w:trHeight w:val="114"/>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Profit/(Loss) Before Tax by Business</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rPr>
            </w:pPr>
            <w:r w:rsidRPr="00491918">
              <w:rPr>
                <w:b/>
                <w:color w:val="000000"/>
                <w:sz w:val="16"/>
              </w:rPr>
              <w:t>30.06.13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30.06.13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rsidTr="004016B0">
        <w:trPr>
          <w:trHeight w:val="134"/>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p>
        </w:tc>
      </w:tr>
    </w:tbl>
    <w:p w:rsidR="000732DD" w:rsidRPr="00491918" w:rsidRDefault="000732DD"/>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0D1659" w:rsidRPr="00491918" w:rsidTr="000732DD">
        <w:trPr>
          <w:trHeight w:val="255"/>
        </w:trPr>
        <w:tc>
          <w:tcPr>
            <w:tcW w:w="372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RBB</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632 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592 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r w:rsidRPr="00491918">
              <w:rPr>
                <w:color w:val="000000"/>
                <w:sz w:val="16"/>
                <w:vertAlign w:val="superscript"/>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(28)</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292 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55"/>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Europe RBB</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(709)</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(148)</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(709)</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(148)</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55"/>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Africa RBB</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212 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183 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212 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183 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p>
        </w:tc>
      </w:tr>
      <w:tr w:rsidR="000D1659" w:rsidRPr="00491918">
        <w:trPr>
          <w:trHeight w:val="255"/>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Barclaycard</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775 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751 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85 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751 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(89)</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Investment Bank</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rsidP="00755E76">
            <w:pPr>
              <w:jc w:val="right"/>
              <w:rPr>
                <w:color w:val="000000"/>
                <w:sz w:val="16"/>
              </w:rPr>
            </w:pPr>
            <w:r w:rsidRPr="00491918">
              <w:rPr>
                <w:color w:val="000000"/>
                <w:sz w:val="16"/>
              </w:rPr>
              <w:t>2,</w:t>
            </w:r>
            <w:r w:rsidR="00755E76" w:rsidRPr="00491918">
              <w:rPr>
                <w:color w:val="000000"/>
                <w:sz w:val="16"/>
              </w:rPr>
              <w:t>389 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2,242 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w:t>
            </w:r>
            <w:r w:rsidR="00755E76" w:rsidRPr="00491918">
              <w:rPr>
                <w:color w:val="000000"/>
                <w:sz w:val="16"/>
              </w:rPr>
              <w:t>389</w:t>
            </w:r>
            <w:r w:rsidRPr="00491918">
              <w:rPr>
                <w:color w:val="000000"/>
                <w:sz w:val="16"/>
              </w:rPr>
              <w:t>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2,242 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 Banking</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402 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311 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(248)</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(139)</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Wealth and Investment Management</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47 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47 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w:t>
            </w:r>
          </w:p>
        </w:tc>
      </w:tr>
      <w:tr w:rsidR="000D1659" w:rsidRPr="00491918">
        <w:trPr>
          <w:trHeight w:val="240"/>
        </w:trPr>
        <w:tc>
          <w:tcPr>
            <w:tcW w:w="3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Head Office and Other Operations</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(157)</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309 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(71)</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(2,409)</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profit before tax</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3,</w:t>
            </w:r>
            <w:r w:rsidR="00755E76" w:rsidRPr="00491918">
              <w:rPr>
                <w:b/>
                <w:color w:val="000000"/>
                <w:sz w:val="16"/>
              </w:rPr>
              <w:t>591</w:t>
            </w:r>
            <w:r w:rsidRPr="00491918">
              <w:rPr>
                <w:b/>
                <w:color w:val="000000"/>
                <w:sz w:val="16"/>
              </w:rPr>
              <w:t>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4,339 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w:t>
            </w:r>
            <w:r w:rsidR="00755E76" w:rsidRPr="00491918">
              <w:rPr>
                <w:b/>
                <w:color w:val="000000"/>
                <w:sz w:val="16"/>
              </w:rPr>
              <w:t>7</w:t>
            </w:r>
            <w:r w:rsidRPr="00491918">
              <w:rPr>
                <w:b/>
                <w:color w:val="000000"/>
                <w:sz w:val="16"/>
              </w:rPr>
              <w:t>)</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w:t>
            </w:r>
            <w:r w:rsidR="00755E76" w:rsidRPr="00491918">
              <w:rPr>
                <w:b/>
                <w:color w:val="000000"/>
                <w:sz w:val="16"/>
              </w:rPr>
              <w:t>677</w:t>
            </w:r>
            <w:r w:rsidRPr="00491918">
              <w:rPr>
                <w:b/>
                <w:color w:val="000000"/>
                <w:sz w:val="16"/>
              </w:rPr>
              <w:t>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871 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CB7479">
            <w:pPr>
              <w:jc w:val="right"/>
              <w:rPr>
                <w:b/>
                <w:color w:val="000000"/>
                <w:sz w:val="16"/>
              </w:rPr>
            </w:pPr>
            <w:r w:rsidRPr="00491918">
              <w:rPr>
                <w:b/>
                <w:color w:val="000000"/>
                <w:sz w:val="16"/>
              </w:rPr>
              <w:t>93</w:t>
            </w:r>
            <w:r w:rsidR="000D1659" w:rsidRPr="00491918">
              <w:rPr>
                <w:b/>
                <w:color w:val="000000"/>
                <w:sz w:val="16"/>
              </w:rPr>
              <w:t xml:space="preserve"> </w:t>
            </w:r>
          </w:p>
        </w:tc>
      </w:tr>
    </w:tbl>
    <w:p w:rsidR="000D1659" w:rsidRPr="00491918" w:rsidRDefault="000D1659">
      <w:pPr>
        <w:rPr>
          <w:i/>
        </w:rPr>
      </w:pPr>
    </w:p>
    <w:p w:rsidR="00E9782A" w:rsidRPr="00491918" w:rsidRDefault="00E9782A">
      <w:pPr>
        <w:rPr>
          <w:i/>
        </w:rPr>
      </w:pPr>
    </w:p>
    <w:p w:rsidR="00E9782A" w:rsidRPr="00491918" w:rsidRDefault="00E9782A">
      <w:pPr>
        <w:rPr>
          <w:i/>
        </w:rPr>
      </w:pPr>
    </w:p>
    <w:p w:rsidR="005061A5" w:rsidRPr="00491918" w:rsidRDefault="005061A5" w:rsidP="005061A5">
      <w:pPr>
        <w:pStyle w:val="Normal70"/>
        <w:tabs>
          <w:tab w:val="left" w:pos="284"/>
        </w:tabs>
        <w:ind w:left="284"/>
        <w:jc w:val="both"/>
        <w:rPr>
          <w:rFonts w:ascii="Expert Sans Regular" w:hAnsi="Expert Sans Regular"/>
          <w:i/>
          <w:color w:val="000000"/>
          <w:sz w:val="14"/>
        </w:rPr>
      </w:pPr>
    </w:p>
    <w:p w:rsidR="00270C54" w:rsidRPr="00491918" w:rsidRDefault="00270C54" w:rsidP="005061A5">
      <w:pPr>
        <w:pStyle w:val="Normal70"/>
        <w:tabs>
          <w:tab w:val="left" w:pos="284"/>
        </w:tabs>
        <w:ind w:left="284"/>
        <w:jc w:val="both"/>
        <w:rPr>
          <w:rFonts w:ascii="Expert Sans Regular" w:hAnsi="Expert Sans Regular"/>
          <w:i/>
          <w:color w:val="000000"/>
          <w:sz w:val="14"/>
        </w:rPr>
      </w:pPr>
    </w:p>
    <w:p w:rsidR="000D1659" w:rsidRPr="00491918" w:rsidRDefault="000D1659" w:rsidP="002A3C92">
      <w:pPr>
        <w:pStyle w:val="Normal70"/>
        <w:numPr>
          <w:ilvl w:val="0"/>
          <w:numId w:val="5"/>
        </w:numPr>
        <w:tabs>
          <w:tab w:val="left" w:pos="284"/>
        </w:tabs>
        <w:ind w:left="284" w:hanging="284"/>
        <w:jc w:val="both"/>
        <w:rPr>
          <w:rFonts w:ascii="Expert Sans Regular" w:hAnsi="Expert Sans Regular"/>
          <w:i/>
          <w:color w:val="000000"/>
          <w:sz w:val="14"/>
          <w:szCs w:val="14"/>
        </w:rPr>
      </w:pPr>
      <w:r w:rsidRPr="00491918">
        <w:rPr>
          <w:rFonts w:ascii="Expert Sans Regular" w:hAnsi="Expert Sans Regular"/>
          <w:i/>
          <w:color w:val="000000"/>
          <w:sz w:val="14"/>
        </w:rPr>
        <w:t xml:space="preserve">The comparatives on pages </w:t>
      </w:r>
      <w:r w:rsidR="007B7BA3" w:rsidRPr="00491918">
        <w:rPr>
          <w:rFonts w:ascii="Expert Sans Regular" w:hAnsi="Expert Sans Regular"/>
          <w:i/>
          <w:color w:val="000000"/>
          <w:sz w:val="14"/>
        </w:rPr>
        <w:t>3</w:t>
      </w:r>
      <w:r w:rsidRPr="00491918">
        <w:rPr>
          <w:rFonts w:ascii="Expert Sans Regular" w:hAnsi="Expert Sans Regular"/>
          <w:i/>
          <w:color w:val="000000"/>
          <w:sz w:val="14"/>
        </w:rPr>
        <w:t xml:space="preserve"> to </w:t>
      </w:r>
      <w:r w:rsidR="007B7BA3" w:rsidRPr="00491918">
        <w:rPr>
          <w:rFonts w:ascii="Expert Sans Regular" w:hAnsi="Expert Sans Regular"/>
          <w:i/>
          <w:color w:val="000000"/>
          <w:sz w:val="14"/>
        </w:rPr>
        <w:t>43</w:t>
      </w:r>
      <w:r w:rsidRPr="00491918">
        <w:rPr>
          <w:rFonts w:ascii="Expert Sans Regular" w:hAnsi="Expert Sans Regular"/>
          <w:i/>
          <w:color w:val="000000"/>
          <w:sz w:val="14"/>
        </w:rPr>
        <w:t xml:space="preserve"> have been restated to reflect the implementation of IFRS 10 Consolidated Financial Statements and IAS 19 Employee Benefits (Revised 2011), the reallocation of elements of Head Office results to businesses and portfolio restatements between businesses, as detailed in our announcement on 16 April 2013, accessible at </w:t>
      </w:r>
      <w:hyperlink r:id="rId19" w:history="1">
        <w:r w:rsidRPr="00491918">
          <w:rPr>
            <w:rStyle w:val="Hyperlink"/>
            <w:rFonts w:ascii="Expert Sans Regular" w:hAnsi="Expert Sans Regular"/>
            <w:i/>
            <w:color w:val="000000"/>
            <w:sz w:val="14"/>
            <w:szCs w:val="14"/>
            <w:u w:val="none"/>
          </w:rPr>
          <w:t>http://group.barclays.com/about-barclays/investor-relations/investor-news</w:t>
        </w:r>
      </w:hyperlink>
    </w:p>
    <w:p w:rsidR="000D1659" w:rsidRPr="00491918" w:rsidRDefault="000D1659">
      <w:pPr>
        <w:rPr>
          <w:i/>
          <w:color w:val="000000"/>
          <w:sz w:val="14"/>
        </w:rPr>
        <w:sectPr w:rsidR="000D1659" w:rsidRPr="00491918" w:rsidSect="00751636">
          <w:footerReference w:type="default" r:id="rId20"/>
          <w:pgSz w:w="11905" w:h="16837"/>
          <w:pgMar w:top="851" w:right="1134" w:bottom="567" w:left="1134" w:header="851" w:footer="567" w:gutter="0"/>
          <w:cols w:space="708"/>
        </w:sectPr>
      </w:pPr>
    </w:p>
    <w:p w:rsidR="000464EA" w:rsidRPr="00491918" w:rsidRDefault="000464EA" w:rsidP="000464EA">
      <w:pPr>
        <w:pStyle w:val="HeadingLevel1-BarcRA2"/>
        <w:rPr>
          <w:lang w:val="en-GB"/>
        </w:rPr>
      </w:pPr>
      <w:r w:rsidRPr="00491918">
        <w:rPr>
          <w:lang w:val="en-GB"/>
        </w:rPr>
        <w:lastRenderedPageBreak/>
        <w:t>Chief Executive’s</w:t>
      </w:r>
      <w:r w:rsidRPr="00491918">
        <w:t xml:space="preserve"> </w:t>
      </w:r>
      <w:r w:rsidRPr="00491918">
        <w:rPr>
          <w:lang w:val="en-GB"/>
        </w:rPr>
        <w:t>Statement</w:t>
      </w:r>
    </w:p>
    <w:p w:rsidR="000464EA" w:rsidRPr="00491918" w:rsidRDefault="000464EA" w:rsidP="00D91827">
      <w:pPr>
        <w:pStyle w:val="Normal11"/>
        <w:jc w:val="both"/>
        <w:rPr>
          <w:szCs w:val="20"/>
        </w:rPr>
      </w:pPr>
    </w:p>
    <w:p w:rsidR="00D91827" w:rsidRPr="00491918" w:rsidRDefault="00D91827" w:rsidP="00D91827">
      <w:pPr>
        <w:pStyle w:val="Normal11"/>
        <w:jc w:val="both"/>
        <w:rPr>
          <w:szCs w:val="20"/>
        </w:rPr>
      </w:pPr>
      <w:r w:rsidRPr="00491918">
        <w:rPr>
          <w:szCs w:val="20"/>
        </w:rPr>
        <w:t>“In February, we outlined our Transform plan to become the ‘Go-To’ bank. As part of Transform, we set out a number of financial commitments, in</w:t>
      </w:r>
      <w:r w:rsidR="00527749" w:rsidRPr="00491918">
        <w:rPr>
          <w:szCs w:val="20"/>
        </w:rPr>
        <w:t>cluding in relation to capital</w:t>
      </w:r>
      <w:r w:rsidR="00111BFE" w:rsidRPr="00491918">
        <w:rPr>
          <w:szCs w:val="20"/>
        </w:rPr>
        <w:t>, to be achieved by the end of 2015.</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As a consequence of the Prudential Regulat</w:t>
      </w:r>
      <w:r w:rsidR="001171E3" w:rsidRPr="00491918">
        <w:rPr>
          <w:szCs w:val="20"/>
        </w:rPr>
        <w:t>i</w:t>
      </w:r>
      <w:r w:rsidRPr="00491918">
        <w:rPr>
          <w:szCs w:val="20"/>
        </w:rPr>
        <w:t>o</w:t>
      </w:r>
      <w:r w:rsidR="001171E3" w:rsidRPr="00491918">
        <w:rPr>
          <w:szCs w:val="20"/>
        </w:rPr>
        <w:t>n</w:t>
      </w:r>
      <w:r w:rsidRPr="00491918">
        <w:rPr>
          <w:szCs w:val="20"/>
        </w:rPr>
        <w:t xml:space="preserve"> Authority (PRA) review we have had to modify our capital plans, in order to meet the 3%</w:t>
      </w:r>
      <w:r w:rsidR="008D6001" w:rsidRPr="00491918">
        <w:rPr>
          <w:szCs w:val="20"/>
        </w:rPr>
        <w:t xml:space="preserve"> PRA Leverage R</w:t>
      </w:r>
      <w:r w:rsidRPr="00491918">
        <w:rPr>
          <w:szCs w:val="20"/>
        </w:rPr>
        <w:t>atio target by June 2014. After careful consideration of the options, the Board and I have determined that</w:t>
      </w:r>
      <w:r w:rsidR="00287B99" w:rsidRPr="00491918">
        <w:rPr>
          <w:szCs w:val="20"/>
        </w:rPr>
        <w:t xml:space="preserve"> Barclays</w:t>
      </w:r>
      <w:r w:rsidRPr="00491918">
        <w:rPr>
          <w:szCs w:val="20"/>
        </w:rPr>
        <w:t xml:space="preserve"> should respond quickly and decisively to meet this new target</w:t>
      </w:r>
      <w:r w:rsidR="00111BFE" w:rsidRPr="00491918">
        <w:rPr>
          <w:szCs w:val="20"/>
        </w:rPr>
        <w:t>.</w:t>
      </w:r>
      <w:r w:rsidRPr="00491918">
        <w:rPr>
          <w:szCs w:val="20"/>
        </w:rPr>
        <w:t xml:space="preserve"> </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The plan is a combination of: a rights issue; prudent reduction of our leverage exposure; issuance of additional tier 1 securities; and the retention of earnings and other forms of capital accretion. We believe this represents the right combination to meet the PRA’s leverage target. It also enables us to maintain our planned lending growth and broader suppo</w:t>
      </w:r>
      <w:r w:rsidR="00527749" w:rsidRPr="00491918">
        <w:rPr>
          <w:szCs w:val="20"/>
        </w:rPr>
        <w:t>rt of our customers and clients</w:t>
      </w:r>
      <w:r w:rsidR="00111BFE" w:rsidRPr="00491918">
        <w:rPr>
          <w:szCs w:val="20"/>
        </w:rPr>
        <w:t>.</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I am certain the decisive and prompt action we are taking will leave Barclays stronge</w:t>
      </w:r>
      <w:r w:rsidR="00C462EC" w:rsidRPr="00491918">
        <w:rPr>
          <w:szCs w:val="20"/>
        </w:rPr>
        <w:t>r and our goal of becoming the ‘</w:t>
      </w:r>
      <w:r w:rsidRPr="00491918">
        <w:rPr>
          <w:szCs w:val="20"/>
        </w:rPr>
        <w:t>Go-T</w:t>
      </w:r>
      <w:r w:rsidR="00527749" w:rsidRPr="00491918">
        <w:rPr>
          <w:szCs w:val="20"/>
        </w:rPr>
        <w:t>o' bank even more attainable</w:t>
      </w:r>
      <w:r w:rsidR="00111BFE" w:rsidRPr="00491918">
        <w:rPr>
          <w:szCs w:val="20"/>
        </w:rPr>
        <w:t>.</w:t>
      </w:r>
    </w:p>
    <w:p w:rsidR="00D91827" w:rsidRPr="00491918" w:rsidRDefault="00D91827" w:rsidP="00D91827">
      <w:pPr>
        <w:pStyle w:val="Normal11"/>
        <w:jc w:val="both"/>
        <w:rPr>
          <w:szCs w:val="20"/>
        </w:rPr>
      </w:pPr>
    </w:p>
    <w:p w:rsidR="00B87EC7" w:rsidRPr="00491918" w:rsidRDefault="00D91827" w:rsidP="00111BFE">
      <w:pPr>
        <w:pStyle w:val="Normal11"/>
        <w:jc w:val="both"/>
        <w:rPr>
          <w:color w:val="1F497D"/>
        </w:rPr>
      </w:pPr>
      <w:r w:rsidRPr="00491918">
        <w:rPr>
          <w:szCs w:val="20"/>
        </w:rPr>
        <w:t>Our first half results demonstrate the strength of our business. We saw good momentum in our performance and - five months on - the execution of our Tran</w:t>
      </w:r>
      <w:r w:rsidR="00527749" w:rsidRPr="00491918">
        <w:rPr>
          <w:szCs w:val="20"/>
        </w:rPr>
        <w:t>sform plan is progressing well</w:t>
      </w:r>
      <w:r w:rsidR="008D6001" w:rsidRPr="00491918">
        <w:rPr>
          <w:szCs w:val="20"/>
        </w:rPr>
        <w:t xml:space="preserve">. </w:t>
      </w:r>
      <w:r w:rsidR="00B87EC7" w:rsidRPr="00491918">
        <w:t>Adjusted profit before tax was £3.6bn, excluding an additional £1.35bn charge in respect of PPI redress and an additional £650m for Interest Rate Hedging Products. This takes the total provision Barclays has made for both issues to £5.45bn, of which almost £3bn is unspent, reducing uncertainty for shareholders around these conduct risks. As a result the PRA capital adjustments for the PRA Leverage Ratio no longer include provisions for conduct.</w:t>
      </w:r>
      <w:r w:rsidR="00B87EC7" w:rsidRPr="00491918">
        <w:rPr>
          <w:color w:val="1F497D"/>
        </w:rPr>
        <w:t xml:space="preserve"> </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Cost remains a critical component of our commitments and we expect to accelerate part of the £2.7bn of costs to achieve (CTA) Transform in 2013, having recognised £640m in the first half of the year focused on restructuring and investment in the Investment Bank and Europe Retail and Business B</w:t>
      </w:r>
      <w:r w:rsidR="00527749" w:rsidRPr="00491918">
        <w:rPr>
          <w:szCs w:val="20"/>
        </w:rPr>
        <w:t>anking</w:t>
      </w:r>
      <w:r w:rsidR="00111BFE" w:rsidRPr="00491918">
        <w:rPr>
          <w:szCs w:val="20"/>
        </w:rPr>
        <w:t>.</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The CTA have impacted Barclays return on equity of 7.8% in the first half but strategic reduction of the cost base is an important step to achieve sustainable returns over the cost of equity in the medium term. Return on equity, excluding costs to achieve, was 9.5% driven by continued momentum across the businesses and in particular in the Corporate and Investment Bank, Barclaycard and</w:t>
      </w:r>
      <w:r w:rsidR="00527749" w:rsidRPr="00491918">
        <w:rPr>
          <w:szCs w:val="20"/>
        </w:rPr>
        <w:t xml:space="preserve"> UK Retail and Business Banking</w:t>
      </w:r>
      <w:r w:rsidR="00111BFE" w:rsidRPr="00491918">
        <w:rPr>
          <w:szCs w:val="20"/>
        </w:rPr>
        <w:t>.</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 xml:space="preserve">We continue to make good progress in running down </w:t>
      </w:r>
      <w:r w:rsidR="00A64EB1" w:rsidRPr="00491918">
        <w:rPr>
          <w:szCs w:val="20"/>
        </w:rPr>
        <w:t>Exit Quadrant</w:t>
      </w:r>
      <w:r w:rsidRPr="00491918">
        <w:rPr>
          <w:szCs w:val="20"/>
        </w:rPr>
        <w:t xml:space="preserve"> </w:t>
      </w:r>
      <w:r w:rsidR="00A64EB1" w:rsidRPr="00491918">
        <w:rPr>
          <w:szCs w:val="20"/>
        </w:rPr>
        <w:t>business units</w:t>
      </w:r>
      <w:r w:rsidRPr="00491918">
        <w:rPr>
          <w:szCs w:val="20"/>
        </w:rPr>
        <w:t xml:space="preserve"> in </w:t>
      </w:r>
      <w:r w:rsidR="00A64EB1" w:rsidRPr="00491918">
        <w:rPr>
          <w:szCs w:val="20"/>
        </w:rPr>
        <w:t>a positive way for shareholders; i</w:t>
      </w:r>
      <w:r w:rsidRPr="00491918">
        <w:rPr>
          <w:szCs w:val="20"/>
        </w:rPr>
        <w:t xml:space="preserve">n the first half we reduced </w:t>
      </w:r>
      <w:r w:rsidR="00A64EB1" w:rsidRPr="00491918">
        <w:rPr>
          <w:szCs w:val="20"/>
        </w:rPr>
        <w:t xml:space="preserve">estimated </w:t>
      </w:r>
      <w:r w:rsidRPr="00491918">
        <w:rPr>
          <w:szCs w:val="20"/>
        </w:rPr>
        <w:t>CRD IV Risk Weighted Assets by £25.4bn. Our commitment to lend has not falter</w:t>
      </w:r>
      <w:r w:rsidR="00111BFE" w:rsidRPr="00491918">
        <w:rPr>
          <w:szCs w:val="20"/>
        </w:rPr>
        <w:t>ed and we provided a gross £42</w:t>
      </w:r>
      <w:r w:rsidRPr="00491918">
        <w:rPr>
          <w:szCs w:val="20"/>
        </w:rPr>
        <w:t>bn of lending to UK households and businesses under the Funding for Lending Schem</w:t>
      </w:r>
      <w:r w:rsidR="00527749" w:rsidRPr="00491918">
        <w:rPr>
          <w:szCs w:val="20"/>
        </w:rPr>
        <w:t>e in the first half of the year</w:t>
      </w:r>
      <w:r w:rsidR="00111BFE" w:rsidRPr="00491918">
        <w:rPr>
          <w:szCs w:val="20"/>
        </w:rPr>
        <w:t>.</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Our capital position remains a key focus, with an estimated fully loaded CRD IV Common Equity Tier 1 ratio of 8.1% as of 30 June 2013. Adjusted for the rights issue this is equivalent to 9.3%. The Board and I expect this ratio to increase during the second half of 2013, with an accelerated achievement of the target 10.5% fully loaded CET1 ratio by early 2015</w:t>
      </w:r>
      <w:r w:rsidR="00111BFE" w:rsidRPr="00491918">
        <w:rPr>
          <w:szCs w:val="20"/>
        </w:rPr>
        <w:t>.</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We remain committed to our Purpose of helping people achieve their ambitions, in the right way – and the Values that underpin it. To this end, I am pleased to say that 95% of our colleagues have now attended a half day Values workshop and we will be launching our Balanced Scorecard across the Senior Leadership Group in the second half of 2013 to measure our progress. This is a new approach to how we measure and report our performance and will be critic</w:t>
      </w:r>
      <w:r w:rsidR="00527749" w:rsidRPr="00491918">
        <w:rPr>
          <w:szCs w:val="20"/>
        </w:rPr>
        <w:t>al to our success in the future</w:t>
      </w:r>
      <w:r w:rsidR="00111BFE" w:rsidRPr="00491918">
        <w:rPr>
          <w:szCs w:val="20"/>
        </w:rPr>
        <w:t>.</w:t>
      </w:r>
    </w:p>
    <w:p w:rsidR="00D91827" w:rsidRPr="00491918" w:rsidRDefault="00D91827" w:rsidP="00D91827">
      <w:pPr>
        <w:pStyle w:val="Normal11"/>
        <w:jc w:val="both"/>
        <w:rPr>
          <w:szCs w:val="20"/>
        </w:rPr>
      </w:pPr>
    </w:p>
    <w:p w:rsidR="00D91827" w:rsidRPr="00491918" w:rsidRDefault="00D91827" w:rsidP="00D91827">
      <w:pPr>
        <w:pStyle w:val="Normal11"/>
        <w:jc w:val="both"/>
        <w:rPr>
          <w:szCs w:val="20"/>
        </w:rPr>
      </w:pPr>
      <w:r w:rsidRPr="00491918">
        <w:rPr>
          <w:szCs w:val="20"/>
        </w:rPr>
        <w:t>It is early days, and there is a long way to go, but I’m pleased with our progress and confident that we are on track to become the</w:t>
      </w:r>
      <w:r w:rsidR="00527749" w:rsidRPr="00491918">
        <w:rPr>
          <w:szCs w:val="20"/>
        </w:rPr>
        <w:t xml:space="preserve"> ‘Go To’ bank</w:t>
      </w:r>
      <w:r w:rsidR="00111BFE" w:rsidRPr="00491918">
        <w:rPr>
          <w:szCs w:val="20"/>
        </w:rPr>
        <w:t>.</w:t>
      </w:r>
      <w:r w:rsidRPr="00491918">
        <w:rPr>
          <w:szCs w:val="20"/>
        </w:rPr>
        <w:t>”</w:t>
      </w:r>
    </w:p>
    <w:p w:rsidR="00D91827" w:rsidRPr="00491918" w:rsidRDefault="00D91827" w:rsidP="00D91827">
      <w:pPr>
        <w:pStyle w:val="Normal11"/>
      </w:pPr>
    </w:p>
    <w:p w:rsidR="00D91827" w:rsidRPr="00491918" w:rsidRDefault="00D91827" w:rsidP="00D91827">
      <w:pPr>
        <w:pStyle w:val="Normal11"/>
        <w:rPr>
          <w:i/>
          <w:szCs w:val="20"/>
        </w:rPr>
      </w:pPr>
    </w:p>
    <w:p w:rsidR="000D1659" w:rsidRPr="00491918" w:rsidRDefault="00D91827" w:rsidP="008D6001">
      <w:pPr>
        <w:pStyle w:val="Normal600"/>
        <w:jc w:val="both"/>
        <w:outlineLvl w:val="0"/>
        <w:rPr>
          <w:b/>
        </w:rPr>
      </w:pPr>
      <w:r w:rsidRPr="00491918">
        <w:rPr>
          <w:b/>
        </w:rPr>
        <w:t>Antony Jenkins, Chief Executive</w:t>
      </w:r>
    </w:p>
    <w:p w:rsidR="000D1659" w:rsidRPr="00491918" w:rsidRDefault="000D1659">
      <w:pPr>
        <w:rPr>
          <w:i/>
        </w:rPr>
        <w:sectPr w:rsidR="000D1659" w:rsidRPr="00491918" w:rsidSect="00751636">
          <w:headerReference w:type="default" r:id="rId21"/>
          <w:pgSz w:w="11905" w:h="16837"/>
          <w:pgMar w:top="851" w:right="1134" w:bottom="567" w:left="1134" w:header="851" w:footer="567" w:gutter="0"/>
          <w:cols w:space="708"/>
        </w:sectPr>
      </w:pPr>
    </w:p>
    <w:p w:rsidR="000464EA" w:rsidRPr="00491918" w:rsidRDefault="000464EA" w:rsidP="000464EA">
      <w:pPr>
        <w:pStyle w:val="HeadingLevel1-BarcRA3"/>
      </w:pPr>
      <w:r w:rsidRPr="00491918">
        <w:rPr>
          <w:lang w:val="en-GB"/>
        </w:rPr>
        <w:lastRenderedPageBreak/>
        <w:t xml:space="preserve">Group </w:t>
      </w:r>
      <w:r w:rsidRPr="00491918">
        <w:t>Finance Director’s Review</w:t>
      </w:r>
    </w:p>
    <w:p w:rsidR="000D1659" w:rsidRPr="00491918" w:rsidRDefault="000D1659" w:rsidP="008D6001">
      <w:pPr>
        <w:pStyle w:val="HeadingLevel1-BarcRA7"/>
        <w:outlineLvl w:val="0"/>
      </w:pPr>
      <w:r w:rsidRPr="00491918">
        <w:t>Income Statement</w:t>
      </w:r>
    </w:p>
    <w:p w:rsidR="000D1659" w:rsidRPr="00491918" w:rsidRDefault="000D1659" w:rsidP="002A3C92">
      <w:pPr>
        <w:pStyle w:val="Level1Bullet-BarcRA03"/>
        <w:numPr>
          <w:ilvl w:val="0"/>
          <w:numId w:val="7"/>
        </w:numPr>
      </w:pPr>
      <w:r w:rsidRPr="00491918">
        <w:rPr>
          <w:lang w:val="en-GB"/>
        </w:rPr>
        <w:t>A</w:t>
      </w:r>
      <w:r w:rsidRPr="00491918">
        <w:t xml:space="preserve">djusted profit before tax </w:t>
      </w:r>
      <w:r w:rsidRPr="00491918">
        <w:rPr>
          <w:lang w:val="en-GB"/>
        </w:rPr>
        <w:t>decreased 1</w:t>
      </w:r>
      <w:r w:rsidR="00492E29" w:rsidRPr="00491918">
        <w:rPr>
          <w:lang w:val="en-GB"/>
        </w:rPr>
        <w:t>7</w:t>
      </w:r>
      <w:r w:rsidRPr="00491918">
        <w:t xml:space="preserve">% </w:t>
      </w:r>
      <w:r w:rsidRPr="00491918">
        <w:rPr>
          <w:lang w:val="en-GB"/>
        </w:rPr>
        <w:t>t</w:t>
      </w:r>
      <w:r w:rsidRPr="00491918">
        <w:t>o £</w:t>
      </w:r>
      <w:r w:rsidRPr="00491918">
        <w:rPr>
          <w:lang w:val="en-GB"/>
        </w:rPr>
        <w:t>3,</w:t>
      </w:r>
      <w:r w:rsidR="00492E29" w:rsidRPr="00491918">
        <w:rPr>
          <w:lang w:val="en-GB"/>
        </w:rPr>
        <w:t>591</w:t>
      </w:r>
      <w:r w:rsidR="00492E29" w:rsidRPr="00491918">
        <w:t>m</w:t>
      </w:r>
      <w:r w:rsidRPr="00491918">
        <w:rPr>
          <w:lang w:val="en-GB"/>
        </w:rPr>
        <w:t xml:space="preserve">, driven by costs to achieve Transform of £640m in H113 </w:t>
      </w:r>
    </w:p>
    <w:p w:rsidR="000D1659" w:rsidRPr="00491918" w:rsidRDefault="000D1659" w:rsidP="002A3C92">
      <w:pPr>
        <w:pStyle w:val="Level1Bullet-BarcRA03"/>
        <w:numPr>
          <w:ilvl w:val="0"/>
          <w:numId w:val="7"/>
        </w:numPr>
      </w:pPr>
      <w:r w:rsidRPr="00491918">
        <w:rPr>
          <w:lang w:val="en-GB"/>
        </w:rPr>
        <w:t>Statutory profit increased £</w:t>
      </w:r>
      <w:r w:rsidR="00492E29" w:rsidRPr="00491918">
        <w:rPr>
          <w:lang w:val="en-GB"/>
        </w:rPr>
        <w:t>806</w:t>
      </w:r>
      <w:r w:rsidRPr="00491918">
        <w:rPr>
          <w:lang w:val="en-GB"/>
        </w:rPr>
        <w:t>m to £1,</w:t>
      </w:r>
      <w:r w:rsidR="00492E29" w:rsidRPr="00491918">
        <w:rPr>
          <w:lang w:val="en-GB"/>
        </w:rPr>
        <w:t>677m</w:t>
      </w:r>
      <w:r w:rsidRPr="00491918">
        <w:rPr>
          <w:lang w:val="en-GB"/>
        </w:rPr>
        <w:t>, including a £1,350m (2012: £300m) provision relating to PPI redress, a £650m (2012: £450m) provision relating to interest rate hedging products redress and an own credit gain of £86m (2012: charge of £2,945m)</w:t>
      </w:r>
    </w:p>
    <w:p w:rsidR="000D1659" w:rsidRPr="00491918" w:rsidRDefault="000D1659" w:rsidP="002A3C92">
      <w:pPr>
        <w:pStyle w:val="Level1Bullet-BarcRA03"/>
        <w:numPr>
          <w:ilvl w:val="0"/>
          <w:numId w:val="7"/>
        </w:numPr>
      </w:pPr>
      <w:r w:rsidRPr="00491918">
        <w:t xml:space="preserve">Adjusted return on average shareholders’ equity </w:t>
      </w:r>
      <w:r w:rsidRPr="00491918">
        <w:rPr>
          <w:lang w:val="en-GB"/>
        </w:rPr>
        <w:t>de</w:t>
      </w:r>
      <w:r w:rsidRPr="00491918">
        <w:t xml:space="preserve">creased to </w:t>
      </w:r>
      <w:r w:rsidR="00492E29" w:rsidRPr="00491918">
        <w:rPr>
          <w:lang w:val="en-GB"/>
        </w:rPr>
        <w:t>7.8</w:t>
      </w:r>
      <w:r w:rsidRPr="00491918">
        <w:t xml:space="preserve">% (2012: </w:t>
      </w:r>
      <w:r w:rsidRPr="00491918">
        <w:rPr>
          <w:lang w:val="en-GB"/>
        </w:rPr>
        <w:t>10.6</w:t>
      </w:r>
      <w:r w:rsidRPr="00491918">
        <w:t xml:space="preserve">%) </w:t>
      </w:r>
      <w:r w:rsidRPr="00491918">
        <w:rPr>
          <w:lang w:val="en-GB"/>
        </w:rPr>
        <w:t xml:space="preserve">while statutory return on average shareholders’ equity increased to </w:t>
      </w:r>
      <w:r w:rsidR="00492E29" w:rsidRPr="00491918">
        <w:rPr>
          <w:lang w:val="en-GB"/>
        </w:rPr>
        <w:t>2.6</w:t>
      </w:r>
      <w:r w:rsidRPr="00491918">
        <w:rPr>
          <w:lang w:val="en-GB"/>
        </w:rPr>
        <w:t>% (2012: 0.6%)</w:t>
      </w:r>
    </w:p>
    <w:p w:rsidR="000D1659" w:rsidRPr="00491918" w:rsidRDefault="000D1659" w:rsidP="002A3C92">
      <w:pPr>
        <w:pStyle w:val="Level1Bullet-BarcRA03"/>
        <w:numPr>
          <w:ilvl w:val="0"/>
          <w:numId w:val="7"/>
        </w:numPr>
      </w:pPr>
      <w:r w:rsidRPr="00491918">
        <w:t>Adjusted income decreased 3% to £15,0</w:t>
      </w:r>
      <w:r w:rsidRPr="00491918">
        <w:rPr>
          <w:lang w:val="en-GB"/>
        </w:rPr>
        <w:t>71</w:t>
      </w:r>
      <w:r w:rsidRPr="00491918">
        <w:t xml:space="preserve">m </w:t>
      </w:r>
      <w:r w:rsidRPr="00491918">
        <w:rPr>
          <w:lang w:val="en-GB"/>
        </w:rPr>
        <w:t>largely due to the margin achieved on higher than expected growth in deposits across the Group.</w:t>
      </w:r>
      <w:r w:rsidRPr="00491918">
        <w:t xml:space="preserve"> Non-recurr</w:t>
      </w:r>
      <w:r w:rsidRPr="00491918">
        <w:rPr>
          <w:lang w:val="en-GB"/>
        </w:rPr>
        <w:t xml:space="preserve">ing </w:t>
      </w:r>
      <w:r w:rsidRPr="00491918">
        <w:t>gains of £235m in relation to hedges on employee share awards in Head Office in Q112 was offset</w:t>
      </w:r>
      <w:r w:rsidRPr="00491918">
        <w:rPr>
          <w:lang w:val="en-GB"/>
        </w:rPr>
        <w:t xml:space="preserve"> by a</w:t>
      </w:r>
      <w:r w:rsidRPr="00491918">
        <w:t xml:space="preserve"> </w:t>
      </w:r>
      <w:r w:rsidRPr="00491918">
        <w:rPr>
          <w:lang w:val="en-GB"/>
        </w:rPr>
        <w:t>fair value adjustment of £259m in the Investment Bank primarily as a result of greater certainty regarding the recoverability of certain assets not yet received from the 2008 US Lehman acquisition</w:t>
      </w:r>
    </w:p>
    <w:p w:rsidR="000D1659" w:rsidRPr="00491918" w:rsidRDefault="000D1659" w:rsidP="002A3C92">
      <w:pPr>
        <w:pStyle w:val="Level1Bullet-BarcRA700"/>
        <w:numPr>
          <w:ilvl w:val="0"/>
          <w:numId w:val="8"/>
        </w:numPr>
        <w:tabs>
          <w:tab w:val="left" w:pos="720"/>
        </w:tabs>
        <w:rPr>
          <w:lang w:val="en-GB"/>
        </w:rPr>
      </w:pPr>
      <w:r w:rsidRPr="00491918">
        <w:rPr>
          <w:lang w:val="en-GB"/>
        </w:rPr>
        <w:t>Investment Bank income was stable at £6,473m including increases in Equities and Prime Services and Investment Banking, partially offset by a decrease in Fixed Income, Currency and Commodities (FICC) given strong performance in H112. Income decreased 13% from Q113 to Q213 to £3,010m due to the seasonally higher contributions from FICC in Q113</w:t>
      </w:r>
    </w:p>
    <w:p w:rsidR="000D1659" w:rsidRPr="00491918" w:rsidRDefault="000D1659" w:rsidP="002A3C92">
      <w:pPr>
        <w:pStyle w:val="Level1Bullet-BarcRA03"/>
        <w:numPr>
          <w:ilvl w:val="0"/>
          <w:numId w:val="7"/>
        </w:numPr>
        <w:rPr>
          <w:lang w:val="en-GB"/>
        </w:rPr>
      </w:pPr>
      <w:r w:rsidRPr="00491918">
        <w:rPr>
          <w:lang w:val="en-GB"/>
        </w:rPr>
        <w:t xml:space="preserve">Customer net interest income from </w:t>
      </w:r>
      <w:r w:rsidR="008156AC" w:rsidRPr="00491918">
        <w:rPr>
          <w:lang w:val="en-GB"/>
        </w:rPr>
        <w:t>RBB</w:t>
      </w:r>
      <w:r w:rsidRPr="00491918">
        <w:rPr>
          <w:lang w:val="en-GB"/>
        </w:rPr>
        <w:t>,</w:t>
      </w:r>
      <w:r w:rsidR="008156AC" w:rsidRPr="00491918">
        <w:rPr>
          <w:lang w:val="en-GB"/>
        </w:rPr>
        <w:t xml:space="preserve"> Barclaycard,</w:t>
      </w:r>
      <w:r w:rsidRPr="00491918">
        <w:rPr>
          <w:lang w:val="en-GB"/>
        </w:rPr>
        <w:t xml:space="preserve"> Corporate Banking</w:t>
      </w:r>
      <w:r w:rsidR="008156AC" w:rsidRPr="00491918">
        <w:rPr>
          <w:lang w:val="en-GB"/>
        </w:rPr>
        <w:t xml:space="preserve"> and </w:t>
      </w:r>
      <w:r w:rsidRPr="00491918">
        <w:rPr>
          <w:lang w:val="en-GB"/>
        </w:rPr>
        <w:t xml:space="preserve">Wealth and Investment Management increased 4% to £5,105m. Total net interest income in these businesses increased 2% to £5,628m, as the growth in assets offset the net interest margin decline from 186bps to 177bps </w:t>
      </w:r>
    </w:p>
    <w:p w:rsidR="000D1659" w:rsidRPr="00491918" w:rsidRDefault="000D1659" w:rsidP="002A3C92">
      <w:pPr>
        <w:pStyle w:val="Level1Bullet-BarcRA03"/>
        <w:numPr>
          <w:ilvl w:val="0"/>
          <w:numId w:val="7"/>
        </w:numPr>
        <w:tabs>
          <w:tab w:val="clear" w:pos="284"/>
        </w:tabs>
        <w:rPr>
          <w:lang w:val="en-GB"/>
        </w:rPr>
      </w:pPr>
      <w:r w:rsidRPr="00491918">
        <w:rPr>
          <w:lang w:val="en-GB"/>
        </w:rPr>
        <w:t xml:space="preserve">Credit impairment charges were down </w:t>
      </w:r>
      <w:r w:rsidR="00492E29" w:rsidRPr="00491918">
        <w:rPr>
          <w:lang w:val="en-GB"/>
        </w:rPr>
        <w:t>5</w:t>
      </w:r>
      <w:r w:rsidRPr="00491918">
        <w:rPr>
          <w:lang w:val="en-GB"/>
        </w:rPr>
        <w:t>% to £1,</w:t>
      </w:r>
      <w:r w:rsidR="00492E29" w:rsidRPr="00491918">
        <w:rPr>
          <w:lang w:val="en-GB"/>
        </w:rPr>
        <w:t>631m</w:t>
      </w:r>
      <w:r w:rsidRPr="00491918">
        <w:rPr>
          <w:lang w:val="en-GB"/>
        </w:rPr>
        <w:t>, reflecting improvements in Corporate Banking and Africa RBB, partially offset by increases in Barclaycard, UK RBB, Wealth</w:t>
      </w:r>
      <w:r w:rsidR="00816D19" w:rsidRPr="00491918">
        <w:rPr>
          <w:lang w:val="en-GB"/>
        </w:rPr>
        <w:t xml:space="preserve"> and Investment</w:t>
      </w:r>
      <w:r w:rsidRPr="00491918">
        <w:rPr>
          <w:lang w:val="en-GB"/>
        </w:rPr>
        <w:t xml:space="preserve"> Management and Europe RBB</w:t>
      </w:r>
    </w:p>
    <w:p w:rsidR="000D1659" w:rsidRPr="00491918" w:rsidRDefault="000D1659" w:rsidP="002A3C92">
      <w:pPr>
        <w:pStyle w:val="Level2Bullet-BarcRA0"/>
        <w:numPr>
          <w:ilvl w:val="2"/>
          <w:numId w:val="7"/>
        </w:numPr>
        <w:tabs>
          <w:tab w:val="clear" w:pos="1401"/>
          <w:tab w:val="num" w:pos="567"/>
        </w:tabs>
        <w:ind w:left="567" w:hanging="283"/>
        <w:rPr>
          <w:szCs w:val="18"/>
        </w:rPr>
      </w:pPr>
      <w:r w:rsidRPr="00491918">
        <w:rPr>
          <w:szCs w:val="18"/>
        </w:rPr>
        <w:t xml:space="preserve">Improved impairment performance in </w:t>
      </w:r>
      <w:r w:rsidRPr="00491918">
        <w:rPr>
          <w:szCs w:val="18"/>
          <w:lang w:val="en-GB"/>
        </w:rPr>
        <w:t>w</w:t>
      </w:r>
      <w:r w:rsidRPr="00491918">
        <w:rPr>
          <w:szCs w:val="18"/>
        </w:rPr>
        <w:t xml:space="preserve">holesale </w:t>
      </w:r>
      <w:r w:rsidRPr="00491918">
        <w:rPr>
          <w:szCs w:val="18"/>
          <w:lang w:val="en-GB"/>
        </w:rPr>
        <w:t xml:space="preserve">lending </w:t>
      </w:r>
      <w:r w:rsidRPr="00491918">
        <w:rPr>
          <w:szCs w:val="18"/>
        </w:rPr>
        <w:t>reflected lower charges in Corporate Banking in Europe despite the continued challenging nature of economic conditions in that region</w:t>
      </w:r>
    </w:p>
    <w:p w:rsidR="000D1659" w:rsidRPr="00491918" w:rsidRDefault="000D1659" w:rsidP="002A3C92">
      <w:pPr>
        <w:pStyle w:val="Level2Bullet-BarcRA0"/>
        <w:numPr>
          <w:ilvl w:val="2"/>
          <w:numId w:val="7"/>
        </w:numPr>
        <w:tabs>
          <w:tab w:val="clear" w:pos="1401"/>
          <w:tab w:val="num" w:pos="567"/>
        </w:tabs>
        <w:ind w:left="567" w:hanging="283"/>
        <w:rPr>
          <w:szCs w:val="18"/>
        </w:rPr>
      </w:pPr>
      <w:r w:rsidRPr="00491918">
        <w:rPr>
          <w:szCs w:val="18"/>
        </w:rPr>
        <w:t xml:space="preserve">Higher charges in retail businesses principally reflected an increase in South Africa Card portfolios in Barclaycard, which included the impact of recent acquisitions, and increased impairment in UK RBB principally due to </w:t>
      </w:r>
      <w:r w:rsidR="008156AC" w:rsidRPr="00491918">
        <w:rPr>
          <w:szCs w:val="18"/>
        </w:rPr>
        <w:t>the non-recurrence of provision</w:t>
      </w:r>
      <w:r w:rsidRPr="00491918">
        <w:rPr>
          <w:szCs w:val="18"/>
        </w:rPr>
        <w:t xml:space="preserve"> releases in 2012</w:t>
      </w:r>
    </w:p>
    <w:p w:rsidR="000D1659" w:rsidRPr="00491918" w:rsidRDefault="000D1659" w:rsidP="000D1659">
      <w:pPr>
        <w:pStyle w:val="Level1Bullet-BarcRA03"/>
        <w:tabs>
          <w:tab w:val="left" w:pos="720"/>
        </w:tabs>
      </w:pPr>
      <w:r w:rsidRPr="00491918">
        <w:t xml:space="preserve">The annualised loan loss rate decreased to </w:t>
      </w:r>
      <w:r w:rsidR="009A0513" w:rsidRPr="00491918">
        <w:rPr>
          <w:lang w:val="en-GB"/>
        </w:rPr>
        <w:t>6</w:t>
      </w:r>
      <w:r w:rsidR="006063F7" w:rsidRPr="00491918">
        <w:rPr>
          <w:lang w:val="en-GB"/>
        </w:rPr>
        <w:t>3</w:t>
      </w:r>
      <w:r w:rsidR="008156AC" w:rsidRPr="00491918">
        <w:t>bps (2012: 67</w:t>
      </w:r>
      <w:r w:rsidRPr="00491918">
        <w:t>bps)</w:t>
      </w:r>
      <w:r w:rsidRPr="00491918">
        <w:rPr>
          <w:lang w:val="en-GB"/>
        </w:rPr>
        <w:t xml:space="preserve"> compared</w:t>
      </w:r>
      <w:r w:rsidR="001B0DD0" w:rsidRPr="00491918">
        <w:rPr>
          <w:lang w:val="en-GB"/>
        </w:rPr>
        <w:t xml:space="preserve"> to a long term average of 91</w:t>
      </w:r>
      <w:r w:rsidRPr="00491918">
        <w:rPr>
          <w:lang w:val="en-GB"/>
        </w:rPr>
        <w:t>bps</w:t>
      </w:r>
    </w:p>
    <w:p w:rsidR="000D1659" w:rsidRPr="00491918" w:rsidRDefault="000D1659" w:rsidP="000D1659">
      <w:pPr>
        <w:pStyle w:val="Level1Bullet-BarcRA03"/>
        <w:tabs>
          <w:tab w:val="left" w:pos="720"/>
        </w:tabs>
      </w:pPr>
      <w:r w:rsidRPr="00491918">
        <w:rPr>
          <w:lang w:val="en-GB"/>
        </w:rPr>
        <w:t>Other net expense increased £145m to £68m due to a valuation adjustment of £148m recognised in Europe RBB in respect of contractual obligations to trading partners, based in locations affected by our restructuring plans</w:t>
      </w:r>
    </w:p>
    <w:p w:rsidR="000D1659" w:rsidRPr="00491918" w:rsidRDefault="000D1659" w:rsidP="000D1659">
      <w:pPr>
        <w:pStyle w:val="Level1Bullet-BarcRA03"/>
        <w:autoSpaceDE w:val="0"/>
        <w:autoSpaceDN w:val="0"/>
        <w:adjustRightInd w:val="0"/>
        <w:rPr>
          <w:color w:val="000000"/>
        </w:rPr>
      </w:pPr>
      <w:r w:rsidRPr="00491918">
        <w:rPr>
          <w:color w:val="000000"/>
        </w:rPr>
        <w:t>The statutory effective tax rate on statutory profit before tax was 3</w:t>
      </w:r>
      <w:r w:rsidR="009A0513" w:rsidRPr="00491918">
        <w:rPr>
          <w:color w:val="000000"/>
          <w:lang w:val="en-GB"/>
        </w:rPr>
        <w:t>5.4</w:t>
      </w:r>
      <w:r w:rsidRPr="00491918">
        <w:rPr>
          <w:color w:val="000000"/>
        </w:rPr>
        <w:t>% (</w:t>
      </w:r>
      <w:r w:rsidRPr="00491918">
        <w:rPr>
          <w:color w:val="000000"/>
          <w:lang w:val="en-GB"/>
        </w:rPr>
        <w:t>20</w:t>
      </w:r>
      <w:r w:rsidRPr="00491918">
        <w:rPr>
          <w:color w:val="000000"/>
        </w:rPr>
        <w:t>12: 35.9%) principally due to profits taxed in countries with high local tax rates and non-deductible expenses. The effective tax rate on adjusted profit before tax was 31.</w:t>
      </w:r>
      <w:r w:rsidR="0003723A" w:rsidRPr="00491918">
        <w:rPr>
          <w:color w:val="000000"/>
          <w:lang w:val="en-GB"/>
        </w:rPr>
        <w:t>3</w:t>
      </w:r>
      <w:r w:rsidRPr="00491918">
        <w:rPr>
          <w:color w:val="000000"/>
        </w:rPr>
        <w:t>% (</w:t>
      </w:r>
      <w:r w:rsidRPr="00491918">
        <w:rPr>
          <w:color w:val="000000"/>
          <w:lang w:val="en-GB"/>
        </w:rPr>
        <w:t>20</w:t>
      </w:r>
      <w:r w:rsidRPr="00491918">
        <w:rPr>
          <w:color w:val="000000"/>
        </w:rPr>
        <w:t>12: 27.4%)</w:t>
      </w:r>
    </w:p>
    <w:p w:rsidR="000D1659" w:rsidRPr="00491918" w:rsidRDefault="000D1659" w:rsidP="000D1659">
      <w:pPr>
        <w:pStyle w:val="Level1Bullet-BarcRA03"/>
      </w:pPr>
      <w:r w:rsidRPr="00491918">
        <w:t xml:space="preserve">Adjusted operating expenses were up </w:t>
      </w:r>
      <w:r w:rsidRPr="00491918">
        <w:rPr>
          <w:lang w:val="en-GB"/>
        </w:rPr>
        <w:t>3</w:t>
      </w:r>
      <w:r w:rsidRPr="00491918">
        <w:t>% to £9,</w:t>
      </w:r>
      <w:r w:rsidRPr="00491918">
        <w:rPr>
          <w:lang w:val="en-GB"/>
        </w:rPr>
        <w:t>781</w:t>
      </w:r>
      <w:r w:rsidRPr="00491918">
        <w:t>m, reflecting costs to achieve Transform of £6</w:t>
      </w:r>
      <w:r w:rsidRPr="00491918">
        <w:rPr>
          <w:lang w:val="en-GB"/>
        </w:rPr>
        <w:t>40</w:t>
      </w:r>
      <w:r w:rsidRPr="00491918">
        <w:t>m</w:t>
      </w:r>
    </w:p>
    <w:p w:rsidR="000D1659" w:rsidRPr="00491918" w:rsidRDefault="000D1659" w:rsidP="002A3C92">
      <w:pPr>
        <w:pStyle w:val="Level2Bullet-BarcRA0"/>
        <w:numPr>
          <w:ilvl w:val="2"/>
          <w:numId w:val="7"/>
        </w:numPr>
        <w:tabs>
          <w:tab w:val="clear" w:pos="1401"/>
          <w:tab w:val="num" w:pos="567"/>
        </w:tabs>
        <w:ind w:left="567" w:hanging="283"/>
        <w:rPr>
          <w:szCs w:val="18"/>
        </w:rPr>
      </w:pPr>
      <w:r w:rsidRPr="00491918">
        <w:rPr>
          <w:szCs w:val="18"/>
        </w:rPr>
        <w:t>Non-performance costs excluding costs to achieve Tran</w:t>
      </w:r>
      <w:r w:rsidR="00816D19" w:rsidRPr="00491918">
        <w:rPr>
          <w:szCs w:val="18"/>
        </w:rPr>
        <w:t xml:space="preserve">sform decreased by </w:t>
      </w:r>
      <w:r w:rsidRPr="00491918">
        <w:rPr>
          <w:szCs w:val="18"/>
        </w:rPr>
        <w:t>3% to £7,8</w:t>
      </w:r>
      <w:r w:rsidR="00844B98" w:rsidRPr="00491918">
        <w:rPr>
          <w:szCs w:val="18"/>
          <w:lang w:val="en-GB"/>
        </w:rPr>
        <w:t>65</w:t>
      </w:r>
      <w:r w:rsidRPr="00491918">
        <w:rPr>
          <w:szCs w:val="18"/>
        </w:rPr>
        <w:t>m with the non-recurrence of a £290m charge relating to the setting of inter-bank offered rates in H112</w:t>
      </w:r>
    </w:p>
    <w:p w:rsidR="000D1659" w:rsidRPr="00491918" w:rsidRDefault="000D1659" w:rsidP="002A3C92">
      <w:pPr>
        <w:pStyle w:val="Level2Bullet-BarcRA0"/>
        <w:numPr>
          <w:ilvl w:val="2"/>
          <w:numId w:val="7"/>
        </w:numPr>
        <w:tabs>
          <w:tab w:val="clear" w:pos="1401"/>
          <w:tab w:val="num" w:pos="567"/>
        </w:tabs>
        <w:ind w:left="567" w:hanging="283"/>
        <w:rPr>
          <w:szCs w:val="18"/>
        </w:rPr>
      </w:pPr>
      <w:r w:rsidRPr="00491918">
        <w:rPr>
          <w:szCs w:val="18"/>
        </w:rPr>
        <w:t xml:space="preserve">Performance costs excluding costs to achieve Transform reduced by </w:t>
      </w:r>
      <w:r w:rsidR="003C4FCA" w:rsidRPr="00491918">
        <w:rPr>
          <w:szCs w:val="18"/>
          <w:lang w:val="en-GB"/>
        </w:rPr>
        <w:t>10</w:t>
      </w:r>
      <w:r w:rsidRPr="00491918">
        <w:rPr>
          <w:szCs w:val="18"/>
        </w:rPr>
        <w:t>% to £1,</w:t>
      </w:r>
      <w:r w:rsidR="00844B98" w:rsidRPr="00491918">
        <w:rPr>
          <w:szCs w:val="18"/>
          <w:lang w:val="en-GB"/>
        </w:rPr>
        <w:t>276</w:t>
      </w:r>
      <w:r w:rsidRPr="00491918">
        <w:rPr>
          <w:szCs w:val="18"/>
        </w:rPr>
        <w:t xml:space="preserve">m </w:t>
      </w:r>
    </w:p>
    <w:p w:rsidR="000D1659" w:rsidRPr="00491918" w:rsidRDefault="000D1659" w:rsidP="000D1659">
      <w:pPr>
        <w:pStyle w:val="Level1Bullet-BarcRA03"/>
        <w:numPr>
          <w:ilvl w:val="0"/>
          <w:numId w:val="0"/>
        </w:numPr>
        <w:ind w:left="284"/>
        <w:rPr>
          <w:i/>
          <w:lang w:val="en-GB"/>
        </w:rPr>
      </w:pPr>
      <w:r w:rsidRPr="00491918">
        <w:rPr>
          <w:lang w:val="en-GB"/>
        </w:rPr>
        <w:t xml:space="preserve">The adjusted cost: income ratio increased to 65% (2012: 61%) largely due to costs to achieve Transform of £640m. The Investment Bank cost: net operating income ratio decreased </w:t>
      </w:r>
      <w:r w:rsidR="004B5AFB" w:rsidRPr="00491918">
        <w:rPr>
          <w:lang w:val="en-GB"/>
        </w:rPr>
        <w:t>3</w:t>
      </w:r>
      <w:r w:rsidRPr="00491918">
        <w:rPr>
          <w:lang w:val="en-GB"/>
        </w:rPr>
        <w:t>% to 6</w:t>
      </w:r>
      <w:r w:rsidR="004B5AFB" w:rsidRPr="00491918">
        <w:rPr>
          <w:lang w:val="en-GB"/>
        </w:rPr>
        <w:t>2</w:t>
      </w:r>
      <w:r w:rsidRPr="00491918">
        <w:rPr>
          <w:lang w:val="en-GB"/>
        </w:rPr>
        <w:t xml:space="preserve">% within which the compensation: income ratio was </w:t>
      </w:r>
      <w:r w:rsidR="00816D19" w:rsidRPr="00491918">
        <w:rPr>
          <w:lang w:val="en-GB"/>
        </w:rPr>
        <w:t>39</w:t>
      </w:r>
      <w:r w:rsidRPr="00491918">
        <w:rPr>
          <w:lang w:val="en-GB"/>
        </w:rPr>
        <w:t>% (2012: 40%). Excluding costs to achieve Transform, the Investment Bank c</w:t>
      </w:r>
      <w:r w:rsidR="00816D19" w:rsidRPr="00491918">
        <w:rPr>
          <w:lang w:val="en-GB"/>
        </w:rPr>
        <w:t>ompensation: income ratio was 38</w:t>
      </w:r>
      <w:r w:rsidRPr="00491918">
        <w:rPr>
          <w:lang w:val="en-GB"/>
        </w:rPr>
        <w:t>% (2012: 40%)</w:t>
      </w:r>
    </w:p>
    <w:p w:rsidR="000D1659" w:rsidRPr="00491918" w:rsidRDefault="000D1659">
      <w:pPr>
        <w:spacing w:line="14" w:lineRule="exact"/>
        <w:rPr>
          <w:i/>
          <w:lang w:val="en-GB"/>
        </w:rPr>
      </w:pPr>
      <w:r w:rsidRPr="00491918">
        <w:rPr>
          <w:i/>
          <w:lang w:val="en-GB"/>
        </w:rPr>
        <w:br w:type="page"/>
      </w:r>
    </w:p>
    <w:p w:rsidR="000464EA" w:rsidRPr="00491918" w:rsidRDefault="000464EA" w:rsidP="000464EA">
      <w:pPr>
        <w:pStyle w:val="HeadingLevel1-BarcRA3"/>
      </w:pPr>
      <w:r w:rsidRPr="00491918">
        <w:rPr>
          <w:lang w:val="en-GB"/>
        </w:rPr>
        <w:lastRenderedPageBreak/>
        <w:t xml:space="preserve">Group </w:t>
      </w:r>
      <w:r w:rsidRPr="00491918">
        <w:t>Finance Director’s Review</w:t>
      </w:r>
    </w:p>
    <w:p w:rsidR="000D1659" w:rsidRPr="00491918" w:rsidRDefault="000D1659" w:rsidP="008D6001">
      <w:pPr>
        <w:pStyle w:val="HeadingLevel1-BarcRA4"/>
        <w:outlineLvl w:val="0"/>
        <w:rPr>
          <w:lang w:val="en-GB"/>
        </w:rPr>
      </w:pPr>
      <w:r w:rsidRPr="00491918">
        <w:t>Balance Sheet</w:t>
      </w:r>
    </w:p>
    <w:p w:rsidR="000D1659" w:rsidRPr="00491918" w:rsidRDefault="000D1659" w:rsidP="002A3C92">
      <w:pPr>
        <w:pStyle w:val="Level1Bullet-BarcRA0"/>
        <w:numPr>
          <w:ilvl w:val="0"/>
          <w:numId w:val="12"/>
        </w:numPr>
        <w:rPr>
          <w:lang w:val="en-GB"/>
        </w:rPr>
      </w:pPr>
      <w:r w:rsidRPr="00491918">
        <w:rPr>
          <w:lang w:val="en-GB"/>
        </w:rPr>
        <w:t>Total assets increased to £1,533bn (2012: £1,488bn), principally reflecting increases in reverse repurchase agreements and other similar secured lending (broadly matched by an increase in repurchase agreements and other similar secured liabilities), growth in loans and advances and an increase in availab</w:t>
      </w:r>
      <w:r w:rsidR="008156AC" w:rsidRPr="00491918">
        <w:rPr>
          <w:lang w:val="en-GB"/>
        </w:rPr>
        <w:t xml:space="preserve">le for sale investments. </w:t>
      </w:r>
      <w:r w:rsidRPr="00491918">
        <w:rPr>
          <w:lang w:val="en-GB"/>
        </w:rPr>
        <w:t xml:space="preserve">These increases were partially offset by a decrease in derivative assets (broadly matched by a decrease in derivative liabilities) due to increases in major forward curves and exposure reduction initiatives with central clearing parties </w:t>
      </w:r>
    </w:p>
    <w:p w:rsidR="000D1659" w:rsidRPr="00491918" w:rsidRDefault="000D1659" w:rsidP="002A3C92">
      <w:pPr>
        <w:pStyle w:val="Level1Bullet-BarcRA0"/>
        <w:numPr>
          <w:ilvl w:val="0"/>
          <w:numId w:val="12"/>
        </w:numPr>
        <w:rPr>
          <w:lang w:val="en-GB"/>
        </w:rPr>
      </w:pPr>
      <w:r w:rsidRPr="00491918">
        <w:rPr>
          <w:lang w:val="en-GB"/>
        </w:rPr>
        <w:t>Total loans and advances increased to £517bn (2012: £464bn) primarily due to higher settlement balances in the Investment Bank, the acquisition of ING Direct and increased retail lending in UK RBB and Barclaycard</w:t>
      </w:r>
    </w:p>
    <w:p w:rsidR="000D1659" w:rsidRPr="00491918" w:rsidRDefault="000D1659" w:rsidP="002A3C92">
      <w:pPr>
        <w:pStyle w:val="Level1Bullet-BarcRA0"/>
        <w:numPr>
          <w:ilvl w:val="0"/>
          <w:numId w:val="12"/>
        </w:numPr>
        <w:rPr>
          <w:lang w:val="en-GB"/>
        </w:rPr>
      </w:pPr>
      <w:r w:rsidRPr="00491918">
        <w:rPr>
          <w:lang w:val="en-GB"/>
        </w:rPr>
        <w:t>Total shareholders’ equity including non-controlling interests, was £60.</w:t>
      </w:r>
      <w:r w:rsidR="00206F8B" w:rsidRPr="00491918">
        <w:rPr>
          <w:lang w:val="en-GB"/>
        </w:rPr>
        <w:t>1</w:t>
      </w:r>
      <w:r w:rsidRPr="00491918">
        <w:rPr>
          <w:lang w:val="en-GB"/>
        </w:rPr>
        <w:t>bn (2012: £60.0bn). Excluding non-controlling interests, shareholders’ equity increased £0.</w:t>
      </w:r>
      <w:r w:rsidR="008A3FCB" w:rsidRPr="00491918">
        <w:rPr>
          <w:lang w:val="en-GB"/>
        </w:rPr>
        <w:t>5</w:t>
      </w:r>
      <w:r w:rsidRPr="00491918">
        <w:rPr>
          <w:lang w:val="en-GB"/>
        </w:rPr>
        <w:t>bn to £51.</w:t>
      </w:r>
      <w:r w:rsidR="00206F8B" w:rsidRPr="00491918">
        <w:rPr>
          <w:lang w:val="en-GB"/>
        </w:rPr>
        <w:t>1</w:t>
      </w:r>
      <w:r w:rsidRPr="00491918">
        <w:rPr>
          <w:lang w:val="en-GB"/>
        </w:rPr>
        <w:t>bn. This reflects a £1.5bn increase in share capital and share premium including the exercise of warrants, and increase of £0.8bn in currency translation reserves, partially offset by  a decrease in cash flow hedge reserve of £1.1bn and dividends paid of £0.6bn</w:t>
      </w:r>
    </w:p>
    <w:p w:rsidR="000D1659" w:rsidRPr="00491918" w:rsidRDefault="000D1659" w:rsidP="002A3C92">
      <w:pPr>
        <w:pStyle w:val="Level1Bullet-BarcRA0"/>
        <w:numPr>
          <w:ilvl w:val="0"/>
          <w:numId w:val="12"/>
        </w:numPr>
        <w:rPr>
          <w:lang w:val="en-GB"/>
        </w:rPr>
      </w:pPr>
      <w:r w:rsidRPr="00491918">
        <w:rPr>
          <w:lang w:val="en-GB"/>
        </w:rPr>
        <w:t>Net asset value per share was 39</w:t>
      </w:r>
      <w:r w:rsidR="00206F8B" w:rsidRPr="00491918">
        <w:rPr>
          <w:lang w:val="en-GB"/>
        </w:rPr>
        <w:t>7</w:t>
      </w:r>
      <w:r w:rsidRPr="00491918">
        <w:rPr>
          <w:lang w:val="en-GB"/>
        </w:rPr>
        <w:t>p (2012: 414p) and the net tangible asset value per share 33</w:t>
      </w:r>
      <w:r w:rsidR="00206F8B" w:rsidRPr="00491918">
        <w:rPr>
          <w:lang w:val="en-GB"/>
        </w:rPr>
        <w:t>6</w:t>
      </w:r>
      <w:r w:rsidRPr="00491918">
        <w:rPr>
          <w:lang w:val="en-GB"/>
        </w:rPr>
        <w:t>p (2012: 349p). The decrease was mainly attributable to an increase in shares issued, including the exercise of warrants</w:t>
      </w:r>
    </w:p>
    <w:p w:rsidR="000D1659" w:rsidRPr="00491918" w:rsidRDefault="000D1659" w:rsidP="002A3C92">
      <w:pPr>
        <w:pStyle w:val="Level1Bullet-BarcRA0"/>
        <w:numPr>
          <w:ilvl w:val="0"/>
          <w:numId w:val="12"/>
        </w:numPr>
        <w:rPr>
          <w:lang w:val="en-GB"/>
        </w:rPr>
      </w:pPr>
      <w:r w:rsidRPr="00491918">
        <w:rPr>
          <w:lang w:val="en-GB"/>
        </w:rPr>
        <w:t xml:space="preserve">Adjusted gross leverage was 20x (2012: 19x).  Excluding the liquidity pool, adjusted gross leverage was </w:t>
      </w:r>
      <w:r w:rsidR="00DB55AB" w:rsidRPr="00491918">
        <w:rPr>
          <w:lang w:val="en-GB"/>
        </w:rPr>
        <w:t>17x (2012: 16x)</w:t>
      </w:r>
      <w:r w:rsidRPr="00491918">
        <w:rPr>
          <w:lang w:val="en-GB"/>
        </w:rPr>
        <w:t xml:space="preserve"> </w:t>
      </w:r>
    </w:p>
    <w:p w:rsidR="000D1659" w:rsidRPr="00491918" w:rsidRDefault="000D1659" w:rsidP="002A3C92">
      <w:pPr>
        <w:pStyle w:val="Level1Bullet-BarcRA0"/>
        <w:numPr>
          <w:ilvl w:val="0"/>
          <w:numId w:val="12"/>
        </w:numPr>
      </w:pPr>
      <w:r w:rsidRPr="00491918">
        <w:t xml:space="preserve">During </w:t>
      </w:r>
      <w:r w:rsidRPr="00491918">
        <w:rPr>
          <w:lang w:val="en-GB"/>
        </w:rPr>
        <w:t>H1</w:t>
      </w:r>
      <w:r w:rsidRPr="00491918">
        <w:t xml:space="preserve">13 the Group’s net on-balance sheet exposures to Spain, Italy, Portugal, Ireland, Cyprus and Greece </w:t>
      </w:r>
      <w:r w:rsidRPr="00491918">
        <w:rPr>
          <w:lang w:val="en-GB"/>
        </w:rPr>
        <w:t>decreased to</w:t>
      </w:r>
      <w:r w:rsidRPr="00491918">
        <w:t xml:space="preserve"> £</w:t>
      </w:r>
      <w:r w:rsidRPr="00491918">
        <w:rPr>
          <w:lang w:val="en-GB"/>
        </w:rPr>
        <w:t>57.2bn</w:t>
      </w:r>
      <w:r w:rsidRPr="00491918">
        <w:t xml:space="preserve"> (2012: £59.</w:t>
      </w:r>
      <w:r w:rsidRPr="00491918">
        <w:rPr>
          <w:lang w:val="en-GB"/>
        </w:rPr>
        <w:t>3</w:t>
      </w:r>
      <w:r w:rsidRPr="00491918">
        <w:t>bn)</w:t>
      </w:r>
    </w:p>
    <w:p w:rsidR="000D1659" w:rsidRPr="00491918" w:rsidRDefault="000D1659">
      <w:pPr>
        <w:rPr>
          <w:lang w:val="en-GB"/>
        </w:rPr>
      </w:pPr>
    </w:p>
    <w:p w:rsidR="000D1659" w:rsidRPr="00491918" w:rsidRDefault="000D1659" w:rsidP="008D6001">
      <w:pPr>
        <w:pStyle w:val="HeadingLevel1-BarcRA5"/>
        <w:outlineLvl w:val="0"/>
      </w:pPr>
      <w:r w:rsidRPr="00491918">
        <w:t>Capital Management</w:t>
      </w:r>
    </w:p>
    <w:p w:rsidR="000D1659" w:rsidRPr="00491918" w:rsidRDefault="000D1659" w:rsidP="002A3C92">
      <w:pPr>
        <w:pStyle w:val="Level1Bullet-BarcRA2"/>
        <w:numPr>
          <w:ilvl w:val="0"/>
          <w:numId w:val="14"/>
        </w:numPr>
        <w:rPr>
          <w:lang w:val="en-GB"/>
        </w:rPr>
      </w:pPr>
      <w:r w:rsidRPr="00491918">
        <w:rPr>
          <w:lang w:val="en-GB"/>
        </w:rPr>
        <w:t>The Core Tier 1 ratio strengthened to 11.1% (2012: 10.8%)</w:t>
      </w:r>
    </w:p>
    <w:p w:rsidR="000D1659" w:rsidRPr="00491918" w:rsidRDefault="000D1659" w:rsidP="002A3C92">
      <w:pPr>
        <w:pStyle w:val="Level1Bullet-BarcRA2"/>
        <w:numPr>
          <w:ilvl w:val="0"/>
          <w:numId w:val="14"/>
        </w:numPr>
        <w:rPr>
          <w:lang w:val="en-GB"/>
        </w:rPr>
      </w:pPr>
      <w:r w:rsidRPr="00491918">
        <w:rPr>
          <w:lang w:val="en-GB"/>
        </w:rPr>
        <w:t>Core Tier 1 capital increased by £1.</w:t>
      </w:r>
      <w:r w:rsidR="00B96E19" w:rsidRPr="00491918">
        <w:rPr>
          <w:lang w:val="en-GB"/>
        </w:rPr>
        <w:t>2</w:t>
      </w:r>
      <w:r w:rsidRPr="00491918">
        <w:rPr>
          <w:lang w:val="en-GB"/>
        </w:rPr>
        <w:t>bn to £4</w:t>
      </w:r>
      <w:r w:rsidR="00B96E19" w:rsidRPr="00491918">
        <w:rPr>
          <w:lang w:val="en-GB"/>
        </w:rPr>
        <w:t>2.9</w:t>
      </w:r>
      <w:r w:rsidRPr="00491918">
        <w:rPr>
          <w:lang w:val="en-GB"/>
        </w:rPr>
        <w:t xml:space="preserve">bn </w:t>
      </w:r>
      <w:r w:rsidR="00B96E19" w:rsidRPr="00491918">
        <w:rPr>
          <w:lang w:val="en-GB"/>
        </w:rPr>
        <w:t xml:space="preserve">principally </w:t>
      </w:r>
      <w:r w:rsidRPr="00491918">
        <w:rPr>
          <w:lang w:val="en-GB"/>
        </w:rPr>
        <w:t>due to the exercise of outstanding warrants of £0.8bn</w:t>
      </w:r>
      <w:r w:rsidR="00B96E19" w:rsidRPr="00491918">
        <w:rPr>
          <w:lang w:val="en-GB"/>
        </w:rPr>
        <w:t xml:space="preserve"> and </w:t>
      </w:r>
      <w:r w:rsidRPr="00491918">
        <w:rPr>
          <w:lang w:val="en-GB"/>
        </w:rPr>
        <w:t>foreign currency movements of £0.5bn</w:t>
      </w:r>
      <w:r w:rsidR="008A3FCB" w:rsidRPr="00491918">
        <w:rPr>
          <w:lang w:val="en-GB"/>
        </w:rPr>
        <w:t xml:space="preserve">. </w:t>
      </w:r>
      <w:r w:rsidR="00B96E19" w:rsidRPr="00491918">
        <w:rPr>
          <w:lang w:val="en-GB"/>
        </w:rPr>
        <w:t>Capital generated from earnings absorbed the impact of dividends paid</w:t>
      </w:r>
    </w:p>
    <w:p w:rsidR="000D1659" w:rsidRPr="00491918" w:rsidRDefault="000D1659" w:rsidP="002A3C92">
      <w:pPr>
        <w:pStyle w:val="Level1Bullet-BarcRA2"/>
        <w:numPr>
          <w:ilvl w:val="0"/>
          <w:numId w:val="14"/>
        </w:numPr>
        <w:rPr>
          <w:lang w:val="en-GB"/>
        </w:rPr>
      </w:pPr>
      <w:r w:rsidRPr="00491918">
        <w:rPr>
          <w:lang w:val="en-GB"/>
        </w:rPr>
        <w:t xml:space="preserve">RWAs </w:t>
      </w:r>
      <w:r w:rsidR="000A77B6" w:rsidRPr="00491918">
        <w:rPr>
          <w:lang w:val="en-GB"/>
        </w:rPr>
        <w:t>were stable</w:t>
      </w:r>
      <w:r w:rsidRPr="00491918">
        <w:t xml:space="preserve"> </w:t>
      </w:r>
      <w:r w:rsidRPr="00491918">
        <w:rPr>
          <w:lang w:val="en-GB"/>
        </w:rPr>
        <w:t xml:space="preserve">at £387bn, </w:t>
      </w:r>
      <w:r w:rsidRPr="00491918">
        <w:t>primarily driven by</w:t>
      </w:r>
      <w:r w:rsidRPr="00491918">
        <w:rPr>
          <w:lang w:val="en-GB"/>
        </w:rPr>
        <w:t xml:space="preserve"> business activity risk reductions of £11.0bn, including Exit Quadrant RWAs, offset by foreign currency movements of £7.1bn and methodology changes of £4.2bn. On a CRD IV basis, </w:t>
      </w:r>
      <w:r w:rsidR="00816D19" w:rsidRPr="00491918">
        <w:rPr>
          <w:lang w:val="en-GB"/>
        </w:rPr>
        <w:t>Exit Quadrant RWAs reduced by £25.</w:t>
      </w:r>
      <w:r w:rsidR="004A2896" w:rsidRPr="00491918">
        <w:rPr>
          <w:lang w:val="en-GB"/>
        </w:rPr>
        <w:t>4</w:t>
      </w:r>
      <w:r w:rsidRPr="00491918">
        <w:rPr>
          <w:lang w:val="en-GB"/>
        </w:rPr>
        <w:t>bn</w:t>
      </w:r>
    </w:p>
    <w:p w:rsidR="000D1659" w:rsidRPr="00491918" w:rsidRDefault="000D1659" w:rsidP="002A3C92">
      <w:pPr>
        <w:pStyle w:val="Level1Bullet-BarcRA2"/>
        <w:numPr>
          <w:ilvl w:val="0"/>
          <w:numId w:val="14"/>
        </w:numPr>
        <w:rPr>
          <w:lang w:val="en-GB"/>
        </w:rPr>
      </w:pPr>
      <w:r w:rsidRPr="00491918">
        <w:rPr>
          <w:lang w:val="en-GB"/>
        </w:rPr>
        <w:t>Barclays estimated transitional CRD IV Common Equity Tier 1 (CET1) ratio assuming the final rules were applied as at 30 J</w:t>
      </w:r>
      <w:r w:rsidR="00816D19" w:rsidRPr="00491918">
        <w:rPr>
          <w:lang w:val="en-GB"/>
        </w:rPr>
        <w:t>une 2013 is approximately 10.</w:t>
      </w:r>
      <w:r w:rsidR="00B96E19" w:rsidRPr="00491918">
        <w:rPr>
          <w:lang w:val="en-GB"/>
        </w:rPr>
        <w:t>0</w:t>
      </w:r>
      <w:r w:rsidRPr="00491918">
        <w:rPr>
          <w:lang w:val="en-GB"/>
        </w:rPr>
        <w:t>%. The estimated fully load</w:t>
      </w:r>
      <w:r w:rsidR="00816D19" w:rsidRPr="00491918">
        <w:rPr>
          <w:lang w:val="en-GB"/>
        </w:rPr>
        <w:t>ed CET1 ratio is approximately 8.1</w:t>
      </w:r>
      <w:r w:rsidRPr="00491918">
        <w:rPr>
          <w:lang w:val="en-GB"/>
        </w:rPr>
        <w:t xml:space="preserve">% </w:t>
      </w:r>
    </w:p>
    <w:p w:rsidR="000D1659" w:rsidRPr="00491918" w:rsidRDefault="000D1659" w:rsidP="002A3C92">
      <w:pPr>
        <w:pStyle w:val="Level1Bullet-BarcRA2"/>
        <w:numPr>
          <w:ilvl w:val="0"/>
          <w:numId w:val="14"/>
        </w:numPr>
        <w:rPr>
          <w:lang w:val="en-GB"/>
        </w:rPr>
      </w:pPr>
      <w:r w:rsidRPr="00491918">
        <w:rPr>
          <w:lang w:val="en-GB"/>
        </w:rPr>
        <w:t xml:space="preserve">In April 2013, Barclays issued a further $1.0bn of Tier 2 contingent capital notes and repurchased existing Tier 2 instruments for a similar amount, as a step in transitioning towards its future CRD IV capital structure. Barclays also </w:t>
      </w:r>
      <w:r w:rsidR="00B52C1E" w:rsidRPr="00491918">
        <w:rPr>
          <w:lang w:val="en-GB"/>
        </w:rPr>
        <w:t xml:space="preserve">obtained </w:t>
      </w:r>
      <w:r w:rsidRPr="00491918">
        <w:rPr>
          <w:lang w:val="en-GB"/>
        </w:rPr>
        <w:t>authority, from shareholders, to issue Equity Conversion Notes (ECNs) and/or shares on conversion</w:t>
      </w:r>
      <w:r w:rsidR="00367C90" w:rsidRPr="00491918">
        <w:rPr>
          <w:lang w:val="en-GB"/>
        </w:rPr>
        <w:t xml:space="preserve"> or exchange of ECNs</w:t>
      </w:r>
      <w:r w:rsidRPr="00491918">
        <w:rPr>
          <w:lang w:val="en-GB"/>
        </w:rPr>
        <w:t xml:space="preserve"> </w:t>
      </w:r>
    </w:p>
    <w:p w:rsidR="000D1659" w:rsidRPr="00491918" w:rsidRDefault="000D1659">
      <w:pPr>
        <w:spacing w:line="14" w:lineRule="exact"/>
        <w:rPr>
          <w:lang w:val="en-GB"/>
        </w:rPr>
      </w:pPr>
      <w:r w:rsidRPr="00491918">
        <w:rPr>
          <w:lang w:val="en-GB"/>
        </w:rPr>
        <w:br w:type="page"/>
      </w:r>
    </w:p>
    <w:p w:rsidR="000464EA" w:rsidRPr="00491918" w:rsidRDefault="000464EA" w:rsidP="000464EA">
      <w:pPr>
        <w:pStyle w:val="HeadingLevel1-BarcRA3"/>
      </w:pPr>
      <w:r w:rsidRPr="00491918">
        <w:rPr>
          <w:lang w:val="en-GB"/>
        </w:rPr>
        <w:lastRenderedPageBreak/>
        <w:t xml:space="preserve">Group </w:t>
      </w:r>
      <w:r w:rsidRPr="00491918">
        <w:t>Finance Director’s Review</w:t>
      </w:r>
    </w:p>
    <w:p w:rsidR="000D1659" w:rsidRPr="00491918" w:rsidRDefault="000D1659" w:rsidP="008D6001">
      <w:pPr>
        <w:pStyle w:val="HeadingLevel1-BarcRA6"/>
        <w:outlineLvl w:val="0"/>
      </w:pPr>
      <w:r w:rsidRPr="00491918">
        <w:t>Funding and Liquidity</w:t>
      </w:r>
    </w:p>
    <w:p w:rsidR="000D1659" w:rsidRPr="00491918" w:rsidRDefault="000D1659" w:rsidP="002A3C92">
      <w:pPr>
        <w:pStyle w:val="Level1Bullet-BarcRA300"/>
        <w:numPr>
          <w:ilvl w:val="0"/>
          <w:numId w:val="16"/>
        </w:numPr>
      </w:pPr>
      <w:r w:rsidRPr="00491918">
        <w:t>The Group maintained a strong liquidity position throughout H113</w:t>
      </w:r>
      <w:r w:rsidRPr="00491918">
        <w:rPr>
          <w:lang w:val="en-GB"/>
        </w:rPr>
        <w:t xml:space="preserve"> as it managed down its internal surplus whilst remaining within internal and regulatory requirements</w:t>
      </w:r>
      <w:r w:rsidRPr="00491918">
        <w:t xml:space="preserve">. As at 30 June 2013, the Group estimates </w:t>
      </w:r>
      <w:r w:rsidRPr="00491918">
        <w:rPr>
          <w:lang w:val="en-GB"/>
        </w:rPr>
        <w:t xml:space="preserve">the </w:t>
      </w:r>
      <w:r w:rsidRPr="00491918">
        <w:t>Liquidity Coverage Ratio (LCR) at 1</w:t>
      </w:r>
      <w:r w:rsidRPr="00491918">
        <w:rPr>
          <w:lang w:val="en-US"/>
        </w:rPr>
        <w:t>11</w:t>
      </w:r>
      <w:r w:rsidRPr="00491918">
        <w:t>% (2012:</w:t>
      </w:r>
      <w:r w:rsidRPr="00491918">
        <w:rPr>
          <w:lang w:val="en-GB"/>
        </w:rPr>
        <w:t xml:space="preserve"> </w:t>
      </w:r>
      <w:r w:rsidRPr="00491918">
        <w:t>126%) and the Net Stable Funding Ratio (NSFR) at 10</w:t>
      </w:r>
      <w:r w:rsidRPr="00491918">
        <w:rPr>
          <w:lang w:val="en-US"/>
        </w:rPr>
        <w:t>5</w:t>
      </w:r>
      <w:r w:rsidRPr="00491918">
        <w:t>% (2012: 104%) based upon the latest standards published by the Basel Committee</w:t>
      </w:r>
    </w:p>
    <w:p w:rsidR="000D1659" w:rsidRPr="00491918" w:rsidRDefault="000D1659" w:rsidP="002A3C92">
      <w:pPr>
        <w:pStyle w:val="Level1Bullet-BarcRA300"/>
        <w:numPr>
          <w:ilvl w:val="0"/>
          <w:numId w:val="16"/>
        </w:numPr>
      </w:pPr>
      <w:r w:rsidRPr="00491918">
        <w:t xml:space="preserve">Consistent with </w:t>
      </w:r>
      <w:r w:rsidRPr="00491918">
        <w:rPr>
          <w:lang w:val="en-GB"/>
        </w:rPr>
        <w:t>optimising the</w:t>
      </w:r>
      <w:r w:rsidRPr="00491918">
        <w:t xml:space="preserve"> surplus to internal and regulatory stress requirements, the Group liquidity pool as at 30 June 2013 reduced to £138bn (2012: £150bn</w:t>
      </w:r>
      <w:r w:rsidRPr="00491918">
        <w:rPr>
          <w:lang w:val="en-GB"/>
        </w:rPr>
        <w:t>)</w:t>
      </w:r>
      <w:r w:rsidRPr="00491918">
        <w:t xml:space="preserve">. During </w:t>
      </w:r>
      <w:r w:rsidRPr="00491918">
        <w:rPr>
          <w:lang w:val="en-GB"/>
        </w:rPr>
        <w:t>H113</w:t>
      </w:r>
      <w:r w:rsidRPr="00491918">
        <w:t>, the month end liquidity pool ranged from £138bn to £157bn (2012: £150bn to £173bn)</w:t>
      </w:r>
    </w:p>
    <w:p w:rsidR="000D1659" w:rsidRPr="00491918" w:rsidRDefault="000D1659" w:rsidP="002A3C92">
      <w:pPr>
        <w:pStyle w:val="Level1Bullet-BarcRA300"/>
        <w:numPr>
          <w:ilvl w:val="0"/>
          <w:numId w:val="16"/>
        </w:numPr>
      </w:pPr>
      <w:r w:rsidRPr="00491918">
        <w:t>As a result of strong growth of customer deposits in UK RBB, Corporate Banking</w:t>
      </w:r>
      <w:r w:rsidRPr="00491918">
        <w:rPr>
          <w:lang w:val="en-GB"/>
        </w:rPr>
        <w:t>,</w:t>
      </w:r>
      <w:r w:rsidRPr="00491918">
        <w:t xml:space="preserve"> and Wealth and Investment Management, the loan to deposit ratio for the Group </w:t>
      </w:r>
      <w:r w:rsidRPr="00491918">
        <w:rPr>
          <w:lang w:val="en-GB"/>
        </w:rPr>
        <w:t>improved</w:t>
      </w:r>
      <w:r w:rsidRPr="00491918">
        <w:t xml:space="preserve"> to 102% as at 30 June 2013 (2012: 110%) and </w:t>
      </w:r>
      <w:r w:rsidRPr="00491918">
        <w:rPr>
          <w:lang w:val="en-US"/>
        </w:rPr>
        <w:t xml:space="preserve">the ratio </w:t>
      </w:r>
      <w:r w:rsidRPr="00491918">
        <w:t>for RBB,</w:t>
      </w:r>
      <w:r w:rsidR="008156AC" w:rsidRPr="00491918">
        <w:rPr>
          <w:lang w:val="en-GB"/>
        </w:rPr>
        <w:t xml:space="preserve"> Barclaycard,</w:t>
      </w:r>
      <w:r w:rsidRPr="00491918">
        <w:t xml:space="preserve"> Corporate Banking and Wealth and Investment Management businesses, </w:t>
      </w:r>
      <w:r w:rsidRPr="00491918">
        <w:rPr>
          <w:lang w:val="en-US"/>
        </w:rPr>
        <w:t xml:space="preserve">improved to </w:t>
      </w:r>
      <w:r w:rsidRPr="00491918">
        <w:t>94% (2012: 102%)</w:t>
      </w:r>
    </w:p>
    <w:p w:rsidR="000D1659" w:rsidRPr="00491918" w:rsidRDefault="000D1659" w:rsidP="002A3C92">
      <w:pPr>
        <w:pStyle w:val="Level1Bullet-BarcRA0300"/>
        <w:numPr>
          <w:ilvl w:val="0"/>
          <w:numId w:val="17"/>
        </w:numPr>
        <w:spacing w:before="110" w:after="110"/>
      </w:pPr>
      <w:r w:rsidRPr="00491918">
        <w:t>Strong growth in customer deposits and continued reduction in legacy asset</w:t>
      </w:r>
      <w:r w:rsidR="00B95045" w:rsidRPr="00491918">
        <w:rPr>
          <w:lang w:val="en-GB"/>
        </w:rPr>
        <w:t>s</w:t>
      </w:r>
      <w:r w:rsidRPr="00491918">
        <w:t xml:space="preserve"> reduced wholesale funding needs. In addition, a significant portion of the Group’s 2013 term funding needs were pre-funded in 2012. As a result, term issuance in H113 </w:t>
      </w:r>
      <w:r w:rsidRPr="00491918">
        <w:rPr>
          <w:lang w:val="en-GB"/>
        </w:rPr>
        <w:t>was fully offset by buybacks</w:t>
      </w:r>
    </w:p>
    <w:p w:rsidR="000D1659" w:rsidRPr="00491918" w:rsidRDefault="000D1659" w:rsidP="000D1659">
      <w:pPr>
        <w:pStyle w:val="Level1Bullet-BarcRA030"/>
      </w:pPr>
      <w:r w:rsidRPr="00491918">
        <w:t>Total wholesale funding outstanding (excluding repurchase agreements) also reduced as at 30 June 2013 to £21</w:t>
      </w:r>
      <w:r w:rsidR="00A64EB1" w:rsidRPr="00491918">
        <w:rPr>
          <w:lang w:val="en-GB"/>
        </w:rPr>
        <w:t>7</w:t>
      </w:r>
      <w:r w:rsidRPr="00491918">
        <w:t>bn (2012: £240bn)</w:t>
      </w:r>
      <w:r w:rsidRPr="00491918">
        <w:rPr>
          <w:lang w:val="en-GB"/>
        </w:rPr>
        <w:t xml:space="preserve">. Term funding maturities for 2013 were £18bn of which £7bn remains outstanding </w:t>
      </w:r>
    </w:p>
    <w:p w:rsidR="000D1659" w:rsidRPr="00491918" w:rsidRDefault="000D1659">
      <w:pPr>
        <w:spacing w:line="14" w:lineRule="exact"/>
      </w:pPr>
      <w:r w:rsidRPr="00491918">
        <w:br w:type="page"/>
      </w:r>
    </w:p>
    <w:p w:rsidR="000464EA" w:rsidRPr="00491918" w:rsidRDefault="000464EA" w:rsidP="000464EA">
      <w:pPr>
        <w:pStyle w:val="HeadingLevel1-BarcRA3"/>
      </w:pPr>
      <w:r w:rsidRPr="00491918">
        <w:rPr>
          <w:lang w:val="en-GB"/>
        </w:rPr>
        <w:lastRenderedPageBreak/>
        <w:t xml:space="preserve">Group </w:t>
      </w:r>
      <w:r w:rsidRPr="00491918">
        <w:t>Finance Director’s Review</w:t>
      </w:r>
    </w:p>
    <w:p w:rsidR="000D1659" w:rsidRPr="00491918" w:rsidRDefault="000D1659" w:rsidP="008D6001">
      <w:pPr>
        <w:pStyle w:val="HeadingLevel2-BarcRA"/>
        <w:spacing w:before="0" w:after="120"/>
        <w:outlineLvl w:val="0"/>
        <w:rPr>
          <w:sz w:val="24"/>
          <w:szCs w:val="24"/>
        </w:rPr>
      </w:pPr>
      <w:r w:rsidRPr="00491918">
        <w:rPr>
          <w:sz w:val="24"/>
          <w:szCs w:val="24"/>
          <w:lang w:val="en-GB"/>
        </w:rPr>
        <w:t>Other Matters</w:t>
      </w:r>
    </w:p>
    <w:p w:rsidR="005751AA" w:rsidRPr="00491918" w:rsidRDefault="005751AA" w:rsidP="00CC41A9">
      <w:pPr>
        <w:pStyle w:val="Level1Bullet-BarcRA1110"/>
        <w:numPr>
          <w:ilvl w:val="0"/>
          <w:numId w:val="253"/>
        </w:numPr>
        <w:rPr>
          <w:lang w:val="en-GB"/>
        </w:rPr>
      </w:pPr>
      <w:r w:rsidRPr="00491918">
        <w:rPr>
          <w:lang w:val="en-GB"/>
        </w:rPr>
        <w:t xml:space="preserve">As part of its review of the capital adequacy of major UK banks, the PRA introduced a minimum 3% PRA Leverage Ratio¹ target. </w:t>
      </w:r>
      <w:r w:rsidR="00287B99" w:rsidRPr="00491918">
        <w:rPr>
          <w:lang w:val="en-GB"/>
        </w:rPr>
        <w:t>Barclays</w:t>
      </w:r>
      <w:r w:rsidRPr="00491918">
        <w:rPr>
          <w:lang w:val="en-GB"/>
        </w:rPr>
        <w:t xml:space="preserve"> discussed a number of options with the PRA to meet the 3% PRA Leverage Ratio target, following which </w:t>
      </w:r>
      <w:r w:rsidR="00287B99" w:rsidRPr="00491918">
        <w:rPr>
          <w:lang w:val="en-GB"/>
        </w:rPr>
        <w:t>Barclays</w:t>
      </w:r>
      <w:r w:rsidRPr="00491918">
        <w:rPr>
          <w:lang w:val="en-GB"/>
        </w:rPr>
        <w:t xml:space="preserve"> was asked to submit a plan to achieve a 3% PRA Leverage Ratio </w:t>
      </w:r>
      <w:r w:rsidR="00527749" w:rsidRPr="00491918">
        <w:rPr>
          <w:lang w:val="en-GB"/>
        </w:rPr>
        <w:t>the target by 30 June 2014</w:t>
      </w:r>
    </w:p>
    <w:p w:rsidR="005751AA" w:rsidRPr="00491918" w:rsidRDefault="005751AA" w:rsidP="005751AA">
      <w:pPr>
        <w:pStyle w:val="Level1Bullet-BarcRA1110"/>
        <w:tabs>
          <w:tab w:val="clear" w:pos="284"/>
        </w:tabs>
        <w:ind w:firstLine="0"/>
        <w:rPr>
          <w:lang w:val="en-GB"/>
        </w:rPr>
      </w:pPr>
      <w:r w:rsidRPr="00491918">
        <w:rPr>
          <w:lang w:val="en-GB"/>
        </w:rPr>
        <w:t xml:space="preserve">Following careful consideration of a number of options, </w:t>
      </w:r>
      <w:r w:rsidR="00287B99" w:rsidRPr="00491918">
        <w:rPr>
          <w:lang w:val="en-GB"/>
        </w:rPr>
        <w:t>Barclays</w:t>
      </w:r>
      <w:r w:rsidRPr="00491918">
        <w:rPr>
          <w:lang w:val="en-GB"/>
        </w:rPr>
        <w:t xml:space="preserve"> plans to meet this target through a combination of a rights issue, CRD IV leverage exposure reduction, the business as usual issuance of contingent capital and retained earnings and other capital accretion</w:t>
      </w:r>
    </w:p>
    <w:p w:rsidR="000D1659" w:rsidRPr="00491918" w:rsidRDefault="000D1659" w:rsidP="002A3C92">
      <w:pPr>
        <w:pStyle w:val="Level1Bullet-BarcRA1110"/>
        <w:numPr>
          <w:ilvl w:val="0"/>
          <w:numId w:val="18"/>
        </w:numPr>
        <w:rPr>
          <w:lang w:val="en-GB"/>
        </w:rPr>
      </w:pPr>
      <w:r w:rsidRPr="00491918">
        <w:rPr>
          <w:lang w:val="en-GB"/>
        </w:rPr>
        <w:t xml:space="preserve">The provision in respect of Payment Protection Insurance (PPI) has been increased by £1,350m, bringing the cumulative expense recognised to £3,950m. The monthly volume of claims received has declined by 46% since the peak in May 2012, although the rate of decline has been less than previously expected. Consequently the future level of expected complaints has been increased to reflect the slower rate of decline. With the overall increase in volume of expected complaints, expectations on the number of complaints which are likely to be referred to the Financial Ombudsman Service (FOS) have been revised upwards. As a result an additional provision of £1.35bn was recognised </w:t>
      </w:r>
      <w:r w:rsidR="0084238A" w:rsidRPr="00491918">
        <w:rPr>
          <w:lang w:val="en-GB"/>
        </w:rPr>
        <w:t>as at</w:t>
      </w:r>
      <w:r w:rsidRPr="00491918">
        <w:rPr>
          <w:lang w:val="en-GB"/>
        </w:rPr>
        <w:t xml:space="preserve"> June 2013 to reflect these updated assumptions including a provision for operational costs through to December 2014  </w:t>
      </w:r>
    </w:p>
    <w:p w:rsidR="000D1659" w:rsidRPr="00491918" w:rsidRDefault="000D1659" w:rsidP="000D1659">
      <w:pPr>
        <w:pStyle w:val="Level1Bullet-BarcRA1110"/>
        <w:tabs>
          <w:tab w:val="clear" w:pos="284"/>
        </w:tabs>
        <w:ind w:firstLine="0"/>
        <w:rPr>
          <w:lang w:val="en-GB"/>
        </w:rPr>
      </w:pPr>
      <w:r w:rsidRPr="00491918">
        <w:rPr>
          <w:lang w:val="en-GB"/>
        </w:rPr>
        <w:t xml:space="preserve">The resulting provision represents Barclays’ best estimate of all future expected costs of PPI redress. However, it is possible the eventual outcome may differ from the current estimate and if this were to be material a further provision will be made, otherwise any residual costs will be handled as part of normal operations </w:t>
      </w:r>
    </w:p>
    <w:p w:rsidR="000D1659" w:rsidRPr="00491918" w:rsidRDefault="000D1659" w:rsidP="002A3C92">
      <w:pPr>
        <w:pStyle w:val="Level1Bullet-BarcRA1110"/>
        <w:numPr>
          <w:ilvl w:val="0"/>
          <w:numId w:val="18"/>
        </w:numPr>
      </w:pPr>
      <w:r w:rsidRPr="00491918">
        <w:rPr>
          <w:lang w:val="en-GB"/>
        </w:rPr>
        <w:t xml:space="preserve">The provision in respect of interest rate hedging product redress has been increased by £650m, bringing the cumulative expense recognised to £1.5bn. As at 31 December 2012, an expense of £850m had been recognised, reflecting our best estimate of redress costs to customers categorised as non-sophisticated and related costs. This was based on an extrapolation of the results of an initial pilot review. During 2013, additional cases have been reviewed providing a larger and more representative sample upon which to base our provision. The provision on the balance sheet as at 30 June 2013 is £1,349m reflecting cumulative utilisation of £151m. It is expected that this provision will be sufficient to cover the full cost of completing the redress, however no provision has been recognised in relation to claims from customers classified as sophisticated, which are not covered by the redress exercise, or incremental consequential loss claims from customers classified as non-sophisticated. These will be monitored and future provisions recognised to the extent an obligation resulting in a probable outflow is identified </w:t>
      </w:r>
    </w:p>
    <w:p w:rsidR="000D1659" w:rsidRPr="00491918" w:rsidRDefault="000D1659" w:rsidP="008D6001">
      <w:pPr>
        <w:pStyle w:val="HeadingLevel2-BarcRA"/>
        <w:spacing w:before="180" w:after="180"/>
        <w:outlineLvl w:val="0"/>
        <w:rPr>
          <w:sz w:val="24"/>
          <w:szCs w:val="24"/>
        </w:rPr>
      </w:pPr>
      <w:r w:rsidRPr="00491918">
        <w:rPr>
          <w:sz w:val="24"/>
          <w:szCs w:val="24"/>
        </w:rPr>
        <w:t>Dividends</w:t>
      </w:r>
    </w:p>
    <w:p w:rsidR="000D1659" w:rsidRPr="00491918" w:rsidRDefault="000D1659" w:rsidP="002A3C92">
      <w:pPr>
        <w:pStyle w:val="Normal13"/>
        <w:numPr>
          <w:ilvl w:val="0"/>
          <w:numId w:val="19"/>
        </w:numPr>
        <w:tabs>
          <w:tab w:val="clear" w:pos="284"/>
        </w:tabs>
        <w:ind w:left="360" w:hanging="360"/>
        <w:rPr>
          <w:szCs w:val="20"/>
          <w:lang w:val="la-Latn"/>
        </w:rPr>
      </w:pPr>
      <w:r w:rsidRPr="00491918">
        <w:t>It is our policy to declare and pay dividends on a quarterly basis. We will pay a second interim dividend for 2013 of 1p per share on 13 September 2013</w:t>
      </w:r>
      <w:r w:rsidRPr="00491918">
        <w:rPr>
          <w:szCs w:val="20"/>
          <w:lang w:val="la-Latn"/>
        </w:rPr>
        <w:t>.</w:t>
      </w:r>
      <w:r w:rsidRPr="00491918">
        <w:rPr>
          <w:lang w:val="la-Latn"/>
        </w:rPr>
        <w:t xml:space="preserve">  The Barclays PLC Scrip Dividend Programme will be offered for the second interim dividend</w:t>
      </w:r>
    </w:p>
    <w:p w:rsidR="000D1659" w:rsidRPr="00491918" w:rsidRDefault="000D1659" w:rsidP="000D1659">
      <w:pPr>
        <w:pStyle w:val="Normal12"/>
        <w:rPr>
          <w:i/>
          <w:lang w:val="en-US"/>
        </w:rPr>
      </w:pPr>
    </w:p>
    <w:p w:rsidR="000D1659" w:rsidRPr="00491918" w:rsidRDefault="000D1659" w:rsidP="008D6001">
      <w:pPr>
        <w:pStyle w:val="HeadingLevel2-BarcRA0"/>
        <w:spacing w:before="0" w:after="120"/>
        <w:outlineLvl w:val="0"/>
        <w:rPr>
          <w:sz w:val="24"/>
          <w:szCs w:val="24"/>
        </w:rPr>
      </w:pPr>
      <w:r w:rsidRPr="00491918">
        <w:rPr>
          <w:sz w:val="24"/>
          <w:szCs w:val="24"/>
        </w:rPr>
        <w:t>Outlook</w:t>
      </w:r>
    </w:p>
    <w:p w:rsidR="008B3BCD" w:rsidRPr="00491918" w:rsidRDefault="008B3BCD" w:rsidP="008B3BCD">
      <w:pPr>
        <w:pStyle w:val="Normal13"/>
        <w:numPr>
          <w:ilvl w:val="0"/>
          <w:numId w:val="19"/>
        </w:numPr>
        <w:tabs>
          <w:tab w:val="clear" w:pos="284"/>
        </w:tabs>
        <w:ind w:left="360" w:hanging="360"/>
      </w:pPr>
      <w:r w:rsidRPr="00491918">
        <w:t>We continue to remain cautious about the environment in which we operate and our focus remains on costs, capital, leverage and returns to drive sustainable performance improvements</w:t>
      </w:r>
    </w:p>
    <w:p w:rsidR="000D1659" w:rsidRPr="00491918" w:rsidRDefault="000D1659" w:rsidP="000D1659">
      <w:pPr>
        <w:pStyle w:val="HeadingLevel2-BarcRA5"/>
        <w:spacing w:before="0" w:after="120"/>
        <w:ind w:left="284" w:hanging="284"/>
        <w:jc w:val="left"/>
        <w:rPr>
          <w:lang w:val="en-GB"/>
        </w:rPr>
      </w:pPr>
    </w:p>
    <w:p w:rsidR="000D1659" w:rsidRPr="00491918" w:rsidRDefault="000D1659" w:rsidP="008D6001">
      <w:pPr>
        <w:pStyle w:val="HeadingLevel2-BarcRA5"/>
        <w:spacing w:before="0" w:after="120"/>
        <w:ind w:left="284" w:hanging="284"/>
        <w:jc w:val="left"/>
        <w:outlineLvl w:val="0"/>
        <w:rPr>
          <w:lang w:val="en-GB"/>
        </w:rPr>
      </w:pPr>
      <w:r w:rsidRPr="00491918">
        <w:t>Chris Lucas, Group Finance Director</w:t>
      </w: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8B3BCD" w:rsidRPr="00491918" w:rsidRDefault="008B3BCD" w:rsidP="008B3BCD">
      <w:pPr>
        <w:pStyle w:val="Normal12"/>
      </w:pPr>
    </w:p>
    <w:p w:rsidR="004016B0" w:rsidRPr="00491918" w:rsidRDefault="004016B0">
      <w:pPr>
        <w:rPr>
          <w:lang w:val="en-GB"/>
        </w:rPr>
      </w:pPr>
    </w:p>
    <w:p w:rsidR="008B3BCD" w:rsidRPr="00491918" w:rsidRDefault="008B3BCD" w:rsidP="008B3BCD">
      <w:pPr>
        <w:pStyle w:val="Normal14"/>
        <w:numPr>
          <w:ilvl w:val="0"/>
          <w:numId w:val="23"/>
        </w:numPr>
        <w:ind w:left="284" w:hanging="284"/>
        <w:rPr>
          <w:i/>
          <w:color w:val="000000"/>
          <w:sz w:val="14"/>
        </w:rPr>
      </w:pPr>
      <w:r w:rsidRPr="00491918">
        <w:rPr>
          <w:rStyle w:val="EndnoteReference"/>
          <w:lang w:val="en-GB"/>
        </w:rPr>
        <w:endnoteReference w:id="1"/>
      </w:r>
      <w:r w:rsidRPr="00491918">
        <w:rPr>
          <w:i/>
          <w:color w:val="000000"/>
          <w:sz w:val="14"/>
        </w:rPr>
        <w:t xml:space="preserve"> </w:t>
      </w:r>
      <w:r w:rsidR="00B52C1E" w:rsidRPr="00491918">
        <w:rPr>
          <w:i/>
          <w:sz w:val="14"/>
        </w:rPr>
        <w:t xml:space="preserve">PRA Leverage Ratio is a </w:t>
      </w:r>
      <w:r w:rsidR="00B52C1E" w:rsidRPr="00491918">
        <w:rPr>
          <w:i/>
          <w:sz w:val="14"/>
          <w:szCs w:val="16"/>
        </w:rPr>
        <w:t xml:space="preserve">non risk based </w:t>
      </w:r>
      <w:r w:rsidR="00B52C1E" w:rsidRPr="00491918">
        <w:rPr>
          <w:i/>
          <w:sz w:val="14"/>
        </w:rPr>
        <w:t xml:space="preserve">ratio </w:t>
      </w:r>
      <w:r w:rsidR="00B52C1E" w:rsidRPr="00491918">
        <w:rPr>
          <w:i/>
          <w:sz w:val="14"/>
          <w:szCs w:val="16"/>
        </w:rPr>
        <w:t>introduced</w:t>
      </w:r>
      <w:r w:rsidR="00B52C1E" w:rsidRPr="00491918">
        <w:rPr>
          <w:i/>
          <w:sz w:val="14"/>
        </w:rPr>
        <w:t xml:space="preserve"> by the PRA </w:t>
      </w:r>
      <w:r w:rsidR="00B52C1E" w:rsidRPr="00491918">
        <w:rPr>
          <w:i/>
          <w:sz w:val="14"/>
          <w:szCs w:val="16"/>
        </w:rPr>
        <w:t>in</w:t>
      </w:r>
      <w:r w:rsidR="00B52C1E" w:rsidRPr="00491918">
        <w:rPr>
          <w:i/>
          <w:sz w:val="14"/>
        </w:rPr>
        <w:t xml:space="preserve"> June 2013, calculated </w:t>
      </w:r>
      <w:r w:rsidR="00B52C1E" w:rsidRPr="00491918">
        <w:rPr>
          <w:i/>
          <w:sz w:val="14"/>
          <w:szCs w:val="16"/>
        </w:rPr>
        <w:t xml:space="preserve">as CRD IV </w:t>
      </w:r>
      <w:r w:rsidR="00B52C1E" w:rsidRPr="00491918">
        <w:rPr>
          <w:i/>
          <w:sz w:val="14"/>
        </w:rPr>
        <w:t xml:space="preserve">CET1 capital </w:t>
      </w:r>
      <w:r w:rsidR="00B52C1E" w:rsidRPr="00491918">
        <w:rPr>
          <w:i/>
          <w:sz w:val="14"/>
          <w:szCs w:val="16"/>
        </w:rPr>
        <w:t>after PRA adjustments divided by</w:t>
      </w:r>
      <w:r w:rsidR="00B52C1E" w:rsidRPr="00491918">
        <w:rPr>
          <w:i/>
          <w:sz w:val="14"/>
        </w:rPr>
        <w:t xml:space="preserve"> CRD IV leverage </w:t>
      </w:r>
      <w:r w:rsidR="00B52C1E" w:rsidRPr="00491918">
        <w:rPr>
          <w:i/>
          <w:sz w:val="14"/>
          <w:szCs w:val="16"/>
        </w:rPr>
        <w:t>exposures.</w:t>
      </w:r>
    </w:p>
    <w:p w:rsidR="000D1659" w:rsidRPr="00491918" w:rsidRDefault="004016B0" w:rsidP="004016B0">
      <w:pPr>
        <w:jc w:val="center"/>
        <w:rPr>
          <w:sz w:val="20"/>
          <w:szCs w:val="20"/>
          <w:lang w:val="en-GB"/>
        </w:rPr>
      </w:pPr>
      <w:r w:rsidRPr="00491918">
        <w:rPr>
          <w:lang w:val="en-GB"/>
        </w:rPr>
        <w:br w:type="page"/>
      </w:r>
      <w:r w:rsidRPr="00491918">
        <w:rPr>
          <w:sz w:val="20"/>
          <w:szCs w:val="20"/>
          <w:lang w:val="en-GB"/>
        </w:rPr>
        <w:lastRenderedPageBreak/>
        <w:t>[page intentionally left blank]</w:t>
      </w:r>
    </w:p>
    <w:p w:rsidR="000464EA" w:rsidRPr="00491918" w:rsidRDefault="000464EA" w:rsidP="004016B0">
      <w:pPr>
        <w:jc w:val="center"/>
        <w:rPr>
          <w:sz w:val="20"/>
          <w:szCs w:val="20"/>
          <w:lang w:val="en-GB"/>
        </w:rPr>
      </w:pPr>
    </w:p>
    <w:p w:rsidR="000464EA" w:rsidRPr="00491918" w:rsidRDefault="000464EA" w:rsidP="004016B0">
      <w:pPr>
        <w:jc w:val="center"/>
        <w:rPr>
          <w:sz w:val="20"/>
          <w:szCs w:val="20"/>
          <w:lang w:val="en-GB"/>
        </w:rPr>
      </w:pPr>
    </w:p>
    <w:p w:rsidR="000464EA" w:rsidRPr="00491918" w:rsidRDefault="000464EA" w:rsidP="004016B0">
      <w:pPr>
        <w:jc w:val="center"/>
        <w:rPr>
          <w:sz w:val="20"/>
          <w:szCs w:val="20"/>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0464EA" w:rsidRPr="00491918" w:rsidRDefault="000464EA" w:rsidP="000464EA">
      <w:pPr>
        <w:pStyle w:val="HeadingLevel1-BarcRA9"/>
        <w:rPr>
          <w:lang w:val="en-GB"/>
        </w:rPr>
      </w:pPr>
    </w:p>
    <w:p w:rsidR="00DA356B" w:rsidRPr="00491918" w:rsidRDefault="00DA356B" w:rsidP="00DA356B">
      <w:pPr>
        <w:pStyle w:val="BodyText-BarcRA11"/>
      </w:pPr>
    </w:p>
    <w:p w:rsidR="00DA356B" w:rsidRPr="00491918" w:rsidRDefault="00DA356B" w:rsidP="00DA356B">
      <w:pPr>
        <w:pStyle w:val="BodyText-BarcRA11"/>
      </w:pPr>
    </w:p>
    <w:p w:rsidR="000464EA" w:rsidRPr="00491918" w:rsidRDefault="000464EA" w:rsidP="000464EA">
      <w:pPr>
        <w:pStyle w:val="HeadingLevel1-BarcRA9"/>
        <w:rPr>
          <w:lang w:val="en-GB"/>
        </w:rPr>
      </w:pPr>
    </w:p>
    <w:p w:rsidR="000464EA" w:rsidRPr="00491918" w:rsidRDefault="000464EA" w:rsidP="000464EA">
      <w:pPr>
        <w:pStyle w:val="HeadingLevel1-BarcRA9"/>
      </w:pPr>
      <w:r w:rsidRPr="00491918">
        <w:rPr>
          <w:lang w:val="en-GB"/>
        </w:rPr>
        <w:t>Barclays Results by Quarter</w:t>
      </w: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lang w:val="en-GB"/>
              </w:rPr>
            </w:pPr>
            <w:r w:rsidRPr="00491918">
              <w:rPr>
                <w:b/>
                <w:color w:val="000000"/>
                <w:sz w:val="20"/>
                <w:lang w:val="en-GB"/>
              </w:rPr>
              <w:t>Barclays Results by Quarter</w:t>
            </w:r>
            <w:r w:rsidRPr="00491918">
              <w:rPr>
                <w:color w:val="000000"/>
                <w:sz w:val="20"/>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lang w:val="en-GB"/>
              </w:rPr>
            </w:pPr>
            <w:r w:rsidRPr="00491918">
              <w:rPr>
                <w:b/>
                <w:color w:val="000000"/>
                <w:sz w:val="16"/>
                <w:lang w:val="en-GB"/>
              </w:rPr>
              <w:t>Q213</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Q113</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Q412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Q312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Q212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Q112</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Q411</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Q311</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lastRenderedPageBreak/>
              <w:t xml:space="preserve">Adjusted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Total 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7,337 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7,734 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6,867 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7,002 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7,384 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8,108 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6,213 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7,001 </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Credit impairment 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w:t>
            </w:r>
            <w:r w:rsidR="0003723A" w:rsidRPr="00491918">
              <w:rPr>
                <w:color w:val="000000"/>
                <w:sz w:val="16"/>
                <w:lang w:val="en-GB"/>
              </w:rPr>
              <w:t>925</w:t>
            </w:r>
            <w:r w:rsidRPr="00491918">
              <w:rPr>
                <w:color w:val="000000"/>
                <w:sz w:val="16"/>
                <w:lang w:val="en-GB"/>
              </w:rPr>
              <w:t>)</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(706)</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(825)</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(805)</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(926)</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(784)</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(951)</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(1,023)</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 xml:space="preserve">Net operating income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6,</w:t>
            </w:r>
            <w:r w:rsidR="0003723A" w:rsidRPr="00491918">
              <w:rPr>
                <w:b/>
                <w:color w:val="000000"/>
                <w:sz w:val="16"/>
                <w:lang w:val="en-GB"/>
              </w:rPr>
              <w:t>412</w:t>
            </w:r>
            <w:r w:rsidRPr="00491918">
              <w:rPr>
                <w:b/>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7,028 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6,042 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6,197 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6,458 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7,324 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5,262 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5,978 </w:t>
            </w:r>
          </w:p>
        </w:tc>
      </w:tr>
      <w:tr w:rsidR="000D1659" w:rsidRPr="00491918">
        <w:trPr>
          <w:trHeight w:val="51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Operating expenses (excluding costs to achieve Transform and UK bank levy)</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(4,359)</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(4,782)</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(4,345)</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(4,353)</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(4,555)</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(4,965)</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(4,441)</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(4,686)</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(126)</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(514)</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UK bank levy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(345)</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(325)</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Operating expenses</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(4,485)</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(5,296)</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(4,690)</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(4,353)</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(4,555)</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(4,965)</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(4,766)</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(4,686)</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Other net income</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(122)</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54 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43 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21 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41 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36 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18 </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 xml:space="preserve">Adjusted profit before tax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3723A">
            <w:pPr>
              <w:jc w:val="right"/>
              <w:rPr>
                <w:color w:val="000000"/>
                <w:sz w:val="16"/>
                <w:vertAlign w:val="superscript"/>
                <w:lang w:val="en-GB"/>
              </w:rPr>
            </w:pPr>
            <w:r w:rsidRPr="00491918">
              <w:rPr>
                <w:b/>
                <w:color w:val="000000"/>
                <w:sz w:val="16"/>
                <w:lang w:val="en-GB"/>
              </w:rPr>
              <w:t>1,805</w:t>
            </w:r>
            <w:r w:rsidR="000D1659" w:rsidRPr="00491918">
              <w:rPr>
                <w:b/>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1,786 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1,395 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1,865 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1,944 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2,395 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501 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1,310 </w:t>
            </w:r>
          </w:p>
        </w:tc>
      </w:tr>
      <w:tr w:rsidR="000D1659" w:rsidRPr="00491918">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Adjusting items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Own credit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337 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(251)</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(560)</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(1,074)</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(325)</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(2,620)</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(263)</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2,882 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Gains on debt buy-backs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1,130 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51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Gain on disposal and impairment of BlackRock investment</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227 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(1,800)</w:t>
            </w:r>
          </w:p>
        </w:tc>
      </w:tr>
      <w:tr w:rsidR="000D1659" w:rsidRPr="00491918">
        <w:trPr>
          <w:trHeight w:val="255"/>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(1,350)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(600)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(700)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(300)</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51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Provision for interest rate hedging products</w:t>
            </w:r>
          </w:p>
          <w:p w:rsidR="000D1659" w:rsidRPr="00491918" w:rsidRDefault="000D1659">
            <w:pPr>
              <w:rPr>
                <w:color w:val="000000"/>
                <w:sz w:val="16"/>
                <w:lang w:val="en-GB"/>
              </w:rPr>
            </w:pPr>
            <w:r w:rsidRPr="00491918">
              <w:rPr>
                <w:color w:val="000000"/>
                <w:sz w:val="16"/>
                <w:lang w:val="en-GB"/>
              </w:rPr>
              <w:t>redress</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(650)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(450)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Goodwill impairment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(550)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(Losses)/gains on acquisitions and disposals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(32)</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3 </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Statutory profit/(loss) before tax</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3723A">
            <w:pPr>
              <w:jc w:val="right"/>
              <w:rPr>
                <w:b/>
                <w:color w:val="000000"/>
                <w:sz w:val="16"/>
                <w:vertAlign w:val="superscript"/>
                <w:lang w:val="en-GB"/>
              </w:rPr>
            </w:pPr>
            <w:r w:rsidRPr="00491918">
              <w:rPr>
                <w:b/>
                <w:color w:val="000000"/>
                <w:sz w:val="16"/>
                <w:lang w:val="en-GB"/>
              </w:rPr>
              <w:t>142</w:t>
            </w:r>
            <w:r w:rsidR="000D1659" w:rsidRPr="00491918">
              <w:rPr>
                <w:b/>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1,535 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(165)</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91 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1,396 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(525)</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786 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2,395 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Statutory profit/(loss) after tax </w:t>
            </w:r>
            <w:r w:rsidRPr="00491918">
              <w:rPr>
                <w:b/>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3723A">
            <w:pPr>
              <w:jc w:val="right"/>
              <w:rPr>
                <w:b/>
                <w:color w:val="000000"/>
                <w:sz w:val="16"/>
                <w:vertAlign w:val="superscript"/>
                <w:lang w:val="en-GB"/>
              </w:rPr>
            </w:pPr>
            <w:r w:rsidRPr="00491918">
              <w:rPr>
                <w:color w:val="000000"/>
                <w:sz w:val="16"/>
                <w:lang w:val="en-GB"/>
              </w:rPr>
              <w:t>39</w:t>
            </w:r>
            <w:r w:rsidR="000D1659"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1,044 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(364)</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943 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(385)</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581 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1,345 </w:t>
            </w:r>
          </w:p>
        </w:tc>
      </w:tr>
      <w:tr w:rsidR="000D1659" w:rsidRPr="00491918">
        <w:trPr>
          <w:trHeight w:hRule="exac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Attributable to: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Equity holders of the parent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w:t>
            </w:r>
            <w:r w:rsidR="0003723A" w:rsidRPr="00491918">
              <w:rPr>
                <w:color w:val="000000"/>
                <w:sz w:val="16"/>
                <w:lang w:val="en-GB"/>
              </w:rPr>
              <w:t>168</w:t>
            </w:r>
            <w:r w:rsidRPr="00491918">
              <w:rPr>
                <w:color w:val="000000"/>
                <w:sz w:val="16"/>
                <w:lang w:val="en-GB"/>
              </w:rPr>
              <w:t>)</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839 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(589)</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(183)</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746 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(598)</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335 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1,132 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Non-controlling interests </w:t>
            </w:r>
            <w:r w:rsidRPr="00491918">
              <w:rPr>
                <w:b/>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color w:val="000000"/>
                <w:sz w:val="16"/>
                <w:lang w:val="en-GB"/>
              </w:rPr>
              <w:t>207 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205 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225 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170 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197 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213 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246 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213 </w:t>
            </w:r>
          </w:p>
        </w:tc>
      </w:tr>
      <w:tr w:rsidR="000D1659" w:rsidRPr="00491918">
        <w:trPr>
          <w:trHeight w:hRule="exact" w:val="240"/>
        </w:trPr>
        <w:tc>
          <w:tcPr>
            <w:tcW w:w="367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367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Adjusted basic earnings per share </w:t>
            </w:r>
            <w:r w:rsidRPr="00491918">
              <w:rPr>
                <w:color w:val="000000"/>
                <w:sz w:val="16"/>
                <w:vertAlign w:val="superscript"/>
                <w:lang w:val="en-GB"/>
              </w:rPr>
              <w:t xml:space="preserve"> </w:t>
            </w:r>
          </w:p>
        </w:tc>
        <w:tc>
          <w:tcPr>
            <w:tcW w:w="72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206F8B">
            <w:pPr>
              <w:jc w:val="right"/>
              <w:rPr>
                <w:color w:val="000000"/>
                <w:sz w:val="16"/>
                <w:vertAlign w:val="superscript"/>
                <w:lang w:val="en-GB"/>
              </w:rPr>
            </w:pPr>
            <w:r w:rsidRPr="00491918">
              <w:rPr>
                <w:color w:val="000000"/>
                <w:sz w:val="16"/>
                <w:lang w:val="en-GB"/>
              </w:rPr>
              <w:t>8.1</w:t>
            </w:r>
            <w:r w:rsidR="000D1659" w:rsidRPr="00491918">
              <w:rPr>
                <w:color w:val="000000"/>
                <w:sz w:val="16"/>
                <w:lang w:val="en-GB"/>
              </w:rPr>
              <w:t>p</w:t>
            </w:r>
          </w:p>
        </w:tc>
        <w:tc>
          <w:tcPr>
            <w:tcW w:w="72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8.1p</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7.2p</w:t>
            </w:r>
          </w:p>
        </w:tc>
        <w:tc>
          <w:tcPr>
            <w:tcW w:w="72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8.3p</w:t>
            </w:r>
          </w:p>
        </w:tc>
        <w:tc>
          <w:tcPr>
            <w:tcW w:w="72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9.2p</w:t>
            </w:r>
          </w:p>
        </w:tc>
        <w:tc>
          <w:tcPr>
            <w:tcW w:w="72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13.2p</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1.0p</w:t>
            </w:r>
          </w:p>
        </w:tc>
        <w:tc>
          <w:tcPr>
            <w:tcW w:w="72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6.8p</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Adjusted cost: income ratio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61%</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68%</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68%</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61%</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77%</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67%</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Basic earnings per share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w:t>
            </w:r>
            <w:r w:rsidR="00206F8B" w:rsidRPr="00491918">
              <w:rPr>
                <w:color w:val="000000"/>
                <w:sz w:val="16"/>
                <w:lang w:val="en-GB"/>
              </w:rPr>
              <w:t>1.4</w:t>
            </w:r>
            <w:r w:rsidRPr="00491918">
              <w:rPr>
                <w:color w:val="000000"/>
                <w:sz w:val="16"/>
                <w:lang w:val="en-GB"/>
              </w:rPr>
              <w:t>p)</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6.7p</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(4.8p)</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(1.5p)</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6.1p</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(4.9p)</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2.8p</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9.4p</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Cost: income ratio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85%</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71%</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85%</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69%</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96%</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75%</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58%</w:t>
            </w:r>
          </w:p>
        </w:tc>
      </w:tr>
      <w:tr w:rsidR="000D1659" w:rsidRPr="00491918">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lang w:val="en-GB"/>
              </w:rPr>
            </w:pPr>
            <w:r w:rsidRPr="00491918">
              <w:rPr>
                <w:b/>
                <w:color w:val="000000"/>
                <w:sz w:val="20"/>
                <w:lang w:val="en-GB"/>
              </w:rPr>
              <w:t>Adjusted Profit/(Loss) Before Tax</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Q213</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Q113</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Q412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Q312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Q212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Q112</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Q411</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Q311</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by Business</w:t>
            </w:r>
            <w:r w:rsidRPr="00491918">
              <w:rPr>
                <w:b/>
                <w:color w:val="000000"/>
                <w:sz w:val="18"/>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8"/>
                <w:vertAlign w:val="superscript"/>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r>
      <w:tr w:rsidR="000D1659" w:rsidRPr="00491918">
        <w:trPr>
          <w:trHeight w:val="255"/>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UK RBB</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333 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299 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275 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358 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360 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232 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162 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429 </w:t>
            </w:r>
          </w:p>
        </w:tc>
      </w:tr>
      <w:tr w:rsidR="000D1659" w:rsidRPr="00491918">
        <w:trPr>
          <w:trHeight w:val="255"/>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Europe RBB</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(247)</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(462)</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(114)</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(81)</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(76)</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(72)</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(176)</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21 </w:t>
            </w:r>
          </w:p>
        </w:tc>
      </w:tr>
      <w:tr w:rsidR="000D1659" w:rsidRPr="00491918">
        <w:trPr>
          <w:trHeight w:val="255"/>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Africa RBB</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131 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81 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105 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34 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51 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132 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231 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191 </w:t>
            </w:r>
          </w:p>
        </w:tc>
      </w:tr>
      <w:tr w:rsidR="000D1659" w:rsidRPr="00491918">
        <w:trPr>
          <w:trHeight w:val="255"/>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Barclaycard</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412 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363 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335 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396 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404 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347 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261 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367 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Investment Bank</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w:t>
            </w:r>
            <w:r w:rsidR="0003723A" w:rsidRPr="00491918">
              <w:rPr>
                <w:color w:val="000000"/>
                <w:sz w:val="16"/>
                <w:lang w:val="en-GB"/>
              </w:rPr>
              <w:t>074</w:t>
            </w: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1,315 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760 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988 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1,060 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1,182 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210 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Corporate Banking</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219 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183 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61 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88 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108 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203 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140 </w:t>
            </w:r>
          </w:p>
        </w:tc>
      </w:tr>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Wealth and Investment Management</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(13)</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60 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105 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70 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49 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50 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43 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70 </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Head Office and Other Operations</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(104)</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(53)</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(132)</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321 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(118)</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profit before tax</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3723A">
            <w:pPr>
              <w:jc w:val="right"/>
              <w:rPr>
                <w:b/>
                <w:color w:val="000000"/>
                <w:sz w:val="16"/>
                <w:vertAlign w:val="superscript"/>
                <w:lang w:val="en-GB"/>
              </w:rPr>
            </w:pPr>
            <w:r w:rsidRPr="00491918">
              <w:rPr>
                <w:b/>
                <w:color w:val="000000"/>
                <w:sz w:val="16"/>
                <w:lang w:val="en-GB"/>
              </w:rPr>
              <w:t>1,805</w:t>
            </w:r>
            <w:r w:rsidR="000D1659" w:rsidRPr="00491918">
              <w:rPr>
                <w:b/>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1,786 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1,395 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1,865 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1,944 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2,395 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501 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1,310 </w:t>
            </w:r>
          </w:p>
        </w:tc>
      </w:tr>
    </w:tbl>
    <w:p w:rsidR="000D1659" w:rsidRPr="00491918" w:rsidRDefault="000D1659">
      <w:pPr>
        <w:rPr>
          <w:lang w:val="en-GB"/>
        </w:rPr>
      </w:pPr>
    </w:p>
    <w:p w:rsidR="000464EA" w:rsidRPr="00491918" w:rsidRDefault="000464EA">
      <w:pPr>
        <w:rPr>
          <w:lang w:val="en-GB"/>
        </w:rPr>
      </w:pPr>
    </w:p>
    <w:p w:rsidR="000464EA" w:rsidRPr="00491918" w:rsidRDefault="000464EA">
      <w:pPr>
        <w:rPr>
          <w:lang w:val="en-GB"/>
        </w:rPr>
      </w:pPr>
    </w:p>
    <w:p w:rsidR="000464EA" w:rsidRPr="00491918" w:rsidRDefault="000464EA">
      <w:pPr>
        <w:rPr>
          <w:lang w:val="en-GB"/>
        </w:rPr>
        <w:sectPr w:rsidR="000464EA" w:rsidRPr="00491918" w:rsidSect="00751636">
          <w:headerReference w:type="default" r:id="rId22"/>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5235"/>
        <w:gridCol w:w="600"/>
        <w:gridCol w:w="1110"/>
        <w:gridCol w:w="1110"/>
        <w:gridCol w:w="1110"/>
      </w:tblGrid>
      <w:tr w:rsidR="009E6048" w:rsidRPr="00491918" w:rsidTr="000732DD">
        <w:trPr>
          <w:trHeight w:val="315"/>
        </w:trPr>
        <w:tc>
          <w:tcPr>
            <w:tcW w:w="9165" w:type="dxa"/>
            <w:gridSpan w:val="5"/>
            <w:tcBorders>
              <w:top w:val="nil"/>
              <w:left w:val="nil"/>
              <w:bottom w:val="nil"/>
              <w:right w:val="nil"/>
            </w:tcBorders>
            <w:shd w:val="clear" w:color="auto" w:fill="FFFFFF"/>
            <w:tcMar>
              <w:left w:w="36" w:type="dxa"/>
              <w:right w:w="36" w:type="dxa"/>
            </w:tcMar>
            <w:vAlign w:val="center"/>
          </w:tcPr>
          <w:p w:rsidR="000464EA" w:rsidRPr="00491918" w:rsidRDefault="000464EA" w:rsidP="000464EA">
            <w:pPr>
              <w:pStyle w:val="HeadingLevel1-BarcRA10"/>
              <w:rPr>
                <w:lang w:val="en-GB"/>
              </w:rPr>
            </w:pPr>
            <w:r w:rsidRPr="00491918">
              <w:lastRenderedPageBreak/>
              <w:t>Condensed Consolidated Financial Statements</w:t>
            </w:r>
          </w:p>
          <w:p w:rsidR="000D1659" w:rsidRPr="00491918" w:rsidRDefault="000D1659">
            <w:pPr>
              <w:rPr>
                <w:lang w:val="en-GB"/>
              </w:rPr>
            </w:pPr>
            <w:r w:rsidRPr="00491918">
              <w:rPr>
                <w:b/>
                <w:color w:val="000000"/>
                <w:sz w:val="24"/>
                <w:lang w:val="en-GB"/>
              </w:rPr>
              <w:t>Condensed Consolidated Income Statement (Unaudited)</w:t>
            </w:r>
          </w:p>
        </w:tc>
      </w:tr>
      <w:tr w:rsidR="000D1659" w:rsidRPr="00491918">
        <w:trPr>
          <w:trHeight w:val="51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Half Year Ended</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Half Year Ended</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Half Year Ended</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Continuing Operations</w:t>
            </w:r>
            <w:r w:rsidRPr="00491918">
              <w:rPr>
                <w:b/>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30.06.13</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Notes</w:t>
            </w:r>
            <w:r w:rsidRPr="00491918">
              <w:rPr>
                <w:color w:val="000000"/>
                <w:sz w:val="16"/>
                <w:vertAlign w:val="superscript"/>
                <w:lang w:val="en-GB"/>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r>
    </w:tbl>
    <w:p w:rsidR="000732DD" w:rsidRPr="00491918" w:rsidRDefault="000732DD"/>
    <w:tbl>
      <w:tblPr>
        <w:tblW w:w="0" w:type="auto"/>
        <w:tblLayout w:type="fixed"/>
        <w:tblLook w:val="0000" w:firstRow="0" w:lastRow="0" w:firstColumn="0" w:lastColumn="0" w:noHBand="0" w:noVBand="0"/>
      </w:tblPr>
      <w:tblGrid>
        <w:gridCol w:w="5235"/>
        <w:gridCol w:w="600"/>
        <w:gridCol w:w="1110"/>
        <w:gridCol w:w="1110"/>
        <w:gridCol w:w="1110"/>
      </w:tblGrid>
      <w:tr w:rsidR="000D1659" w:rsidRPr="00491918" w:rsidTr="000732DD">
        <w:trPr>
          <w:trHeight w:val="240"/>
        </w:trPr>
        <w:tc>
          <w:tcPr>
            <w:tcW w:w="523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interest income</w:t>
            </w:r>
            <w:r w:rsidRPr="00491918">
              <w:rPr>
                <w:color w:val="000000"/>
                <w:sz w:val="16"/>
                <w:vertAlign w:val="superscript"/>
                <w:lang w:val="en-GB"/>
              </w:rPr>
              <w:t xml:space="preserve"> </w:t>
            </w:r>
          </w:p>
        </w:tc>
        <w:tc>
          <w:tcPr>
            <w:tcW w:w="600" w:type="dxa"/>
            <w:tcBorders>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2</w:t>
            </w:r>
            <w:r w:rsidRPr="00491918">
              <w:rPr>
                <w:color w:val="000000"/>
                <w:sz w:val="16"/>
                <w:vertAlign w:val="superscript"/>
                <w:lang w:val="en-GB"/>
              </w:rPr>
              <w:t xml:space="preserve"> </w:t>
            </w:r>
          </w:p>
        </w:tc>
        <w:tc>
          <w:tcPr>
            <w:tcW w:w="111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5,577 </w:t>
            </w:r>
          </w:p>
        </w:tc>
        <w:tc>
          <w:tcPr>
            <w:tcW w:w="11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5,525 </w:t>
            </w:r>
          </w:p>
        </w:tc>
        <w:tc>
          <w:tcPr>
            <w:tcW w:w="11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6,129 </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fee and commission income</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4,396 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4,306 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4,230 </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trading income</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4,574 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1,738 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1,609 </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investment income</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417 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478 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366 </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premiums from insurance contracts</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387 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380 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516 </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gain on disposal of investment in BlackRock, Inc.</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227 </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income</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74 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45 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60 </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 xml:space="preserve">Total income </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15,425 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12,472 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13,137 </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Net claims and benefits incurred on insurance contracts</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(268)</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(237)</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(363)</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income net of insurance claims</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15,157 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12,235 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12,774 </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9A0513">
            <w:pPr>
              <w:jc w:val="right"/>
              <w:rPr>
                <w:color w:val="000000"/>
                <w:sz w:val="16"/>
                <w:vertAlign w:val="superscript"/>
                <w:lang w:val="en-GB"/>
              </w:rPr>
            </w:pPr>
            <w:r w:rsidRPr="00491918">
              <w:rPr>
                <w:color w:val="000000"/>
                <w:sz w:val="16"/>
                <w:lang w:val="en-GB"/>
              </w:rPr>
              <w:t>(1,</w:t>
            </w:r>
            <w:r w:rsidR="009A0513" w:rsidRPr="00491918">
              <w:rPr>
                <w:color w:val="000000"/>
                <w:sz w:val="16"/>
                <w:lang w:val="en-GB"/>
              </w:rPr>
              <w:t>631</w:t>
            </w:r>
            <w:r w:rsidRPr="00491918">
              <w:rPr>
                <w:color w:val="000000"/>
                <w:sz w:val="16"/>
                <w:lang w:val="en-GB"/>
              </w:rPr>
              <w:t>)</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(1,630)</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(1,710)</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Net operating income</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9A0513">
            <w:pPr>
              <w:jc w:val="right"/>
              <w:rPr>
                <w:color w:val="000000"/>
                <w:sz w:val="16"/>
                <w:vertAlign w:val="superscript"/>
                <w:lang w:val="en-GB"/>
              </w:rPr>
            </w:pPr>
            <w:r w:rsidRPr="00491918">
              <w:rPr>
                <w:b/>
                <w:color w:val="000000"/>
                <w:sz w:val="16"/>
                <w:lang w:val="en-GB"/>
              </w:rPr>
              <w:t>13,</w:t>
            </w:r>
            <w:r w:rsidR="009A0513" w:rsidRPr="00491918">
              <w:rPr>
                <w:b/>
                <w:color w:val="000000"/>
                <w:sz w:val="16"/>
                <w:lang w:val="en-GB"/>
              </w:rPr>
              <w:t>526 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10,605 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11,064 </w:t>
            </w:r>
          </w:p>
        </w:tc>
      </w:tr>
      <w:tr w:rsidR="000D1659" w:rsidRPr="00491918">
        <w:trPr>
          <w:trHeight w:hRule="exac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Staff costs</w:t>
            </w:r>
            <w:r w:rsidRPr="00491918">
              <w:rPr>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993AA4">
            <w:pPr>
              <w:jc w:val="center"/>
              <w:rPr>
                <w:color w:val="000000"/>
                <w:sz w:val="16"/>
                <w:vertAlign w:val="superscript"/>
                <w:lang w:val="en-GB"/>
              </w:rPr>
            </w:pPr>
            <w:r w:rsidRPr="00491918">
              <w:rPr>
                <w:color w:val="000000"/>
                <w:sz w:val="16"/>
                <w:lang w:val="en-GB"/>
              </w:rPr>
              <w:t>3</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(6,431)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(5,522)</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(5,945)</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Administration and general expenses</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4</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(3,350)</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(3,175)</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(3,575)</w:t>
            </w:r>
          </w:p>
        </w:tc>
      </w:tr>
      <w:tr w:rsidR="000D1659" w:rsidRPr="00491918">
        <w:trPr>
          <w:trHeight w:val="48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Operating expenses excluding UK bank levy, provisions for PPI and interest rate hedging products redress</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(9,781)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(8,697)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(9,520)</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5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(345)</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(1,350)</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(1,300)</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(300)</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Provision for interest rate hedging products redress</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(650)</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(400)</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(450)</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Operating expenses</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b/>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(11,781)</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(10,742)</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(10,270)</w:t>
            </w:r>
          </w:p>
        </w:tc>
      </w:tr>
      <w:tr w:rsidR="000D1659" w:rsidRPr="00491918">
        <w:trPr>
          <w:trHeight w:hRule="exac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7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(Loss)/profit on disposal of undertakings and share of results of </w:t>
            </w:r>
            <w:r w:rsidRPr="00491918">
              <w:rPr>
                <w:b/>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55"/>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associates and joint ventures</w:t>
            </w:r>
            <w:r w:rsidRPr="00491918">
              <w:rPr>
                <w:b/>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(68)</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63 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77 </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Profit/(loss) before tax</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1,</w:t>
            </w:r>
            <w:r w:rsidR="009A0513" w:rsidRPr="00491918">
              <w:rPr>
                <w:b/>
                <w:color w:val="000000"/>
                <w:sz w:val="16"/>
                <w:lang w:val="en-GB"/>
              </w:rPr>
              <w:t>677</w:t>
            </w:r>
            <w:r w:rsidRPr="00491918">
              <w:rPr>
                <w:b/>
                <w:color w:val="000000"/>
                <w:sz w:val="16"/>
                <w:lang w:val="en-GB"/>
              </w:rPr>
              <w:t>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(74)</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871 </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Tax</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6</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5C1A22">
            <w:pPr>
              <w:jc w:val="right"/>
              <w:rPr>
                <w:color w:val="000000"/>
                <w:sz w:val="16"/>
                <w:vertAlign w:val="superscript"/>
                <w:lang w:val="en-GB"/>
              </w:rPr>
            </w:pPr>
            <w:r w:rsidRPr="00491918">
              <w:rPr>
                <w:color w:val="000000"/>
                <w:sz w:val="16"/>
                <w:lang w:val="en-GB"/>
              </w:rPr>
              <w:t>(</w:t>
            </w:r>
            <w:r w:rsidR="005C1A22" w:rsidRPr="00491918">
              <w:rPr>
                <w:color w:val="000000"/>
                <w:sz w:val="16"/>
                <w:lang w:val="en-GB"/>
              </w:rPr>
              <w:t>594</w:t>
            </w:r>
            <w:r w:rsidRPr="00491918">
              <w:rPr>
                <w:color w:val="000000"/>
                <w:sz w:val="16"/>
                <w:lang w:val="en-GB"/>
              </w:rPr>
              <w:t>)</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(303)</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(313)</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Profit/(loss) after tax</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9A0513">
            <w:pPr>
              <w:jc w:val="right"/>
              <w:rPr>
                <w:color w:val="000000"/>
                <w:sz w:val="16"/>
                <w:vertAlign w:val="superscript"/>
                <w:lang w:val="en-GB"/>
              </w:rPr>
            </w:pPr>
            <w:r w:rsidRPr="00491918">
              <w:rPr>
                <w:b/>
                <w:color w:val="000000"/>
                <w:sz w:val="16"/>
                <w:lang w:val="en-GB"/>
              </w:rPr>
              <w:t>1,</w:t>
            </w:r>
            <w:r w:rsidR="009A0513" w:rsidRPr="00491918">
              <w:rPr>
                <w:b/>
                <w:color w:val="000000"/>
                <w:sz w:val="16"/>
                <w:lang w:val="en-GB"/>
              </w:rPr>
              <w:t>083 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(377)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558 </w:t>
            </w:r>
          </w:p>
        </w:tc>
      </w:tr>
      <w:tr w:rsidR="000D1659" w:rsidRPr="00491918">
        <w:trPr>
          <w:trHeight w:hRule="exac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Attributable to:</w:t>
            </w:r>
            <w:r w:rsidRPr="00491918">
              <w:rPr>
                <w:b/>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Equity holders of the parent</w:t>
            </w:r>
            <w:r w:rsidRPr="00491918">
              <w:rPr>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5C1A22">
            <w:pPr>
              <w:jc w:val="right"/>
              <w:rPr>
                <w:color w:val="000000"/>
                <w:sz w:val="16"/>
                <w:vertAlign w:val="superscript"/>
                <w:lang w:val="en-GB"/>
              </w:rPr>
            </w:pPr>
            <w:r w:rsidRPr="00491918">
              <w:rPr>
                <w:color w:val="000000"/>
                <w:sz w:val="16"/>
                <w:lang w:val="en-GB"/>
              </w:rPr>
              <w:t>671 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(772)</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148 </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Non-controlling interests</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7</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412 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395 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410 </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Profit/(loss) after tax</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5C1A22">
            <w:pPr>
              <w:jc w:val="right"/>
              <w:rPr>
                <w:b/>
                <w:color w:val="000000"/>
                <w:sz w:val="16"/>
                <w:vertAlign w:val="superscript"/>
                <w:lang w:val="en-GB"/>
              </w:rPr>
            </w:pPr>
            <w:r w:rsidRPr="00491918">
              <w:rPr>
                <w:b/>
                <w:color w:val="000000"/>
                <w:sz w:val="16"/>
                <w:lang w:val="en-GB"/>
              </w:rPr>
              <w:t>1,</w:t>
            </w:r>
            <w:r w:rsidR="005C1A22" w:rsidRPr="00491918">
              <w:rPr>
                <w:b/>
                <w:color w:val="000000"/>
                <w:sz w:val="16"/>
                <w:lang w:val="en-GB"/>
              </w:rPr>
              <w:t>083 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(377)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558 </w:t>
            </w:r>
          </w:p>
        </w:tc>
      </w:tr>
      <w:tr w:rsidR="000D1659" w:rsidRPr="00491918">
        <w:trPr>
          <w:trHeight w:hRule="exac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52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Earnings per Share from Continuing Operations</w:t>
            </w:r>
            <w:r w:rsidRPr="00491918">
              <w:rPr>
                <w:b/>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color w:val="000000"/>
                <w:sz w:val="16"/>
                <w:lang w:val="en-GB"/>
              </w:rPr>
              <w:t xml:space="preserve"> </w:t>
            </w:r>
            <w:r w:rsidRPr="00491918">
              <w:rPr>
                <w:color w:val="000000"/>
                <w:sz w:val="16"/>
                <w:vertAlign w:val="superscript"/>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r>
      <w:tr w:rsidR="000D1659" w:rsidRPr="00491918">
        <w:trPr>
          <w:trHeight w:val="240"/>
        </w:trPr>
        <w:tc>
          <w:tcPr>
            <w:tcW w:w="52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Basic earnings/(loss) per ordinary share</w:t>
            </w:r>
            <w:r w:rsidRPr="00491918">
              <w:rPr>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8</w:t>
            </w:r>
            <w:r w:rsidRPr="00491918">
              <w:rPr>
                <w:color w:val="000000"/>
                <w:sz w:val="16"/>
                <w:vertAlign w:val="superscript"/>
                <w:lang w:val="en-GB"/>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206F8B" w:rsidP="00206F8B">
            <w:pPr>
              <w:jc w:val="right"/>
              <w:rPr>
                <w:color w:val="000000"/>
                <w:sz w:val="16"/>
                <w:vertAlign w:val="superscript"/>
                <w:lang w:val="en-GB"/>
              </w:rPr>
            </w:pPr>
            <w:r w:rsidRPr="00491918">
              <w:rPr>
                <w:color w:val="000000"/>
                <w:sz w:val="16"/>
                <w:lang w:val="en-GB"/>
              </w:rPr>
              <w:t>5</w:t>
            </w:r>
            <w:r w:rsidR="000D1659" w:rsidRPr="00491918">
              <w:rPr>
                <w:color w:val="000000"/>
                <w:sz w:val="16"/>
                <w:lang w:val="en-GB"/>
              </w:rPr>
              <w:t>.</w:t>
            </w:r>
            <w:r w:rsidRPr="00491918">
              <w:rPr>
                <w:color w:val="000000"/>
                <w:sz w:val="16"/>
                <w:lang w:val="en-GB"/>
              </w:rPr>
              <w:t>3</w:t>
            </w:r>
            <w:r w:rsidR="000D1659" w:rsidRPr="00491918">
              <w:rPr>
                <w:color w:val="000000"/>
                <w:sz w:val="16"/>
                <w:lang w:val="en-GB"/>
              </w:rPr>
              <w:t>p</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(6.3p)</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1.2p</w:t>
            </w:r>
          </w:p>
        </w:tc>
      </w:tr>
      <w:tr w:rsidR="000D1659" w:rsidRPr="00491918">
        <w:trPr>
          <w:trHeight w:val="240"/>
        </w:trPr>
        <w:tc>
          <w:tcPr>
            <w:tcW w:w="52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Diluted earnings/(loss) per ordinary share</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color w:val="000000"/>
                <w:sz w:val="16"/>
                <w:lang w:val="en-GB"/>
              </w:rPr>
              <w:t>8</w:t>
            </w:r>
            <w:r w:rsidRPr="00491918">
              <w:rPr>
                <w:color w:val="000000"/>
                <w:sz w:val="16"/>
                <w:vertAlign w:val="superscript"/>
                <w:lang w:val="en-GB"/>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206F8B">
            <w:pPr>
              <w:jc w:val="right"/>
              <w:rPr>
                <w:color w:val="000000"/>
                <w:sz w:val="16"/>
                <w:vertAlign w:val="superscript"/>
                <w:lang w:val="en-GB"/>
              </w:rPr>
            </w:pPr>
            <w:r w:rsidRPr="00491918">
              <w:rPr>
                <w:color w:val="000000"/>
                <w:sz w:val="16"/>
                <w:lang w:val="en-GB"/>
              </w:rPr>
              <w:t>5</w:t>
            </w:r>
            <w:r w:rsidR="000D1659" w:rsidRPr="00491918">
              <w:rPr>
                <w:color w:val="000000"/>
                <w:sz w:val="16"/>
                <w:lang w:val="en-GB"/>
              </w:rPr>
              <w:t>.</w:t>
            </w:r>
            <w:r w:rsidRPr="00491918">
              <w:rPr>
                <w:color w:val="000000"/>
                <w:sz w:val="16"/>
                <w:lang w:val="en-GB"/>
              </w:rPr>
              <w:t>2</w:t>
            </w:r>
            <w:r w:rsidR="000D1659" w:rsidRPr="00491918">
              <w:rPr>
                <w:color w:val="000000"/>
                <w:sz w:val="16"/>
                <w:lang w:val="en-GB"/>
              </w:rPr>
              <w:t>p</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(6.3p)</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1.2p</w:t>
            </w:r>
          </w:p>
        </w:tc>
      </w:tr>
    </w:tbl>
    <w:p w:rsidR="000D1659" w:rsidRPr="00491918" w:rsidRDefault="000D1659">
      <w:pPr>
        <w:rPr>
          <w:lang w:val="en-GB"/>
        </w:rPr>
      </w:pPr>
    </w:p>
    <w:p w:rsidR="000D1659" w:rsidRPr="00491918" w:rsidRDefault="000D1659" w:rsidP="000D1659">
      <w:pPr>
        <w:pStyle w:val="Normal14"/>
        <w:rPr>
          <w:i/>
          <w:color w:val="000000"/>
          <w:sz w:val="14"/>
        </w:rPr>
      </w:pPr>
    </w:p>
    <w:p w:rsidR="000D1659" w:rsidRPr="00491918" w:rsidRDefault="000D1659" w:rsidP="000D1659">
      <w:pPr>
        <w:pStyle w:val="Normal14"/>
        <w:rPr>
          <w:i/>
          <w:color w:val="000000"/>
          <w:sz w:val="14"/>
        </w:rPr>
      </w:pPr>
    </w:p>
    <w:p w:rsidR="000D1659" w:rsidRPr="00491918" w:rsidRDefault="000D1659" w:rsidP="000D1659">
      <w:pPr>
        <w:pStyle w:val="Normal14"/>
        <w:rPr>
          <w:i/>
          <w:color w:val="000000"/>
          <w:sz w:val="14"/>
        </w:rPr>
      </w:pPr>
    </w:p>
    <w:p w:rsidR="000D1659" w:rsidRPr="00491918" w:rsidRDefault="000D1659" w:rsidP="000D1659">
      <w:pPr>
        <w:pStyle w:val="Normal14"/>
        <w:rPr>
          <w:i/>
          <w:color w:val="000000"/>
          <w:sz w:val="14"/>
        </w:rPr>
      </w:pPr>
    </w:p>
    <w:p w:rsidR="000D1659" w:rsidRPr="00491918" w:rsidRDefault="000D1659"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E9782A" w:rsidRPr="00491918" w:rsidRDefault="00E9782A" w:rsidP="000D1659">
      <w:pPr>
        <w:pStyle w:val="Normal14"/>
        <w:rPr>
          <w:i/>
          <w:color w:val="000000"/>
          <w:sz w:val="14"/>
        </w:rPr>
      </w:pPr>
    </w:p>
    <w:p w:rsidR="000D1659" w:rsidRPr="00491918" w:rsidRDefault="000D1659" w:rsidP="000D1659">
      <w:pPr>
        <w:pStyle w:val="Normal14"/>
        <w:rPr>
          <w:i/>
          <w:color w:val="000000"/>
          <w:sz w:val="14"/>
        </w:rPr>
      </w:pPr>
    </w:p>
    <w:p w:rsidR="000D1659" w:rsidRPr="00491918" w:rsidRDefault="000D1659" w:rsidP="000D1659">
      <w:pPr>
        <w:pStyle w:val="Normal14"/>
        <w:rPr>
          <w:i/>
          <w:color w:val="000000"/>
          <w:sz w:val="14"/>
        </w:rPr>
      </w:pPr>
    </w:p>
    <w:p w:rsidR="000D1659" w:rsidRPr="00491918" w:rsidRDefault="000D1659" w:rsidP="000D1659">
      <w:pPr>
        <w:pStyle w:val="Normal14"/>
        <w:rPr>
          <w:i/>
          <w:color w:val="000000"/>
          <w:sz w:val="14"/>
        </w:rPr>
      </w:pPr>
    </w:p>
    <w:p w:rsidR="000D1659" w:rsidRPr="00491918" w:rsidRDefault="000D1659" w:rsidP="000D1659">
      <w:pPr>
        <w:pStyle w:val="Normal14"/>
        <w:rPr>
          <w:i/>
          <w:color w:val="000000"/>
          <w:sz w:val="14"/>
        </w:rPr>
      </w:pPr>
    </w:p>
    <w:p w:rsidR="000D1659" w:rsidRPr="00491918" w:rsidRDefault="000D1659" w:rsidP="00CC41A9">
      <w:pPr>
        <w:pStyle w:val="Normal14"/>
        <w:numPr>
          <w:ilvl w:val="0"/>
          <w:numId w:val="255"/>
        </w:numPr>
        <w:ind w:left="284" w:hanging="284"/>
        <w:rPr>
          <w:i/>
          <w:color w:val="000000"/>
          <w:sz w:val="14"/>
        </w:rPr>
      </w:pPr>
      <w:r w:rsidRPr="00491918">
        <w:rPr>
          <w:i/>
          <w:color w:val="000000"/>
          <w:sz w:val="14"/>
        </w:rPr>
        <w:t xml:space="preserve">For notes to the Financial Statements see pages </w:t>
      </w:r>
      <w:r w:rsidR="008D6001" w:rsidRPr="00491918">
        <w:rPr>
          <w:i/>
          <w:color w:val="000000"/>
          <w:sz w:val="14"/>
        </w:rPr>
        <w:t>97 to 130</w:t>
      </w:r>
      <w:r w:rsidRPr="00491918">
        <w:rPr>
          <w:i/>
          <w:color w:val="000000"/>
          <w:sz w:val="14"/>
        </w:rPr>
        <w:t>.</w:t>
      </w:r>
    </w:p>
    <w:p w:rsidR="00DA356B" w:rsidRPr="00491918" w:rsidRDefault="00DA356B" w:rsidP="00DA356B">
      <w:pPr>
        <w:pStyle w:val="Normal14"/>
        <w:rPr>
          <w:i/>
          <w:color w:val="000000"/>
          <w:sz w:val="14"/>
        </w:rPr>
      </w:pPr>
    </w:p>
    <w:p w:rsidR="00DA356B" w:rsidRPr="00491918" w:rsidRDefault="00DA356B" w:rsidP="00DA356B">
      <w:pPr>
        <w:pStyle w:val="Normal14"/>
        <w:rPr>
          <w:i/>
          <w:color w:val="000000"/>
          <w:sz w:val="14"/>
        </w:rPr>
      </w:pPr>
    </w:p>
    <w:p w:rsidR="00DA356B" w:rsidRPr="00491918" w:rsidRDefault="00DA356B" w:rsidP="00DA356B">
      <w:pPr>
        <w:pStyle w:val="Normal14"/>
        <w:rPr>
          <w:i/>
          <w:color w:val="000000"/>
          <w:sz w:val="14"/>
        </w:rPr>
      </w:pPr>
    </w:p>
    <w:p w:rsidR="000D1659" w:rsidRPr="00491918" w:rsidRDefault="000D1659">
      <w:pPr>
        <w:spacing w:line="14" w:lineRule="exact"/>
        <w:rPr>
          <w:i/>
          <w:color w:val="000000"/>
          <w:sz w:val="14"/>
        </w:rPr>
      </w:pPr>
    </w:p>
    <w:tbl>
      <w:tblPr>
        <w:tblW w:w="0" w:type="auto"/>
        <w:tblLayout w:type="fixed"/>
        <w:tblLook w:val="0000" w:firstRow="0" w:lastRow="0" w:firstColumn="0" w:lastColumn="0" w:noHBand="0" w:noVBand="0"/>
      </w:tblPr>
      <w:tblGrid>
        <w:gridCol w:w="5655"/>
        <w:gridCol w:w="660"/>
        <w:gridCol w:w="1110"/>
        <w:gridCol w:w="1110"/>
        <w:gridCol w:w="1110"/>
      </w:tblGrid>
      <w:tr w:rsidR="009E6048" w:rsidRPr="00491918" w:rsidTr="000732DD">
        <w:trPr>
          <w:trHeight w:val="630"/>
        </w:trPr>
        <w:tc>
          <w:tcPr>
            <w:tcW w:w="9645" w:type="dxa"/>
            <w:gridSpan w:val="5"/>
            <w:tcBorders>
              <w:top w:val="nil"/>
              <w:left w:val="nil"/>
              <w:bottom w:val="nil"/>
              <w:right w:val="nil"/>
            </w:tcBorders>
            <w:shd w:val="clear" w:color="auto" w:fill="FFFFFF"/>
            <w:tcMar>
              <w:left w:w="36" w:type="dxa"/>
              <w:right w:w="36" w:type="dxa"/>
            </w:tcMar>
            <w:vAlign w:val="center"/>
          </w:tcPr>
          <w:p w:rsidR="000464EA" w:rsidRPr="00491918" w:rsidRDefault="000464EA" w:rsidP="000464EA">
            <w:pPr>
              <w:pStyle w:val="HeadingLevel1-BarcRA10"/>
              <w:rPr>
                <w:lang w:val="en-GB"/>
              </w:rPr>
            </w:pPr>
            <w:r w:rsidRPr="00491918">
              <w:t>Condensed Consolidated Financial Statements</w:t>
            </w:r>
          </w:p>
          <w:p w:rsidR="000D1659" w:rsidRPr="00491918" w:rsidRDefault="000D1659">
            <w:pPr>
              <w:rPr>
                <w:i/>
                <w:color w:val="000000"/>
                <w:sz w:val="14"/>
              </w:rPr>
            </w:pPr>
            <w:r w:rsidRPr="00491918">
              <w:rPr>
                <w:b/>
                <w:color w:val="000000"/>
                <w:sz w:val="24"/>
              </w:rPr>
              <w:t xml:space="preserve">Condensed Consolidated Statement of Profit or Loss and other Comprehensive Income </w:t>
            </w:r>
            <w:r w:rsidRPr="00491918">
              <w:rPr>
                <w:b/>
                <w:color w:val="000000"/>
                <w:sz w:val="24"/>
              </w:rPr>
              <w:lastRenderedPageBreak/>
              <w:t>(Unaudited)</w:t>
            </w:r>
          </w:p>
        </w:tc>
      </w:tr>
      <w:tr w:rsidR="000D1659" w:rsidRPr="00491918">
        <w:trPr>
          <w:trHeight w:hRule="exact" w:val="24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24"/>
              </w:rPr>
              <w:lastRenderedPageBreak/>
              <w:t xml:space="preserve"> </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24"/>
              </w:rPr>
              <w:t xml:space="preserve"> </w:t>
            </w:r>
            <w:r w:rsidRPr="00491918">
              <w:rPr>
                <w:b/>
                <w:color w:val="000000"/>
                <w:sz w:val="24"/>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rPr>
            </w:pPr>
            <w:r w:rsidRPr="00491918">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24"/>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24"/>
              </w:rPr>
              <w:t xml:space="preserve"> </w:t>
            </w:r>
          </w:p>
        </w:tc>
      </w:tr>
      <w:tr w:rsidR="000D1659" w:rsidRPr="00491918">
        <w:trPr>
          <w:trHeight w:val="51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16"/>
              </w:rPr>
              <w:t xml:space="preserve"> </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r>
      <w:tr w:rsidR="000D1659" w:rsidRPr="00491918">
        <w:trPr>
          <w:trHeight w:val="24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Continuing Operations</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30.06.13</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Notes</w:t>
            </w:r>
            <w:r w:rsidRPr="00491918">
              <w:rPr>
                <w:color w:val="000000"/>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0732DD" w:rsidRPr="00491918" w:rsidRDefault="000732DD"/>
    <w:tbl>
      <w:tblPr>
        <w:tblW w:w="0" w:type="auto"/>
        <w:tblLayout w:type="fixed"/>
        <w:tblLook w:val="0000" w:firstRow="0" w:lastRow="0" w:firstColumn="0" w:lastColumn="0" w:noHBand="0" w:noVBand="0"/>
      </w:tblPr>
      <w:tblGrid>
        <w:gridCol w:w="5655"/>
        <w:gridCol w:w="660"/>
        <w:gridCol w:w="1110"/>
        <w:gridCol w:w="1110"/>
        <w:gridCol w:w="1110"/>
      </w:tblGrid>
      <w:tr w:rsidR="000D1659" w:rsidRPr="00491918" w:rsidTr="000732DD">
        <w:trPr>
          <w:trHeight w:val="240"/>
        </w:trPr>
        <w:tc>
          <w:tcPr>
            <w:tcW w:w="5655" w:type="dxa"/>
            <w:tcBorders>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b/>
                <w:color w:val="000000"/>
                <w:sz w:val="16"/>
              </w:rPr>
              <w:t>Profit/(loss) after tax</w:t>
            </w:r>
          </w:p>
        </w:tc>
        <w:tc>
          <w:tcPr>
            <w:tcW w:w="660" w:type="dxa"/>
            <w:tcBorders>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1,</w:t>
            </w:r>
            <w:r w:rsidR="005C1A22" w:rsidRPr="00491918">
              <w:rPr>
                <w:b/>
                <w:color w:val="000000"/>
                <w:sz w:val="16"/>
              </w:rPr>
              <w:t>083</w:t>
            </w:r>
            <w:r w:rsidRPr="00491918">
              <w:rPr>
                <w:b/>
                <w:color w:val="000000"/>
                <w:sz w:val="16"/>
              </w:rPr>
              <w:t> </w:t>
            </w:r>
          </w:p>
        </w:tc>
        <w:tc>
          <w:tcPr>
            <w:tcW w:w="111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(377)</w:t>
            </w:r>
          </w:p>
        </w:tc>
        <w:tc>
          <w:tcPr>
            <w:tcW w:w="111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558 </w:t>
            </w:r>
          </w:p>
        </w:tc>
      </w:tr>
      <w:tr w:rsidR="000D1659" w:rsidRPr="00491918">
        <w:trPr>
          <w:trHeight w:hRule="exact" w:val="24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jc w:val="both"/>
              <w:rPr>
                <w:b/>
                <w:color w:val="000000"/>
                <w:sz w:val="16"/>
              </w:rPr>
            </w:pPr>
            <w:r w:rsidRPr="00491918">
              <w:rPr>
                <w:color w:val="000000"/>
                <w:sz w:val="16"/>
              </w:rPr>
              <w:t xml:space="preserve"> </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b/>
                <w:color w:val="000000"/>
                <w:sz w:val="16"/>
              </w:rPr>
              <w:t>Other comprehensive income that may be recycled to profit or loss:</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color w:val="000000"/>
                <w:sz w:val="16"/>
              </w:rPr>
              <w:t>Currency translation reserve</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18</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511 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(946)</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(602)</w:t>
            </w:r>
          </w:p>
        </w:tc>
      </w:tr>
      <w:tr w:rsidR="000D1659" w:rsidRPr="00491918">
        <w:trPr>
          <w:trHeight w:val="24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color w:val="000000"/>
                <w:sz w:val="16"/>
              </w:rPr>
              <w:t>Available for sale reserve</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18</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(94)</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745 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(199)</w:t>
            </w:r>
          </w:p>
        </w:tc>
      </w:tr>
      <w:tr w:rsidR="000D1659" w:rsidRPr="00491918">
        <w:trPr>
          <w:trHeight w:val="24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color w:val="000000"/>
                <w:sz w:val="16"/>
              </w:rPr>
              <w:t>Cash flow hedge reserve</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18</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(1,137)</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420 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242 </w:t>
            </w:r>
          </w:p>
        </w:tc>
      </w:tr>
      <w:tr w:rsidR="000D1659" w:rsidRPr="00491918">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color w:val="000000"/>
                <w:sz w:val="16"/>
              </w:rPr>
              <w:t>Other</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50 </w:t>
            </w:r>
          </w:p>
        </w:tc>
      </w:tr>
      <w:tr w:rsidR="000D1659" w:rsidRPr="00491918">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comprehensive (loss)/income that may be recycled to profit or loss</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(700)</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265 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(509)</w:t>
            </w:r>
          </w:p>
        </w:tc>
      </w:tr>
      <w:tr w:rsidR="000D1659" w:rsidRPr="00491918">
        <w:trPr>
          <w:trHeight w:hRule="exact" w:val="24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both"/>
              <w:rPr>
                <w:b/>
                <w:color w:val="000000"/>
                <w:sz w:val="16"/>
              </w:rPr>
            </w:pPr>
            <w:r w:rsidRPr="00491918">
              <w:rPr>
                <w:b/>
                <w:color w:val="000000"/>
                <w:sz w:val="16"/>
              </w:rPr>
              <w:t>Other comprehensive income not recycled to profit or loss:</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color w:val="000000"/>
                <w:sz w:val="16"/>
              </w:rPr>
              <w:t>Retirement benefit remeasurements</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18</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(55)</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(1,180)</w:t>
            </w:r>
          </w:p>
        </w:tc>
      </w:tr>
      <w:tr w:rsidR="000D1659" w:rsidRPr="00491918">
        <w:trPr>
          <w:trHeight w:hRule="exac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b/>
                <w:color w:val="000000"/>
                <w:sz w:val="16"/>
              </w:rPr>
              <w:t>Other comprehensive (loss)/income for the period</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(737)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210 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(1,689)</w:t>
            </w:r>
          </w:p>
        </w:tc>
      </w:tr>
      <w:tr w:rsidR="000D1659" w:rsidRPr="00491918">
        <w:trPr>
          <w:trHeight w:hRule="exac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b/>
                <w:color w:val="000000"/>
                <w:sz w:val="16"/>
              </w:rPr>
              <w:t>Total comprehensive income/(loss) for the period</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5C1A22">
            <w:pPr>
              <w:jc w:val="right"/>
              <w:rPr>
                <w:b/>
                <w:color w:val="000000"/>
                <w:sz w:val="16"/>
                <w:vertAlign w:val="superscript"/>
              </w:rPr>
            </w:pPr>
            <w:r w:rsidRPr="00491918">
              <w:rPr>
                <w:b/>
                <w:color w:val="000000"/>
                <w:sz w:val="16"/>
              </w:rPr>
              <w:t>346 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(1,131)</w:t>
            </w:r>
          </w:p>
        </w:tc>
      </w:tr>
      <w:tr w:rsidR="000D1659" w:rsidRPr="00491918">
        <w:trPr>
          <w:trHeight w:hRule="exact" w:val="240"/>
        </w:trPr>
        <w:tc>
          <w:tcPr>
            <w:tcW w:w="5655" w:type="dxa"/>
            <w:tcBorders>
              <w:top w:val="nil"/>
              <w:left w:val="nil"/>
              <w:bottom w:val="nil"/>
              <w:right w:val="nil"/>
            </w:tcBorders>
            <w:shd w:val="clear" w:color="auto" w:fill="FFFFFF"/>
            <w:tcMar>
              <w:left w:w="36" w:type="dxa"/>
              <w:right w:w="36" w:type="dxa"/>
            </w:tcMar>
            <w:vAlign w:val="center"/>
          </w:tcPr>
          <w:p w:rsidR="000D1659" w:rsidRPr="00491918" w:rsidRDefault="000D1659">
            <w:pPr>
              <w:jc w:val="both"/>
              <w:rPr>
                <w:b/>
                <w:color w:val="000000"/>
                <w:sz w:val="16"/>
              </w:rPr>
            </w:pPr>
            <w:r w:rsidRPr="00491918">
              <w:rPr>
                <w:color w:val="000000"/>
                <w:sz w:val="16"/>
              </w:rPr>
              <w:t xml:space="preserve"> </w:t>
            </w:r>
          </w:p>
        </w:tc>
        <w:tc>
          <w:tcPr>
            <w:tcW w:w="6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b/>
                <w:color w:val="000000"/>
                <w:sz w:val="16"/>
              </w:rPr>
              <w:t>Attributable to:</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color w:val="000000"/>
                <w:sz w:val="16"/>
              </w:rPr>
              <w:t>Equity holders of the parent</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5C1A22">
            <w:pPr>
              <w:jc w:val="right"/>
              <w:rPr>
                <w:color w:val="000000"/>
                <w:sz w:val="16"/>
                <w:vertAlign w:val="superscript"/>
              </w:rPr>
            </w:pPr>
            <w:r w:rsidRPr="00491918">
              <w:rPr>
                <w:color w:val="000000"/>
                <w:sz w:val="16"/>
              </w:rPr>
              <w:t>232 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(396)</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(1,498)</w:t>
            </w:r>
          </w:p>
        </w:tc>
      </w:tr>
      <w:tr w:rsidR="000D1659" w:rsidRPr="00491918">
        <w:trPr>
          <w:trHeight w:val="240"/>
        </w:trPr>
        <w:tc>
          <w:tcPr>
            <w:tcW w:w="565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color w:val="000000"/>
                <w:sz w:val="16"/>
              </w:rPr>
              <w:t>Non-controlling interests</w:t>
            </w:r>
          </w:p>
        </w:tc>
        <w:tc>
          <w:tcPr>
            <w:tcW w:w="6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114 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229 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367 </w:t>
            </w:r>
          </w:p>
        </w:tc>
      </w:tr>
      <w:tr w:rsidR="000D1659" w:rsidRPr="00491918">
        <w:trPr>
          <w:trHeight w:val="240"/>
        </w:trPr>
        <w:tc>
          <w:tcPr>
            <w:tcW w:w="565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both"/>
              <w:rPr>
                <w:color w:val="000000"/>
                <w:sz w:val="16"/>
              </w:rPr>
            </w:pPr>
            <w:r w:rsidRPr="00491918">
              <w:rPr>
                <w:b/>
                <w:color w:val="000000"/>
                <w:sz w:val="16"/>
              </w:rPr>
              <w:t>Total comprehensive income/(loss) for the period</w:t>
            </w:r>
          </w:p>
        </w:tc>
        <w:tc>
          <w:tcPr>
            <w:tcW w:w="6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5C1A22">
            <w:pPr>
              <w:jc w:val="right"/>
              <w:rPr>
                <w:b/>
                <w:color w:val="000000"/>
                <w:sz w:val="16"/>
                <w:vertAlign w:val="superscript"/>
              </w:rPr>
            </w:pPr>
            <w:r w:rsidRPr="00491918">
              <w:rPr>
                <w:b/>
                <w:color w:val="000000"/>
                <w:sz w:val="16"/>
              </w:rPr>
              <w:t>346 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(167)</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(1,131)</w:t>
            </w:r>
          </w:p>
        </w:tc>
      </w:tr>
    </w:tbl>
    <w:p w:rsidR="000D1659" w:rsidRPr="00491918" w:rsidRDefault="000D1659">
      <w:pPr>
        <w:rP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p>
    <w:p w:rsidR="000D1659" w:rsidRPr="00491918" w:rsidRDefault="000D1659" w:rsidP="000D1659">
      <w:pPr>
        <w:pStyle w:val="Normal15"/>
        <w:ind w:left="284" w:hanging="284"/>
        <w:rPr>
          <w:rFonts w:ascii="Expert Sans Regular" w:hAnsi="Expert Sans Regular"/>
          <w:i/>
          <w:color w:val="000000"/>
          <w:sz w:val="14"/>
        </w:rPr>
      </w:pPr>
      <w:r w:rsidRPr="00491918">
        <w:rPr>
          <w:rFonts w:ascii="Expert Sans Regular" w:hAnsi="Expert Sans Regular"/>
          <w:i/>
          <w:color w:val="000000"/>
          <w:sz w:val="14"/>
        </w:rPr>
        <w:t xml:space="preserve">1      For notes, see pages </w:t>
      </w:r>
      <w:r w:rsidR="008D6001" w:rsidRPr="00491918">
        <w:rPr>
          <w:rFonts w:ascii="Expert Sans Regular" w:hAnsi="Expert Sans Regular"/>
          <w:i/>
          <w:color w:val="000000"/>
          <w:sz w:val="14"/>
        </w:rPr>
        <w:t>97</w:t>
      </w:r>
      <w:r w:rsidRPr="00491918">
        <w:rPr>
          <w:rFonts w:ascii="Expert Sans Regular" w:hAnsi="Expert Sans Regular"/>
          <w:i/>
          <w:color w:val="000000"/>
          <w:sz w:val="14"/>
        </w:rPr>
        <w:t xml:space="preserve"> to</w:t>
      </w:r>
      <w:r w:rsidR="008D6001" w:rsidRPr="00491918">
        <w:rPr>
          <w:rFonts w:ascii="Expert Sans Regular" w:hAnsi="Expert Sans Regular"/>
          <w:i/>
          <w:color w:val="000000"/>
          <w:sz w:val="14"/>
        </w:rPr>
        <w:t xml:space="preserve"> 130</w:t>
      </w:r>
      <w:r w:rsidRPr="00491918">
        <w:rPr>
          <w:rFonts w:ascii="Expert Sans Regular" w:hAnsi="Expert Sans Regular"/>
          <w:i/>
          <w:color w:val="000000"/>
          <w:sz w:val="14"/>
        </w:rPr>
        <w:t>.</w:t>
      </w:r>
    </w:p>
    <w:p w:rsidR="000D1659" w:rsidRPr="00491918" w:rsidRDefault="000D1659">
      <w:pPr>
        <w:spacing w:line="14" w:lineRule="exact"/>
        <w:rPr>
          <w:i/>
          <w:color w:val="000000"/>
          <w:sz w:val="14"/>
        </w:rPr>
      </w:pPr>
      <w:r w:rsidRPr="00491918">
        <w:rPr>
          <w:i/>
          <w:color w:val="000000"/>
          <w:sz w:val="14"/>
        </w:rPr>
        <w:br w:type="page"/>
      </w:r>
    </w:p>
    <w:tbl>
      <w:tblPr>
        <w:tblW w:w="0" w:type="auto"/>
        <w:tblLayout w:type="fixed"/>
        <w:tblLook w:val="0000" w:firstRow="0" w:lastRow="0" w:firstColumn="0" w:lastColumn="0" w:noHBand="0" w:noVBand="0"/>
      </w:tblPr>
      <w:tblGrid>
        <w:gridCol w:w="5325"/>
        <w:gridCol w:w="990"/>
        <w:gridCol w:w="1110"/>
        <w:gridCol w:w="1110"/>
        <w:gridCol w:w="1110"/>
      </w:tblGrid>
      <w:tr w:rsidR="009E6048" w:rsidRPr="00491918" w:rsidTr="000732DD">
        <w:trPr>
          <w:trHeight w:val="315"/>
        </w:trPr>
        <w:tc>
          <w:tcPr>
            <w:tcW w:w="9645" w:type="dxa"/>
            <w:gridSpan w:val="5"/>
            <w:tcBorders>
              <w:top w:val="nil"/>
              <w:left w:val="nil"/>
              <w:bottom w:val="nil"/>
              <w:right w:val="nil"/>
            </w:tcBorders>
            <w:shd w:val="clear" w:color="auto" w:fill="FFFFFF"/>
            <w:tcMar>
              <w:left w:w="36" w:type="dxa"/>
              <w:right w:w="36" w:type="dxa"/>
            </w:tcMar>
            <w:vAlign w:val="center"/>
          </w:tcPr>
          <w:p w:rsidR="000464EA" w:rsidRPr="00491918" w:rsidRDefault="000464EA" w:rsidP="000464EA">
            <w:pPr>
              <w:pStyle w:val="HeadingLevel1-BarcRA10"/>
              <w:rPr>
                <w:lang w:val="en-GB"/>
              </w:rPr>
            </w:pPr>
            <w:r w:rsidRPr="00491918">
              <w:lastRenderedPageBreak/>
              <w:t>Condensed Consolidated Financial Statements</w:t>
            </w:r>
          </w:p>
          <w:p w:rsidR="000D1659" w:rsidRPr="00491918" w:rsidRDefault="000D1659">
            <w:pPr>
              <w:rPr>
                <w:i/>
                <w:color w:val="000000"/>
                <w:sz w:val="14"/>
              </w:rPr>
            </w:pPr>
            <w:r w:rsidRPr="00491918">
              <w:rPr>
                <w:b/>
                <w:color w:val="000000"/>
                <w:sz w:val="24"/>
              </w:rPr>
              <w:t>Condensed Consolidated Balance Sheet (Unaudited)</w:t>
            </w:r>
          </w:p>
        </w:tc>
      </w:tr>
      <w:tr w:rsidR="000D1659" w:rsidRPr="00491918">
        <w:trPr>
          <w:trHeight w:val="285"/>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20"/>
              </w:rPr>
              <w:t xml:space="preserve"> </w:t>
            </w:r>
            <w:r w:rsidRPr="00491918">
              <w:rPr>
                <w:b/>
                <w:color w:val="000000"/>
                <w:sz w:val="20"/>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20"/>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As at</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r>
      <w:tr w:rsidR="000D1659" w:rsidRPr="00491918">
        <w:trPr>
          <w:trHeight w:val="27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8"/>
              </w:rPr>
              <w:t>Assets</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30.06.13</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8"/>
              </w:rPr>
              <w:t xml:space="preserve"> </w:t>
            </w:r>
            <w:r w:rsidRPr="00491918">
              <w:rPr>
                <w:b/>
                <w:color w:val="000000"/>
                <w:sz w:val="18"/>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8"/>
                <w:vertAlign w:val="superscript"/>
              </w:rPr>
            </w:pPr>
            <w:r w:rsidRPr="00491918">
              <w:rPr>
                <w:color w:val="000000"/>
                <w:sz w:val="16"/>
              </w:rPr>
              <w:t>Notes</w:t>
            </w:r>
            <w:r w:rsidRPr="00491918">
              <w:rPr>
                <w:color w:val="000000"/>
                <w:sz w:val="16"/>
                <w:vertAlign w:val="superscript"/>
              </w:rPr>
              <w:t>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0732DD" w:rsidRPr="00491918" w:rsidRDefault="000732DD"/>
    <w:tbl>
      <w:tblPr>
        <w:tblW w:w="0" w:type="auto"/>
        <w:tblLayout w:type="fixed"/>
        <w:tblLook w:val="0000" w:firstRow="0" w:lastRow="0" w:firstColumn="0" w:lastColumn="0" w:noHBand="0" w:noVBand="0"/>
      </w:tblPr>
      <w:tblGrid>
        <w:gridCol w:w="5325"/>
        <w:gridCol w:w="990"/>
        <w:gridCol w:w="1110"/>
        <w:gridCol w:w="1110"/>
        <w:gridCol w:w="1110"/>
      </w:tblGrid>
      <w:tr w:rsidR="000D1659" w:rsidRPr="00491918" w:rsidTr="000732DD">
        <w:trPr>
          <w:trHeight w:val="240"/>
        </w:trPr>
        <w:tc>
          <w:tcPr>
            <w:tcW w:w="53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Cash and balances at central banks</w:t>
            </w:r>
            <w:r w:rsidRPr="00491918">
              <w:rPr>
                <w:color w:val="000000"/>
                <w:sz w:val="16"/>
                <w:vertAlign w:val="superscript"/>
              </w:rPr>
              <w:t xml:space="preserve">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72,720 </w:t>
            </w:r>
          </w:p>
        </w:tc>
        <w:tc>
          <w:tcPr>
            <w:tcW w:w="11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86,191 </w:t>
            </w:r>
          </w:p>
        </w:tc>
        <w:tc>
          <w:tcPr>
            <w:tcW w:w="11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126,074 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Items in the course of collection from other banks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2,578 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1,473 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2,598 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Trading portfolio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151,981 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146,352 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167,452 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assets designated at fair value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46,847 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46,629 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46,761 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Derivative financial instruments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10</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403,072 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469,156 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517,693 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Loans and advances to banks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46,451 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40,462 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48,765 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Loans and advances to customers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rsidP="005C1A22">
            <w:pPr>
              <w:jc w:val="right"/>
              <w:rPr>
                <w:color w:val="000000"/>
                <w:sz w:val="16"/>
                <w:vertAlign w:val="superscript"/>
              </w:rPr>
            </w:pPr>
            <w:r w:rsidRPr="00491918">
              <w:rPr>
                <w:color w:val="000000"/>
                <w:sz w:val="16"/>
              </w:rPr>
              <w:t>470,</w:t>
            </w:r>
            <w:r w:rsidR="005C1A22" w:rsidRPr="00491918">
              <w:rPr>
                <w:color w:val="000000"/>
                <w:sz w:val="16"/>
              </w:rPr>
              <w:t>062 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423,906 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452,744 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Reverse repurchase agreements and other similar secured lending</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222,881 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176,522 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173,814 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Available for sale investments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91,707 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75,109 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68,925 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Current and deferred tax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6</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rsidP="005C1A22">
            <w:pPr>
              <w:jc w:val="right"/>
              <w:rPr>
                <w:color w:val="000000"/>
                <w:sz w:val="16"/>
                <w:vertAlign w:val="superscript"/>
              </w:rPr>
            </w:pPr>
            <w:r w:rsidRPr="00491918">
              <w:rPr>
                <w:color w:val="000000"/>
                <w:sz w:val="16"/>
              </w:rPr>
              <w:t>4,</w:t>
            </w:r>
            <w:r w:rsidR="005C1A22" w:rsidRPr="00491918">
              <w:rPr>
                <w:color w:val="000000"/>
                <w:sz w:val="16"/>
              </w:rPr>
              <w:t>697 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3,815 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3,959 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Prepayments, accrued income and other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5,579 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4,365 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5,896 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Investments in associates and joint ventures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591 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633 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549 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Goodwill and intangible assets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13</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7,849 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7,915 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7,861 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Property, plant and equipment</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5,618 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5,754 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5,909 </w:t>
            </w:r>
          </w:p>
        </w:tc>
      </w:tr>
      <w:tr w:rsidR="000D1659" w:rsidRPr="00491918">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Retirement benefit assets</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16</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56 </w:t>
            </w:r>
          </w:p>
        </w:tc>
      </w:tr>
      <w:tr w:rsidR="000D1659" w:rsidRPr="00491918">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assets</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5C1A22">
            <w:pPr>
              <w:jc w:val="right"/>
              <w:rPr>
                <w:b/>
                <w:color w:val="000000"/>
                <w:sz w:val="16"/>
                <w:vertAlign w:val="superscript"/>
              </w:rPr>
            </w:pPr>
            <w:r w:rsidRPr="00491918">
              <w:rPr>
                <w:b/>
                <w:color w:val="000000"/>
                <w:sz w:val="16"/>
              </w:rPr>
              <w:t>1,532,</w:t>
            </w:r>
            <w:r w:rsidR="005C1A22" w:rsidRPr="00491918">
              <w:rPr>
                <w:b/>
                <w:color w:val="000000"/>
                <w:sz w:val="16"/>
              </w:rPr>
              <w:t>733 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1,488,335 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1,629,056 </w:t>
            </w:r>
          </w:p>
        </w:tc>
      </w:tr>
      <w:tr w:rsidR="000D1659" w:rsidRPr="00491918">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8"/>
              </w:rPr>
              <w:t>Liabilities</w:t>
            </w:r>
            <w:r w:rsidRPr="00491918">
              <w:rPr>
                <w:b/>
                <w:color w:val="000000"/>
                <w:sz w:val="18"/>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8"/>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Deposits from banks</w:t>
            </w:r>
            <w:r w:rsidRPr="00491918">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78,330 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77,012 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94,467 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Items in the course of collection due to other banks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1,542 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1,587 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1,671 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accounts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460,264 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385,411 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408,269 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Repurchase agreements and other similar secured borrowing</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259,539 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217,178 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245,833 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Trading portfolio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59,360 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44,794 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51,747 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liabilities designated at fair value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71,274 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78,561 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95,150 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Derivative financial instruments </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10</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396,125 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462,721 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507,712 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Debt securities in issue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102,946 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119,525 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124,901 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Accruals, deferred income and other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13,738 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12,532 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12,589 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Current and deferred tax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6</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5C1A22" w:rsidP="00206F8B">
            <w:pPr>
              <w:jc w:val="right"/>
              <w:rPr>
                <w:color w:val="000000"/>
                <w:sz w:val="16"/>
                <w:vertAlign w:val="superscript"/>
              </w:rPr>
            </w:pPr>
            <w:r w:rsidRPr="00491918">
              <w:rPr>
                <w:color w:val="000000"/>
                <w:sz w:val="16"/>
              </w:rPr>
              <w:t>98</w:t>
            </w:r>
            <w:r w:rsidR="00206F8B" w:rsidRPr="00491918">
              <w:rPr>
                <w:color w:val="000000"/>
                <w:sz w:val="16"/>
              </w:rPr>
              <w:t>2</w:t>
            </w:r>
            <w:r w:rsidRPr="00491918">
              <w:rPr>
                <w:color w:val="000000"/>
                <w:sz w:val="16"/>
              </w:rPr>
              <w:t>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962 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999 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Subordinated liabilities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14</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22,641 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24,018 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22,089 </w:t>
            </w:r>
          </w:p>
        </w:tc>
      </w:tr>
      <w:tr w:rsidR="000D1659" w:rsidRPr="00491918">
        <w:trPr>
          <w:trHeigh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Provisions </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15</w:t>
            </w:r>
            <w:r w:rsidRPr="00491918">
              <w:rPr>
                <w:color w:val="000000"/>
                <w:sz w:val="16"/>
                <w:vertAlign w:val="superscript"/>
              </w:rPr>
              <w:t xml:space="preserve"> </w:t>
            </w:r>
          </w:p>
        </w:tc>
        <w:tc>
          <w:tcPr>
            <w:tcW w:w="111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4,425 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2,766 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1,851 </w:t>
            </w:r>
          </w:p>
        </w:tc>
      </w:tr>
      <w:tr w:rsidR="000D1659" w:rsidRPr="00491918">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Retirement benefit liabilities</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16</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1,430 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1,282 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1,358 </w:t>
            </w:r>
          </w:p>
        </w:tc>
      </w:tr>
      <w:tr w:rsidR="000D1659" w:rsidRPr="00491918">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liabilities</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5C1A22">
            <w:pPr>
              <w:jc w:val="right"/>
              <w:rPr>
                <w:b/>
                <w:color w:val="000000"/>
                <w:sz w:val="16"/>
                <w:vertAlign w:val="superscript"/>
              </w:rPr>
            </w:pPr>
            <w:r w:rsidRPr="00491918">
              <w:rPr>
                <w:b/>
                <w:color w:val="000000"/>
                <w:sz w:val="16"/>
              </w:rPr>
              <w:t>1,472,</w:t>
            </w:r>
            <w:r w:rsidR="00206F8B" w:rsidRPr="00491918">
              <w:rPr>
                <w:b/>
                <w:color w:val="000000"/>
                <w:sz w:val="16"/>
              </w:rPr>
              <w:t>596</w:t>
            </w:r>
            <w:r w:rsidR="005C1A22" w:rsidRPr="00491918">
              <w:rPr>
                <w:b/>
                <w:color w:val="000000"/>
                <w:sz w:val="16"/>
              </w:rPr>
              <w:t>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1,428,349 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1,568,636 </w:t>
            </w:r>
          </w:p>
        </w:tc>
      </w:tr>
      <w:tr w:rsidR="000D1659" w:rsidRPr="00491918">
        <w:trPr>
          <w:trHeight w:hRule="exact" w:val="240"/>
        </w:trPr>
        <w:tc>
          <w:tcPr>
            <w:tcW w:w="53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Shareholders' Equity</w:t>
            </w:r>
            <w:r w:rsidRPr="00491918">
              <w:rPr>
                <w:b/>
                <w:color w:val="000000"/>
                <w:sz w:val="20"/>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20"/>
                <w:vertAlign w:val="superscript"/>
              </w:rPr>
            </w:pPr>
            <w:r w:rsidRPr="00491918">
              <w:rPr>
                <w:color w:val="000000"/>
                <w:sz w:val="20"/>
              </w:rPr>
              <w:t xml:space="preserve"> </w:t>
            </w:r>
            <w:r w:rsidRPr="00491918">
              <w:rPr>
                <w:color w:val="000000"/>
                <w:sz w:val="20"/>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rPr>
            </w:pPr>
            <w:r w:rsidRPr="00491918">
              <w:rPr>
                <w:color w:val="000000"/>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r>
      <w:tr w:rsidR="000D1659" w:rsidRPr="00491918">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20"/>
              </w:rPr>
            </w:pPr>
            <w:r w:rsidRPr="00491918">
              <w:rPr>
                <w:color w:val="000000"/>
                <w:sz w:val="16"/>
              </w:rPr>
              <w:t>Shareholders' equity excluding non-controlling interests</w:t>
            </w:r>
            <w:r w:rsidRPr="00491918">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206F8B">
            <w:pPr>
              <w:jc w:val="right"/>
              <w:rPr>
                <w:color w:val="000000"/>
                <w:sz w:val="16"/>
                <w:vertAlign w:val="superscript"/>
              </w:rPr>
            </w:pPr>
            <w:r w:rsidRPr="00491918">
              <w:rPr>
                <w:color w:val="000000"/>
                <w:sz w:val="16"/>
              </w:rPr>
              <w:t>51,</w:t>
            </w:r>
            <w:r w:rsidR="005C1A22" w:rsidRPr="00491918">
              <w:rPr>
                <w:color w:val="000000"/>
                <w:sz w:val="16"/>
              </w:rPr>
              <w:t>0</w:t>
            </w:r>
            <w:r w:rsidR="00206F8B" w:rsidRPr="00491918">
              <w:rPr>
                <w:color w:val="000000"/>
                <w:sz w:val="16"/>
              </w:rPr>
              <w:t>83</w:t>
            </w:r>
            <w:r w:rsidR="005C1A22" w:rsidRPr="00491918">
              <w:rPr>
                <w:color w:val="000000"/>
                <w:sz w:val="16"/>
              </w:rPr>
              <w:t>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50,615 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50,935 </w:t>
            </w:r>
          </w:p>
        </w:tc>
      </w:tr>
      <w:tr w:rsidR="000D1659" w:rsidRPr="00491918">
        <w:trPr>
          <w:trHeigh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Non-controlling interests</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color w:val="000000"/>
                <w:sz w:val="16"/>
              </w:rPr>
              <w:t>7</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9,054 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9,371 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9,485 </w:t>
            </w:r>
          </w:p>
        </w:tc>
      </w:tr>
      <w:tr w:rsidR="000D1659" w:rsidRPr="00491918">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shareholders' equity</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705060">
            <w:pPr>
              <w:jc w:val="right"/>
              <w:rPr>
                <w:color w:val="000000"/>
                <w:sz w:val="16"/>
                <w:vertAlign w:val="superscript"/>
              </w:rPr>
            </w:pPr>
            <w:r w:rsidRPr="00491918">
              <w:rPr>
                <w:b/>
                <w:color w:val="000000"/>
                <w:sz w:val="16"/>
              </w:rPr>
              <w:t>60,</w:t>
            </w:r>
            <w:r w:rsidR="00705060" w:rsidRPr="00491918">
              <w:rPr>
                <w:b/>
                <w:color w:val="000000"/>
                <w:sz w:val="16"/>
              </w:rPr>
              <w:t>13</w:t>
            </w:r>
            <w:r w:rsidR="00206F8B" w:rsidRPr="00491918">
              <w:rPr>
                <w:b/>
                <w:color w:val="000000"/>
                <w:sz w:val="16"/>
              </w:rPr>
              <w:t>7</w:t>
            </w:r>
            <w:r w:rsidR="00705060" w:rsidRPr="00491918">
              <w:rPr>
                <w:b/>
                <w:color w:val="000000"/>
                <w:sz w:val="16"/>
              </w:rPr>
              <w:t>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59,986 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60,420 </w:t>
            </w:r>
          </w:p>
        </w:tc>
      </w:tr>
      <w:tr w:rsidR="000D1659" w:rsidRPr="00491918">
        <w:trPr>
          <w:trHeight w:hRule="exact" w:val="240"/>
        </w:trPr>
        <w:tc>
          <w:tcPr>
            <w:tcW w:w="53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3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liabilities and shareholders' equity</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11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5C1A22">
            <w:pPr>
              <w:jc w:val="right"/>
              <w:rPr>
                <w:color w:val="000000"/>
                <w:sz w:val="16"/>
                <w:vertAlign w:val="superscript"/>
              </w:rPr>
            </w:pPr>
            <w:r w:rsidRPr="00491918">
              <w:rPr>
                <w:b/>
                <w:color w:val="000000"/>
                <w:sz w:val="16"/>
              </w:rPr>
              <w:t>1,532,</w:t>
            </w:r>
            <w:r w:rsidR="005C1A22" w:rsidRPr="00491918">
              <w:rPr>
                <w:b/>
                <w:color w:val="000000"/>
                <w:sz w:val="16"/>
              </w:rPr>
              <w:t>733 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1,488,335 </w:t>
            </w:r>
          </w:p>
        </w:tc>
        <w:tc>
          <w:tcPr>
            <w:tcW w:w="11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1,629,056 </w:t>
            </w:r>
          </w:p>
        </w:tc>
      </w:tr>
    </w:tbl>
    <w:p w:rsidR="000D1659" w:rsidRPr="00491918" w:rsidRDefault="000D1659">
      <w:pPr>
        <w:rP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E9782A" w:rsidRPr="00491918" w:rsidRDefault="00E9782A"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i/>
          <w:color w:val="000000"/>
          <w:sz w:val="14"/>
        </w:rPr>
      </w:pPr>
    </w:p>
    <w:p w:rsidR="000D1659" w:rsidRPr="00491918" w:rsidRDefault="000D1659" w:rsidP="000D1659">
      <w:pPr>
        <w:pStyle w:val="Normal16"/>
        <w:ind w:left="284" w:hanging="284"/>
        <w:rPr>
          <w:rFonts w:ascii="Expert Sans Regular" w:hAnsi="Expert Sans Regular"/>
        </w:rPr>
      </w:pPr>
      <w:r w:rsidRPr="00491918">
        <w:rPr>
          <w:rFonts w:ascii="Expert Sans Regular" w:hAnsi="Expert Sans Regular"/>
          <w:i/>
          <w:color w:val="000000"/>
          <w:sz w:val="14"/>
        </w:rPr>
        <w:t xml:space="preserve">1      For notes, see pages </w:t>
      </w:r>
      <w:r w:rsidR="008D6001" w:rsidRPr="00491918">
        <w:rPr>
          <w:rFonts w:ascii="Expert Sans Regular" w:hAnsi="Expert Sans Regular"/>
          <w:i/>
          <w:color w:val="000000"/>
          <w:sz w:val="14"/>
        </w:rPr>
        <w:t>97</w:t>
      </w:r>
      <w:r w:rsidRPr="00491918">
        <w:rPr>
          <w:rFonts w:ascii="Expert Sans Regular" w:hAnsi="Expert Sans Regular"/>
          <w:i/>
          <w:color w:val="000000"/>
          <w:sz w:val="14"/>
        </w:rPr>
        <w:t xml:space="preserve"> to</w:t>
      </w:r>
      <w:r w:rsidR="008D6001" w:rsidRPr="00491918">
        <w:rPr>
          <w:rFonts w:ascii="Expert Sans Regular" w:hAnsi="Expert Sans Regular"/>
          <w:i/>
          <w:color w:val="000000"/>
          <w:sz w:val="14"/>
        </w:rPr>
        <w:t xml:space="preserve"> 130</w:t>
      </w:r>
      <w:r w:rsidRPr="00491918">
        <w:rPr>
          <w:rFonts w:ascii="Expert Sans Regular" w:hAnsi="Expert Sans Regular"/>
          <w:i/>
          <w:color w:val="000000"/>
          <w:sz w:val="14"/>
        </w:rPr>
        <w:t>.</w:t>
      </w:r>
    </w:p>
    <w:p w:rsidR="000D1659" w:rsidRPr="00491918" w:rsidRDefault="000D1659">
      <w:pPr>
        <w:spacing w:line="14" w:lineRule="exact"/>
      </w:pPr>
      <w:r w:rsidRPr="00491918">
        <w:br w:type="page"/>
      </w:r>
    </w:p>
    <w:tbl>
      <w:tblPr>
        <w:tblW w:w="0" w:type="auto"/>
        <w:tblLayout w:type="fixed"/>
        <w:tblLook w:val="0000" w:firstRow="0" w:lastRow="0" w:firstColumn="0" w:lastColumn="0" w:noHBand="0" w:noVBand="0"/>
      </w:tblPr>
      <w:tblGrid>
        <w:gridCol w:w="4245"/>
        <w:gridCol w:w="1245"/>
        <w:gridCol w:w="915"/>
        <w:gridCol w:w="900"/>
        <w:gridCol w:w="720"/>
        <w:gridCol w:w="900"/>
        <w:gridCol w:w="705"/>
      </w:tblGrid>
      <w:tr w:rsidR="009E6048" w:rsidRPr="00491918" w:rsidTr="00E9782A">
        <w:trPr>
          <w:trHeight w:val="330"/>
        </w:trPr>
        <w:tc>
          <w:tcPr>
            <w:tcW w:w="9630" w:type="dxa"/>
            <w:gridSpan w:val="7"/>
            <w:tcBorders>
              <w:top w:val="nil"/>
              <w:left w:val="nil"/>
              <w:bottom w:val="nil"/>
              <w:right w:val="nil"/>
            </w:tcBorders>
            <w:shd w:val="clear" w:color="auto" w:fill="FFFFFF"/>
            <w:tcMar>
              <w:left w:w="36" w:type="dxa"/>
              <w:right w:w="36" w:type="dxa"/>
            </w:tcMar>
            <w:vAlign w:val="center"/>
          </w:tcPr>
          <w:p w:rsidR="000464EA" w:rsidRPr="00491918" w:rsidRDefault="000464EA" w:rsidP="000464EA">
            <w:pPr>
              <w:pStyle w:val="HeadingLevel1-BarcRA10"/>
              <w:rPr>
                <w:lang w:val="en-GB"/>
              </w:rPr>
            </w:pPr>
            <w:r w:rsidRPr="00491918">
              <w:lastRenderedPageBreak/>
              <w:t>Condensed Consolidated Financial Statements</w:t>
            </w:r>
          </w:p>
          <w:p w:rsidR="000D1659" w:rsidRPr="00491918" w:rsidRDefault="000D1659">
            <w:r w:rsidRPr="00491918">
              <w:rPr>
                <w:b/>
                <w:color w:val="000000"/>
                <w:sz w:val="22"/>
              </w:rPr>
              <w:t>Condensed Consolidated Statement of Changes in Equity (Unaudited)</w:t>
            </w:r>
          </w:p>
        </w:tc>
      </w:tr>
      <w:tr w:rsidR="000D1659" w:rsidRPr="00491918">
        <w:trPr>
          <w:trHeight w:val="915"/>
        </w:trPr>
        <w:tc>
          <w:tcPr>
            <w:tcW w:w="424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2"/>
              </w:rPr>
            </w:pPr>
            <w:r w:rsidRPr="00491918">
              <w:rPr>
                <w:b/>
                <w:color w:val="000000"/>
                <w:sz w:val="16"/>
              </w:rPr>
              <w:t>Half Year Ended 30.06.13</w:t>
            </w:r>
          </w:p>
        </w:tc>
        <w:tc>
          <w:tcPr>
            <w:tcW w:w="124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Called up Share Capital and Share Premium</w:t>
            </w:r>
            <w:r w:rsidRPr="00491918">
              <w:rPr>
                <w:b/>
                <w:color w:val="000000"/>
                <w:sz w:val="16"/>
                <w:vertAlign w:val="superscript"/>
              </w:rPr>
              <w:t>1 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Other Reserves</w:t>
            </w:r>
            <w:r w:rsidRPr="00491918">
              <w:rPr>
                <w:b/>
                <w:color w:val="000000"/>
                <w:sz w:val="16"/>
                <w:vertAlign w:val="superscript"/>
              </w:rPr>
              <w:t>1 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Retained Earnings</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Non-controlling Interests</w:t>
            </w:r>
            <w:r w:rsidRPr="00491918">
              <w:rPr>
                <w:b/>
                <w:color w:val="000000"/>
                <w:sz w:val="16"/>
                <w:vertAlign w:val="superscript"/>
              </w:rPr>
              <w:t>2 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Total</w:t>
            </w:r>
          </w:p>
          <w:p w:rsidR="000D1659" w:rsidRPr="00491918" w:rsidRDefault="000D1659">
            <w:pPr>
              <w:jc w:val="right"/>
              <w:rPr>
                <w:b/>
                <w:color w:val="000000"/>
                <w:sz w:val="16"/>
              </w:rPr>
            </w:pPr>
            <w:r w:rsidRPr="00491918">
              <w:rPr>
                <w:b/>
                <w:color w:val="000000"/>
                <w:sz w:val="16"/>
              </w:rPr>
              <w:t>Equity</w:t>
            </w:r>
          </w:p>
        </w:tc>
      </w:tr>
      <w:tr w:rsidR="000D1659" w:rsidRPr="00491918">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r>
    </w:tbl>
    <w:p w:rsidR="000732DD" w:rsidRPr="00491918" w:rsidRDefault="000732DD"/>
    <w:tbl>
      <w:tblPr>
        <w:tblW w:w="0" w:type="auto"/>
        <w:tblLayout w:type="fixed"/>
        <w:tblLook w:val="0000" w:firstRow="0" w:lastRow="0" w:firstColumn="0" w:lastColumn="0" w:noHBand="0" w:noVBand="0"/>
      </w:tblPr>
      <w:tblGrid>
        <w:gridCol w:w="4245"/>
        <w:gridCol w:w="1245"/>
        <w:gridCol w:w="915"/>
        <w:gridCol w:w="900"/>
        <w:gridCol w:w="720"/>
        <w:gridCol w:w="900"/>
        <w:gridCol w:w="705"/>
      </w:tblGrid>
      <w:tr w:rsidR="000D1659" w:rsidRPr="00491918" w:rsidTr="000732DD">
        <w:trPr>
          <w:trHeight w:val="240"/>
        </w:trPr>
        <w:tc>
          <w:tcPr>
            <w:tcW w:w="424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Balance at 1 January 2013</w:t>
            </w:r>
          </w:p>
        </w:tc>
        <w:tc>
          <w:tcPr>
            <w:tcW w:w="1245"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12,477 </w:t>
            </w:r>
            <w:r w:rsidRPr="00491918">
              <w:rPr>
                <w:b/>
                <w:color w:val="000000"/>
                <w:sz w:val="16"/>
                <w:vertAlign w:val="superscript"/>
              </w:rPr>
              <w:t xml:space="preserve">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3,674 </w:t>
            </w:r>
            <w:r w:rsidRPr="00491918">
              <w:rPr>
                <w:b/>
                <w:color w:val="000000"/>
                <w:sz w:val="16"/>
                <w:vertAlign w:val="superscript"/>
              </w:rPr>
              <w:t xml:space="preserve">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34,464 </w:t>
            </w:r>
          </w:p>
        </w:tc>
        <w:tc>
          <w:tcPr>
            <w:tcW w:w="72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50,615 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9,371 </w:t>
            </w:r>
            <w:r w:rsidRPr="00491918">
              <w:rPr>
                <w:b/>
                <w:color w:val="000000"/>
                <w:sz w:val="16"/>
                <w:vertAlign w:val="superscript"/>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59,986 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Profit after tax</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705060">
            <w:pPr>
              <w:jc w:val="right"/>
              <w:rPr>
                <w:color w:val="000000"/>
                <w:sz w:val="16"/>
                <w:vertAlign w:val="superscript"/>
              </w:rPr>
            </w:pPr>
            <w:r w:rsidRPr="00491918">
              <w:rPr>
                <w:color w:val="000000"/>
                <w:sz w:val="16"/>
              </w:rPr>
              <w:t>671 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705060">
            <w:pPr>
              <w:jc w:val="right"/>
              <w:rPr>
                <w:color w:val="000000"/>
                <w:sz w:val="16"/>
              </w:rPr>
            </w:pPr>
            <w:r w:rsidRPr="00491918">
              <w:rPr>
                <w:color w:val="000000"/>
                <w:sz w:val="16"/>
              </w:rPr>
              <w:t>671 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412 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rsidP="00705060">
            <w:pPr>
              <w:jc w:val="right"/>
              <w:rPr>
                <w:color w:val="000000"/>
                <w:sz w:val="16"/>
                <w:vertAlign w:val="superscript"/>
              </w:rPr>
            </w:pPr>
            <w:r w:rsidRPr="00491918">
              <w:rPr>
                <w:color w:val="000000"/>
                <w:sz w:val="16"/>
              </w:rPr>
              <w:t>1,</w:t>
            </w:r>
            <w:r w:rsidR="00705060" w:rsidRPr="00491918">
              <w:rPr>
                <w:color w:val="000000"/>
                <w:sz w:val="16"/>
              </w:rPr>
              <w:t>083 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Currency translation movements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750 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750 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(239)</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511 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Available for sale investments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(96)</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(96)</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(94)</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Cash flow hedges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(1,080)</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(1,080)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(57)</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(1,137)</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Retirement benefit remeasurements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(33)</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(37)</w:t>
            </w:r>
          </w:p>
        </w:tc>
      </w:tr>
      <w:tr w:rsidR="000D1659" w:rsidRPr="00491918">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20 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20 </w:t>
            </w:r>
          </w:p>
        </w:tc>
      </w:tr>
      <w:tr w:rsidR="000D1659" w:rsidRPr="00491918">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comprehensive income for the period</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(426)</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705060">
            <w:pPr>
              <w:jc w:val="right"/>
              <w:rPr>
                <w:b/>
                <w:color w:val="000000"/>
                <w:sz w:val="16"/>
                <w:vertAlign w:val="superscript"/>
              </w:rPr>
            </w:pPr>
            <w:r w:rsidRPr="00491918">
              <w:rPr>
                <w:b/>
                <w:color w:val="000000"/>
                <w:sz w:val="16"/>
              </w:rPr>
              <w:t>658 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705060">
            <w:pPr>
              <w:jc w:val="right"/>
              <w:rPr>
                <w:b/>
                <w:color w:val="000000"/>
                <w:sz w:val="16"/>
              </w:rPr>
            </w:pPr>
            <w:r w:rsidRPr="00491918">
              <w:rPr>
                <w:b/>
                <w:color w:val="000000"/>
                <w:sz w:val="16"/>
              </w:rPr>
              <w:t>232 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114 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705060">
            <w:pPr>
              <w:jc w:val="right"/>
              <w:rPr>
                <w:b/>
                <w:color w:val="000000"/>
                <w:sz w:val="16"/>
                <w:vertAlign w:val="superscript"/>
              </w:rPr>
            </w:pPr>
            <w:r w:rsidRPr="00491918">
              <w:rPr>
                <w:b/>
                <w:color w:val="000000"/>
                <w:sz w:val="16"/>
              </w:rPr>
              <w:t>346</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Issue of new ordinary shares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750 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750 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750 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Issue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761 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337 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1,098 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1,098 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Increase in treasury shares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(1,049)</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(1,049)</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(1,049)</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Vesting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1,034 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(1,034)</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Dividends paid</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(570)</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(570)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(323)</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(893)</w:t>
            </w:r>
          </w:p>
        </w:tc>
      </w:tr>
      <w:tr w:rsidR="000D1659" w:rsidRPr="00491918">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reserve movements</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(108)</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(101)</w:t>
            </w:r>
          </w:p>
        </w:tc>
      </w:tr>
      <w:tr w:rsidR="000D1659" w:rsidRPr="00491918">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Balance at 30 June 2013</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13,988 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3,233 </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206F8B">
            <w:pPr>
              <w:jc w:val="right"/>
              <w:rPr>
                <w:b/>
                <w:color w:val="000000"/>
                <w:sz w:val="16"/>
                <w:vertAlign w:val="superscript"/>
              </w:rPr>
            </w:pPr>
            <w:r w:rsidRPr="00491918">
              <w:rPr>
                <w:b/>
                <w:color w:val="000000"/>
                <w:sz w:val="16"/>
              </w:rPr>
              <w:t>3</w:t>
            </w:r>
            <w:r w:rsidR="00391981" w:rsidRPr="00491918">
              <w:rPr>
                <w:b/>
                <w:color w:val="000000"/>
                <w:sz w:val="16"/>
              </w:rPr>
              <w:t>3,862</w:t>
            </w:r>
            <w:r w:rsidRPr="00491918">
              <w:rPr>
                <w:b/>
                <w:color w:val="000000"/>
                <w:sz w:val="16"/>
              </w:rPr>
              <w:t>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705060">
            <w:pPr>
              <w:jc w:val="right"/>
              <w:rPr>
                <w:b/>
                <w:color w:val="000000"/>
                <w:sz w:val="16"/>
              </w:rPr>
            </w:pPr>
            <w:r w:rsidRPr="00491918">
              <w:rPr>
                <w:b/>
                <w:color w:val="000000"/>
                <w:sz w:val="16"/>
              </w:rPr>
              <w:t>51,</w:t>
            </w:r>
            <w:r w:rsidR="00705060" w:rsidRPr="00491918">
              <w:rPr>
                <w:b/>
                <w:color w:val="000000"/>
                <w:sz w:val="16"/>
              </w:rPr>
              <w:t>083 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9,054 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705060">
            <w:pPr>
              <w:jc w:val="right"/>
              <w:rPr>
                <w:b/>
                <w:color w:val="000000"/>
                <w:sz w:val="16"/>
                <w:vertAlign w:val="superscript"/>
              </w:rPr>
            </w:pPr>
            <w:r w:rsidRPr="00491918">
              <w:rPr>
                <w:b/>
                <w:color w:val="000000"/>
                <w:sz w:val="16"/>
              </w:rPr>
              <w:t>60,</w:t>
            </w:r>
            <w:r w:rsidR="00705060" w:rsidRPr="00491918">
              <w:rPr>
                <w:b/>
                <w:color w:val="000000"/>
                <w:sz w:val="16"/>
              </w:rPr>
              <w:t>137 </w:t>
            </w:r>
          </w:p>
        </w:tc>
      </w:tr>
      <w:tr w:rsidR="000D1659" w:rsidRPr="00491918">
        <w:trPr>
          <w:trHeight w:hRule="exac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r>
      <w:tr w:rsidR="000D1659" w:rsidRPr="00491918">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Half Year Ended 31.12.12</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r>
      <w:tr w:rsidR="000D1659" w:rsidRPr="00491918">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Balance at 1 July 2012</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12,462 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3,279</w:t>
            </w:r>
            <w:r w:rsidR="000D1659" w:rsidRPr="00491918">
              <w:rPr>
                <w:b/>
                <w:color w:val="000000"/>
                <w:sz w:val="16"/>
              </w:rPr>
              <w:t> </w:t>
            </w:r>
            <w:r w:rsidR="000D1659"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35,194</w:t>
            </w:r>
            <w:r w:rsidR="000D1659" w:rsidRPr="00491918">
              <w:rPr>
                <w:b/>
                <w:color w:val="000000"/>
                <w:sz w:val="16"/>
              </w:rPr>
              <w:t>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50,935 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9,485 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60,420 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(Loss)/profit after tax</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(772)</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(772)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395 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(377)</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Currency translation movements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(758)</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(758)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(188)</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(946)</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Available for sale investments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720 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720 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745 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Cash flow hedges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423 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423 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420 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Retirement benefit remeasurements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(55)</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(55)</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(55)</w:t>
            </w:r>
          </w:p>
        </w:tc>
      </w:tr>
      <w:tr w:rsidR="000D1659" w:rsidRPr="00491918">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46 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46 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46 </w:t>
            </w:r>
          </w:p>
        </w:tc>
      </w:tr>
      <w:tr w:rsidR="000D1659" w:rsidRPr="00491918">
        <w:trPr>
          <w:trHeight w:val="255"/>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comprehensive income for the period</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385 </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(781)</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(396)</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229 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(167)</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Issue of new ordinary shares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Issue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348 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363 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363 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Increase in treasury shares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(24)</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(24)</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Vesting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34 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(34)</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Dividends paid</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(245)</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(245)</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(330)</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(575)</w:t>
            </w:r>
          </w:p>
        </w:tc>
      </w:tr>
      <w:tr w:rsidR="000D1659" w:rsidRPr="00491918">
        <w:trPr>
          <w:trHeight w:val="255"/>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reserve movements</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(18)</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(31)</w:t>
            </w:r>
          </w:p>
        </w:tc>
      </w:tr>
      <w:tr w:rsidR="000D1659" w:rsidRPr="00491918">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Balance at 31 December 2012</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12,477 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3,674</w:t>
            </w:r>
            <w:r w:rsidR="000D1659" w:rsidRPr="00491918">
              <w:rPr>
                <w:b/>
                <w:color w:val="000000"/>
                <w:sz w:val="16"/>
              </w:rPr>
              <w:t> </w:t>
            </w:r>
            <w:r w:rsidR="000D1659"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34,464</w:t>
            </w:r>
            <w:r w:rsidR="000D1659" w:rsidRPr="00491918">
              <w:rPr>
                <w:b/>
                <w:color w:val="000000"/>
                <w:sz w:val="16"/>
              </w:rPr>
              <w:t>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50,615 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9,371 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59,986 </w:t>
            </w:r>
          </w:p>
        </w:tc>
      </w:tr>
      <w:tr w:rsidR="000D1659" w:rsidRPr="00491918">
        <w:trPr>
          <w:trHeight w:hRule="exac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r>
      <w:tr w:rsidR="000D1659" w:rsidRPr="00491918">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Half Year Ended 30.06.12</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r>
      <w:tr w:rsidR="000D1659" w:rsidRPr="00491918">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Balance at 1 January 2012</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12,380 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3,837</w:t>
            </w:r>
            <w:r w:rsidR="000D1659" w:rsidRPr="00491918">
              <w:rPr>
                <w:b/>
                <w:color w:val="000000"/>
                <w:sz w:val="16"/>
              </w:rPr>
              <w:t> </w:t>
            </w:r>
            <w:r w:rsidR="000D1659"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37,189</w:t>
            </w:r>
            <w:r w:rsidR="000D1659" w:rsidRPr="00491918">
              <w:rPr>
                <w:b/>
                <w:color w:val="000000"/>
                <w:sz w:val="16"/>
              </w:rPr>
              <w:t>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53,406 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9,607 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63,013 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Profit after tax</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148 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410 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558 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Currency translation movements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(531)</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(531)</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(71)</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(602)</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Available for sale investments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(218)</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(199)</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Cash flow hedges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234 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234 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242 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Retirement benefit remeasurements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(1,180)</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(1,180)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(1,180)</w:t>
            </w:r>
          </w:p>
        </w:tc>
      </w:tr>
      <w:tr w:rsidR="000D1659" w:rsidRPr="00491918">
        <w:trPr>
          <w:trHeight w:val="240"/>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49 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50 </w:t>
            </w:r>
          </w:p>
        </w:tc>
      </w:tr>
      <w:tr w:rsidR="000D1659" w:rsidRPr="00491918">
        <w:trPr>
          <w:trHeight w:val="240"/>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comprehensive income for the period</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(515)</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(983)</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(1,498)</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367 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(1,131)</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Issue of new ordinary shares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Issue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82 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369 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451 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451 </w:t>
            </w:r>
          </w:p>
        </w:tc>
      </w:tr>
      <w:tr w:rsidR="000D1659" w:rsidRPr="00491918">
        <w:trPr>
          <w:trHeight w:val="240"/>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Increase in treasury shares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(955)</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(955)</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(955)</w:t>
            </w:r>
          </w:p>
        </w:tc>
      </w:tr>
      <w:tr w:rsidR="000D1659" w:rsidRPr="00491918">
        <w:trPr>
          <w:trHeight w:val="255"/>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Vesting of shares under employee share schemes</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912 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(912)</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r>
      <w:tr w:rsidR="000D1659" w:rsidRPr="00491918">
        <w:trPr>
          <w:trHeight w:val="255"/>
        </w:trPr>
        <w:tc>
          <w:tcPr>
            <w:tcW w:w="42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Dividends paid</w:t>
            </w:r>
          </w:p>
        </w:tc>
        <w:tc>
          <w:tcPr>
            <w:tcW w:w="12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(488)</w:t>
            </w:r>
          </w:p>
        </w:tc>
        <w:tc>
          <w:tcPr>
            <w:tcW w:w="7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(488)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(364)</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(852)</w:t>
            </w:r>
          </w:p>
        </w:tc>
      </w:tr>
      <w:tr w:rsidR="000D1659" w:rsidRPr="00491918">
        <w:trPr>
          <w:trHeight w:val="255"/>
        </w:trPr>
        <w:tc>
          <w:tcPr>
            <w:tcW w:w="4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reserve movements</w:t>
            </w:r>
          </w:p>
        </w:tc>
        <w:tc>
          <w:tcPr>
            <w:tcW w:w="12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19 </w:t>
            </w:r>
          </w:p>
        </w:tc>
        <w:tc>
          <w:tcPr>
            <w:tcW w:w="7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(125)</w:t>
            </w:r>
            <w:r w:rsidRPr="00491918">
              <w:rPr>
                <w:color w:val="000000"/>
                <w:sz w:val="16"/>
                <w:vertAlign w:val="superscript"/>
              </w:rPr>
              <w:t xml:space="preserve"> </w:t>
            </w:r>
          </w:p>
        </w:tc>
        <w:tc>
          <w:tcPr>
            <w:tcW w:w="70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(106)</w:t>
            </w:r>
          </w:p>
        </w:tc>
      </w:tr>
      <w:tr w:rsidR="000D1659" w:rsidRPr="00491918">
        <w:trPr>
          <w:trHeight w:val="255"/>
        </w:trPr>
        <w:tc>
          <w:tcPr>
            <w:tcW w:w="4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Balance at 30 June 2012</w:t>
            </w:r>
          </w:p>
        </w:tc>
        <w:tc>
          <w:tcPr>
            <w:tcW w:w="12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12,462 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3,279</w:t>
            </w:r>
            <w:r w:rsidR="000D1659" w:rsidRPr="00491918">
              <w:rPr>
                <w:b/>
                <w:color w:val="000000"/>
                <w:sz w:val="16"/>
              </w:rPr>
              <w:t> </w:t>
            </w:r>
            <w:r w:rsidR="000D1659"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03F36">
            <w:pPr>
              <w:jc w:val="right"/>
              <w:rPr>
                <w:b/>
                <w:color w:val="000000"/>
                <w:sz w:val="16"/>
                <w:vertAlign w:val="superscript"/>
              </w:rPr>
            </w:pPr>
            <w:r w:rsidRPr="00491918">
              <w:rPr>
                <w:b/>
                <w:color w:val="000000"/>
                <w:sz w:val="16"/>
              </w:rPr>
              <w:t>35,194</w:t>
            </w:r>
            <w:r w:rsidR="000D1659" w:rsidRPr="00491918">
              <w:rPr>
                <w:b/>
                <w:color w:val="000000"/>
                <w:sz w:val="16"/>
              </w:rPr>
              <w:t> </w:t>
            </w:r>
          </w:p>
        </w:tc>
        <w:tc>
          <w:tcPr>
            <w:tcW w:w="7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50,935 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9,485 </w:t>
            </w:r>
            <w:r w:rsidRPr="00491918">
              <w:rPr>
                <w:b/>
                <w:color w:val="000000"/>
                <w:sz w:val="16"/>
                <w:vertAlign w:val="superscript"/>
              </w:rPr>
              <w:t xml:space="preserve"> </w:t>
            </w:r>
          </w:p>
        </w:tc>
        <w:tc>
          <w:tcPr>
            <w:tcW w:w="70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60,420 </w:t>
            </w:r>
          </w:p>
        </w:tc>
      </w:tr>
    </w:tbl>
    <w:p w:rsidR="000D1659" w:rsidRPr="00491918" w:rsidRDefault="000D1659"/>
    <w:p w:rsidR="000D1659" w:rsidRPr="00491918" w:rsidRDefault="000D1659" w:rsidP="00E9782A">
      <w:pPr>
        <w:pStyle w:val="Normal17"/>
        <w:rPr>
          <w:rFonts w:ascii="Expert Sans Regular" w:hAnsi="Expert Sans Regular"/>
          <w:i/>
          <w:sz w:val="14"/>
          <w:szCs w:val="14"/>
        </w:rPr>
      </w:pPr>
      <w:r w:rsidRPr="00491918">
        <w:rPr>
          <w:rFonts w:ascii="Expert Sans Regular" w:hAnsi="Expert Sans Regular"/>
          <w:i/>
          <w:sz w:val="14"/>
          <w:szCs w:val="14"/>
        </w:rPr>
        <w:t>1</w:t>
      </w:r>
      <w:r w:rsidR="00E9782A" w:rsidRPr="00491918">
        <w:rPr>
          <w:rFonts w:ascii="Expert Sans Regular" w:hAnsi="Expert Sans Regular"/>
          <w:i/>
          <w:sz w:val="14"/>
          <w:szCs w:val="14"/>
        </w:rPr>
        <w:t xml:space="preserve">    </w:t>
      </w:r>
      <w:r w:rsidRPr="00491918">
        <w:rPr>
          <w:rFonts w:ascii="Expert Sans Regular" w:hAnsi="Expert Sans Regular"/>
          <w:i/>
          <w:sz w:val="14"/>
          <w:szCs w:val="14"/>
        </w:rPr>
        <w:t xml:space="preserve">Details of Share Capital and Other Reserves are shown on page </w:t>
      </w:r>
      <w:r w:rsidR="008D6001" w:rsidRPr="00491918">
        <w:rPr>
          <w:rFonts w:ascii="Expert Sans Regular" w:hAnsi="Expert Sans Regular"/>
          <w:i/>
          <w:sz w:val="14"/>
          <w:szCs w:val="14"/>
        </w:rPr>
        <w:t>120</w:t>
      </w:r>
      <w:r w:rsidRPr="00491918">
        <w:rPr>
          <w:rFonts w:ascii="Expert Sans Regular" w:hAnsi="Expert Sans Regular"/>
          <w:i/>
          <w:sz w:val="14"/>
          <w:szCs w:val="14"/>
        </w:rPr>
        <w:t>.</w:t>
      </w:r>
    </w:p>
    <w:p w:rsidR="000D1659" w:rsidRPr="00491918" w:rsidRDefault="000D1659" w:rsidP="00CC41A9">
      <w:pPr>
        <w:pStyle w:val="Normal17"/>
        <w:numPr>
          <w:ilvl w:val="0"/>
          <w:numId w:val="255"/>
        </w:numPr>
        <w:tabs>
          <w:tab w:val="left" w:pos="284"/>
        </w:tabs>
        <w:ind w:left="0" w:firstLine="0"/>
        <w:rPr>
          <w:rFonts w:ascii="Expert Sans Regular" w:hAnsi="Expert Sans Regular"/>
          <w:i/>
          <w:sz w:val="14"/>
          <w:szCs w:val="14"/>
        </w:rPr>
      </w:pPr>
      <w:r w:rsidRPr="00491918">
        <w:rPr>
          <w:rFonts w:ascii="Expert Sans Regular" w:hAnsi="Expert Sans Regular"/>
          <w:i/>
          <w:sz w:val="14"/>
          <w:szCs w:val="14"/>
        </w:rPr>
        <w:t xml:space="preserve">Details of Non-controlling Interests are shown on page </w:t>
      </w:r>
      <w:r w:rsidR="008D6001" w:rsidRPr="00491918">
        <w:rPr>
          <w:rFonts w:ascii="Expert Sans Regular" w:hAnsi="Expert Sans Regular"/>
          <w:i/>
          <w:sz w:val="14"/>
          <w:szCs w:val="14"/>
        </w:rPr>
        <w:t>101</w:t>
      </w:r>
      <w:r w:rsidRPr="00491918">
        <w:rPr>
          <w:rFonts w:ascii="Expert Sans Regular" w:hAnsi="Expert Sans Regular"/>
          <w:i/>
          <w:sz w:val="14"/>
          <w:szCs w:val="14"/>
        </w:rPr>
        <w:t xml:space="preserve">. </w:t>
      </w:r>
    </w:p>
    <w:p w:rsidR="00DA356B" w:rsidRPr="00491918" w:rsidRDefault="00DA356B" w:rsidP="00DA356B">
      <w:pPr>
        <w:pStyle w:val="Normal17"/>
        <w:rPr>
          <w:rFonts w:ascii="Expert Sans Regular" w:hAnsi="Expert Sans Regular"/>
          <w:i/>
          <w:sz w:val="14"/>
          <w:szCs w:val="14"/>
        </w:rPr>
      </w:pPr>
    </w:p>
    <w:p w:rsidR="000D1659" w:rsidRPr="00491918" w:rsidRDefault="000D1659">
      <w:pPr>
        <w:spacing w:line="14" w:lineRule="exact"/>
        <w:rPr>
          <w:i/>
          <w:sz w:val="14"/>
          <w:szCs w:val="14"/>
        </w:rPr>
      </w:pPr>
      <w:r w:rsidRPr="00491918">
        <w:rPr>
          <w:i/>
          <w:sz w:val="14"/>
          <w:szCs w:val="14"/>
        </w:rPr>
        <w:br w:type="page"/>
      </w:r>
    </w:p>
    <w:tbl>
      <w:tblPr>
        <w:tblW w:w="0" w:type="auto"/>
        <w:tblLayout w:type="fixed"/>
        <w:tblLook w:val="0000" w:firstRow="0" w:lastRow="0" w:firstColumn="0" w:lastColumn="0" w:noHBand="0" w:noVBand="0"/>
      </w:tblPr>
      <w:tblGrid>
        <w:gridCol w:w="5640"/>
        <w:gridCol w:w="1335"/>
        <w:gridCol w:w="1335"/>
        <w:gridCol w:w="1335"/>
      </w:tblGrid>
      <w:tr w:rsidR="009E6048" w:rsidRPr="00491918" w:rsidTr="000732DD">
        <w:trPr>
          <w:trHeight w:val="315"/>
        </w:trPr>
        <w:tc>
          <w:tcPr>
            <w:tcW w:w="6975" w:type="dxa"/>
            <w:gridSpan w:val="2"/>
            <w:tcBorders>
              <w:top w:val="nil"/>
              <w:left w:val="nil"/>
              <w:bottom w:val="nil"/>
              <w:right w:val="nil"/>
            </w:tcBorders>
            <w:shd w:val="clear" w:color="auto" w:fill="FFFFFF"/>
            <w:tcMar>
              <w:left w:w="36" w:type="dxa"/>
              <w:right w:w="36" w:type="dxa"/>
            </w:tcMar>
            <w:vAlign w:val="center"/>
          </w:tcPr>
          <w:p w:rsidR="000464EA" w:rsidRPr="00491918" w:rsidRDefault="000464EA" w:rsidP="000464EA">
            <w:pPr>
              <w:pStyle w:val="HeadingLevel1-BarcRA10"/>
              <w:rPr>
                <w:lang w:val="en-GB"/>
              </w:rPr>
            </w:pPr>
            <w:r w:rsidRPr="00491918">
              <w:lastRenderedPageBreak/>
              <w:t>Condensed Consolidated Financial Statements</w:t>
            </w:r>
          </w:p>
          <w:p w:rsidR="000D1659" w:rsidRPr="00491918" w:rsidRDefault="000D1659">
            <w:pPr>
              <w:rPr>
                <w:i/>
                <w:sz w:val="14"/>
                <w:szCs w:val="14"/>
              </w:rPr>
            </w:pPr>
            <w:r w:rsidRPr="00491918">
              <w:rPr>
                <w:b/>
                <w:color w:val="000000"/>
                <w:sz w:val="24"/>
                <w:szCs w:val="14"/>
              </w:rPr>
              <w:t>Condensed Consolidated Cash Flow Statement (Unaudited)</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szCs w:val="14"/>
              </w:rPr>
            </w:pPr>
            <w:r w:rsidRPr="00491918">
              <w:rPr>
                <w:color w:val="000000"/>
                <w:sz w:val="24"/>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szCs w:val="14"/>
              </w:rPr>
            </w:pPr>
            <w:r w:rsidRPr="00491918">
              <w:rPr>
                <w:color w:val="000000"/>
                <w:sz w:val="24"/>
                <w:szCs w:val="14"/>
              </w:rPr>
              <w:t xml:space="preserve"> </w:t>
            </w:r>
          </w:p>
        </w:tc>
      </w:tr>
      <w:tr w:rsidR="000D1659" w:rsidRPr="00491918">
        <w:trPr>
          <w:trHeight w:val="240"/>
        </w:trPr>
        <w:tc>
          <w:tcPr>
            <w:tcW w:w="564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szCs w:val="14"/>
              </w:rPr>
            </w:pPr>
            <w:r w:rsidRPr="00491918">
              <w:rPr>
                <w:b/>
                <w:color w:val="000000"/>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Half Year Ended</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Half Year Ended</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Half Year Ended</w:t>
            </w:r>
          </w:p>
        </w:tc>
      </w:tr>
      <w:tr w:rsidR="000D1659" w:rsidRPr="00491918">
        <w:trPr>
          <w:trHeight w:val="240"/>
        </w:trPr>
        <w:tc>
          <w:tcPr>
            <w:tcW w:w="564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4"/>
              </w:rPr>
            </w:pPr>
            <w:r w:rsidRPr="00491918">
              <w:rPr>
                <w:b/>
                <w:color w:val="000000"/>
                <w:sz w:val="16"/>
                <w:szCs w:val="14"/>
              </w:rPr>
              <w:t>Continuing Operations</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30.06.13</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31.12.12</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30.06.12</w:t>
            </w:r>
          </w:p>
        </w:tc>
      </w:tr>
      <w:tr w:rsidR="000D1659" w:rsidRPr="00491918">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4"/>
              </w:rPr>
            </w:pPr>
            <w:r w:rsidRPr="00491918">
              <w:rPr>
                <w:color w:val="000000"/>
                <w:sz w:val="16"/>
                <w:szCs w:val="14"/>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£m</w:t>
            </w:r>
          </w:p>
        </w:tc>
      </w:tr>
    </w:tbl>
    <w:p w:rsidR="000732DD" w:rsidRPr="00491918" w:rsidRDefault="000732DD"/>
    <w:tbl>
      <w:tblPr>
        <w:tblW w:w="0" w:type="auto"/>
        <w:tblLayout w:type="fixed"/>
        <w:tblLook w:val="0000" w:firstRow="0" w:lastRow="0" w:firstColumn="0" w:lastColumn="0" w:noHBand="0" w:noVBand="0"/>
      </w:tblPr>
      <w:tblGrid>
        <w:gridCol w:w="5640"/>
        <w:gridCol w:w="1335"/>
        <w:gridCol w:w="1335"/>
        <w:gridCol w:w="1335"/>
      </w:tblGrid>
      <w:tr w:rsidR="000D1659" w:rsidRPr="00491918" w:rsidTr="000732DD">
        <w:trPr>
          <w:trHeight w:val="240"/>
        </w:trPr>
        <w:tc>
          <w:tcPr>
            <w:tcW w:w="564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color w:val="000000"/>
                <w:sz w:val="16"/>
                <w:szCs w:val="14"/>
              </w:rPr>
              <w:t xml:space="preserve">Profit/(loss) before tax </w:t>
            </w:r>
          </w:p>
        </w:tc>
        <w:tc>
          <w:tcPr>
            <w:tcW w:w="1335" w:type="dxa"/>
            <w:tcBorders>
              <w:left w:val="nil"/>
              <w:bottom w:val="nil"/>
              <w:right w:val="nil"/>
            </w:tcBorders>
            <w:shd w:val="clear" w:color="auto" w:fill="EAEAEA"/>
            <w:tcMar>
              <w:left w:w="36" w:type="dxa"/>
              <w:right w:w="36" w:type="dxa"/>
            </w:tcMar>
            <w:vAlign w:val="center"/>
          </w:tcPr>
          <w:p w:rsidR="000D1659" w:rsidRPr="00491918" w:rsidRDefault="000D1659" w:rsidP="00705060">
            <w:pPr>
              <w:jc w:val="right"/>
              <w:rPr>
                <w:color w:val="000000"/>
                <w:sz w:val="16"/>
                <w:szCs w:val="14"/>
              </w:rPr>
            </w:pPr>
            <w:r w:rsidRPr="00491918">
              <w:rPr>
                <w:color w:val="000000"/>
                <w:sz w:val="16"/>
                <w:szCs w:val="14"/>
              </w:rPr>
              <w:t>1,</w:t>
            </w:r>
            <w:r w:rsidR="00705060" w:rsidRPr="00491918">
              <w:rPr>
                <w:color w:val="000000"/>
                <w:sz w:val="16"/>
                <w:szCs w:val="14"/>
              </w:rPr>
              <w:t>677 </w:t>
            </w:r>
          </w:p>
        </w:tc>
        <w:tc>
          <w:tcPr>
            <w:tcW w:w="133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(74)</w:t>
            </w:r>
          </w:p>
        </w:tc>
        <w:tc>
          <w:tcPr>
            <w:tcW w:w="133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871 </w:t>
            </w:r>
          </w:p>
        </w:tc>
      </w:tr>
      <w:tr w:rsidR="000D1659" w:rsidRPr="00491918">
        <w:trPr>
          <w:trHeight w:val="240"/>
        </w:trPr>
        <w:tc>
          <w:tcPr>
            <w:tcW w:w="564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color w:val="000000"/>
                <w:sz w:val="16"/>
                <w:szCs w:val="14"/>
              </w:rPr>
              <w:t>Adjustment for non-cash items</w:t>
            </w:r>
          </w:p>
        </w:tc>
        <w:tc>
          <w:tcPr>
            <w:tcW w:w="1335" w:type="dxa"/>
            <w:tcBorders>
              <w:top w:val="nil"/>
              <w:left w:val="nil"/>
              <w:bottom w:val="nil"/>
              <w:right w:val="nil"/>
            </w:tcBorders>
            <w:shd w:val="clear" w:color="auto" w:fill="EAEAEA"/>
            <w:tcMar>
              <w:left w:w="36" w:type="dxa"/>
              <w:right w:w="36" w:type="dxa"/>
            </w:tcMar>
            <w:vAlign w:val="center"/>
          </w:tcPr>
          <w:p w:rsidR="000D1659" w:rsidRPr="00491918" w:rsidRDefault="00705060">
            <w:pPr>
              <w:jc w:val="right"/>
              <w:rPr>
                <w:color w:val="000000"/>
                <w:sz w:val="16"/>
                <w:szCs w:val="14"/>
              </w:rPr>
            </w:pPr>
            <w:r w:rsidRPr="00491918">
              <w:rPr>
                <w:color w:val="000000"/>
                <w:sz w:val="16"/>
                <w:szCs w:val="14"/>
              </w:rPr>
              <w:t>351 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5,478 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4,014 </w:t>
            </w:r>
          </w:p>
        </w:tc>
      </w:tr>
      <w:tr w:rsidR="000D1659" w:rsidRPr="00491918">
        <w:trPr>
          <w:trHeight w:val="240"/>
        </w:trPr>
        <w:tc>
          <w:tcPr>
            <w:tcW w:w="564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color w:val="000000"/>
                <w:sz w:val="16"/>
                <w:szCs w:val="14"/>
              </w:rPr>
              <w:t>Changes in operating assets and liabilities</w:t>
            </w:r>
          </w:p>
        </w:tc>
        <w:tc>
          <w:tcPr>
            <w:tcW w:w="1335" w:type="dxa"/>
            <w:tcBorders>
              <w:top w:val="nil"/>
              <w:left w:val="nil"/>
              <w:bottom w:val="nil"/>
              <w:right w:val="nil"/>
            </w:tcBorders>
            <w:shd w:val="clear" w:color="auto" w:fill="EAEAEA"/>
            <w:tcMar>
              <w:left w:w="36" w:type="dxa"/>
              <w:right w:w="36" w:type="dxa"/>
            </w:tcMar>
            <w:vAlign w:val="center"/>
          </w:tcPr>
          <w:p w:rsidR="000D1659" w:rsidRPr="00491918" w:rsidRDefault="00E25213">
            <w:pPr>
              <w:jc w:val="right"/>
              <w:rPr>
                <w:color w:val="000000"/>
                <w:sz w:val="16"/>
                <w:szCs w:val="14"/>
              </w:rPr>
            </w:pPr>
            <w:r w:rsidRPr="00491918">
              <w:rPr>
                <w:color w:val="000000"/>
                <w:sz w:val="16"/>
                <w:szCs w:val="14"/>
              </w:rPr>
              <w:t>9,634</w:t>
            </w:r>
            <w:r w:rsidR="000D1659" w:rsidRPr="00491918">
              <w:rPr>
                <w:color w:val="000000"/>
                <w:sz w:val="16"/>
                <w:szCs w:val="14"/>
              </w:rPr>
              <w:t>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(49,530)</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27,090 </w:t>
            </w:r>
          </w:p>
        </w:tc>
      </w:tr>
      <w:tr w:rsidR="000D1659" w:rsidRPr="00491918">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color w:val="000000"/>
                <w:sz w:val="16"/>
                <w:szCs w:val="14"/>
              </w:rPr>
              <w:t>Corporate income tax paid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(794)</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(627)</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(889)</w:t>
            </w:r>
          </w:p>
        </w:tc>
      </w:tr>
      <w:tr w:rsidR="000D1659" w:rsidRPr="00491918">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b/>
                <w:color w:val="000000"/>
                <w:sz w:val="16"/>
                <w:szCs w:val="14"/>
              </w:rPr>
              <w:t>Net cash from operating activities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10,868 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(44,753)</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31,086 </w:t>
            </w:r>
          </w:p>
        </w:tc>
      </w:tr>
      <w:tr w:rsidR="000D1659" w:rsidRPr="00491918">
        <w:trPr>
          <w:trHeight w:val="240"/>
        </w:trPr>
        <w:tc>
          <w:tcPr>
            <w:tcW w:w="564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4"/>
              </w:rPr>
            </w:pPr>
            <w:r w:rsidRPr="00491918">
              <w:rPr>
                <w:color w:val="000000"/>
                <w:sz w:val="16"/>
                <w:szCs w:val="14"/>
              </w:rPr>
              <w:t>Net cash from investing activities</w:t>
            </w:r>
          </w:p>
        </w:tc>
        <w:tc>
          <w:tcPr>
            <w:tcW w:w="13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(16,628)</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(5,007)</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(2,150)</w:t>
            </w:r>
          </w:p>
        </w:tc>
      </w:tr>
      <w:tr w:rsidR="000D1659" w:rsidRPr="00491918">
        <w:trPr>
          <w:trHeight w:val="240"/>
        </w:trPr>
        <w:tc>
          <w:tcPr>
            <w:tcW w:w="564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color w:val="000000"/>
                <w:sz w:val="16"/>
                <w:szCs w:val="14"/>
              </w:rPr>
              <w:t>Net cash from financing activities</w:t>
            </w:r>
          </w:p>
        </w:tc>
        <w:tc>
          <w:tcPr>
            <w:tcW w:w="13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(1,212)</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1,019 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(3,861)</w:t>
            </w:r>
          </w:p>
        </w:tc>
      </w:tr>
      <w:tr w:rsidR="000D1659" w:rsidRPr="00491918">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color w:val="000000"/>
                <w:sz w:val="16"/>
                <w:szCs w:val="14"/>
              </w:rPr>
              <w:t>Effect of exchange rates on cash and cash equivalents</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3,323 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(1,683)</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(2,428)</w:t>
            </w:r>
          </w:p>
        </w:tc>
      </w:tr>
      <w:tr w:rsidR="000D1659" w:rsidRPr="00491918">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b/>
                <w:color w:val="000000"/>
                <w:sz w:val="16"/>
                <w:szCs w:val="14"/>
              </w:rPr>
              <w:t>Net increase in cash and cash equivalents</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(3,649)</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(50,424)</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22,647 </w:t>
            </w:r>
          </w:p>
        </w:tc>
      </w:tr>
      <w:tr w:rsidR="000D1659" w:rsidRPr="00491918">
        <w:trPr>
          <w:trHeight w:val="240"/>
        </w:trPr>
        <w:tc>
          <w:tcPr>
            <w:tcW w:w="564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4"/>
              </w:rPr>
            </w:pPr>
            <w:r w:rsidRPr="00491918">
              <w:rPr>
                <w:color w:val="000000"/>
                <w:sz w:val="16"/>
                <w:szCs w:val="14"/>
              </w:rPr>
              <w:t>Cash and cash equivalents at beginning of the period</w:t>
            </w:r>
          </w:p>
        </w:tc>
        <w:tc>
          <w:tcPr>
            <w:tcW w:w="133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121,896 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172,320 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4"/>
              </w:rPr>
            </w:pPr>
            <w:r w:rsidRPr="00491918">
              <w:rPr>
                <w:color w:val="000000"/>
                <w:sz w:val="16"/>
                <w:szCs w:val="14"/>
              </w:rPr>
              <w:t>149,673 </w:t>
            </w:r>
          </w:p>
        </w:tc>
      </w:tr>
      <w:tr w:rsidR="000D1659" w:rsidRPr="00491918">
        <w:trPr>
          <w:trHeight w:val="240"/>
        </w:trPr>
        <w:tc>
          <w:tcPr>
            <w:tcW w:w="564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4"/>
              </w:rPr>
            </w:pPr>
            <w:r w:rsidRPr="00491918">
              <w:rPr>
                <w:b/>
                <w:color w:val="000000"/>
                <w:sz w:val="16"/>
                <w:szCs w:val="14"/>
              </w:rPr>
              <w:t>Cash and cash equivalents at end of the period</w:t>
            </w:r>
          </w:p>
        </w:tc>
        <w:tc>
          <w:tcPr>
            <w:tcW w:w="133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118,247 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121,896 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172,320 </w:t>
            </w:r>
          </w:p>
        </w:tc>
      </w:tr>
      <w:tr w:rsidR="000D1659" w:rsidRPr="00491918">
        <w:trPr>
          <w:trHeight w:hRule="exact" w:val="240"/>
        </w:trPr>
        <w:tc>
          <w:tcPr>
            <w:tcW w:w="564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4"/>
              </w:rPr>
            </w:pPr>
            <w:r w:rsidRPr="00491918">
              <w:rPr>
                <w:b/>
                <w:color w:val="000000"/>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 xml:space="preserve">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4"/>
              </w:rPr>
            </w:pPr>
            <w:r w:rsidRPr="00491918">
              <w:rPr>
                <w:b/>
                <w:color w:val="000000"/>
                <w:sz w:val="16"/>
                <w:szCs w:val="14"/>
              </w:rPr>
              <w:t xml:space="preserve"> </w:t>
            </w:r>
          </w:p>
        </w:tc>
      </w:tr>
    </w:tbl>
    <w:p w:rsidR="000D1659" w:rsidRPr="00491918" w:rsidRDefault="000D1659">
      <w:pPr>
        <w:rPr>
          <w:i/>
          <w:sz w:val="14"/>
          <w:szCs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464EA" w:rsidRPr="00491918" w:rsidRDefault="000464EA"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p w:rsidR="00DA356B" w:rsidRPr="00491918" w:rsidRDefault="00DA356B" w:rsidP="000D1659">
      <w:pPr>
        <w:pStyle w:val="Normal18"/>
        <w:ind w:left="284" w:hanging="284"/>
        <w:rPr>
          <w:rFonts w:ascii="Expert Sans Regular" w:hAnsi="Expert Sans Regular"/>
          <w:i/>
          <w:color w:val="000000"/>
          <w:sz w:val="14"/>
        </w:rPr>
      </w:pPr>
    </w:p>
    <w:p w:rsidR="00DA356B" w:rsidRPr="00491918" w:rsidRDefault="00DA356B" w:rsidP="000D1659">
      <w:pPr>
        <w:pStyle w:val="Normal18"/>
        <w:ind w:left="284" w:hanging="284"/>
        <w:rPr>
          <w:rFonts w:ascii="Expert Sans Regular" w:hAnsi="Expert Sans Regular"/>
          <w:i/>
          <w:color w:val="000000"/>
          <w:sz w:val="14"/>
        </w:rPr>
      </w:pPr>
    </w:p>
    <w:p w:rsidR="00DA356B" w:rsidRPr="00491918" w:rsidRDefault="00DA356B" w:rsidP="000D1659">
      <w:pPr>
        <w:pStyle w:val="Normal18"/>
        <w:ind w:left="284" w:hanging="284"/>
        <w:rPr>
          <w:rFonts w:ascii="Expert Sans Regular" w:hAnsi="Expert Sans Regular"/>
          <w:i/>
          <w:color w:val="000000"/>
          <w:sz w:val="14"/>
        </w:rPr>
      </w:pPr>
    </w:p>
    <w:p w:rsidR="00DA356B" w:rsidRPr="00491918" w:rsidRDefault="00DA356B" w:rsidP="000D1659">
      <w:pPr>
        <w:pStyle w:val="Normal18"/>
        <w:ind w:left="284" w:hanging="284"/>
        <w:rPr>
          <w:rFonts w:ascii="Expert Sans Regular" w:hAnsi="Expert Sans Regular"/>
          <w:i/>
          <w:color w:val="000000"/>
          <w:sz w:val="14"/>
        </w:rPr>
      </w:pPr>
    </w:p>
    <w:p w:rsidR="00DA356B" w:rsidRPr="00491918" w:rsidRDefault="00DA356B" w:rsidP="000D1659">
      <w:pPr>
        <w:pStyle w:val="Normal18"/>
        <w:ind w:left="284" w:hanging="284"/>
        <w:rPr>
          <w:rFonts w:ascii="Expert Sans Regular" w:hAnsi="Expert Sans Regular"/>
          <w:i/>
          <w:color w:val="000000"/>
          <w:sz w:val="14"/>
        </w:rPr>
      </w:pPr>
    </w:p>
    <w:p w:rsidR="00DA356B" w:rsidRPr="00491918" w:rsidRDefault="00DA356B" w:rsidP="000D1659">
      <w:pPr>
        <w:pStyle w:val="Normal18"/>
        <w:ind w:left="284" w:hanging="284"/>
        <w:rPr>
          <w:rFonts w:ascii="Expert Sans Regular" w:hAnsi="Expert Sans Regular"/>
          <w:i/>
          <w:color w:val="000000"/>
          <w:sz w:val="14"/>
        </w:rPr>
      </w:pPr>
    </w:p>
    <w:p w:rsidR="000D1659" w:rsidRPr="00491918" w:rsidRDefault="000D1659" w:rsidP="000D1659">
      <w:pPr>
        <w:pStyle w:val="Normal18"/>
        <w:ind w:left="284" w:hanging="284"/>
        <w:rPr>
          <w:rFonts w:ascii="Expert Sans Regular" w:hAnsi="Expert Sans Regular"/>
          <w:i/>
          <w:color w:val="000000"/>
          <w:sz w:val="14"/>
        </w:rPr>
      </w:pP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trPr>
          <w:trHeight w:val="315"/>
        </w:trPr>
        <w:tc>
          <w:tcPr>
            <w:tcW w:w="42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rPr>
                <w:b/>
                <w:sz w:val="24"/>
              </w:rPr>
            </w:pPr>
            <w:r w:rsidRPr="00491918">
              <w:rPr>
                <w:b/>
                <w:sz w:val="24"/>
              </w:rPr>
              <w:t>Results by Business</w:t>
            </w:r>
          </w:p>
          <w:p w:rsidR="000464EA" w:rsidRPr="00491918" w:rsidRDefault="000464EA" w:rsidP="000464EA">
            <w:pPr>
              <w:rPr>
                <w:b/>
                <w:sz w:val="24"/>
              </w:rPr>
            </w:pPr>
          </w:p>
          <w:p w:rsidR="000D1659" w:rsidRPr="00491918" w:rsidRDefault="000D1659" w:rsidP="000464EA">
            <w:r w:rsidRPr="00491918">
              <w:rPr>
                <w:b/>
                <w:color w:val="000000"/>
                <w:sz w:val="24"/>
              </w:rPr>
              <w:t>Retail and Business Banking</w:t>
            </w:r>
            <w:r w:rsidRPr="00491918">
              <w:rPr>
                <w:color w:val="000000"/>
                <w:sz w:val="24"/>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vertAlign w:val="superscript"/>
              </w:rPr>
            </w:pPr>
            <w:r w:rsidRPr="00491918">
              <w:rPr>
                <w:b/>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4"/>
              </w:rPr>
            </w:pPr>
            <w:r w:rsidRPr="00491918">
              <w:rPr>
                <w:color w:val="000000"/>
                <w:sz w:val="24"/>
              </w:rPr>
              <w:t xml:space="preserve"> </w:t>
            </w:r>
            <w:r w:rsidRPr="00491918">
              <w:rPr>
                <w:color w:val="000000"/>
                <w:sz w:val="24"/>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vertAlign w:val="superscript"/>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rPr>
            </w:pPr>
            <w:r w:rsidRPr="00491918">
              <w:rPr>
                <w:color w:val="000000"/>
                <w:sz w:val="24"/>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rPr>
            </w:pPr>
            <w:r w:rsidRPr="00491918">
              <w:rPr>
                <w:color w:val="000000"/>
                <w:sz w:val="24"/>
              </w:rPr>
              <w:t xml:space="preserve"> </w:t>
            </w:r>
            <w:r w:rsidRPr="00491918">
              <w:rPr>
                <w:b/>
                <w:color w:val="000000"/>
                <w:sz w:val="24"/>
                <w:vertAlign w:val="superscript"/>
              </w:rPr>
              <w:t xml:space="preserve"> </w:t>
            </w:r>
          </w:p>
        </w:tc>
      </w:tr>
      <w:tr w:rsidR="009E6048" w:rsidRPr="00491918" w:rsidTr="00464814">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rPr>
            </w:pPr>
            <w:r w:rsidRPr="00491918">
              <w:rPr>
                <w:color w:val="000000"/>
                <w:sz w:val="16"/>
              </w:rPr>
              <w:t xml:space="preserve"> </w:t>
            </w:r>
            <w:r w:rsidRPr="00491918">
              <w:rPr>
                <w:color w:val="000000"/>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b/>
                <w:color w:val="000000"/>
                <w:sz w:val="16"/>
              </w:rPr>
              <w:t>Half Year Ended</w:t>
            </w:r>
          </w:p>
        </w:tc>
        <w:tc>
          <w:tcPr>
            <w:tcW w:w="1605"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20"/>
              </w:rPr>
              <w:t>Income Statement Information</w:t>
            </w:r>
            <w:r w:rsidRPr="00491918">
              <w:rPr>
                <w:color w:val="000000"/>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0"/>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30.06.12</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YoY</w:t>
            </w:r>
            <w:r w:rsidRPr="00491918">
              <w:rPr>
                <w:b/>
                <w:color w:val="000000"/>
                <w:sz w:val="20"/>
                <w:vertAlign w:val="superscript"/>
              </w:rPr>
              <w:t xml:space="preserve"> </w:t>
            </w:r>
          </w:p>
        </w:tc>
      </w:tr>
      <w:tr w:rsidR="000D1659" w:rsidRPr="00491918">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lastRenderedPageBreak/>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r w:rsidRPr="00491918">
              <w:rPr>
                <w:color w:val="000000"/>
                <w:sz w:val="16"/>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55"/>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Net interest income</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1,621 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1,596 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1,594 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Net fee and commission income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567 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587 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567 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Net premiums from insurance contracts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w:t>
            </w:r>
            <w:r w:rsidRPr="00491918">
              <w:rPr>
                <w:color w:val="000000"/>
                <w:sz w:val="16"/>
                <w:vertAlign w:val="superscript"/>
              </w:rPr>
              <w:t xml:space="preserve"> </w:t>
            </w:r>
          </w:p>
        </w:tc>
      </w:tr>
      <w:tr w:rsidR="000D1659" w:rsidRPr="00491918">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Other (expense)/income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E25213">
            <w:pPr>
              <w:jc w:val="right"/>
              <w:rPr>
                <w:color w:val="000000"/>
                <w:sz w:val="16"/>
              </w:rPr>
            </w:pPr>
            <w:r w:rsidRPr="00491918">
              <w:rPr>
                <w:color w:val="000000"/>
                <w:sz w:val="16"/>
              </w:rPr>
              <w:t>(2</w:t>
            </w:r>
            <w:r w:rsidR="000D1659"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 income</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2,213 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2,216 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2,201 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1 </w:t>
            </w:r>
            <w:r w:rsidRPr="00491918">
              <w:rPr>
                <w:b/>
                <w:color w:val="000000"/>
                <w:sz w:val="16"/>
                <w:vertAlign w:val="superscript"/>
              </w:rPr>
              <w:t xml:space="preserve"> </w:t>
            </w:r>
          </w:p>
        </w:tc>
      </w:tr>
      <w:tr w:rsidR="000D1659" w:rsidRPr="00491918">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Net claims and benefits incurred under insurance contracts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 income net of insurance claims</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2,202 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2,200 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2,184 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1 </w:t>
            </w:r>
            <w:r w:rsidRPr="00491918">
              <w:rPr>
                <w:b/>
                <w:color w:val="000000"/>
                <w:sz w:val="16"/>
                <w:vertAlign w:val="superscript"/>
              </w:rPr>
              <w:t xml:space="preserve"> </w:t>
            </w:r>
          </w:p>
        </w:tc>
      </w:tr>
      <w:tr w:rsidR="000D1659" w:rsidRPr="00491918">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Credit impairment charges and other provisions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(178)</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(147)</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46 </w:t>
            </w:r>
            <w:r w:rsidRPr="00491918">
              <w:rPr>
                <w:color w:val="000000"/>
                <w:sz w:val="16"/>
                <w:vertAlign w:val="superscript"/>
              </w:rPr>
              <w:t xml:space="preserve"> </w:t>
            </w:r>
          </w:p>
        </w:tc>
      </w:tr>
      <w:tr w:rsidR="000D1659" w:rsidRPr="00491918">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Net operating income</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2,024 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2,053 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2,062 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w:t>
            </w:r>
            <w:r w:rsidRPr="00491918">
              <w:rPr>
                <w:b/>
                <w:color w:val="000000"/>
                <w:sz w:val="16"/>
                <w:vertAlign w:val="superscript"/>
              </w:rPr>
              <w:t xml:space="preserve"> </w:t>
            </w:r>
          </w:p>
        </w:tc>
      </w:tr>
      <w:tr w:rsidR="000D1659" w:rsidRPr="00491918" w:rsidTr="00464814">
        <w:trPr>
          <w:trHeight w:hRule="exact" w:val="107"/>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b/>
                <w:color w:val="000000"/>
                <w:sz w:val="16"/>
                <w:vertAlign w:val="superscript"/>
              </w:rPr>
              <w:t xml:space="preserve"> </w:t>
            </w:r>
          </w:p>
        </w:tc>
      </w:tr>
      <w:tr w:rsidR="000D1659" w:rsidRPr="00491918">
        <w:trPr>
          <w:trHeight w:val="51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Operating expenses (excluding provision for PPI redress, Costs to achieve Transform and UK bank levy)</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(1,393)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(1,407)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(1,470)</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Provision for PPI redress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(660)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(880)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(300)</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Costs to achieve Transform</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UK bank levy</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Operating expenses</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(2,080)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(2,304)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(1,770)</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18 </w:t>
            </w:r>
            <w:r w:rsidRPr="00491918">
              <w:rPr>
                <w:b/>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color w:val="000000"/>
                <w:sz w:val="16"/>
              </w:rPr>
              <w:t>Other net income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28 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(Loss)/profit before tax</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(247)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292 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0D1659" w:rsidRPr="00491918" w:rsidTr="00464814">
        <w:trPr>
          <w:trHeight w:hRule="exact" w:val="201"/>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r w:rsidRPr="00491918">
              <w:rPr>
                <w:b/>
                <w:color w:val="000000"/>
                <w:sz w:val="16"/>
                <w:vertAlign w:val="superscript"/>
              </w:rPr>
              <w:t xml:space="preserve"> </w:t>
            </w:r>
          </w:p>
        </w:tc>
      </w:tr>
      <w:tr w:rsidR="000D1659" w:rsidRPr="00491918">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Adjusted profit before tax</w:t>
            </w:r>
            <w:r w:rsidRPr="00491918">
              <w:rPr>
                <w:b/>
                <w:color w:val="000000"/>
                <w:sz w:val="16"/>
                <w:vertAlign w:val="superscript"/>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632 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633 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592 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7 </w:t>
            </w:r>
            <w:r w:rsidRPr="00491918">
              <w:rPr>
                <w:b/>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Adjusted attributable profit</w:t>
            </w:r>
            <w:r w:rsidRPr="00491918">
              <w:rPr>
                <w:color w:val="000000"/>
                <w:sz w:val="16"/>
                <w:vertAlign w:val="superscript"/>
              </w:rPr>
              <w:t>1,2</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480 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424 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13 </w:t>
            </w:r>
            <w:r w:rsidRPr="00491918">
              <w:rPr>
                <w:color w:val="000000"/>
                <w:sz w:val="16"/>
                <w:vertAlign w:val="superscript"/>
              </w:rPr>
              <w:t xml:space="preserve"> </w:t>
            </w:r>
          </w:p>
        </w:tc>
      </w:tr>
      <w:tr w:rsidR="000D1659" w:rsidRPr="00491918">
        <w:trPr>
          <w:trHeight w:hRule="exac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b/>
                <w:color w:val="000000"/>
                <w:sz w:val="16"/>
                <w:vertAlign w:val="superscript"/>
              </w:rPr>
              <w:t xml:space="preserve"> </w:t>
            </w:r>
          </w:p>
        </w:tc>
      </w:tr>
      <w:tr w:rsidR="000D1659" w:rsidRPr="00491918">
        <w:trPr>
          <w:trHeight w:val="28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20"/>
              </w:rPr>
              <w:t>Balance Sheet Information and Key Facts</w:t>
            </w:r>
            <w:r w:rsidRPr="00491918">
              <w:rPr>
                <w:color w:val="000000"/>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r w:rsidRPr="00491918">
              <w:rPr>
                <w:color w:val="000000"/>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r w:rsidRPr="00491918">
              <w:rPr>
                <w:b/>
                <w:color w:val="000000"/>
                <w:sz w:val="20"/>
                <w:vertAlign w:val="superscript"/>
              </w:rPr>
              <w:t xml:space="preserve"> </w:t>
            </w:r>
          </w:p>
        </w:tc>
      </w:tr>
      <w:tr w:rsidR="000D1659" w:rsidRPr="00491918">
        <w:trPr>
          <w:trHeight w:val="25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Loans and advances to customers at amortised cost</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£135.4bn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£128.1bn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£123.4bn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Customer deposits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£133.2bn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£116.0bn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£113.9bn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Total assets</w:t>
            </w:r>
            <w:r w:rsidRPr="00491918">
              <w:rPr>
                <w:color w:val="000000"/>
                <w:sz w:val="16"/>
                <w:vertAlign w:val="superscript"/>
              </w:rPr>
              <w:t>3 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£159.5bn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£134.6bn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£129.7bn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Risk weighted assets</w:t>
            </w:r>
            <w:r w:rsidRPr="00491918">
              <w:rPr>
                <w:color w:val="000000"/>
                <w:sz w:val="16"/>
                <w:vertAlign w:val="superscript"/>
              </w:rPr>
              <w:t>3 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£43.6bn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£39.1bn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£36.0bn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rsidTr="00464814">
        <w:trPr>
          <w:trHeight w:hRule="exact" w:val="299"/>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rFonts w:ascii="Arial" w:eastAsia="Arial" w:hAnsi="Arial" w:cs="Arial"/>
                <w:color w:val="000000"/>
                <w:sz w:val="20"/>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UK current accounts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11.8m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11.7m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12.0m</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UK savings accounts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16.7m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15.6m</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UK mortgage accounts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983,000 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945,000 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932,000 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Barclays Business customers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790,000 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765,000 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790,000 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branches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1,577 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1,593 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1,614 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90 day arrears rates - UK personal loans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90 day arrears rates - Home loans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0.3%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Average LTV of mortgage portfolio</w:t>
            </w:r>
            <w:r w:rsidRPr="00491918">
              <w:rPr>
                <w:color w:val="000000"/>
                <w:sz w:val="16"/>
                <w:vertAlign w:val="superscript"/>
              </w:rPr>
              <w:t>4 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Average LTV of new mortgage lending</w:t>
            </w:r>
            <w:r w:rsidRPr="00491918">
              <w:rPr>
                <w:color w:val="000000"/>
                <w:sz w:val="16"/>
                <w:vertAlign w:val="superscript"/>
              </w:rPr>
              <w:t>4 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55%</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employees (full time equivalent)</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33,600 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33,000 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32,500 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rsidTr="00464814">
        <w:trPr>
          <w:trHeight w:hRule="exact" w:val="148"/>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9E6048" w:rsidRPr="00491918" w:rsidTr="00464814">
        <w:trPr>
          <w:trHeight w:val="28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20"/>
                <w:vertAlign w:val="superscript"/>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20"/>
                <w:vertAlign w:val="superscript"/>
              </w:rPr>
            </w:pPr>
            <w:r w:rsidRPr="00491918">
              <w:rPr>
                <w:b/>
                <w:color w:val="000000"/>
                <w:sz w:val="16"/>
              </w:rPr>
              <w:t>Adjusted</w:t>
            </w:r>
            <w:r w:rsidRPr="00491918">
              <w:rPr>
                <w:b/>
                <w:color w:val="000000"/>
                <w:sz w:val="16"/>
                <w:vertAlign w:val="superscript"/>
              </w:rPr>
              <w:t>1 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Statutory</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20"/>
                <w:vertAlign w:val="superscript"/>
              </w:rPr>
              <w:t xml:space="preserve"> </w:t>
            </w:r>
          </w:p>
        </w:tc>
      </w:tr>
      <w:tr w:rsidR="000D1659" w:rsidRPr="00491918">
        <w:trPr>
          <w:trHeight w:val="28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b/>
                <w:color w:val="000000"/>
                <w:sz w:val="20"/>
              </w:rPr>
              <w:t>Performance Measures</w:t>
            </w:r>
            <w:r w:rsidRPr="00491918">
              <w:rPr>
                <w:color w:val="000000"/>
                <w:sz w:val="20"/>
                <w:vertAlign w:val="superscript"/>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rPr>
            </w:pPr>
            <w:r w:rsidRPr="00491918">
              <w:rPr>
                <w:b/>
                <w:color w:val="000000"/>
                <w:sz w:val="16"/>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rPr>
            </w:pPr>
            <w:r w:rsidRPr="00491918">
              <w:rPr>
                <w:b/>
                <w:color w:val="000000"/>
                <w:sz w:val="16"/>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20"/>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55"/>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Return on average equity</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12.2%</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w:t>
            </w:r>
            <w:r w:rsidRPr="00491918">
              <w:rPr>
                <w:color w:val="000000"/>
                <w:sz w:val="16"/>
                <w:vertAlign w:val="superscript"/>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(1.0%)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5.7%</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Return on average risk weighted assets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(0.1%)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Cost: income ratio</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81%</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Loan loss rate (bps)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bl>
    <w:p w:rsidR="000D1659" w:rsidRPr="00491918" w:rsidRDefault="000D1659"/>
    <w:p w:rsidR="000D1659" w:rsidRPr="00491918" w:rsidRDefault="000D1659" w:rsidP="002A3C92">
      <w:pPr>
        <w:pStyle w:val="Normal19"/>
        <w:numPr>
          <w:ilvl w:val="0"/>
          <w:numId w:val="24"/>
        </w:numPr>
        <w:ind w:left="284" w:hanging="284"/>
        <w:rPr>
          <w:i/>
        </w:rPr>
      </w:pPr>
      <w:r w:rsidRPr="00491918">
        <w:rPr>
          <w:i/>
          <w:color w:val="000000"/>
          <w:sz w:val="14"/>
        </w:rPr>
        <w:t>Adjusted profit before tax, adjusted attributable profit and adjusted performance measures excludes the impact of the provision for P</w:t>
      </w:r>
      <w:r w:rsidR="002C5837" w:rsidRPr="00491918">
        <w:rPr>
          <w:i/>
          <w:color w:val="000000"/>
          <w:sz w:val="14"/>
        </w:rPr>
        <w:t xml:space="preserve">PI redress of </w:t>
      </w:r>
      <w:r w:rsidRPr="00491918">
        <w:rPr>
          <w:i/>
          <w:color w:val="000000"/>
          <w:sz w:val="14"/>
        </w:rPr>
        <w:t xml:space="preserve">£660m </w:t>
      </w:r>
      <w:r w:rsidR="00B52C1E" w:rsidRPr="00491918">
        <w:rPr>
          <w:i/>
          <w:color w:val="000000"/>
          <w:sz w:val="14"/>
        </w:rPr>
        <w:t>(H2</w:t>
      </w:r>
      <w:r w:rsidRPr="00491918">
        <w:rPr>
          <w:i/>
          <w:color w:val="000000"/>
          <w:sz w:val="14"/>
        </w:rPr>
        <w:t>12: £880m</w:t>
      </w:r>
      <w:r w:rsidR="00B52C1E" w:rsidRPr="00491918">
        <w:rPr>
          <w:i/>
          <w:color w:val="000000"/>
          <w:sz w:val="14"/>
        </w:rPr>
        <w:t>; H1</w:t>
      </w:r>
      <w:r w:rsidRPr="00491918">
        <w:rPr>
          <w:i/>
          <w:color w:val="000000"/>
          <w:sz w:val="14"/>
        </w:rPr>
        <w:t>12: £300m).</w:t>
      </w:r>
    </w:p>
    <w:p w:rsidR="000D1659" w:rsidRPr="00491918" w:rsidRDefault="000D1659" w:rsidP="002A3C92">
      <w:pPr>
        <w:pStyle w:val="Normal19"/>
        <w:numPr>
          <w:ilvl w:val="0"/>
          <w:numId w:val="24"/>
        </w:numPr>
        <w:ind w:left="284" w:hanging="284"/>
        <w:rPr>
          <w:i/>
        </w:rPr>
      </w:pPr>
      <w:r w:rsidRPr="00491918">
        <w:rPr>
          <w:i/>
          <w:color w:val="000000"/>
          <w:sz w:val="14"/>
        </w:rPr>
        <w:t>Adjusted attributable profit includes profit after tax and non-controlling interests.</w:t>
      </w:r>
    </w:p>
    <w:p w:rsidR="000D1659" w:rsidRPr="00491918" w:rsidRDefault="000D1659" w:rsidP="002A3C92">
      <w:pPr>
        <w:pStyle w:val="Normal19"/>
        <w:numPr>
          <w:ilvl w:val="0"/>
          <w:numId w:val="24"/>
        </w:numPr>
        <w:ind w:left="284" w:hanging="284"/>
        <w:rPr>
          <w:i/>
        </w:rPr>
      </w:pPr>
      <w:r w:rsidRPr="00491918">
        <w:rPr>
          <w:i/>
          <w:color w:val="000000"/>
          <w:sz w:val="14"/>
        </w:rPr>
        <w:t>2013 total assets and risk weighted assets include an allocation of liquidity pool assets previously held centrally.</w:t>
      </w:r>
    </w:p>
    <w:p w:rsidR="000D1659" w:rsidRPr="00491918" w:rsidRDefault="000D1659" w:rsidP="002A3C92">
      <w:pPr>
        <w:pStyle w:val="Normal19"/>
        <w:numPr>
          <w:ilvl w:val="0"/>
          <w:numId w:val="24"/>
        </w:numPr>
        <w:ind w:left="284" w:hanging="284"/>
        <w:rPr>
          <w:i/>
        </w:rPr>
      </w:pPr>
      <w:r w:rsidRPr="00491918">
        <w:rPr>
          <w:i/>
          <w:color w:val="000000"/>
          <w:sz w:val="14"/>
        </w:rPr>
        <w:t>Average LTV of mortgage portfolio and new mortgage lending calculated on the Valuation basis.</w:t>
      </w:r>
    </w:p>
    <w:p w:rsidR="00DA356B" w:rsidRPr="00491918" w:rsidRDefault="00DA356B" w:rsidP="000464EA">
      <w:pPr>
        <w:spacing w:after="240"/>
        <w:rPr>
          <w:b/>
          <w:sz w:val="24"/>
        </w:rPr>
      </w:pPr>
    </w:p>
    <w:p w:rsidR="00DA356B" w:rsidRPr="00491918" w:rsidRDefault="00DA356B" w:rsidP="000464EA">
      <w:pPr>
        <w:spacing w:after="240"/>
        <w:rPr>
          <w:b/>
          <w:sz w:val="24"/>
        </w:rPr>
      </w:pPr>
    </w:p>
    <w:p w:rsidR="000464EA" w:rsidRPr="00491918" w:rsidRDefault="000464EA" w:rsidP="000464EA">
      <w:pPr>
        <w:spacing w:after="240"/>
        <w:rPr>
          <w:b/>
          <w:sz w:val="24"/>
        </w:rPr>
      </w:pPr>
      <w:r w:rsidRPr="00491918">
        <w:rPr>
          <w:b/>
          <w:sz w:val="24"/>
        </w:rPr>
        <w:t>Results by Business</w:t>
      </w:r>
    </w:p>
    <w:p w:rsidR="000D1659" w:rsidRPr="00491918" w:rsidRDefault="000D1659" w:rsidP="008D6001">
      <w:pPr>
        <w:pStyle w:val="HeadingLevel1-BarcRA11"/>
        <w:jc w:val="left"/>
        <w:outlineLvl w:val="0"/>
        <w:rPr>
          <w:b w:val="0"/>
          <w:i/>
          <w:sz w:val="14"/>
        </w:rPr>
      </w:pPr>
      <w:r w:rsidRPr="00491918">
        <w:rPr>
          <w:szCs w:val="24"/>
        </w:rPr>
        <w:t>UK Retail and Business Banking</w:t>
      </w:r>
    </w:p>
    <w:p w:rsidR="000D1659" w:rsidRPr="00491918" w:rsidRDefault="000D1659" w:rsidP="008D6001">
      <w:pPr>
        <w:pStyle w:val="Level1Bullet-BarcRA200"/>
        <w:numPr>
          <w:ilvl w:val="0"/>
          <w:numId w:val="0"/>
        </w:numPr>
        <w:tabs>
          <w:tab w:val="left" w:pos="720"/>
        </w:tabs>
        <w:ind w:left="284" w:hanging="284"/>
        <w:outlineLvl w:val="0"/>
        <w:rPr>
          <w:b/>
          <w:sz w:val="20"/>
        </w:rPr>
      </w:pPr>
      <w:r w:rsidRPr="00491918">
        <w:rPr>
          <w:b/>
          <w:sz w:val="20"/>
          <w:lang w:val="en-GB"/>
        </w:rPr>
        <w:t>Income Statement – H113 compared to H112</w:t>
      </w:r>
    </w:p>
    <w:p w:rsidR="000D1659" w:rsidRPr="00491918" w:rsidRDefault="000D1659" w:rsidP="002A3C92">
      <w:pPr>
        <w:pStyle w:val="Level1Bullet-BarcRA20300"/>
        <w:numPr>
          <w:ilvl w:val="0"/>
          <w:numId w:val="26"/>
        </w:numPr>
        <w:rPr>
          <w:color w:val="000000"/>
          <w:lang w:val="en-GB"/>
        </w:rPr>
      </w:pPr>
      <w:r w:rsidRPr="00491918">
        <w:rPr>
          <w:lang w:val="en-GB"/>
        </w:rPr>
        <w:lastRenderedPageBreak/>
        <w:t xml:space="preserve">Net interest income increased 2% to £1,621m driven by strong mortgage balance growth and contribution from Barclays Direct (previously ING Direct UK, acquired during Q113). Net interest margin was down 11bps to </w:t>
      </w:r>
      <w:r w:rsidRPr="00491918">
        <w:rPr>
          <w:color w:val="000000"/>
          <w:lang w:val="en-GB"/>
        </w:rPr>
        <w:t>127bps primarily reflecting reduced contributions from structural hedges</w:t>
      </w:r>
    </w:p>
    <w:p w:rsidR="000D1659" w:rsidRPr="00491918" w:rsidRDefault="000D1659" w:rsidP="000D1659">
      <w:pPr>
        <w:pStyle w:val="Level2Bullet-BarcRA300"/>
        <w:tabs>
          <w:tab w:val="num" w:pos="567"/>
        </w:tabs>
        <w:ind w:left="567" w:hanging="283"/>
        <w:rPr>
          <w:lang w:val="en-GB"/>
        </w:rPr>
      </w:pPr>
      <w:r w:rsidRPr="00491918">
        <w:rPr>
          <w:color w:val="000000"/>
          <w:lang w:val="en-GB"/>
        </w:rPr>
        <w:t xml:space="preserve">Customer asset margin increased 10bps to 118bps reflecting </w:t>
      </w:r>
      <w:r w:rsidRPr="00491918">
        <w:rPr>
          <w:lang w:val="en-GB"/>
        </w:rPr>
        <w:t>higher customer margin on newly written mortgages.</w:t>
      </w:r>
      <w:r w:rsidRPr="00491918">
        <w:rPr>
          <w:color w:val="000000"/>
          <w:lang w:val="en-GB"/>
        </w:rPr>
        <w:t xml:space="preserve"> </w:t>
      </w:r>
      <w:r w:rsidRPr="00491918">
        <w:rPr>
          <w:lang w:val="en-GB"/>
        </w:rPr>
        <w:t>Average customer assets increased 9% to £132.8bn driven by mortgage growth and Barclays Direct</w:t>
      </w:r>
    </w:p>
    <w:p w:rsidR="000D1659" w:rsidRPr="00491918" w:rsidRDefault="000D1659" w:rsidP="000D1659">
      <w:pPr>
        <w:pStyle w:val="Level2Bullet-BarcRA300"/>
        <w:tabs>
          <w:tab w:val="num" w:pos="567"/>
        </w:tabs>
        <w:ind w:left="567" w:hanging="283"/>
        <w:rPr>
          <w:color w:val="000000"/>
          <w:lang w:val="en-GB"/>
        </w:rPr>
      </w:pPr>
      <w:r w:rsidRPr="00491918">
        <w:rPr>
          <w:color w:val="000000"/>
          <w:lang w:val="en-GB"/>
        </w:rPr>
        <w:t>Customer liability margin decreased 9bps to 88bps reflecting higher customer deposit rates. Average customer liabilities increased 12% to £124.3bn driven by Barclays Direct and growth in personal customer deposits</w:t>
      </w:r>
    </w:p>
    <w:p w:rsidR="000D1659" w:rsidRPr="00491918" w:rsidRDefault="000D1659" w:rsidP="002A3C92">
      <w:pPr>
        <w:pStyle w:val="Level1Bullet-BarcRA20300"/>
        <w:numPr>
          <w:ilvl w:val="0"/>
          <w:numId w:val="26"/>
        </w:numPr>
        <w:rPr>
          <w:lang w:val="en-GB"/>
        </w:rPr>
      </w:pPr>
      <w:r w:rsidRPr="00491918">
        <w:rPr>
          <w:lang w:val="en-GB"/>
        </w:rPr>
        <w:t>Net fee and commission income was in line at £567m</w:t>
      </w:r>
    </w:p>
    <w:p w:rsidR="000D1659" w:rsidRPr="00491918" w:rsidRDefault="000D1659" w:rsidP="002A3C92">
      <w:pPr>
        <w:pStyle w:val="Level1Bullet-BarcRA20300"/>
        <w:numPr>
          <w:ilvl w:val="0"/>
          <w:numId w:val="26"/>
        </w:numPr>
        <w:rPr>
          <w:lang w:val="en-GB"/>
        </w:rPr>
      </w:pPr>
      <w:r w:rsidRPr="00491918">
        <w:rPr>
          <w:szCs w:val="18"/>
          <w:lang w:val="en-GB"/>
        </w:rPr>
        <w:t>Other net income includes a £25m gain on acquisition of ING Direct UK</w:t>
      </w:r>
    </w:p>
    <w:p w:rsidR="000D1659" w:rsidRPr="00491918" w:rsidRDefault="000D1659" w:rsidP="002A3C92">
      <w:pPr>
        <w:pStyle w:val="Level1Bullet-BarcRA20300"/>
        <w:numPr>
          <w:ilvl w:val="0"/>
          <w:numId w:val="26"/>
        </w:numPr>
        <w:tabs>
          <w:tab w:val="num" w:pos="567"/>
        </w:tabs>
        <w:rPr>
          <w:lang w:val="en-GB"/>
        </w:rPr>
      </w:pPr>
      <w:r w:rsidRPr="00491918">
        <w:rPr>
          <w:lang w:val="en-GB"/>
        </w:rPr>
        <w:t>Credit impairment charges increased £56m to £178m primarily due to provision releases in 2012 impacting unsecured lending and mortgages</w:t>
      </w:r>
    </w:p>
    <w:p w:rsidR="000D1659" w:rsidRPr="00491918" w:rsidRDefault="000D1659" w:rsidP="000D1659">
      <w:pPr>
        <w:pStyle w:val="Level2Bullet-BarcRA300"/>
        <w:tabs>
          <w:tab w:val="num" w:pos="567"/>
        </w:tabs>
        <w:ind w:left="567" w:hanging="283"/>
        <w:rPr>
          <w:lang w:val="en-GB"/>
        </w:rPr>
      </w:pPr>
      <w:r w:rsidRPr="00491918">
        <w:rPr>
          <w:lang w:val="en-GB"/>
        </w:rPr>
        <w:t>Loan loss rate increased to 26bps (2012: 19bps)</w:t>
      </w:r>
    </w:p>
    <w:p w:rsidR="000D1659" w:rsidRPr="00491918" w:rsidRDefault="000D1659" w:rsidP="000D1659">
      <w:pPr>
        <w:pStyle w:val="Level2Bullet-BarcRA300"/>
        <w:tabs>
          <w:tab w:val="num" w:pos="567"/>
        </w:tabs>
        <w:ind w:left="567" w:hanging="283"/>
        <w:rPr>
          <w:lang w:val="en-GB"/>
        </w:rPr>
      </w:pPr>
      <w:r w:rsidRPr="00491918">
        <w:rPr>
          <w:lang w:val="en-GB"/>
        </w:rPr>
        <w:t>90 day arrears rates on UK personal loans improved to 1.3% (2012: 1.4%).  90 day arrears rates on home loans were flat at 0.3%</w:t>
      </w:r>
    </w:p>
    <w:p w:rsidR="000D1659" w:rsidRPr="00491918" w:rsidRDefault="000D1659" w:rsidP="00161467">
      <w:pPr>
        <w:pStyle w:val="Default"/>
        <w:widowControl/>
        <w:numPr>
          <w:ilvl w:val="0"/>
          <w:numId w:val="28"/>
        </w:numPr>
        <w:adjustRightInd/>
        <w:spacing w:after="132"/>
        <w:jc w:val="both"/>
        <w:rPr>
          <w:rFonts w:ascii="Expert Sans Regular" w:hAnsi="Expert Sans Regular"/>
          <w:color w:val="auto"/>
          <w:sz w:val="18"/>
          <w:szCs w:val="18"/>
        </w:rPr>
      </w:pPr>
      <w:r w:rsidRPr="00491918">
        <w:rPr>
          <w:rFonts w:ascii="Expert Sans Regular" w:hAnsi="Expert Sans Regular"/>
          <w:color w:val="auto"/>
          <w:sz w:val="18"/>
          <w:szCs w:val="18"/>
        </w:rPr>
        <w:t xml:space="preserve">Adjusted operating expenses decreased 3% to £1,420m, despite the increased costs relating to Barclays Direct and costs to achieve Transform of £27m, driven in part by non-recurring operational costs incurred in H112. </w:t>
      </w:r>
      <w:r w:rsidRPr="00491918">
        <w:rPr>
          <w:rFonts w:ascii="Expert Sans Regular" w:hAnsi="Expert Sans Regular" w:cs="Times New Roman"/>
          <w:color w:val="auto"/>
          <w:sz w:val="18"/>
          <w:szCs w:val="20"/>
          <w:lang w:eastAsia="en-US"/>
        </w:rPr>
        <w:t>Statutory operating expenses increased by 18% to £2,080m due to the £660m provision for PPI redress (2012: £300m)</w:t>
      </w:r>
    </w:p>
    <w:p w:rsidR="000D1659" w:rsidRPr="00491918" w:rsidRDefault="000D1659" w:rsidP="002A3C92">
      <w:pPr>
        <w:pStyle w:val="Level1Bullet-BarcRA20300"/>
        <w:numPr>
          <w:ilvl w:val="0"/>
          <w:numId w:val="28"/>
        </w:numPr>
        <w:rPr>
          <w:lang w:val="en-GB"/>
        </w:rPr>
      </w:pPr>
      <w:r w:rsidRPr="00491918">
        <w:rPr>
          <w:lang w:val="en-GB"/>
        </w:rPr>
        <w:t>Adjusted profit before tax improved 7% to £632m, while statutory loss before tax was £28m (2012: profit of £292m) due to the provision for PPI redress</w:t>
      </w:r>
    </w:p>
    <w:p w:rsidR="000D1659" w:rsidRPr="00491918" w:rsidRDefault="000D1659" w:rsidP="008D6001">
      <w:pPr>
        <w:pStyle w:val="Level1Bullet-BarcRA2000"/>
        <w:numPr>
          <w:ilvl w:val="0"/>
          <w:numId w:val="0"/>
        </w:numPr>
        <w:tabs>
          <w:tab w:val="left" w:pos="720"/>
        </w:tabs>
        <w:ind w:left="284" w:hanging="284"/>
        <w:outlineLvl w:val="0"/>
        <w:rPr>
          <w:b/>
          <w:sz w:val="20"/>
          <w:lang w:val="en-GB"/>
        </w:rPr>
      </w:pPr>
      <w:r w:rsidRPr="00491918">
        <w:rPr>
          <w:b/>
          <w:sz w:val="20"/>
          <w:lang w:val="en-GB"/>
        </w:rPr>
        <w:t>Income Statement – Q213 compared to Q113</w:t>
      </w:r>
    </w:p>
    <w:p w:rsidR="000D1659" w:rsidRPr="00491918" w:rsidRDefault="000D1659" w:rsidP="002A3C92">
      <w:pPr>
        <w:pStyle w:val="Level1Bullet-BarcRA20300"/>
        <w:numPr>
          <w:ilvl w:val="0"/>
          <w:numId w:val="26"/>
        </w:numPr>
        <w:rPr>
          <w:lang w:val="en-GB"/>
        </w:rPr>
      </w:pPr>
      <w:r w:rsidRPr="00491918">
        <w:rPr>
          <w:lang w:val="en-GB"/>
        </w:rPr>
        <w:t>Adjusted profit before tax increased 11% to £333m reflecting a 6% increase in income primarily due to Barclays Direct</w:t>
      </w:r>
    </w:p>
    <w:p w:rsidR="000D1659" w:rsidRPr="00491918" w:rsidRDefault="000D1659" w:rsidP="002A3C92">
      <w:pPr>
        <w:pStyle w:val="Level1Bullet-BarcRA20300"/>
        <w:numPr>
          <w:ilvl w:val="0"/>
          <w:numId w:val="26"/>
        </w:numPr>
        <w:rPr>
          <w:lang w:val="en-GB"/>
        </w:rPr>
      </w:pPr>
      <w:r w:rsidRPr="00491918">
        <w:rPr>
          <w:lang w:val="en-GB"/>
        </w:rPr>
        <w:t>Statutory loss before tax was £327m (Q113: profit of £299m) due to the provision for PPI redress</w:t>
      </w:r>
    </w:p>
    <w:p w:rsidR="000D1659" w:rsidRPr="00491918" w:rsidRDefault="000D1659" w:rsidP="008D6001">
      <w:pPr>
        <w:pStyle w:val="Level1Bullet-BarcRA20301"/>
        <w:numPr>
          <w:ilvl w:val="0"/>
          <w:numId w:val="0"/>
        </w:numPr>
        <w:tabs>
          <w:tab w:val="left" w:pos="720"/>
        </w:tabs>
        <w:ind w:left="284" w:hanging="284"/>
        <w:outlineLvl w:val="0"/>
        <w:rPr>
          <w:b/>
          <w:sz w:val="20"/>
          <w:lang w:val="en-GB"/>
        </w:rPr>
      </w:pPr>
      <w:r w:rsidRPr="00491918">
        <w:rPr>
          <w:b/>
          <w:sz w:val="20"/>
          <w:lang w:val="en-GB"/>
        </w:rPr>
        <w:t>Balance Sheet – 30 June 2013 compared to 31 December 2012</w:t>
      </w:r>
    </w:p>
    <w:p w:rsidR="000D1659" w:rsidRPr="00491918" w:rsidRDefault="000D1659" w:rsidP="002A3C92">
      <w:pPr>
        <w:pStyle w:val="Level1Bullet-BarcRA20300"/>
        <w:numPr>
          <w:ilvl w:val="0"/>
          <w:numId w:val="28"/>
        </w:numPr>
        <w:rPr>
          <w:lang w:val="en-GB"/>
        </w:rPr>
      </w:pPr>
      <w:r w:rsidRPr="00491918">
        <w:rPr>
          <w:lang w:val="en-GB"/>
        </w:rPr>
        <w:t>Barc</w:t>
      </w:r>
      <w:r w:rsidR="00E25213" w:rsidRPr="00491918">
        <w:rPr>
          <w:lang w:val="en-GB"/>
        </w:rPr>
        <w:t>lays has successfully completed</w:t>
      </w:r>
      <w:r w:rsidRPr="00491918">
        <w:rPr>
          <w:lang w:val="en-GB"/>
        </w:rPr>
        <w:t xml:space="preserve"> the acquisition of ING Direct UK and </w:t>
      </w:r>
      <w:r w:rsidR="00E25213" w:rsidRPr="00491918">
        <w:rPr>
          <w:lang w:val="en-GB"/>
        </w:rPr>
        <w:t xml:space="preserve">customer deposit balances at H113 are higher </w:t>
      </w:r>
      <w:r w:rsidRPr="00491918">
        <w:rPr>
          <w:lang w:val="en-GB"/>
        </w:rPr>
        <w:t>than initially expected</w:t>
      </w:r>
    </w:p>
    <w:p w:rsidR="000D1659" w:rsidRPr="00491918" w:rsidRDefault="000D1659" w:rsidP="002A3C92">
      <w:pPr>
        <w:pStyle w:val="Level1Bullet-BarcRA20300"/>
        <w:numPr>
          <w:ilvl w:val="0"/>
          <w:numId w:val="28"/>
        </w:numPr>
        <w:rPr>
          <w:lang w:val="en-GB"/>
        </w:rPr>
      </w:pPr>
      <w:r w:rsidRPr="00491918">
        <w:rPr>
          <w:lang w:val="en-GB"/>
        </w:rPr>
        <w:t>Total loans and advances to customers increased 6% to £135.4bn primarily due to Barclays Direct, which added £5.3bn at H113</w:t>
      </w:r>
    </w:p>
    <w:p w:rsidR="000D1659" w:rsidRPr="00491918" w:rsidRDefault="000D1659" w:rsidP="000D1659">
      <w:pPr>
        <w:pStyle w:val="Level2Bullet-BarcRA300"/>
        <w:tabs>
          <w:tab w:val="num" w:pos="567"/>
        </w:tabs>
        <w:ind w:left="567" w:hanging="283"/>
        <w:rPr>
          <w:lang w:val="en-GB"/>
        </w:rPr>
      </w:pPr>
      <w:r w:rsidRPr="00491918">
        <w:rPr>
          <w:lang w:val="en-GB"/>
        </w:rPr>
        <w:t>Mortgage balances including Barclays Direct of £121.7bn (2012: £114.7bn). Gross new mortgage lending of £7.7</w:t>
      </w:r>
      <w:r w:rsidR="00B52C1E" w:rsidRPr="00491918">
        <w:rPr>
          <w:lang w:val="en-GB"/>
        </w:rPr>
        <w:t>bn (</w:t>
      </w:r>
      <w:r w:rsidR="00161467" w:rsidRPr="00491918">
        <w:rPr>
          <w:lang w:val="en-GB"/>
        </w:rPr>
        <w:t xml:space="preserve">30 June </w:t>
      </w:r>
      <w:r w:rsidRPr="00491918">
        <w:rPr>
          <w:lang w:val="en-GB"/>
        </w:rPr>
        <w:t>2012: £7.8bn) and mortgage redemptions of £6.0</w:t>
      </w:r>
      <w:r w:rsidR="00B52C1E" w:rsidRPr="00491918">
        <w:rPr>
          <w:lang w:val="en-GB"/>
        </w:rPr>
        <w:t>bn (</w:t>
      </w:r>
      <w:r w:rsidR="00161467" w:rsidRPr="00491918">
        <w:rPr>
          <w:lang w:val="en-GB"/>
        </w:rPr>
        <w:t xml:space="preserve">30 June </w:t>
      </w:r>
      <w:r w:rsidRPr="00491918">
        <w:rPr>
          <w:lang w:val="en-GB"/>
        </w:rPr>
        <w:t>2012: £5.6bn)</w:t>
      </w:r>
    </w:p>
    <w:p w:rsidR="000D1659" w:rsidRPr="00491918" w:rsidRDefault="000D1659" w:rsidP="000D1659">
      <w:pPr>
        <w:pStyle w:val="Level2Bullet-BarcRA300"/>
        <w:tabs>
          <w:tab w:val="num" w:pos="567"/>
        </w:tabs>
        <w:ind w:left="567" w:hanging="283"/>
        <w:rPr>
          <w:i/>
          <w:lang w:val="en-GB"/>
        </w:rPr>
      </w:pPr>
      <w:r w:rsidRPr="00491918">
        <w:rPr>
          <w:lang w:val="en-GB"/>
        </w:rPr>
        <w:t>Average Loan to Value (LTV) ratio on the mortgage portfolio (including Buy to Let) was 45% (2012: 46%). Average LTV of new mortgage lending wa</w:t>
      </w:r>
      <w:r w:rsidR="00B52C1E" w:rsidRPr="00491918">
        <w:rPr>
          <w:lang w:val="en-GB"/>
        </w:rPr>
        <w:t>s 54% (</w:t>
      </w:r>
      <w:r w:rsidR="00161467" w:rsidRPr="00491918">
        <w:rPr>
          <w:lang w:val="en-GB"/>
        </w:rPr>
        <w:t xml:space="preserve">full year to 31 December </w:t>
      </w:r>
      <w:r w:rsidRPr="00491918">
        <w:rPr>
          <w:lang w:val="en-GB"/>
        </w:rPr>
        <w:t>2012: 56%)</w:t>
      </w:r>
    </w:p>
    <w:p w:rsidR="000D1659" w:rsidRPr="00491918" w:rsidRDefault="000D1659" w:rsidP="002A3C92">
      <w:pPr>
        <w:pStyle w:val="Level1Bullet-BarcRA20300"/>
        <w:numPr>
          <w:ilvl w:val="0"/>
          <w:numId w:val="26"/>
        </w:numPr>
        <w:rPr>
          <w:lang w:val="en-GB"/>
        </w:rPr>
      </w:pPr>
      <w:r w:rsidRPr="00491918">
        <w:rPr>
          <w:lang w:val="en-GB"/>
        </w:rPr>
        <w:t>Total customer deposits increased 15% to £133.2bn primarily due to Barclays Direct, which added £9.8bn at H113 and continued growth in personal customer deposits</w:t>
      </w:r>
    </w:p>
    <w:p w:rsidR="000D1659" w:rsidRPr="00491918" w:rsidRDefault="000D1659" w:rsidP="002A3C92">
      <w:pPr>
        <w:pStyle w:val="Level1Bullet-BarcRA20300"/>
        <w:numPr>
          <w:ilvl w:val="0"/>
          <w:numId w:val="26"/>
        </w:numPr>
        <w:rPr>
          <w:lang w:val="en-GB"/>
        </w:rPr>
      </w:pPr>
      <w:r w:rsidRPr="00491918">
        <w:t>R</w:t>
      </w:r>
      <w:r w:rsidRPr="00491918">
        <w:rPr>
          <w:lang w:val="en-GB"/>
        </w:rPr>
        <w:t>WAs</w:t>
      </w:r>
      <w:r w:rsidRPr="00491918">
        <w:t xml:space="preserve"> increased 12% to £43.6bn primarily due to Barclays Direct</w:t>
      </w:r>
      <w:r w:rsidRPr="00491918">
        <w:rPr>
          <w:lang w:val="en-GB"/>
        </w:rPr>
        <w:t xml:space="preserve"> and</w:t>
      </w:r>
      <w:r w:rsidRPr="00491918">
        <w:t xml:space="preserve"> mortgage asset growth</w:t>
      </w:r>
    </w:p>
    <w:p w:rsidR="000D1659" w:rsidRPr="00491918" w:rsidRDefault="000D1659">
      <w:pPr>
        <w:sectPr w:rsidR="000D1659" w:rsidRPr="00491918" w:rsidSect="00751636">
          <w:headerReference w:type="default" r:id="rId23"/>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trPr>
          <w:trHeight w:val="315"/>
        </w:trPr>
        <w:tc>
          <w:tcPr>
            <w:tcW w:w="42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 w:rsidRPr="00491918">
              <w:rPr>
                <w:b/>
                <w:color w:val="000000"/>
                <w:sz w:val="24"/>
              </w:rPr>
              <w:t>Europe Retail and Business Banking</w:t>
            </w:r>
            <w:r w:rsidRPr="00491918">
              <w:rPr>
                <w:b/>
                <w:color w:val="000000"/>
                <w:sz w:val="24"/>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24"/>
                <w:vertAlign w:val="superscript"/>
              </w:rPr>
            </w:pPr>
            <w:r w:rsidRPr="00491918">
              <w:rPr>
                <w:b/>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24"/>
              </w:rPr>
            </w:pPr>
            <w:r w:rsidRPr="00491918">
              <w:rPr>
                <w:b/>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24"/>
              </w:rPr>
            </w:pPr>
            <w:r w:rsidRPr="00491918">
              <w:rPr>
                <w:b/>
                <w:color w:val="000000"/>
                <w:sz w:val="24"/>
              </w:rPr>
              <w:t xml:space="preserve"> </w:t>
            </w:r>
            <w:r w:rsidRPr="00491918">
              <w:rPr>
                <w:b/>
                <w:color w:val="000000"/>
                <w:sz w:val="24"/>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24"/>
                <w:vertAlign w:val="superscript"/>
              </w:rPr>
            </w:pPr>
            <w:r w:rsidRPr="00491918">
              <w:rPr>
                <w:b/>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24"/>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24"/>
              </w:rPr>
              <w:t xml:space="preserve"> </w:t>
            </w:r>
          </w:p>
        </w:tc>
      </w:tr>
      <w:tr w:rsidR="009E6048" w:rsidRPr="00491918" w:rsidTr="000732DD">
        <w:trPr>
          <w:trHeight w:val="27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16"/>
              </w:rPr>
              <w:t xml:space="preserve"> </w:t>
            </w:r>
            <w:r w:rsidRPr="00491918">
              <w:rPr>
                <w:color w:val="000000"/>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b/>
                <w:color w:val="000000"/>
                <w:sz w:val="16"/>
              </w:rPr>
              <w:t>Half Year Ended</w:t>
            </w:r>
          </w:p>
        </w:tc>
        <w:tc>
          <w:tcPr>
            <w:tcW w:w="1605"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Income Statement Information</w:t>
            </w:r>
            <w:r w:rsidRPr="00491918">
              <w:rPr>
                <w:b/>
                <w:color w:val="000000"/>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0"/>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0"/>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30.06.12</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YoY</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Net interest income </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219 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207 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221 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fee and commission income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131 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trading (expense)/income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investment income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premiums from insurance contracts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111 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income/(expense)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income</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514 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451 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616 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(17)</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Net claims and benefits incurred under insurance contracts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(237)</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income net of insurance claims</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352 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329 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379 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Credit impairment charges and other provisions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(125)</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Net operating income</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210 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197 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254 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(17)</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trPr>
          <w:trHeight w:val="51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Operating expenses (excluding costs to achieve Transform and UK bank levy)</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(422)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(378)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Costs to achieve Transform</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(356)</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bank levy</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Operating expenses </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(778)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(398)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(409)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90 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Other net (expense)/income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Loss before tax</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(709)</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(195)</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(148)</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Attributable loss</w:t>
            </w:r>
            <w:r w:rsidRPr="00491918">
              <w:rPr>
                <w:color w:val="000000"/>
                <w:sz w:val="16"/>
                <w:vertAlign w:val="superscript"/>
              </w:rPr>
              <w:t>1 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(522)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(156)</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Balance Sheet Information and Key Facts</w:t>
            </w:r>
            <w:r w:rsidRPr="00491918">
              <w:rPr>
                <w:b/>
                <w:color w:val="000000"/>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r w:rsidRPr="00491918">
              <w:rPr>
                <w:b/>
                <w:color w:val="000000"/>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20"/>
              </w:rPr>
            </w:pPr>
            <w:r w:rsidRPr="00491918">
              <w:rPr>
                <w:color w:val="000000"/>
                <w:sz w:val="16"/>
              </w:rPr>
              <w:t>Loans and advances to customers at amortised cost</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£39.8bn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£39.2bn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£40.4bn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deposits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£17.6bn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£18.3bn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Total assets</w:t>
            </w:r>
            <w:r w:rsidRPr="00491918">
              <w:rPr>
                <w:color w:val="000000"/>
                <w:sz w:val="16"/>
                <w:vertAlign w:val="superscript"/>
              </w:rPr>
              <w:t>2 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£48.7bn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£46.1bn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£47.1bn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Risk weighted assets</w:t>
            </w:r>
            <w:r w:rsidRPr="00491918">
              <w:rPr>
                <w:color w:val="000000"/>
                <w:sz w:val="16"/>
                <w:vertAlign w:val="superscript"/>
              </w:rPr>
              <w:t>2 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£16.7bn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Number of customers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2.0m</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 xml:space="preserve"> </w:t>
            </w:r>
            <w:r w:rsidRPr="00491918">
              <w:rPr>
                <w:b/>
                <w:color w:val="000000"/>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Number of branches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797 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923 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951 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Number of sales centres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166 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219 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228 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Number of distribution points</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963 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1,142 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1,179 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90 day arrears rate - Spain home loans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0.7%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90 day arrears rate - Portugal home loans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0.4%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90 day arrears rate - Italy home loans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90 day arrears rate - Total Europe RBB home loans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0.8%</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Number of employees (full time equivalent)</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6,900 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7,500 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7,700 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9E6048" w:rsidRPr="00491918" w:rsidTr="000732DD">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Adjusted</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Statutory</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Performance Measures</w:t>
            </w:r>
            <w:r w:rsidRPr="00491918">
              <w:rPr>
                <w:b/>
                <w:color w:val="000000"/>
                <w:sz w:val="20"/>
                <w:vertAlign w:val="superscript"/>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b/>
                <w:color w:val="000000"/>
                <w:sz w:val="16"/>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b/>
                <w:color w:val="000000"/>
                <w:sz w:val="16"/>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Return on average equity</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(49.1%)</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(10.9%)</w:t>
            </w:r>
            <w:r w:rsidRPr="00491918">
              <w:rPr>
                <w:color w:val="000000"/>
                <w:sz w:val="16"/>
                <w:vertAlign w:val="superscript"/>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(49.1%)</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(10.9%)</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Return on average risk weighted assets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Cost: income ratio</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221%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108%</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221%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108%</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Loan loss rate (bps)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bl>
    <w:p w:rsidR="000D1659" w:rsidRPr="00491918" w:rsidRDefault="000D1659"/>
    <w:p w:rsidR="00E9782A" w:rsidRPr="00491918" w:rsidRDefault="00E9782A" w:rsidP="00E9782A">
      <w:pPr>
        <w:pStyle w:val="Normal20"/>
        <w:ind w:left="284"/>
        <w:rPr>
          <w:i/>
        </w:rPr>
      </w:pPr>
    </w:p>
    <w:p w:rsidR="00E9782A" w:rsidRPr="00491918" w:rsidRDefault="00E9782A" w:rsidP="00E9782A">
      <w:pPr>
        <w:pStyle w:val="Normal20"/>
        <w:ind w:left="284"/>
        <w:rPr>
          <w:i/>
        </w:rPr>
      </w:pPr>
    </w:p>
    <w:p w:rsidR="000D1659" w:rsidRPr="00491918" w:rsidRDefault="000D1659" w:rsidP="002A3C92">
      <w:pPr>
        <w:pStyle w:val="Normal20"/>
        <w:numPr>
          <w:ilvl w:val="0"/>
          <w:numId w:val="31"/>
        </w:numPr>
        <w:ind w:left="284" w:hanging="284"/>
        <w:rPr>
          <w:i/>
        </w:rPr>
      </w:pPr>
      <w:r w:rsidRPr="00491918">
        <w:rPr>
          <w:i/>
          <w:color w:val="000000"/>
          <w:sz w:val="14"/>
        </w:rPr>
        <w:t>Attributable loss includes profit after tax and non-controlling interests.</w:t>
      </w:r>
    </w:p>
    <w:p w:rsidR="000E4F19" w:rsidRPr="00491918" w:rsidRDefault="000D1659" w:rsidP="002A3C92">
      <w:pPr>
        <w:pStyle w:val="Normal20"/>
        <w:numPr>
          <w:ilvl w:val="0"/>
          <w:numId w:val="31"/>
        </w:numPr>
        <w:ind w:left="284" w:hanging="284"/>
        <w:rPr>
          <w:i/>
        </w:rPr>
      </w:pPr>
      <w:r w:rsidRPr="00491918">
        <w:rPr>
          <w:i/>
          <w:color w:val="000000"/>
          <w:sz w:val="14"/>
        </w:rPr>
        <w:t>2013 total assets and risk weighted assets include an allocation of liquidity pool assets previously held centrally.</w:t>
      </w:r>
    </w:p>
    <w:p w:rsidR="000E4F19" w:rsidRPr="00491918" w:rsidRDefault="000E4F19" w:rsidP="000E4F19">
      <w:pPr>
        <w:rPr>
          <w:lang w:val="en-GB"/>
        </w:rPr>
      </w:pPr>
    </w:p>
    <w:p w:rsidR="000E4F19" w:rsidRPr="00491918" w:rsidRDefault="000E4F19" w:rsidP="000E4F19">
      <w:pPr>
        <w:rPr>
          <w:lang w:val="en-GB"/>
        </w:rPr>
      </w:pPr>
    </w:p>
    <w:p w:rsidR="000E4F19" w:rsidRPr="00491918" w:rsidRDefault="000E4F19" w:rsidP="000E4F19">
      <w:pPr>
        <w:rPr>
          <w:lang w:val="en-GB"/>
        </w:rPr>
      </w:pPr>
    </w:p>
    <w:p w:rsidR="000E4F19" w:rsidRPr="00491918" w:rsidRDefault="000E4F19" w:rsidP="000E4F19">
      <w:pPr>
        <w:rPr>
          <w:lang w:val="en-GB"/>
        </w:rPr>
      </w:pPr>
    </w:p>
    <w:p w:rsidR="000D1659" w:rsidRPr="00491918" w:rsidRDefault="000D1659" w:rsidP="000E4F19">
      <w:pPr>
        <w:ind w:firstLine="720"/>
        <w:rPr>
          <w:lang w:val="en-GB"/>
        </w:rPr>
      </w:pPr>
    </w:p>
    <w:p w:rsidR="00DA356B" w:rsidRPr="00491918" w:rsidRDefault="00DA356B" w:rsidP="000464EA">
      <w:pPr>
        <w:spacing w:after="240"/>
        <w:rPr>
          <w:b/>
          <w:sz w:val="24"/>
        </w:rPr>
      </w:pPr>
    </w:p>
    <w:p w:rsidR="00DA356B" w:rsidRPr="00491918" w:rsidRDefault="00DA356B" w:rsidP="000464EA">
      <w:pPr>
        <w:spacing w:after="240"/>
        <w:rPr>
          <w:b/>
          <w:sz w:val="24"/>
        </w:rPr>
      </w:pPr>
    </w:p>
    <w:p w:rsidR="000464EA" w:rsidRPr="00491918" w:rsidRDefault="000464EA" w:rsidP="000464EA">
      <w:pPr>
        <w:spacing w:after="240"/>
        <w:rPr>
          <w:b/>
          <w:sz w:val="24"/>
        </w:rPr>
      </w:pPr>
      <w:r w:rsidRPr="00491918">
        <w:rPr>
          <w:b/>
          <w:sz w:val="24"/>
        </w:rPr>
        <w:t>Results by Business</w:t>
      </w:r>
    </w:p>
    <w:p w:rsidR="000D1659" w:rsidRPr="00491918" w:rsidRDefault="000D1659" w:rsidP="008D6001">
      <w:pPr>
        <w:pStyle w:val="Normal20"/>
        <w:outlineLvl w:val="0"/>
      </w:pPr>
      <w:r w:rsidRPr="00491918">
        <w:rPr>
          <w:b/>
          <w:sz w:val="24"/>
        </w:rPr>
        <w:lastRenderedPageBreak/>
        <w:t>Europe Retail and Business Banking</w:t>
      </w:r>
    </w:p>
    <w:p w:rsidR="000D1659" w:rsidRPr="00491918" w:rsidRDefault="000D1659" w:rsidP="008D6001">
      <w:pPr>
        <w:pStyle w:val="Level1Bullet-BarcRA20010"/>
        <w:tabs>
          <w:tab w:val="clear" w:pos="284"/>
          <w:tab w:val="left" w:pos="720"/>
        </w:tabs>
        <w:outlineLvl w:val="0"/>
        <w:rPr>
          <w:b/>
          <w:sz w:val="20"/>
        </w:rPr>
      </w:pPr>
      <w:r w:rsidRPr="00491918">
        <w:rPr>
          <w:b/>
          <w:sz w:val="20"/>
          <w:lang w:val="en-GB"/>
        </w:rPr>
        <w:t>Income Statement – H113 compared to H112</w:t>
      </w:r>
    </w:p>
    <w:p w:rsidR="000D1659" w:rsidRPr="00491918" w:rsidRDefault="000D1659" w:rsidP="002A3C92">
      <w:pPr>
        <w:pStyle w:val="Level1Bullet-BarcRA40"/>
        <w:numPr>
          <w:ilvl w:val="0"/>
          <w:numId w:val="33"/>
        </w:numPr>
      </w:pPr>
      <w:r w:rsidRPr="00491918">
        <w:t xml:space="preserve">Income </w:t>
      </w:r>
      <w:r w:rsidRPr="00491918">
        <w:rPr>
          <w:lang w:val="en-GB"/>
        </w:rPr>
        <w:t xml:space="preserve">declined 7% to £352m, reflecting actions taken to reduce the volume of new assets written as part of the Transform programme and address the continuing economic challenges across Europe, partially offset by an increase due to foreign currency movements </w:t>
      </w:r>
    </w:p>
    <w:p w:rsidR="000D1659" w:rsidRPr="00491918" w:rsidRDefault="000D1659" w:rsidP="008156AC">
      <w:pPr>
        <w:pStyle w:val="Level1Bullet-BarcRA40"/>
        <w:numPr>
          <w:ilvl w:val="0"/>
          <w:numId w:val="33"/>
        </w:numPr>
      </w:pPr>
      <w:r w:rsidRPr="00491918">
        <w:t xml:space="preserve">Net interest income was in line at £219m.  Net interest margin was broadly in line at 81bps </w:t>
      </w:r>
    </w:p>
    <w:p w:rsidR="000D1659" w:rsidRPr="00491918" w:rsidRDefault="000D1659" w:rsidP="000D1659">
      <w:pPr>
        <w:pStyle w:val="Level2Bullet-BarcRA301"/>
        <w:tabs>
          <w:tab w:val="clear" w:pos="1401"/>
          <w:tab w:val="num" w:pos="567"/>
        </w:tabs>
        <w:ind w:left="567" w:hanging="283"/>
      </w:pPr>
      <w:r w:rsidRPr="00491918">
        <w:t>Customer asset margin remained flat at 47bps, with higher customer lending rates</w:t>
      </w:r>
      <w:r w:rsidRPr="00491918">
        <w:rPr>
          <w:lang w:val="en-GB"/>
        </w:rPr>
        <w:t xml:space="preserve"> offset by higher funding costs</w:t>
      </w:r>
      <w:r w:rsidRPr="00491918">
        <w:t>. Average customer assets decreased 3% to £40.1b</w:t>
      </w:r>
      <w:r w:rsidRPr="00491918">
        <w:rPr>
          <w:lang w:val="en-GB"/>
        </w:rPr>
        <w:t>n</w:t>
      </w:r>
    </w:p>
    <w:p w:rsidR="000D1659" w:rsidRPr="00491918" w:rsidRDefault="000D1659" w:rsidP="000D1659">
      <w:pPr>
        <w:pStyle w:val="Level2Bullet-BarcRA301"/>
        <w:tabs>
          <w:tab w:val="clear" w:pos="1401"/>
          <w:tab w:val="num" w:pos="567"/>
        </w:tabs>
        <w:ind w:left="567" w:hanging="283"/>
      </w:pPr>
      <w:r w:rsidRPr="00491918">
        <w:t>Customer liability margin decreased 5bps to 41bps, with higher rates on new deposits</w:t>
      </w:r>
      <w:r w:rsidRPr="00491918">
        <w:rPr>
          <w:lang w:val="en-GB"/>
        </w:rPr>
        <w:t xml:space="preserve"> partially offset by increased funding rates</w:t>
      </w:r>
      <w:r w:rsidRPr="00491918">
        <w:t>. Average customer liabilities were down 9% to £14.1bn</w:t>
      </w:r>
    </w:p>
    <w:p w:rsidR="000D1659" w:rsidRPr="00491918" w:rsidRDefault="000D1659" w:rsidP="008156AC">
      <w:pPr>
        <w:pStyle w:val="Level1Bullet-BarcRA40"/>
        <w:numPr>
          <w:ilvl w:val="0"/>
          <w:numId w:val="33"/>
        </w:numPr>
      </w:pPr>
      <w:r w:rsidRPr="00491918">
        <w:t>Net fee and commission income declined 29% to £93m, reflecting lower asset volumes</w:t>
      </w:r>
    </w:p>
    <w:p w:rsidR="000D1659" w:rsidRPr="00491918" w:rsidRDefault="000D1659" w:rsidP="008156AC">
      <w:pPr>
        <w:pStyle w:val="Level1Bullet-BarcRA40"/>
        <w:numPr>
          <w:ilvl w:val="0"/>
          <w:numId w:val="33"/>
        </w:numPr>
      </w:pPr>
      <w:r w:rsidRPr="00491918">
        <w:t>Other net expense increased by £148m due to a valuation adjustment recognised in respect of contractual obligations to trading partners, based in locations affected by our restructuring plans</w:t>
      </w:r>
    </w:p>
    <w:p w:rsidR="000D1659" w:rsidRPr="00491918" w:rsidRDefault="000D1659" w:rsidP="008156AC">
      <w:pPr>
        <w:pStyle w:val="Level1Bullet-BarcRA40"/>
        <w:numPr>
          <w:ilvl w:val="0"/>
          <w:numId w:val="33"/>
        </w:numPr>
      </w:pPr>
      <w:r w:rsidRPr="00491918">
        <w:t>Net premiums from insurance contracts declined 33% to £148m due to discontinuance of certain products leading to a corresponding 32% decline in net claims and benefits to £162m</w:t>
      </w:r>
    </w:p>
    <w:p w:rsidR="000D1659" w:rsidRPr="00491918" w:rsidRDefault="000D1659" w:rsidP="008156AC">
      <w:pPr>
        <w:pStyle w:val="Level1Bullet-BarcRA40"/>
        <w:numPr>
          <w:ilvl w:val="0"/>
          <w:numId w:val="33"/>
        </w:numPr>
      </w:pPr>
      <w:r w:rsidRPr="00491918">
        <w:t>Credit impairment charges increased 14% to £142m due to foreign currency movements and deterioration in recoveries performance within mortgages reflecting current ec</w:t>
      </w:r>
      <w:r w:rsidR="00D423D0" w:rsidRPr="00491918">
        <w:t>onomic conditions across Europe</w:t>
      </w:r>
    </w:p>
    <w:p w:rsidR="000D1659" w:rsidRPr="00491918" w:rsidRDefault="000D1659" w:rsidP="000D1659">
      <w:pPr>
        <w:pStyle w:val="Level2Bullet-BarcRA301"/>
        <w:tabs>
          <w:tab w:val="clear" w:pos="1401"/>
          <w:tab w:val="num" w:pos="567"/>
        </w:tabs>
        <w:ind w:left="567" w:hanging="283"/>
      </w:pPr>
      <w:r w:rsidRPr="00491918">
        <w:t>Loan loss rate increased to 70bps (2012: 6</w:t>
      </w:r>
      <w:r w:rsidRPr="00491918">
        <w:rPr>
          <w:lang w:val="en-GB"/>
        </w:rPr>
        <w:t>1</w:t>
      </w:r>
      <w:r w:rsidRPr="00491918">
        <w:t>bps)</w:t>
      </w:r>
    </w:p>
    <w:p w:rsidR="000D1659" w:rsidRPr="00491918" w:rsidRDefault="000D1659" w:rsidP="000D1659">
      <w:pPr>
        <w:pStyle w:val="Level2Bullet-BarcRA301"/>
        <w:tabs>
          <w:tab w:val="clear" w:pos="1401"/>
          <w:tab w:val="num" w:pos="567"/>
        </w:tabs>
        <w:ind w:left="567" w:hanging="283"/>
      </w:pPr>
      <w:r w:rsidRPr="00491918">
        <w:t>Overall 90 day arrears rate</w:t>
      </w:r>
      <w:r w:rsidRPr="00491918">
        <w:rPr>
          <w:lang w:val="en-GB"/>
        </w:rPr>
        <w:t xml:space="preserve"> increased to</w:t>
      </w:r>
      <w:r w:rsidRPr="00491918">
        <w:t xml:space="preserve"> 9</w:t>
      </w:r>
      <w:r w:rsidRPr="00491918">
        <w:rPr>
          <w:lang w:val="en-GB"/>
        </w:rPr>
        <w:t>7</w:t>
      </w:r>
      <w:r w:rsidRPr="00491918">
        <w:t xml:space="preserve">bps (2012: 94bps) </w:t>
      </w:r>
    </w:p>
    <w:p w:rsidR="000D1659" w:rsidRPr="00491918" w:rsidRDefault="000D1659" w:rsidP="008156AC">
      <w:pPr>
        <w:pStyle w:val="Level1Bullet-BarcRA40"/>
        <w:numPr>
          <w:ilvl w:val="0"/>
          <w:numId w:val="33"/>
        </w:numPr>
      </w:pPr>
      <w:r w:rsidRPr="00491918">
        <w:t>Operating expenses increased by £369m to £778m, primarily reflecting costs to achieve Transform of £356m.  This related to restructuring costs to significantly downsize the distribution network, with the remaining increase driven by foreign currency movements</w:t>
      </w:r>
    </w:p>
    <w:p w:rsidR="000D1659" w:rsidRPr="00491918" w:rsidRDefault="000D1659" w:rsidP="008156AC">
      <w:pPr>
        <w:pStyle w:val="Level1Bullet-BarcRA40"/>
        <w:numPr>
          <w:ilvl w:val="0"/>
          <w:numId w:val="33"/>
        </w:numPr>
      </w:pPr>
      <w:r w:rsidRPr="00491918">
        <w:t>Loss before tax increased £561m to £709m, including costs to achieve Transform of £356m and an increase in other net expenses</w:t>
      </w:r>
    </w:p>
    <w:p w:rsidR="000D1659" w:rsidRPr="00491918" w:rsidRDefault="000D1659" w:rsidP="008D6001">
      <w:pPr>
        <w:pStyle w:val="Level1Bullet-BarcRA40000"/>
        <w:tabs>
          <w:tab w:val="clear" w:pos="284"/>
          <w:tab w:val="left" w:pos="720"/>
        </w:tabs>
        <w:ind w:left="0" w:firstLine="0"/>
        <w:outlineLvl w:val="0"/>
        <w:rPr>
          <w:b/>
          <w:sz w:val="20"/>
          <w:lang w:val="en-GB"/>
        </w:rPr>
      </w:pPr>
      <w:r w:rsidRPr="00491918">
        <w:rPr>
          <w:b/>
          <w:sz w:val="20"/>
          <w:lang w:val="en-GB"/>
        </w:rPr>
        <w:t>Income Statement – Q213 compared to Q113</w:t>
      </w:r>
    </w:p>
    <w:p w:rsidR="000D1659" w:rsidRPr="00491918" w:rsidRDefault="000D1659" w:rsidP="008156AC">
      <w:pPr>
        <w:pStyle w:val="Level1Bullet-BarcRA40"/>
        <w:numPr>
          <w:ilvl w:val="0"/>
          <w:numId w:val="33"/>
        </w:numPr>
      </w:pPr>
      <w:r w:rsidRPr="00491918">
        <w:t>Loss before tax of £247m (Q113: £462m), mainly reflecting a reduction in operating expenses including restructuring costs to achieve Transform of £356m in Q113, partially offset by an increase in other net expenses</w:t>
      </w:r>
    </w:p>
    <w:p w:rsidR="000D1659" w:rsidRPr="00491918" w:rsidRDefault="000D1659" w:rsidP="008D6001">
      <w:pPr>
        <w:pStyle w:val="Level1Bullet-BarcRA40000"/>
        <w:tabs>
          <w:tab w:val="clear" w:pos="284"/>
          <w:tab w:val="left" w:pos="720"/>
        </w:tabs>
        <w:ind w:left="0" w:firstLine="0"/>
        <w:outlineLvl w:val="0"/>
        <w:rPr>
          <w:b/>
          <w:sz w:val="20"/>
          <w:lang w:val="en-GB"/>
        </w:rPr>
      </w:pPr>
      <w:r w:rsidRPr="00491918">
        <w:rPr>
          <w:b/>
          <w:sz w:val="20"/>
          <w:lang w:val="en-GB"/>
        </w:rPr>
        <w:t>Balance Sheet – 30 June 2013 compared to 31 December 2012</w:t>
      </w:r>
    </w:p>
    <w:p w:rsidR="000D1659" w:rsidRPr="00491918" w:rsidRDefault="000D1659" w:rsidP="008156AC">
      <w:pPr>
        <w:pStyle w:val="Level1Bullet-BarcRA40"/>
        <w:numPr>
          <w:ilvl w:val="0"/>
          <w:numId w:val="33"/>
        </w:numPr>
      </w:pPr>
      <w:r w:rsidRPr="00491918">
        <w:t>Loans and advances to customers increased by 2% to £39.8bn, driven by foreign currency movements offset by reduced volumes as part of the Transform programme</w:t>
      </w:r>
    </w:p>
    <w:p w:rsidR="000D1659" w:rsidRPr="00491918" w:rsidRDefault="000D1659" w:rsidP="008156AC">
      <w:pPr>
        <w:pStyle w:val="Level1Bullet-BarcRA40"/>
        <w:numPr>
          <w:ilvl w:val="0"/>
          <w:numId w:val="33"/>
        </w:numPr>
      </w:pPr>
      <w:r w:rsidRPr="00491918">
        <w:t>Customer deposits reduced by 1% to £17.5m, due to customer attrition partially offset by foreign currency movements</w:t>
      </w:r>
    </w:p>
    <w:p w:rsidR="000D1659" w:rsidRPr="00491918" w:rsidRDefault="000D1659" w:rsidP="008156AC">
      <w:pPr>
        <w:pStyle w:val="Level1Bullet-BarcRA40"/>
        <w:numPr>
          <w:ilvl w:val="0"/>
          <w:numId w:val="33"/>
        </w:numPr>
      </w:pPr>
      <w:r w:rsidRPr="00491918">
        <w:t xml:space="preserve">RWAs increased 6% to £16.7bn primarily driven by foreign currency movements and methodology changes to better reflect the risk of forbearance </w:t>
      </w:r>
    </w:p>
    <w:p w:rsidR="000D1659" w:rsidRPr="00491918" w:rsidRDefault="000D1659">
      <w:pPr>
        <w:rPr>
          <w:i/>
        </w:rPr>
      </w:pPr>
    </w:p>
    <w:p w:rsidR="00DB725D" w:rsidRPr="00491918" w:rsidRDefault="00DB725D" w:rsidP="00DB725D">
      <w:pPr>
        <w:spacing w:after="240"/>
        <w:rPr>
          <w:b/>
          <w:sz w:val="24"/>
        </w:rPr>
      </w:pPr>
    </w:p>
    <w:p w:rsidR="00DB725D" w:rsidRPr="00491918" w:rsidRDefault="00DB725D" w:rsidP="00DB725D">
      <w:pPr>
        <w:spacing w:after="240"/>
        <w:rPr>
          <w:b/>
          <w:sz w:val="24"/>
        </w:rPr>
      </w:pPr>
    </w:p>
    <w:p w:rsidR="00DB725D" w:rsidRPr="00491918" w:rsidRDefault="00DB725D" w:rsidP="00DB725D">
      <w:pPr>
        <w:spacing w:after="240"/>
        <w:rPr>
          <w:b/>
          <w:sz w:val="24"/>
        </w:rPr>
      </w:pPr>
    </w:p>
    <w:p w:rsidR="00DB725D" w:rsidRPr="00491918" w:rsidRDefault="00DB725D" w:rsidP="00DB725D">
      <w:pPr>
        <w:spacing w:after="240"/>
        <w:rPr>
          <w:b/>
          <w:sz w:val="24"/>
        </w:rPr>
      </w:pPr>
    </w:p>
    <w:p w:rsidR="00DB725D" w:rsidRPr="00491918" w:rsidRDefault="00DB725D" w:rsidP="00DB725D">
      <w:pPr>
        <w:spacing w:after="240"/>
        <w:rPr>
          <w:b/>
          <w:sz w:val="24"/>
        </w:rPr>
      </w:pPr>
    </w:p>
    <w:p w:rsidR="00DA356B" w:rsidRPr="00491918" w:rsidRDefault="00DA356B" w:rsidP="00DB725D">
      <w:pPr>
        <w:spacing w:after="240"/>
        <w:rPr>
          <w:b/>
          <w:sz w:val="24"/>
        </w:rPr>
      </w:pPr>
    </w:p>
    <w:p w:rsidR="000464EA" w:rsidRPr="00491918" w:rsidRDefault="000464EA" w:rsidP="000464EA">
      <w:pPr>
        <w:spacing w:after="240"/>
        <w:rPr>
          <w:b/>
          <w:sz w:val="24"/>
        </w:rPr>
      </w:pPr>
      <w:r w:rsidRPr="00491918">
        <w:rPr>
          <w:b/>
          <w:sz w:val="24"/>
        </w:rPr>
        <w:t>Results by Business</w:t>
      </w: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trPr>
          <w:trHeight w:val="31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i/>
              </w:rPr>
            </w:pPr>
            <w:r w:rsidRPr="00491918">
              <w:rPr>
                <w:b/>
                <w:color w:val="000000"/>
                <w:sz w:val="24"/>
              </w:rPr>
              <w:t>Africa Retail and Business Banking</w:t>
            </w:r>
            <w:r w:rsidRPr="00491918">
              <w:rPr>
                <w:color w:val="000000"/>
                <w:sz w:val="24"/>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24"/>
              </w:rPr>
              <w:t xml:space="preserve"> </w:t>
            </w:r>
            <w:r w:rsidRPr="00491918">
              <w:rPr>
                <w:b/>
                <w:color w:val="000000"/>
                <w:sz w:val="24"/>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24"/>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24"/>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24"/>
              </w:rPr>
              <w:t xml:space="preserve"> </w:t>
            </w:r>
            <w:r w:rsidRPr="00491918">
              <w:rPr>
                <w:b/>
                <w:color w:val="000000"/>
                <w:sz w:val="24"/>
                <w:vertAlign w:val="superscript"/>
              </w:rPr>
              <w:t xml:space="preserve"> </w:t>
            </w:r>
          </w:p>
        </w:tc>
      </w:tr>
      <w:tr w:rsidR="009E6048" w:rsidRPr="00491918" w:rsidTr="000732DD">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rPr>
            </w:pPr>
            <w:r w:rsidRPr="00491918">
              <w:rPr>
                <w:color w:val="000000"/>
                <w:sz w:val="16"/>
              </w:rPr>
              <w:t xml:space="preserve"> </w:t>
            </w:r>
            <w:r w:rsidRPr="00491918">
              <w:rPr>
                <w:color w:val="000000"/>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20"/>
              </w:rPr>
              <w:t>Income Statement Information</w:t>
            </w:r>
            <w:r w:rsidRPr="00491918">
              <w:rPr>
                <w:b/>
                <w:color w:val="000000"/>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b/>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30.06.12</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YoY</w:t>
            </w:r>
            <w:r w:rsidRPr="00491918">
              <w:rPr>
                <w:b/>
                <w:color w:val="000000"/>
                <w:sz w:val="20"/>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r w:rsidRPr="00491918">
              <w:rPr>
                <w:color w:val="000000"/>
                <w:sz w:val="16"/>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lastRenderedPageBreak/>
              <w:t xml:space="preserve">Net interest income </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733 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819 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835 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Net fee and commission income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478 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526 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Net trading (expense)/income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Net investment income/(expense)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Net premiums from insurance contracts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185 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214 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w:t>
            </w:r>
            <w:r w:rsidRPr="00491918">
              <w:rPr>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Other income/(expense)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43 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 income</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1,447 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1,534 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1,601 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(10)</w:t>
            </w:r>
            <w:r w:rsidRPr="00491918">
              <w:rPr>
                <w:b/>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Net claims and benefits incurred under insurance contracts</w:t>
            </w:r>
            <w:r w:rsidRPr="00491918">
              <w:rPr>
                <w:b/>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(95)</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b/>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(108)</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w:t>
            </w:r>
            <w:r w:rsidRPr="00491918">
              <w:rPr>
                <w:b/>
                <w:color w:val="000000"/>
                <w:sz w:val="16"/>
                <w:vertAlign w:val="superscript"/>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Total income net of insurance claims</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1,352 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1,435 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1,493 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w:t>
            </w:r>
            <w:r w:rsidRPr="00491918">
              <w:rPr>
                <w:b/>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Credit impairment charges and other provisions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(208)</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(318)</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(314)</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(34)</w:t>
            </w:r>
            <w:r w:rsidRPr="00491918">
              <w:rPr>
                <w:color w:val="000000"/>
                <w:sz w:val="16"/>
                <w:vertAlign w:val="superscript"/>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Net operating income</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1,144 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1,117 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1,179 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w:t>
            </w:r>
            <w:r w:rsidRPr="00491918">
              <w:rPr>
                <w:b/>
                <w:color w:val="000000"/>
                <w:sz w:val="16"/>
                <w:vertAlign w:val="superscript"/>
              </w:rPr>
              <w:t xml:space="preserve"> </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51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Operating expenses (excluding costs to achieve Transform and UK bank levy) </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(926)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(961)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Costs to achieve Transform</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UK bank levy</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 xml:space="preserve">Operating expenses </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(935)</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(985)</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(999)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w:t>
            </w:r>
            <w:r w:rsidRPr="00491918">
              <w:rPr>
                <w:b/>
                <w:color w:val="000000"/>
                <w:sz w:val="16"/>
                <w:vertAlign w:val="superscript"/>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Other net income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Profit before tax</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212 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139 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183 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16 </w:t>
            </w:r>
            <w:r w:rsidRPr="00491918">
              <w:rPr>
                <w:b/>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Attributable profit/(loss)</w:t>
            </w:r>
            <w:r w:rsidRPr="00491918">
              <w:rPr>
                <w:color w:val="000000"/>
                <w:sz w:val="16"/>
                <w:vertAlign w:val="superscript"/>
              </w:rPr>
              <w:t>1 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b/>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20"/>
              </w:rPr>
              <w:t>Balance Sheet Information and Key Facts</w:t>
            </w:r>
            <w:r w:rsidRPr="00491918">
              <w:rPr>
                <w:b/>
                <w:color w:val="000000"/>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r w:rsidRPr="00491918">
              <w:rPr>
                <w:b/>
                <w:color w:val="000000"/>
                <w:sz w:val="20"/>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r w:rsidRPr="00491918">
              <w:rPr>
                <w:b/>
                <w:color w:val="000000"/>
                <w:sz w:val="20"/>
                <w:vertAlign w:val="superscript"/>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Loans and advances to customers at amortised cost</w:t>
            </w:r>
            <w:r w:rsidRPr="00491918">
              <w:rPr>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£27.6bn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£29.9bn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£32.1bn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Customer deposits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£18.2bn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£19.9bn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Total assets</w:t>
            </w:r>
            <w:r w:rsidRPr="00491918">
              <w:rPr>
                <w:color w:val="000000"/>
                <w:sz w:val="16"/>
                <w:vertAlign w:val="superscript"/>
              </w:rPr>
              <w:t>2 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£37.5bn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£42.2bn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£44.3bn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Risk weighted assets</w:t>
            </w:r>
            <w:r w:rsidRPr="00491918">
              <w:rPr>
                <w:color w:val="000000"/>
                <w:sz w:val="16"/>
                <w:vertAlign w:val="superscript"/>
              </w:rPr>
              <w:t>2 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£25.1bn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rFonts w:ascii="Arial" w:eastAsia="Arial" w:hAnsi="Arial" w:cs="Arial"/>
                <w:color w:val="000000"/>
                <w:sz w:val="20"/>
              </w:rPr>
              <w:t xml:space="preserve"> </w:t>
            </w:r>
            <w:r w:rsidRPr="00491918">
              <w:rPr>
                <w:rFonts w:ascii="Arial" w:eastAsia="Arial" w:hAnsi="Arial" w:cs="Arial"/>
                <w:color w:val="000000"/>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vertAlign w:val="superscript"/>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r w:rsidRPr="00491918">
              <w:rPr>
                <w:rFonts w:ascii="Arial" w:eastAsia="Arial" w:hAnsi="Arial" w:cs="Arial"/>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vertAlign w:val="superscript"/>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customers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13.3m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13.5m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14.8m</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ATMs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10,529 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10,468 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10,365 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Number of branches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1,317 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1,339 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1,342 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Number of sales centres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119 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112 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106 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Number of distribution points</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1,436 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1,451 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1,448 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90 days arrears rate- Home loans</w:t>
            </w:r>
            <w:r w:rsidRPr="00491918">
              <w:rPr>
                <w:b/>
                <w:color w:val="000000"/>
                <w:sz w:val="20"/>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20"/>
              </w:rPr>
            </w:pPr>
            <w:r w:rsidRPr="00491918">
              <w:rPr>
                <w:color w:val="000000"/>
                <w:sz w:val="16"/>
              </w:rPr>
              <w:t>1.1%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0"/>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20"/>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Number of employees (full time equivalent)</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40,900 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40,500 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41,600 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9E6048" w:rsidRPr="00491918" w:rsidTr="000732DD">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225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Adjusted</w:t>
            </w:r>
            <w:r w:rsidRPr="00491918">
              <w:rPr>
                <w:b/>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225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Statutory</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20"/>
              </w:rPr>
              <w:t>Performance Measures</w:t>
            </w:r>
            <w:r w:rsidRPr="00491918">
              <w:rPr>
                <w:b/>
                <w:color w:val="000000"/>
                <w:sz w:val="20"/>
                <w:vertAlign w:val="superscript"/>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b/>
                <w:color w:val="000000"/>
                <w:sz w:val="16"/>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20"/>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b/>
                <w:color w:val="000000"/>
                <w:sz w:val="16"/>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20"/>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color w:val="000000"/>
                <w:sz w:val="16"/>
              </w:rPr>
              <w:t>Return on average equity</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w:t>
            </w:r>
            <w:r w:rsidRPr="00491918">
              <w:rPr>
                <w:color w:val="000000"/>
                <w:sz w:val="16"/>
                <w:vertAlign w:val="superscript"/>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Return on average risk weighted assets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Cost: income ratio</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Loan loss rate (bps)</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202 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186 </w:t>
            </w:r>
            <w:r w:rsidRPr="00491918">
              <w:rPr>
                <w:color w:val="000000"/>
                <w:sz w:val="16"/>
                <w:vertAlign w:val="superscript"/>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202 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186 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bl>
    <w:p w:rsidR="000D1659" w:rsidRPr="00491918" w:rsidRDefault="000D1659">
      <w:pPr>
        <w:rPr>
          <w:i/>
        </w:rPr>
      </w:pPr>
    </w:p>
    <w:p w:rsidR="000D1659" w:rsidRPr="00491918" w:rsidRDefault="000D1659" w:rsidP="000D1659">
      <w:pPr>
        <w:pStyle w:val="Normal21"/>
        <w:ind w:left="284" w:hanging="284"/>
        <w:rPr>
          <w:i/>
          <w:color w:val="000000"/>
          <w:sz w:val="14"/>
        </w:rPr>
      </w:pPr>
    </w:p>
    <w:p w:rsidR="000D1659" w:rsidRPr="00491918" w:rsidRDefault="000D1659" w:rsidP="000D1659">
      <w:pPr>
        <w:pStyle w:val="Normal21"/>
        <w:ind w:left="284" w:hanging="284"/>
        <w:rPr>
          <w:i/>
          <w:color w:val="000000"/>
          <w:sz w:val="14"/>
        </w:rPr>
      </w:pPr>
    </w:p>
    <w:p w:rsidR="00E9782A" w:rsidRPr="00491918" w:rsidRDefault="00E9782A" w:rsidP="000D1659">
      <w:pPr>
        <w:pStyle w:val="Normal21"/>
        <w:ind w:left="284" w:hanging="284"/>
        <w:rPr>
          <w:i/>
          <w:color w:val="000000"/>
          <w:sz w:val="14"/>
        </w:rPr>
      </w:pPr>
    </w:p>
    <w:p w:rsidR="00E9782A" w:rsidRPr="00491918" w:rsidRDefault="00E9782A" w:rsidP="000D1659">
      <w:pPr>
        <w:pStyle w:val="Normal21"/>
        <w:ind w:left="284" w:hanging="284"/>
        <w:rPr>
          <w:i/>
          <w:color w:val="000000"/>
          <w:sz w:val="14"/>
        </w:rPr>
      </w:pPr>
    </w:p>
    <w:p w:rsidR="00E9782A" w:rsidRPr="00491918" w:rsidRDefault="00E9782A" w:rsidP="000D1659">
      <w:pPr>
        <w:pStyle w:val="Normal21"/>
        <w:ind w:left="284" w:hanging="284"/>
        <w:rPr>
          <w:i/>
          <w:color w:val="000000"/>
          <w:sz w:val="14"/>
        </w:rPr>
      </w:pPr>
    </w:p>
    <w:p w:rsidR="00E9782A" w:rsidRPr="00491918" w:rsidRDefault="00E9782A" w:rsidP="000D1659">
      <w:pPr>
        <w:pStyle w:val="Normal21"/>
        <w:ind w:left="284" w:hanging="284"/>
        <w:rPr>
          <w:i/>
          <w:color w:val="000000"/>
          <w:sz w:val="14"/>
        </w:rPr>
      </w:pPr>
    </w:p>
    <w:p w:rsidR="00E25213" w:rsidRPr="00491918" w:rsidRDefault="00E25213" w:rsidP="000D1659">
      <w:pPr>
        <w:pStyle w:val="Normal21"/>
        <w:ind w:left="284" w:hanging="284"/>
        <w:rPr>
          <w:i/>
          <w:color w:val="000000"/>
          <w:sz w:val="14"/>
        </w:rPr>
      </w:pPr>
    </w:p>
    <w:p w:rsidR="000D1659" w:rsidRPr="00491918" w:rsidRDefault="000D1659" w:rsidP="00CD39D9">
      <w:pPr>
        <w:pStyle w:val="Normal21"/>
        <w:numPr>
          <w:ilvl w:val="0"/>
          <w:numId w:val="38"/>
        </w:numPr>
        <w:ind w:left="284" w:hanging="284"/>
        <w:rPr>
          <w:i/>
        </w:rPr>
      </w:pPr>
      <w:r w:rsidRPr="00491918">
        <w:rPr>
          <w:i/>
          <w:sz w:val="14"/>
          <w:szCs w:val="14"/>
        </w:rPr>
        <w:t xml:space="preserve"> </w:t>
      </w:r>
      <w:r w:rsidRPr="00491918">
        <w:rPr>
          <w:i/>
          <w:color w:val="000000"/>
          <w:sz w:val="14"/>
        </w:rPr>
        <w:t>Attributable profit includes profit after tax and non-controlling interests.</w:t>
      </w:r>
    </w:p>
    <w:p w:rsidR="000D1659" w:rsidRPr="00491918" w:rsidRDefault="000D1659" w:rsidP="00CD39D9">
      <w:pPr>
        <w:pStyle w:val="Normal21"/>
        <w:numPr>
          <w:ilvl w:val="0"/>
          <w:numId w:val="38"/>
        </w:numPr>
        <w:ind w:left="284" w:hanging="284"/>
        <w:rPr>
          <w:i/>
        </w:rPr>
      </w:pPr>
      <w:r w:rsidRPr="00491918">
        <w:rPr>
          <w:i/>
          <w:color w:val="000000"/>
          <w:sz w:val="14"/>
        </w:rPr>
        <w:t>2013 total assets and risk weighted assets include an allocation of liquidity pool assets previously held centrally.</w:t>
      </w:r>
    </w:p>
    <w:p w:rsidR="00DA356B" w:rsidRPr="00491918" w:rsidRDefault="00DA356B" w:rsidP="000464EA">
      <w:pPr>
        <w:spacing w:after="240"/>
        <w:rPr>
          <w:b/>
          <w:sz w:val="24"/>
        </w:rPr>
      </w:pPr>
    </w:p>
    <w:p w:rsidR="00DA356B" w:rsidRPr="00491918" w:rsidRDefault="00DA356B" w:rsidP="000464EA">
      <w:pPr>
        <w:spacing w:after="240"/>
        <w:rPr>
          <w:b/>
          <w:sz w:val="24"/>
        </w:rPr>
      </w:pPr>
    </w:p>
    <w:p w:rsidR="000464EA" w:rsidRPr="00491918" w:rsidRDefault="000464EA" w:rsidP="000464EA">
      <w:pPr>
        <w:spacing w:after="240"/>
        <w:rPr>
          <w:b/>
          <w:sz w:val="24"/>
        </w:rPr>
      </w:pPr>
      <w:r w:rsidRPr="00491918">
        <w:rPr>
          <w:b/>
          <w:sz w:val="24"/>
        </w:rPr>
        <w:t>Results by Business</w:t>
      </w:r>
    </w:p>
    <w:p w:rsidR="000D1659" w:rsidRPr="00491918" w:rsidRDefault="000D1659" w:rsidP="008D6001">
      <w:pPr>
        <w:pStyle w:val="Normal22"/>
        <w:outlineLvl w:val="0"/>
        <w:rPr>
          <w:i/>
        </w:rPr>
      </w:pPr>
      <w:r w:rsidRPr="00491918">
        <w:rPr>
          <w:b/>
          <w:sz w:val="24"/>
        </w:rPr>
        <w:t>Africa Retail and Business Banking</w:t>
      </w:r>
    </w:p>
    <w:p w:rsidR="000D1659" w:rsidRPr="00491918" w:rsidRDefault="000D1659" w:rsidP="008D6001">
      <w:pPr>
        <w:pStyle w:val="Level1Bullet-BarcRA2010"/>
        <w:tabs>
          <w:tab w:val="clear" w:pos="284"/>
          <w:tab w:val="left" w:pos="720"/>
        </w:tabs>
        <w:outlineLvl w:val="0"/>
        <w:rPr>
          <w:b/>
          <w:sz w:val="20"/>
        </w:rPr>
      </w:pPr>
      <w:r w:rsidRPr="00491918">
        <w:rPr>
          <w:b/>
          <w:sz w:val="20"/>
          <w:lang w:val="en-GB"/>
        </w:rPr>
        <w:t>Income Statement – H113 compared to H112</w:t>
      </w:r>
    </w:p>
    <w:p w:rsidR="000D1659" w:rsidRPr="00491918" w:rsidRDefault="000D1659" w:rsidP="00CD39D9">
      <w:pPr>
        <w:pStyle w:val="Level2Bullet-BarcRA3010"/>
        <w:numPr>
          <w:ilvl w:val="0"/>
          <w:numId w:val="40"/>
        </w:numPr>
        <w:tabs>
          <w:tab w:val="num" w:pos="567"/>
        </w:tabs>
        <w:rPr>
          <w:lang w:val="en-GB"/>
        </w:rPr>
      </w:pPr>
      <w:r w:rsidRPr="00491918">
        <w:rPr>
          <w:lang w:val="en-GB"/>
        </w:rPr>
        <w:t>The average ZAR depreciated against GBP by 13% on H112. The deterioration was a significant contributor to the year on year movement in the reported results, which are in GBP.  Other currency movements were considered insignificant</w:t>
      </w:r>
    </w:p>
    <w:p w:rsidR="000D1659" w:rsidRPr="00491918" w:rsidRDefault="000D1659" w:rsidP="00CD39D9">
      <w:pPr>
        <w:pStyle w:val="Level2Bullet-BarcRA3010"/>
        <w:numPr>
          <w:ilvl w:val="0"/>
          <w:numId w:val="40"/>
        </w:numPr>
        <w:tabs>
          <w:tab w:val="num" w:pos="567"/>
        </w:tabs>
        <w:rPr>
          <w:lang w:val="en-GB"/>
        </w:rPr>
      </w:pPr>
      <w:r w:rsidRPr="00491918">
        <w:rPr>
          <w:lang w:val="en-GB"/>
        </w:rPr>
        <w:lastRenderedPageBreak/>
        <w:t>Income declined 9% to £1,352m, driven by foreign currency movements, primarily the depreciation of ZAR, partially offset by</w:t>
      </w:r>
      <w:r w:rsidR="00E25213" w:rsidRPr="00491918">
        <w:rPr>
          <w:lang w:val="en-GB"/>
        </w:rPr>
        <w:t xml:space="preserve"> prior year fair value </w:t>
      </w:r>
      <w:r w:rsidR="00AD366C" w:rsidRPr="00491918">
        <w:rPr>
          <w:lang w:val="en-GB"/>
        </w:rPr>
        <w:t xml:space="preserve">adjustments </w:t>
      </w:r>
      <w:r w:rsidRPr="00491918">
        <w:rPr>
          <w:lang w:val="en-GB"/>
        </w:rPr>
        <w:t xml:space="preserve">on the commercial property </w:t>
      </w:r>
      <w:r w:rsidR="00AD366C" w:rsidRPr="00491918">
        <w:rPr>
          <w:lang w:val="en-GB"/>
        </w:rPr>
        <w:t xml:space="preserve">finance </w:t>
      </w:r>
      <w:r w:rsidRPr="00491918">
        <w:rPr>
          <w:lang w:val="en-GB"/>
        </w:rPr>
        <w:t>portfolio. On a constant currency basis income growth was broadly steady following pressure on transaction volumes</w:t>
      </w:r>
      <w:r w:rsidR="00AD366C" w:rsidRPr="00491918">
        <w:rPr>
          <w:lang w:val="en-GB"/>
        </w:rPr>
        <w:t xml:space="preserve"> </w:t>
      </w:r>
      <w:r w:rsidR="00E25213" w:rsidRPr="00491918">
        <w:rPr>
          <w:lang w:val="en-GB"/>
        </w:rPr>
        <w:t xml:space="preserve">in a </w:t>
      </w:r>
      <w:r w:rsidRPr="00491918">
        <w:rPr>
          <w:lang w:val="en-GB"/>
        </w:rPr>
        <w:t>subdued economic environment</w:t>
      </w:r>
    </w:p>
    <w:p w:rsidR="000D1659" w:rsidRPr="00491918" w:rsidRDefault="000D1659" w:rsidP="00CD39D9">
      <w:pPr>
        <w:pStyle w:val="Level2Bullet-BarcRA3010"/>
        <w:numPr>
          <w:ilvl w:val="0"/>
          <w:numId w:val="40"/>
        </w:numPr>
        <w:tabs>
          <w:tab w:val="num" w:pos="567"/>
        </w:tabs>
        <w:rPr>
          <w:lang w:val="en-GB"/>
        </w:rPr>
      </w:pPr>
      <w:r w:rsidRPr="00491918">
        <w:rPr>
          <w:lang w:val="en-GB"/>
        </w:rPr>
        <w:t>Net interest income declined 12% to £733m.  On a constant currency basis, net interest income was broadly stable. Net interest margin was down 12bps to 311bps through a decrease in the customer asset and liability margins</w:t>
      </w:r>
    </w:p>
    <w:p w:rsidR="000D1659" w:rsidRPr="00491918" w:rsidRDefault="000D1659" w:rsidP="000D1659">
      <w:pPr>
        <w:pStyle w:val="Level2Bullet-BarcRA302"/>
        <w:tabs>
          <w:tab w:val="num" w:pos="567"/>
        </w:tabs>
        <w:ind w:left="567" w:hanging="283"/>
        <w:rPr>
          <w:lang w:val="en-GB"/>
        </w:rPr>
      </w:pPr>
      <w:r w:rsidRPr="00491918">
        <w:rPr>
          <w:lang w:val="en-GB"/>
        </w:rPr>
        <w:t>Customer asset margin decreased 8bps to 308bps, driven by higher funding costs</w:t>
      </w:r>
      <w:r w:rsidR="00E25213" w:rsidRPr="00491918">
        <w:rPr>
          <w:lang w:val="en-GB"/>
        </w:rPr>
        <w:t xml:space="preserve"> </w:t>
      </w:r>
      <w:r w:rsidR="00AD366C" w:rsidRPr="00491918">
        <w:rPr>
          <w:lang w:val="en-GB"/>
        </w:rPr>
        <w:t xml:space="preserve">in South African </w:t>
      </w:r>
      <w:r w:rsidR="00E25213" w:rsidRPr="00491918">
        <w:rPr>
          <w:lang w:val="en-GB"/>
        </w:rPr>
        <w:t xml:space="preserve">home loans </w:t>
      </w:r>
      <w:r w:rsidRPr="00491918">
        <w:rPr>
          <w:lang w:val="en-GB"/>
        </w:rPr>
        <w:t xml:space="preserve">together with </w:t>
      </w:r>
      <w:r w:rsidR="00AD366C" w:rsidRPr="00491918">
        <w:rPr>
          <w:lang w:val="en-GB"/>
        </w:rPr>
        <w:t>competitor pressure in commercial property finance</w:t>
      </w:r>
      <w:r w:rsidRPr="00491918">
        <w:rPr>
          <w:lang w:val="en-GB"/>
        </w:rPr>
        <w:t xml:space="preserve">. </w:t>
      </w:r>
      <w:r w:rsidR="00E25213" w:rsidRPr="00491918">
        <w:rPr>
          <w:lang w:val="en-GB"/>
        </w:rPr>
        <w:t xml:space="preserve"> Average c</w:t>
      </w:r>
      <w:r w:rsidRPr="00491918">
        <w:rPr>
          <w:lang w:val="en-GB"/>
        </w:rPr>
        <w:t>ustomer assets decreased 11% to £28.9bn, driven by the depreciation of ZAR. On a constant currency basis, customer assets, particularly home loans, remained broadly stable</w:t>
      </w:r>
    </w:p>
    <w:p w:rsidR="000D1659" w:rsidRPr="00491918" w:rsidRDefault="000D1659" w:rsidP="000D1659">
      <w:pPr>
        <w:pStyle w:val="Level2Bullet-BarcRA302"/>
        <w:tabs>
          <w:tab w:val="num" w:pos="567"/>
        </w:tabs>
        <w:ind w:left="567" w:hanging="283"/>
        <w:rPr>
          <w:lang w:val="en-GB"/>
        </w:rPr>
      </w:pPr>
      <w:r w:rsidRPr="00491918">
        <w:rPr>
          <w:lang w:val="en-GB"/>
        </w:rPr>
        <w:t xml:space="preserve">Customer liability margin decreased 5bps to 271bps through increased competition and change in product mix. </w:t>
      </w:r>
      <w:r w:rsidR="00E25213" w:rsidRPr="00491918">
        <w:rPr>
          <w:lang w:val="en-GB"/>
        </w:rPr>
        <w:t>Average c</w:t>
      </w:r>
      <w:r w:rsidRPr="00491918">
        <w:rPr>
          <w:lang w:val="en-GB"/>
        </w:rPr>
        <w:t xml:space="preserve">ustomer liabilities decreased 5% to £18.7bn. Excluding foreign currency movements, deposits reflected modest growth </w:t>
      </w:r>
    </w:p>
    <w:p w:rsidR="000D1659" w:rsidRPr="00491918" w:rsidRDefault="000D1659" w:rsidP="00CD39D9">
      <w:pPr>
        <w:pStyle w:val="Level2Bullet-BarcRA3010"/>
        <w:numPr>
          <w:ilvl w:val="0"/>
          <w:numId w:val="40"/>
        </w:numPr>
        <w:tabs>
          <w:tab w:val="num" w:pos="567"/>
        </w:tabs>
        <w:rPr>
          <w:lang w:val="en-GB"/>
        </w:rPr>
      </w:pPr>
      <w:r w:rsidRPr="00491918">
        <w:rPr>
          <w:lang w:val="en-GB"/>
        </w:rPr>
        <w:t>Net fee and commission income declined 11% to £478m. On a</w:t>
      </w:r>
      <w:r w:rsidR="00E25213" w:rsidRPr="00491918">
        <w:rPr>
          <w:lang w:val="en-GB"/>
        </w:rPr>
        <w:t xml:space="preserve"> constant currency basis, net fee and commission income</w:t>
      </w:r>
      <w:r w:rsidRPr="00491918">
        <w:rPr>
          <w:lang w:val="en-GB"/>
        </w:rPr>
        <w:t xml:space="preserve"> was broadly steady following pressure on transaction volumes through a subdued economic environment</w:t>
      </w:r>
    </w:p>
    <w:p w:rsidR="000D1659" w:rsidRPr="00491918" w:rsidRDefault="000D1659" w:rsidP="00CD39D9">
      <w:pPr>
        <w:pStyle w:val="Level2Bullet-BarcRA3010"/>
        <w:numPr>
          <w:ilvl w:val="0"/>
          <w:numId w:val="40"/>
        </w:numPr>
        <w:tabs>
          <w:tab w:val="num" w:pos="567"/>
        </w:tabs>
        <w:rPr>
          <w:lang w:val="en-GB"/>
        </w:rPr>
      </w:pPr>
      <w:r w:rsidRPr="00491918">
        <w:rPr>
          <w:lang w:val="en-GB"/>
        </w:rPr>
        <w:t xml:space="preserve">Credit impairment charges decreased 34% to £208m, driven in part by foreign currency movements. On a constant currency basis, credit impairment charges </w:t>
      </w:r>
      <w:r w:rsidR="00AD366C" w:rsidRPr="00491918">
        <w:rPr>
          <w:lang w:val="en-GB"/>
        </w:rPr>
        <w:t>reduced</w:t>
      </w:r>
      <w:r w:rsidRPr="00491918">
        <w:rPr>
          <w:lang w:val="en-GB"/>
        </w:rPr>
        <w:t xml:space="preserve"> due to </w:t>
      </w:r>
      <w:r w:rsidR="00AD366C" w:rsidRPr="00491918">
        <w:rPr>
          <w:lang w:val="en-GB"/>
        </w:rPr>
        <w:t>higher 2012</w:t>
      </w:r>
      <w:r w:rsidRPr="00491918">
        <w:rPr>
          <w:lang w:val="en-GB"/>
        </w:rPr>
        <w:t xml:space="preserve"> provisions on the South African home loans recovery book. This decrease was partly offset by deterioration in the South African unsecured lending portfolio, which is due to the challenging economic environment</w:t>
      </w:r>
    </w:p>
    <w:p w:rsidR="000D1659" w:rsidRPr="00491918" w:rsidRDefault="000D1659" w:rsidP="000D1659">
      <w:pPr>
        <w:pStyle w:val="Level2Bullet-BarcRA302"/>
        <w:tabs>
          <w:tab w:val="num" w:pos="567"/>
        </w:tabs>
        <w:ind w:left="567" w:hanging="283"/>
        <w:rPr>
          <w:lang w:val="en-GB"/>
        </w:rPr>
      </w:pPr>
      <w:r w:rsidRPr="00491918">
        <w:rPr>
          <w:lang w:val="en-GB"/>
        </w:rPr>
        <w:t>90 day arrears rates on home loans improved to 1.1% (2012: 2.8%)</w:t>
      </w:r>
    </w:p>
    <w:p w:rsidR="000D1659" w:rsidRPr="00491918" w:rsidRDefault="000D1659" w:rsidP="00CD39D9">
      <w:pPr>
        <w:pStyle w:val="Level2Bullet-BarcRA3010"/>
        <w:numPr>
          <w:ilvl w:val="0"/>
          <w:numId w:val="40"/>
        </w:numPr>
        <w:tabs>
          <w:tab w:val="num" w:pos="567"/>
        </w:tabs>
        <w:rPr>
          <w:lang w:val="en-GB"/>
        </w:rPr>
      </w:pPr>
      <w:r w:rsidRPr="00491918">
        <w:rPr>
          <w:lang w:val="en-GB"/>
        </w:rPr>
        <w:t>Operating expenses decreased 6% to £935m. On a constant currency basis, costs remained well contained despite inflation in South Africa of 6%</w:t>
      </w:r>
    </w:p>
    <w:p w:rsidR="000D1659" w:rsidRPr="00491918" w:rsidRDefault="000D1659" w:rsidP="00CD39D9">
      <w:pPr>
        <w:pStyle w:val="Level2Bullet-BarcRA3010"/>
        <w:numPr>
          <w:ilvl w:val="0"/>
          <w:numId w:val="40"/>
        </w:numPr>
        <w:tabs>
          <w:tab w:val="num" w:pos="567"/>
        </w:tabs>
        <w:rPr>
          <w:lang w:val="en-GB"/>
        </w:rPr>
      </w:pPr>
      <w:r w:rsidRPr="00491918">
        <w:rPr>
          <w:lang w:val="en-GB"/>
        </w:rPr>
        <w:t xml:space="preserve">Profit before tax increased 16% to £212m, despite currency depreciation, primarily due to </w:t>
      </w:r>
      <w:r w:rsidR="00AD366C" w:rsidRPr="00491918">
        <w:rPr>
          <w:lang w:val="en-GB"/>
        </w:rPr>
        <w:t xml:space="preserve">higher 2012 </w:t>
      </w:r>
      <w:r w:rsidRPr="00491918">
        <w:rPr>
          <w:lang w:val="en-GB"/>
        </w:rPr>
        <w:t xml:space="preserve">provisions on the South African home loans recovery book and </w:t>
      </w:r>
      <w:r w:rsidR="00AD366C" w:rsidRPr="00491918">
        <w:rPr>
          <w:lang w:val="en-GB"/>
        </w:rPr>
        <w:t xml:space="preserve">prior year </w:t>
      </w:r>
      <w:r w:rsidRPr="00491918">
        <w:rPr>
          <w:lang w:val="en-GB"/>
        </w:rPr>
        <w:t xml:space="preserve">fair value adjustments on the commercial property </w:t>
      </w:r>
      <w:r w:rsidR="00AD366C" w:rsidRPr="00491918">
        <w:rPr>
          <w:lang w:val="en-GB"/>
        </w:rPr>
        <w:t xml:space="preserve">finance </w:t>
      </w:r>
      <w:r w:rsidRPr="00491918">
        <w:rPr>
          <w:lang w:val="en-GB"/>
        </w:rPr>
        <w:t>portfolio</w:t>
      </w:r>
    </w:p>
    <w:p w:rsidR="000D1659" w:rsidRPr="00491918" w:rsidRDefault="000D1659" w:rsidP="008D6001">
      <w:pPr>
        <w:pStyle w:val="Level1Bullet-BarcRA2010"/>
        <w:tabs>
          <w:tab w:val="clear" w:pos="284"/>
          <w:tab w:val="left" w:pos="720"/>
        </w:tabs>
        <w:outlineLvl w:val="0"/>
        <w:rPr>
          <w:b/>
          <w:sz w:val="20"/>
          <w:lang w:val="en-GB"/>
        </w:rPr>
      </w:pPr>
      <w:r w:rsidRPr="00491918">
        <w:rPr>
          <w:b/>
          <w:sz w:val="20"/>
          <w:lang w:val="en-GB"/>
        </w:rPr>
        <w:t>Income Statement – Q213 compared to Q113</w:t>
      </w:r>
    </w:p>
    <w:p w:rsidR="000D1659" w:rsidRPr="00491918" w:rsidRDefault="000D1659" w:rsidP="00CD39D9">
      <w:pPr>
        <w:pStyle w:val="Level2Bullet-BarcRA3010"/>
        <w:numPr>
          <w:ilvl w:val="0"/>
          <w:numId w:val="40"/>
        </w:numPr>
        <w:tabs>
          <w:tab w:val="num" w:pos="567"/>
        </w:tabs>
        <w:rPr>
          <w:lang w:val="en-GB"/>
        </w:rPr>
      </w:pPr>
      <w:r w:rsidRPr="00491918">
        <w:rPr>
          <w:lang w:val="en-GB"/>
        </w:rPr>
        <w:t>Profit before tax of £131m (Q113: £81m) was driven by lower credit impairment charges in South African home loans coupled with lower claims in the Absa insurance business, partially offset by further depreciation of ZAR in Q213</w:t>
      </w:r>
    </w:p>
    <w:p w:rsidR="000D1659" w:rsidRPr="00491918" w:rsidRDefault="000D1659" w:rsidP="008D6001">
      <w:pPr>
        <w:pStyle w:val="Level1Bullet-BarcRA2010"/>
        <w:tabs>
          <w:tab w:val="clear" w:pos="284"/>
          <w:tab w:val="left" w:pos="720"/>
        </w:tabs>
        <w:outlineLvl w:val="0"/>
        <w:rPr>
          <w:b/>
          <w:sz w:val="20"/>
          <w:lang w:val="en-GB"/>
        </w:rPr>
      </w:pPr>
      <w:r w:rsidRPr="00491918">
        <w:rPr>
          <w:b/>
          <w:sz w:val="20"/>
          <w:lang w:val="en-GB"/>
        </w:rPr>
        <w:t>Balance Sheet – 30 June 2013 compared to 31 December 2012</w:t>
      </w:r>
    </w:p>
    <w:p w:rsidR="000D1659" w:rsidRPr="00491918" w:rsidRDefault="000D1659" w:rsidP="00CD39D9">
      <w:pPr>
        <w:pStyle w:val="Level2Bullet-BarcRA3010"/>
        <w:numPr>
          <w:ilvl w:val="0"/>
          <w:numId w:val="40"/>
        </w:numPr>
        <w:tabs>
          <w:tab w:val="num" w:pos="567"/>
        </w:tabs>
        <w:rPr>
          <w:lang w:val="en-GB"/>
        </w:rPr>
      </w:pPr>
      <w:r w:rsidRPr="00491918">
        <w:rPr>
          <w:lang w:val="en-GB"/>
        </w:rPr>
        <w:t>The closing ZAR depreciated against GBP by 10%. The deterioration was a significant contributor to the movement in the reported results, which are in GBP</w:t>
      </w:r>
    </w:p>
    <w:p w:rsidR="000D1659" w:rsidRPr="00491918" w:rsidRDefault="000D1659" w:rsidP="00CD39D9">
      <w:pPr>
        <w:pStyle w:val="Level2Bullet-BarcRA3010"/>
        <w:numPr>
          <w:ilvl w:val="0"/>
          <w:numId w:val="40"/>
        </w:numPr>
        <w:tabs>
          <w:tab w:val="num" w:pos="567"/>
        </w:tabs>
        <w:rPr>
          <w:lang w:val="en-GB"/>
        </w:rPr>
      </w:pPr>
      <w:r w:rsidRPr="00491918">
        <w:rPr>
          <w:lang w:val="en-GB"/>
        </w:rPr>
        <w:t>Loans and advances to customers decreased 8% to £27.6bn, mainly due to foreign currency movements. On a constant currency basis, loans and advances, particularly home loans, were broadly unchanged</w:t>
      </w:r>
    </w:p>
    <w:p w:rsidR="000D1659" w:rsidRPr="00491918" w:rsidRDefault="000D1659" w:rsidP="00CD39D9">
      <w:pPr>
        <w:pStyle w:val="Level2Bullet-BarcRA3010"/>
        <w:numPr>
          <w:ilvl w:val="0"/>
          <w:numId w:val="40"/>
        </w:numPr>
        <w:tabs>
          <w:tab w:val="num" w:pos="567"/>
        </w:tabs>
        <w:rPr>
          <w:lang w:val="en-GB"/>
        </w:rPr>
      </w:pPr>
      <w:r w:rsidRPr="00491918">
        <w:rPr>
          <w:lang w:val="en-GB"/>
        </w:rPr>
        <w:t>Customer deposits decreased 7% to £18.2bn, driven by foreign currency movements. On a constant currency basis, deposits were broadly in line</w:t>
      </w:r>
    </w:p>
    <w:p w:rsidR="000D1659" w:rsidRPr="00491918" w:rsidRDefault="000D1659" w:rsidP="00CD39D9">
      <w:pPr>
        <w:pStyle w:val="Level2Bullet-BarcRA3010"/>
        <w:numPr>
          <w:ilvl w:val="0"/>
          <w:numId w:val="40"/>
        </w:numPr>
        <w:tabs>
          <w:tab w:val="num" w:pos="567"/>
        </w:tabs>
        <w:rPr>
          <w:lang w:val="en-GB"/>
        </w:rPr>
      </w:pPr>
      <w:r w:rsidRPr="00491918">
        <w:rPr>
          <w:lang w:val="en-GB"/>
        </w:rPr>
        <w:t>RWAs increased 4% to £25.5bn primarily driven by the deterioration in Egypt credit ratings and RWA reallocation across businesses partially offset by foreign currency movements</w:t>
      </w:r>
    </w:p>
    <w:p w:rsidR="000D1659" w:rsidRPr="00491918" w:rsidRDefault="000D1659">
      <w:pPr>
        <w:rPr>
          <w:lang w:val="en-GB"/>
        </w:rPr>
        <w:sectPr w:rsidR="000D1659"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trPr>
          <w:trHeight w:val="315"/>
        </w:trPr>
        <w:tc>
          <w:tcPr>
            <w:tcW w:w="42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pPr>
              <w:rPr>
                <w:lang w:val="en-GB"/>
              </w:rPr>
            </w:pPr>
            <w:r w:rsidRPr="00491918">
              <w:rPr>
                <w:b/>
                <w:color w:val="000000"/>
                <w:sz w:val="24"/>
                <w:lang w:val="en-GB"/>
              </w:rPr>
              <w:t>Barclaycard</w:t>
            </w:r>
            <w:r w:rsidRPr="00491918">
              <w:rPr>
                <w:b/>
                <w:color w:val="000000"/>
                <w:sz w:val="2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lang w:val="en-GB"/>
              </w:rPr>
            </w:pPr>
            <w:r w:rsidRPr="00491918">
              <w:rPr>
                <w:b/>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r w:rsidRPr="00491918">
              <w:rPr>
                <w:b/>
                <w:color w:val="000000"/>
                <w:sz w:val="2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r>
      <w:tr w:rsidR="009E6048" w:rsidRPr="00491918" w:rsidTr="000732DD">
        <w:trPr>
          <w:trHeight w:val="27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16"/>
                <w:lang w:val="en-GB"/>
              </w:rPr>
              <w:t xml:space="preserve"> </w:t>
            </w:r>
            <w:r w:rsidRPr="00491918">
              <w:rPr>
                <w:color w:val="000000"/>
                <w:sz w:val="16"/>
                <w:vertAlign w:val="superscript"/>
                <w:lang w:val="en-GB"/>
              </w:rPr>
              <w:t xml:space="preserve"> </w:t>
            </w:r>
          </w:p>
        </w:tc>
        <w:tc>
          <w:tcPr>
            <w:tcW w:w="150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Half Year Ended</w:t>
            </w:r>
          </w:p>
        </w:tc>
        <w:tc>
          <w:tcPr>
            <w:tcW w:w="1605"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Half Year Ended</w:t>
            </w:r>
          </w:p>
        </w:tc>
        <w:tc>
          <w:tcPr>
            <w:tcW w:w="150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Half Year Ended</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Income Statement Information</w:t>
            </w:r>
            <w:r w:rsidRPr="00491918">
              <w:rPr>
                <w:b/>
                <w:color w:val="000000"/>
                <w:sz w:val="20"/>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lang w:val="en-GB"/>
              </w:rPr>
            </w:pPr>
            <w:r w:rsidRPr="00491918">
              <w:rPr>
                <w:b/>
                <w:color w:val="000000"/>
                <w:sz w:val="20"/>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lang w:val="en-GB"/>
              </w:rPr>
            </w:pPr>
            <w:r w:rsidRPr="00491918">
              <w:rPr>
                <w:b/>
                <w:color w:val="000000"/>
                <w:sz w:val="16"/>
                <w:lang w:val="en-GB"/>
              </w:rPr>
              <w:t>30.06.13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20"/>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YoY</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Change</w:t>
            </w:r>
          </w:p>
        </w:tc>
      </w:tr>
    </w:tbl>
    <w:p w:rsidR="000732DD" w:rsidRPr="00491918" w:rsidRDefault="000732DD" w:rsidP="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rsidP="000732DD">
            <w:pPr>
              <w:rPr>
                <w:color w:val="000000"/>
                <w:sz w:val="16"/>
                <w:lang w:val="en-GB"/>
              </w:rPr>
            </w:pPr>
            <w:r w:rsidRPr="00491918">
              <w:rPr>
                <w:color w:val="000000"/>
                <w:sz w:val="16"/>
                <w:lang w:val="en-GB"/>
              </w:rPr>
              <w:t>Net interest income</w:t>
            </w:r>
            <w:r w:rsidRPr="00491918">
              <w:rPr>
                <w:color w:val="000000"/>
                <w:sz w:val="16"/>
                <w:vertAlign w:val="superscript"/>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rsidP="000732DD">
            <w:pPr>
              <w:jc w:val="right"/>
              <w:rPr>
                <w:color w:val="000000"/>
                <w:sz w:val="16"/>
                <w:vertAlign w:val="superscript"/>
                <w:lang w:val="en-GB"/>
              </w:rPr>
            </w:pPr>
            <w:r w:rsidRPr="00491918">
              <w:rPr>
                <w:color w:val="000000"/>
                <w:sz w:val="16"/>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rsidP="000732DD">
            <w:pPr>
              <w:jc w:val="right"/>
              <w:rPr>
                <w:color w:val="000000"/>
                <w:sz w:val="16"/>
                <w:lang w:val="en-GB"/>
              </w:rPr>
            </w:pPr>
            <w:r w:rsidRPr="00491918">
              <w:rPr>
                <w:color w:val="000000"/>
                <w:sz w:val="16"/>
                <w:lang w:val="en-GB"/>
              </w:rPr>
              <w:t>1,626 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rsidP="000732DD">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rsidP="000732DD">
            <w:pPr>
              <w:jc w:val="right"/>
              <w:rPr>
                <w:color w:val="000000"/>
                <w:sz w:val="16"/>
                <w:vertAlign w:val="superscript"/>
                <w:lang w:val="en-GB"/>
              </w:rPr>
            </w:pPr>
            <w:r w:rsidRPr="00491918">
              <w:rPr>
                <w:color w:val="000000"/>
                <w:sz w:val="16"/>
                <w:lang w:val="en-GB"/>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rsidP="000732DD">
            <w:pPr>
              <w:jc w:val="right"/>
              <w:rPr>
                <w:color w:val="000000"/>
                <w:sz w:val="16"/>
                <w:lang w:val="en-GB"/>
              </w:rPr>
            </w:pPr>
            <w:r w:rsidRPr="00491918">
              <w:rPr>
                <w:color w:val="000000"/>
                <w:sz w:val="16"/>
                <w:lang w:val="en-GB"/>
              </w:rPr>
              <w:t>1,542 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rsidP="000732DD">
            <w:pPr>
              <w:jc w:val="right"/>
              <w:rPr>
                <w:color w:val="000000"/>
                <w:sz w:val="16"/>
                <w:lang w:val="en-GB"/>
              </w:rPr>
            </w:pPr>
            <w:r w:rsidRPr="00491918">
              <w:rPr>
                <w:color w:val="000000"/>
                <w:sz w:val="16"/>
                <w:lang w:val="en-GB"/>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rsidP="000732DD">
            <w:pPr>
              <w:jc w:val="right"/>
              <w:rPr>
                <w:color w:val="000000"/>
                <w:sz w:val="16"/>
                <w:lang w:val="en-GB"/>
              </w:rPr>
            </w:pPr>
            <w:r w:rsidRPr="00491918">
              <w:rPr>
                <w:color w:val="000000"/>
                <w:sz w:val="16"/>
                <w:lang w:val="en-GB"/>
              </w:rPr>
              <w:t>1,467 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rsidP="000732DD">
            <w:pPr>
              <w:jc w:val="right"/>
              <w:rPr>
                <w:color w:val="000000"/>
                <w:sz w:val="16"/>
                <w:lang w:val="en-GB"/>
              </w:rPr>
            </w:pPr>
            <w:r w:rsidRPr="00491918">
              <w:rPr>
                <w:color w:val="000000"/>
                <w:sz w:val="16"/>
                <w:lang w:val="en-GB"/>
              </w:rPr>
              <w:t>11 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fee and commission income</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698 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674 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618 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trading expense</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premiums from insurance contracts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income</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income</w:t>
            </w:r>
            <w:r w:rsidRPr="00491918">
              <w:rPr>
                <w:b/>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2,343 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2,232 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2,113 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11 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Net claims and benefits incurred under insurance contracts</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income net of insurance claims</w:t>
            </w:r>
            <w:r w:rsidRPr="00491918">
              <w:rPr>
                <w:b/>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2,343 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2,232 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2,112 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11 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(616)</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(557)</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(492)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Net operating income</w:t>
            </w:r>
            <w:r w:rsidRPr="00491918">
              <w:rPr>
                <w:b/>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1,727 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1,675 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1,620 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7 </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51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Operating expenses (excluding provision for PPI redress, costs to achieve Transform and UK bank levy) </w:t>
            </w:r>
            <w:r w:rsidRPr="00491918">
              <w:rPr>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(963)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(940)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(886)</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(690)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(420)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Operating expenses</w:t>
            </w:r>
            <w:r w:rsidRPr="00491918">
              <w:rPr>
                <w:b/>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(1,658)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(1,376)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(886)</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87 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Other net income</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Profit before tax</w:t>
            </w:r>
            <w:r w:rsidRPr="00491918">
              <w:rPr>
                <w:b/>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85 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751 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(89)</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b/>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Adjusted profit before tax</w:t>
            </w:r>
            <w:r w:rsidRPr="00491918">
              <w:rPr>
                <w:b/>
                <w:color w:val="000000"/>
                <w:sz w:val="16"/>
                <w:vertAlign w:val="superscript"/>
                <w:lang w:val="en-GB"/>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775 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731 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751 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Adjusted attributable profit</w:t>
            </w:r>
            <w:r w:rsidRPr="00491918">
              <w:rPr>
                <w:color w:val="000000"/>
                <w:sz w:val="16"/>
                <w:vertAlign w:val="superscript"/>
                <w:lang w:val="en-GB"/>
              </w:rPr>
              <w:t>1,2</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524 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482 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492 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b/>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20"/>
                <w:lang w:val="en-GB"/>
              </w:rPr>
              <w:t>Balance Sheet Information and Key Facts</w:t>
            </w:r>
            <w:r w:rsidRPr="00491918">
              <w:rPr>
                <w:b/>
                <w:color w:val="000000"/>
                <w:sz w:val="20"/>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color w:val="000000"/>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r w:rsidRPr="00491918">
              <w:rPr>
                <w:b/>
                <w:color w:val="000000"/>
                <w:sz w:val="20"/>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color w:val="000000"/>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20"/>
                <w:lang w:val="en-GB"/>
              </w:rPr>
            </w:pPr>
            <w:r w:rsidRPr="00491918">
              <w:rPr>
                <w:color w:val="000000"/>
                <w:sz w:val="16"/>
                <w:lang w:val="en-GB"/>
              </w:rPr>
              <w:t>Loans and advances to customers at amortised cost</w:t>
            </w:r>
            <w:r w:rsidRPr="00491918">
              <w:rPr>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£34.7bn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£33.8bn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£31.5bn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Customer deposits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Total assets</w:t>
            </w:r>
            <w:r w:rsidRPr="00491918">
              <w:rPr>
                <w:color w:val="000000"/>
                <w:sz w:val="16"/>
                <w:vertAlign w:val="superscript"/>
                <w:lang w:val="en-GB"/>
              </w:rPr>
              <w:t>3 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£39.2bn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£38.2bn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£35.4bn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Risk weighted assets</w:t>
            </w:r>
            <w:r w:rsidRPr="00491918">
              <w:rPr>
                <w:color w:val="000000"/>
                <w:sz w:val="16"/>
                <w:vertAlign w:val="superscript"/>
                <w:lang w:val="en-GB"/>
              </w:rPr>
              <w:t>3 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£38.8bn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£37.8bn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£34.2bn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rFonts w:ascii="Arial" w:eastAsia="Arial" w:hAnsi="Arial" w:cs="Arial"/>
                <w:color w:val="000000"/>
                <w:sz w:val="20"/>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Total number of Barclaycard customers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33.7m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32.8m</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27.0m</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Total number of Barclaycard clients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339,200 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315,500 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315,800 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CD39D9">
            <w:pPr>
              <w:rPr>
                <w:color w:val="000000"/>
                <w:sz w:val="16"/>
                <w:lang w:val="en-GB"/>
              </w:rPr>
            </w:pPr>
            <w:r w:rsidRPr="00491918">
              <w:rPr>
                <w:color w:val="000000"/>
                <w:sz w:val="16"/>
                <w:lang w:val="en-GB"/>
              </w:rPr>
              <w:t>Payments p</w:t>
            </w:r>
            <w:r w:rsidR="000D1659" w:rsidRPr="00491918">
              <w:rPr>
                <w:color w:val="000000"/>
                <w:sz w:val="16"/>
                <w:lang w:val="en-GB"/>
              </w:rPr>
              <w:t>rocessed</w:t>
            </w:r>
            <w:r w:rsidR="000D1659"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£124bn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£121bn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£114bn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30 day arrears rates - UK cards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2.7%</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30 day arrears rates - US cards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30 day arrears rates - South Africa cards</w:t>
            </w:r>
            <w:r w:rsidRPr="00491918">
              <w:rPr>
                <w:color w:val="000000"/>
                <w:sz w:val="16"/>
                <w:vertAlign w:val="superscript"/>
                <w:lang w:val="en-GB"/>
              </w:rPr>
              <w:t>4 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5.1%</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Number of employees (full time equivalent)</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11,800 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11,100 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11,100 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9E6048" w:rsidRPr="00491918" w:rsidTr="000732DD">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b/>
                <w:color w:val="000000"/>
                <w:sz w:val="16"/>
                <w:lang w:val="en-GB"/>
              </w:rPr>
              <w:t>Adjusted</w:t>
            </w:r>
            <w:r w:rsidRPr="00491918">
              <w:rPr>
                <w:b/>
                <w:color w:val="000000"/>
                <w:sz w:val="16"/>
                <w:vertAlign w:val="superscript"/>
                <w:lang w:val="en-GB"/>
              </w:rPr>
              <w:t>1 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b/>
                <w:color w:val="000000"/>
                <w:sz w:val="16"/>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Statutory</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Performance Measures</w:t>
            </w:r>
            <w:r w:rsidRPr="00491918">
              <w:rPr>
                <w:b/>
                <w:color w:val="000000"/>
                <w:sz w:val="20"/>
                <w:vertAlign w:val="superscript"/>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b/>
                <w:color w:val="000000"/>
                <w:sz w:val="16"/>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r w:rsidRPr="00491918">
              <w:rPr>
                <w:b/>
                <w:color w:val="000000"/>
                <w:sz w:val="20"/>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b/>
                <w:color w:val="000000"/>
                <w:sz w:val="16"/>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Return on average equity</w:t>
            </w:r>
            <w:r w:rsidRPr="00491918">
              <w:rPr>
                <w:color w:val="000000"/>
                <w:sz w:val="16"/>
                <w:vertAlign w:val="superscript"/>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19.3%</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19.4%</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20.1%</w:t>
            </w:r>
            <w:r w:rsidRPr="00491918">
              <w:rPr>
                <w:color w:val="000000"/>
                <w:sz w:val="16"/>
                <w:vertAlign w:val="superscript"/>
                <w:lang w:val="en-GB"/>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0.5%</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6.5%</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20.1%</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Return on average risk weighted assets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0.3%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Cost: income ratio</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42%</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42%</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Loan loss rate (bps)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339 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294 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295 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339 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294 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295 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bl>
    <w:p w:rsidR="000D1659" w:rsidRPr="00491918" w:rsidRDefault="000D1659">
      <w:pPr>
        <w:rPr>
          <w:lang w:val="en-GB"/>
        </w:rPr>
      </w:pPr>
    </w:p>
    <w:p w:rsidR="000D1659" w:rsidRPr="00491918" w:rsidRDefault="000D1659" w:rsidP="000D1659">
      <w:pPr>
        <w:pStyle w:val="Normal23"/>
        <w:ind w:left="284" w:hanging="284"/>
        <w:rPr>
          <w:i/>
          <w:color w:val="000000"/>
          <w:sz w:val="14"/>
        </w:rPr>
      </w:pPr>
    </w:p>
    <w:p w:rsidR="000D1659" w:rsidRPr="00491918" w:rsidRDefault="000D1659" w:rsidP="000D1659">
      <w:pPr>
        <w:pStyle w:val="Normal23"/>
        <w:ind w:left="284" w:hanging="284"/>
        <w:rPr>
          <w:i/>
          <w:color w:val="000000"/>
          <w:sz w:val="14"/>
        </w:rPr>
      </w:pPr>
    </w:p>
    <w:p w:rsidR="00E9782A" w:rsidRPr="00491918" w:rsidRDefault="00E9782A" w:rsidP="000D1659">
      <w:pPr>
        <w:pStyle w:val="Normal23"/>
        <w:ind w:left="284"/>
        <w:rPr>
          <w:i/>
        </w:rPr>
      </w:pPr>
    </w:p>
    <w:p w:rsidR="004E77D0" w:rsidRPr="00491918" w:rsidRDefault="004E77D0" w:rsidP="00083BD6">
      <w:pPr>
        <w:pStyle w:val="Normal23"/>
        <w:rPr>
          <w:i/>
        </w:rPr>
      </w:pPr>
    </w:p>
    <w:p w:rsidR="000D1659" w:rsidRPr="00491918" w:rsidRDefault="000D1659" w:rsidP="00CD39D9">
      <w:pPr>
        <w:pStyle w:val="Normal23"/>
        <w:numPr>
          <w:ilvl w:val="0"/>
          <w:numId w:val="44"/>
        </w:numPr>
        <w:ind w:left="284" w:hanging="284"/>
        <w:rPr>
          <w:i/>
        </w:rPr>
      </w:pPr>
      <w:r w:rsidRPr="00491918">
        <w:rPr>
          <w:i/>
          <w:color w:val="000000"/>
          <w:sz w:val="14"/>
        </w:rPr>
        <w:t xml:space="preserve">Adjusted profit before tax, adjusted attributable profit and adjusted performance measures excludes the impact of the provision for PPI redress of  £690m </w:t>
      </w:r>
      <w:r w:rsidR="00B52C1E" w:rsidRPr="00491918">
        <w:rPr>
          <w:i/>
          <w:color w:val="000000"/>
          <w:sz w:val="14"/>
        </w:rPr>
        <w:t>(H2</w:t>
      </w:r>
      <w:r w:rsidRPr="00491918">
        <w:rPr>
          <w:i/>
          <w:color w:val="000000"/>
          <w:sz w:val="14"/>
        </w:rPr>
        <w:t>12: £420m</w:t>
      </w:r>
      <w:r w:rsidR="00B52C1E" w:rsidRPr="00491918">
        <w:rPr>
          <w:i/>
          <w:color w:val="000000"/>
          <w:sz w:val="14"/>
        </w:rPr>
        <w:t>; H1</w:t>
      </w:r>
      <w:r w:rsidRPr="00491918">
        <w:rPr>
          <w:i/>
          <w:color w:val="000000"/>
          <w:sz w:val="14"/>
        </w:rPr>
        <w:t>12: £nil)</w:t>
      </w:r>
      <w:r w:rsidR="00CD39D9" w:rsidRPr="00491918">
        <w:rPr>
          <w:i/>
          <w:color w:val="000000"/>
          <w:sz w:val="14"/>
        </w:rPr>
        <w:t>.</w:t>
      </w:r>
    </w:p>
    <w:p w:rsidR="000D1659" w:rsidRPr="00491918" w:rsidRDefault="000D1659" w:rsidP="00CD39D9">
      <w:pPr>
        <w:pStyle w:val="Normal23"/>
        <w:numPr>
          <w:ilvl w:val="0"/>
          <w:numId w:val="44"/>
        </w:numPr>
        <w:ind w:left="284" w:hanging="284"/>
        <w:rPr>
          <w:i/>
        </w:rPr>
      </w:pPr>
      <w:r w:rsidRPr="00491918">
        <w:rPr>
          <w:i/>
          <w:color w:val="000000"/>
          <w:sz w:val="14"/>
        </w:rPr>
        <w:t>Adjusted attributable profit includes profit after tax and non-controlling interests.</w:t>
      </w:r>
    </w:p>
    <w:p w:rsidR="000D1659" w:rsidRPr="00491918" w:rsidRDefault="000D1659" w:rsidP="00CD39D9">
      <w:pPr>
        <w:pStyle w:val="Normal23"/>
        <w:numPr>
          <w:ilvl w:val="0"/>
          <w:numId w:val="44"/>
        </w:numPr>
        <w:ind w:left="284" w:hanging="284"/>
        <w:rPr>
          <w:i/>
        </w:rPr>
      </w:pPr>
      <w:r w:rsidRPr="00491918">
        <w:rPr>
          <w:i/>
          <w:color w:val="000000"/>
          <w:sz w:val="14"/>
        </w:rPr>
        <w:t>2013 total assets and risk weighted assets include an allocation of liquidity pool assets previously held centrally.</w:t>
      </w:r>
    </w:p>
    <w:p w:rsidR="00083BD6" w:rsidRPr="00491918" w:rsidRDefault="000D1659" w:rsidP="00CD39D9">
      <w:pPr>
        <w:pStyle w:val="Normal23"/>
        <w:numPr>
          <w:ilvl w:val="0"/>
          <w:numId w:val="44"/>
        </w:numPr>
        <w:ind w:left="284" w:hanging="284"/>
        <w:rPr>
          <w:i/>
        </w:rPr>
      </w:pPr>
      <w:r w:rsidRPr="00491918">
        <w:rPr>
          <w:i/>
          <w:color w:val="000000"/>
          <w:sz w:val="14"/>
        </w:rPr>
        <w:t>H212 30 day arrears rates on</w:t>
      </w:r>
      <w:r w:rsidR="00E25213" w:rsidRPr="00491918">
        <w:rPr>
          <w:i/>
          <w:color w:val="000000"/>
          <w:sz w:val="14"/>
        </w:rPr>
        <w:t xml:space="preserve"> South Africa cards restated to </w:t>
      </w:r>
      <w:r w:rsidRPr="00491918">
        <w:rPr>
          <w:i/>
          <w:color w:val="000000"/>
          <w:sz w:val="14"/>
        </w:rPr>
        <w:t>reflect</w:t>
      </w:r>
      <w:r w:rsidR="00E25213" w:rsidRPr="00491918">
        <w:rPr>
          <w:i/>
          <w:color w:val="000000"/>
          <w:sz w:val="14"/>
        </w:rPr>
        <w:t xml:space="preserve"> a</w:t>
      </w:r>
      <w:r w:rsidRPr="00491918">
        <w:rPr>
          <w:i/>
          <w:color w:val="000000"/>
          <w:sz w:val="14"/>
        </w:rPr>
        <w:t xml:space="preserve"> portfolio acquisition</w:t>
      </w:r>
      <w:r w:rsidR="00CD39D9" w:rsidRPr="00491918">
        <w:rPr>
          <w:i/>
          <w:color w:val="000000"/>
          <w:sz w:val="14"/>
        </w:rPr>
        <w:t>.</w:t>
      </w:r>
    </w:p>
    <w:p w:rsidR="00DA356B" w:rsidRPr="00491918" w:rsidRDefault="00DA356B" w:rsidP="000464EA">
      <w:pPr>
        <w:spacing w:after="240"/>
        <w:rPr>
          <w:b/>
          <w:sz w:val="24"/>
        </w:rPr>
      </w:pPr>
    </w:p>
    <w:p w:rsidR="00DA356B" w:rsidRPr="00491918" w:rsidRDefault="00DA356B" w:rsidP="000464EA">
      <w:pPr>
        <w:spacing w:after="240"/>
        <w:rPr>
          <w:b/>
          <w:sz w:val="24"/>
        </w:rPr>
      </w:pPr>
    </w:p>
    <w:p w:rsidR="000464EA" w:rsidRPr="00491918" w:rsidRDefault="000464EA" w:rsidP="000464EA">
      <w:pPr>
        <w:spacing w:after="240"/>
        <w:rPr>
          <w:b/>
          <w:sz w:val="24"/>
        </w:rPr>
      </w:pPr>
      <w:r w:rsidRPr="00491918">
        <w:rPr>
          <w:b/>
          <w:sz w:val="24"/>
        </w:rPr>
        <w:t>Results by Business</w:t>
      </w:r>
    </w:p>
    <w:p w:rsidR="000D1659" w:rsidRPr="00491918" w:rsidRDefault="000D1659" w:rsidP="008D6001">
      <w:pPr>
        <w:pStyle w:val="Normal23"/>
        <w:outlineLvl w:val="0"/>
        <w:rPr>
          <w:i/>
        </w:rPr>
      </w:pPr>
      <w:r w:rsidRPr="00491918">
        <w:rPr>
          <w:b/>
          <w:sz w:val="24"/>
        </w:rPr>
        <w:lastRenderedPageBreak/>
        <w:t>Barclaycard</w:t>
      </w:r>
    </w:p>
    <w:p w:rsidR="000D1659" w:rsidRPr="00491918" w:rsidRDefault="000D1659" w:rsidP="008D6001">
      <w:pPr>
        <w:pStyle w:val="Level1Bullet-BarcRA202"/>
        <w:tabs>
          <w:tab w:val="clear" w:pos="284"/>
          <w:tab w:val="left" w:pos="720"/>
        </w:tabs>
        <w:outlineLvl w:val="0"/>
        <w:rPr>
          <w:b/>
          <w:sz w:val="20"/>
        </w:rPr>
      </w:pPr>
      <w:r w:rsidRPr="00491918">
        <w:rPr>
          <w:b/>
          <w:sz w:val="20"/>
          <w:lang w:val="en-GB"/>
        </w:rPr>
        <w:t>Income Statement – H113 compared to H112</w:t>
      </w:r>
    </w:p>
    <w:p w:rsidR="000D1659" w:rsidRPr="00491918" w:rsidRDefault="000D1659" w:rsidP="00CD39D9">
      <w:pPr>
        <w:pStyle w:val="Level1Bullet-BarcRA203000"/>
        <w:numPr>
          <w:ilvl w:val="0"/>
          <w:numId w:val="46"/>
        </w:numPr>
        <w:spacing w:after="0"/>
        <w:rPr>
          <w:lang w:val="en-GB"/>
        </w:rPr>
      </w:pPr>
      <w:r w:rsidRPr="00491918">
        <w:rPr>
          <w:lang w:val="en-GB"/>
        </w:rPr>
        <w:t>Income improved 11% to £2,343m reflecting continued net lending growth across the business and contributions from 2012 portfolio acquisitions</w:t>
      </w:r>
    </w:p>
    <w:p w:rsidR="000D1659" w:rsidRPr="00491918" w:rsidRDefault="000D1659" w:rsidP="000D1659">
      <w:pPr>
        <w:pStyle w:val="Level2Bullet-BarcRA304"/>
        <w:tabs>
          <w:tab w:val="clear" w:pos="1401"/>
          <w:tab w:val="num" w:pos="567"/>
        </w:tabs>
        <w:ind w:left="567" w:hanging="283"/>
      </w:pPr>
      <w:r w:rsidRPr="00491918">
        <w:t>UK income increased by 6% to £1,344m reflecting net lending growth</w:t>
      </w:r>
    </w:p>
    <w:p w:rsidR="000D1659" w:rsidRPr="00491918" w:rsidRDefault="000D1659" w:rsidP="000D1659">
      <w:pPr>
        <w:pStyle w:val="Level2Bullet-BarcRA304"/>
        <w:tabs>
          <w:tab w:val="clear" w:pos="1401"/>
          <w:tab w:val="num" w:pos="567"/>
        </w:tabs>
        <w:ind w:left="567" w:hanging="283"/>
      </w:pPr>
      <w:r w:rsidRPr="00491918">
        <w:t>International income improved 19% to £999m reflecting contribution from 2012 portfolio acquisitions and higher US customer balances</w:t>
      </w:r>
    </w:p>
    <w:p w:rsidR="000D1659" w:rsidRPr="00491918" w:rsidRDefault="000D1659" w:rsidP="00CD39D9">
      <w:pPr>
        <w:pStyle w:val="Level1Bullet-BarcRA203000"/>
        <w:numPr>
          <w:ilvl w:val="0"/>
          <w:numId w:val="46"/>
        </w:numPr>
        <w:spacing w:after="0"/>
        <w:rPr>
          <w:lang w:val="en-GB"/>
        </w:rPr>
      </w:pPr>
      <w:r w:rsidRPr="00491918">
        <w:rPr>
          <w:lang w:val="en-GB"/>
        </w:rPr>
        <w:t>Net interest income increased by 11% to £1,626m driven by volume growth and a lower impact from structural hedges offsetting lower customer asset margin</w:t>
      </w:r>
    </w:p>
    <w:p w:rsidR="000D1659" w:rsidRPr="00491918" w:rsidRDefault="000D1659" w:rsidP="000D1659">
      <w:pPr>
        <w:pStyle w:val="Level2Bullet-BarcRA304"/>
        <w:tabs>
          <w:tab w:val="clear" w:pos="1401"/>
          <w:tab w:val="num" w:pos="567"/>
        </w:tabs>
        <w:ind w:left="567" w:hanging="283"/>
      </w:pPr>
      <w:r w:rsidRPr="00491918">
        <w:t xml:space="preserve">Customer asset margin declined modestly </w:t>
      </w:r>
      <w:r w:rsidRPr="00491918">
        <w:rPr>
          <w:lang w:val="en-GB"/>
        </w:rPr>
        <w:t>by</w:t>
      </w:r>
      <w:r w:rsidRPr="00491918">
        <w:t xml:space="preserve"> 29bps to 9.42% reflecting lower rates on customer lending. Average customer assets increased </w:t>
      </w:r>
      <w:r w:rsidR="002F744A" w:rsidRPr="00491918">
        <w:rPr>
          <w:lang w:val="en-GB"/>
        </w:rPr>
        <w:t>9</w:t>
      </w:r>
      <w:r w:rsidRPr="00491918">
        <w:t>% to £36.0bn due to 2012 portfolio acquisitions and business growth</w:t>
      </w:r>
    </w:p>
    <w:p w:rsidR="000D1659" w:rsidRPr="00491918" w:rsidRDefault="000D1659" w:rsidP="000D1659">
      <w:pPr>
        <w:pStyle w:val="Level2Bullet-BarcRA304"/>
        <w:tabs>
          <w:tab w:val="clear" w:pos="1401"/>
          <w:tab w:val="num" w:pos="567"/>
        </w:tabs>
        <w:ind w:left="567" w:hanging="283"/>
      </w:pPr>
      <w:r w:rsidRPr="00491918">
        <w:t>Customer liability margin was negative 0.33% reflecting</w:t>
      </w:r>
      <w:r w:rsidR="002F744A" w:rsidRPr="00491918">
        <w:rPr>
          <w:lang w:val="en-GB"/>
        </w:rPr>
        <w:t xml:space="preserve"> the cost of</w:t>
      </w:r>
      <w:r w:rsidRPr="00491918">
        <w:t xml:space="preserve"> deposit funding initiatives in the US and Germany </w:t>
      </w:r>
    </w:p>
    <w:p w:rsidR="000D1659" w:rsidRPr="00491918" w:rsidRDefault="000D1659" w:rsidP="000D1659">
      <w:pPr>
        <w:pStyle w:val="Level1Bullet-BarcRA2030"/>
        <w:tabs>
          <w:tab w:val="num" w:pos="567"/>
        </w:tabs>
        <w:rPr>
          <w:lang w:val="en-GB"/>
        </w:rPr>
      </w:pPr>
      <w:r w:rsidRPr="00491918">
        <w:rPr>
          <w:lang w:val="en-GB"/>
        </w:rPr>
        <w:t>Net fee and commission income improved 13% to £698m due to increased payment volumes predominantly in the US and UK</w:t>
      </w:r>
    </w:p>
    <w:p w:rsidR="000D1659" w:rsidRPr="00491918" w:rsidRDefault="000D1659" w:rsidP="000D1659">
      <w:pPr>
        <w:pStyle w:val="Level1Bullet-BarcRA2030"/>
        <w:rPr>
          <w:lang w:val="en-GB"/>
        </w:rPr>
      </w:pPr>
      <w:r w:rsidRPr="00491918">
        <w:rPr>
          <w:lang w:val="en-GB"/>
        </w:rPr>
        <w:t>Credit impairment charges increased 25% to £616m primarily driven by the impact of portfolio acquisitions and non-recurrence of provision releases in 2012</w:t>
      </w:r>
    </w:p>
    <w:p w:rsidR="000D1659" w:rsidRPr="00491918" w:rsidRDefault="000D1659" w:rsidP="000D1659">
      <w:pPr>
        <w:pStyle w:val="Level2Bullet-BarcRA304"/>
        <w:tabs>
          <w:tab w:val="clear" w:pos="1401"/>
          <w:tab w:val="num" w:pos="567"/>
        </w:tabs>
        <w:ind w:left="567" w:hanging="283"/>
      </w:pPr>
      <w:r w:rsidRPr="00491918">
        <w:t>Impairment loan loss rates in consumer credit cards remained stable at 366bps (2012: 372bps) in the UK and 280bps (2012: 275bps) in the US, while the impairment loan loss rates in South Africa increased to 493bps (2012: 192bps)</w:t>
      </w:r>
      <w:r w:rsidRPr="00491918">
        <w:rPr>
          <w:lang w:val="en-GB"/>
        </w:rPr>
        <w:t xml:space="preserve"> </w:t>
      </w:r>
      <w:r w:rsidRPr="00491918">
        <w:t>due to acquisitions driving a change in product mix</w:t>
      </w:r>
    </w:p>
    <w:p w:rsidR="000D1659" w:rsidRPr="00491918" w:rsidRDefault="000D1659" w:rsidP="000D1659">
      <w:pPr>
        <w:pStyle w:val="Level2Bullet-BarcRA304"/>
        <w:tabs>
          <w:tab w:val="clear" w:pos="1401"/>
          <w:tab w:val="num" w:pos="567"/>
        </w:tabs>
        <w:ind w:left="567" w:hanging="283"/>
      </w:pPr>
      <w:r w:rsidRPr="00491918">
        <w:t>30 day arrears rates for consumer cards in UK were down 20bps to 2.5%, in the US were down 50bps to 2.0% and in South Africa were up 401bps to 9.1%</w:t>
      </w:r>
    </w:p>
    <w:p w:rsidR="000D1659" w:rsidRPr="00491918" w:rsidRDefault="000D1659" w:rsidP="000D1659">
      <w:pPr>
        <w:pStyle w:val="Level1Bullet-BarcRA2030"/>
        <w:rPr>
          <w:lang w:val="en-GB"/>
        </w:rPr>
      </w:pPr>
      <w:r w:rsidRPr="00491918">
        <w:rPr>
          <w:lang w:val="en-GB"/>
        </w:rPr>
        <w:t>Adjusted operating expenses increased 9% to £968m reflecting contribution from 2012 portfolio acquisitions, net lending growth and higher operating losses.  Statutory operating expenses increased 87% to £1,658m due to the £690m provision for PPI redress (2012: nil)</w:t>
      </w:r>
    </w:p>
    <w:p w:rsidR="000D1659" w:rsidRPr="00491918" w:rsidRDefault="000D1659" w:rsidP="00CD39D9">
      <w:pPr>
        <w:pStyle w:val="Level1Bullet-BarcRA203000"/>
        <w:numPr>
          <w:ilvl w:val="0"/>
          <w:numId w:val="48"/>
        </w:numPr>
        <w:rPr>
          <w:lang w:val="en-GB"/>
        </w:rPr>
      </w:pPr>
      <w:r w:rsidRPr="00491918">
        <w:rPr>
          <w:lang w:val="en-GB"/>
        </w:rPr>
        <w:t>Adjusted profit before tax improved 3% to £775m driven by the US and UK card portfolios, while statutory profit before tax was £85m (2012: £751m) due to the provision for PPI redress</w:t>
      </w:r>
    </w:p>
    <w:p w:rsidR="000D1659" w:rsidRPr="00491918" w:rsidRDefault="000D1659" w:rsidP="008D6001">
      <w:pPr>
        <w:pStyle w:val="Level1Bullet-BarcRA202"/>
        <w:tabs>
          <w:tab w:val="clear" w:pos="284"/>
          <w:tab w:val="left" w:pos="720"/>
        </w:tabs>
        <w:outlineLvl w:val="0"/>
        <w:rPr>
          <w:b/>
          <w:sz w:val="20"/>
          <w:lang w:val="en-GB"/>
        </w:rPr>
      </w:pPr>
      <w:r w:rsidRPr="00491918">
        <w:rPr>
          <w:b/>
          <w:sz w:val="20"/>
          <w:lang w:val="en-GB"/>
        </w:rPr>
        <w:t>Income Statement – Q213 compared to Q113</w:t>
      </w:r>
    </w:p>
    <w:p w:rsidR="000D1659" w:rsidRPr="00491918" w:rsidRDefault="000D1659" w:rsidP="000D1659">
      <w:pPr>
        <w:pStyle w:val="Level1Bullet-BarcRA203000"/>
      </w:pPr>
      <w:r w:rsidRPr="00491918">
        <w:rPr>
          <w:lang w:val="en-GB"/>
        </w:rPr>
        <w:t>Adjusted profit before tax improved 13% to £412m driven by higher income reflecting seasonal trends and business growth</w:t>
      </w:r>
    </w:p>
    <w:p w:rsidR="000D1659" w:rsidRPr="00491918" w:rsidRDefault="000D1659" w:rsidP="000D1659">
      <w:pPr>
        <w:pStyle w:val="Level1Bullet-BarcRA203000"/>
        <w:rPr>
          <w:lang w:val="en-GB"/>
        </w:rPr>
      </w:pPr>
      <w:r w:rsidRPr="00491918">
        <w:rPr>
          <w:lang w:val="en-GB"/>
        </w:rPr>
        <w:t>Statutory loss before tax was £278m (Q113: profit of £363m) due to the provision for PPI redress</w:t>
      </w:r>
    </w:p>
    <w:p w:rsidR="000D1659" w:rsidRPr="00491918" w:rsidRDefault="000D1659" w:rsidP="008D6001">
      <w:pPr>
        <w:pStyle w:val="Level1Bullet-BarcRA202"/>
        <w:tabs>
          <w:tab w:val="clear" w:pos="284"/>
          <w:tab w:val="left" w:pos="720"/>
        </w:tabs>
        <w:outlineLvl w:val="0"/>
        <w:rPr>
          <w:b/>
          <w:sz w:val="20"/>
          <w:lang w:val="en-GB"/>
        </w:rPr>
      </w:pPr>
      <w:r w:rsidRPr="00491918">
        <w:rPr>
          <w:b/>
          <w:sz w:val="20"/>
          <w:lang w:val="en-GB"/>
        </w:rPr>
        <w:t>Balance Sheet – 30 June 2013 compared to 31 December 2012</w:t>
      </w:r>
    </w:p>
    <w:p w:rsidR="000D1659" w:rsidRPr="00491918" w:rsidRDefault="000D1659" w:rsidP="000D1659">
      <w:pPr>
        <w:pStyle w:val="Level1Bullet-BarcRA203000"/>
        <w:rPr>
          <w:lang w:val="en-GB"/>
        </w:rPr>
      </w:pPr>
      <w:r w:rsidRPr="00491918">
        <w:rPr>
          <w:lang w:val="en-GB"/>
        </w:rPr>
        <w:t>Total assets increased 3% to £39.2bn in line with loans and advances to customers across UK and International businesses</w:t>
      </w:r>
    </w:p>
    <w:p w:rsidR="000D1659" w:rsidRPr="00491918" w:rsidRDefault="000D1659" w:rsidP="000D1659">
      <w:pPr>
        <w:pStyle w:val="Level1Bullet-BarcRA203000"/>
        <w:rPr>
          <w:lang w:val="en-GB"/>
        </w:rPr>
      </w:pPr>
      <w:r w:rsidRPr="00491918">
        <w:rPr>
          <w:lang w:val="en-GB"/>
        </w:rPr>
        <w:t>Customer deposits increased by £1.7bn to £4.5bn due to funding initiatives in the US and Germany</w:t>
      </w:r>
    </w:p>
    <w:p w:rsidR="000D1659" w:rsidRPr="00491918" w:rsidRDefault="000D1659" w:rsidP="000D1659">
      <w:pPr>
        <w:pStyle w:val="Level1Bullet-BarcRA203000"/>
        <w:rPr>
          <w:lang w:val="en-GB"/>
        </w:rPr>
      </w:pPr>
      <w:r w:rsidRPr="00491918">
        <w:rPr>
          <w:szCs w:val="18"/>
        </w:rPr>
        <w:t>R</w:t>
      </w:r>
      <w:r w:rsidRPr="00491918">
        <w:rPr>
          <w:szCs w:val="18"/>
          <w:lang w:val="en-GB"/>
        </w:rPr>
        <w:t>WAs</w:t>
      </w:r>
      <w:r w:rsidRPr="00491918">
        <w:rPr>
          <w:szCs w:val="18"/>
        </w:rPr>
        <w:t xml:space="preserve"> increased </w:t>
      </w:r>
      <w:r w:rsidRPr="00491918">
        <w:rPr>
          <w:szCs w:val="18"/>
          <w:lang w:val="en-GB"/>
        </w:rPr>
        <w:t>3</w:t>
      </w:r>
      <w:r w:rsidRPr="00491918">
        <w:rPr>
          <w:szCs w:val="18"/>
        </w:rPr>
        <w:t>% to £38.</w:t>
      </w:r>
      <w:r w:rsidRPr="00491918">
        <w:rPr>
          <w:szCs w:val="18"/>
          <w:lang w:val="en-GB"/>
        </w:rPr>
        <w:t>8</w:t>
      </w:r>
      <w:r w:rsidRPr="00491918">
        <w:rPr>
          <w:szCs w:val="18"/>
        </w:rPr>
        <w:t xml:space="preserve">bn primarily driven by </w:t>
      </w:r>
      <w:r w:rsidRPr="00491918">
        <w:rPr>
          <w:szCs w:val="18"/>
          <w:lang w:val="en-ZA"/>
        </w:rPr>
        <w:t>asset growth and foreign currency movements</w:t>
      </w:r>
    </w:p>
    <w:p w:rsidR="000D1659" w:rsidRPr="00491918" w:rsidRDefault="000D1659">
      <w:pPr>
        <w:rPr>
          <w:lang w:val="en-GB"/>
        </w:rPr>
        <w:sectPr w:rsidR="000D1659"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4275"/>
        <w:gridCol w:w="600"/>
        <w:gridCol w:w="900"/>
        <w:gridCol w:w="600"/>
        <w:gridCol w:w="105"/>
        <w:gridCol w:w="900"/>
        <w:gridCol w:w="600"/>
        <w:gridCol w:w="900"/>
        <w:gridCol w:w="795"/>
      </w:tblGrid>
      <w:tr w:rsidR="000D1659" w:rsidRPr="00491918">
        <w:trPr>
          <w:trHeight w:val="315"/>
        </w:trPr>
        <w:tc>
          <w:tcPr>
            <w:tcW w:w="42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pPr>
              <w:rPr>
                <w:lang w:val="en-GB"/>
              </w:rPr>
            </w:pPr>
            <w:r w:rsidRPr="00491918">
              <w:rPr>
                <w:b/>
                <w:color w:val="000000"/>
                <w:sz w:val="24"/>
                <w:lang w:val="en-GB"/>
              </w:rPr>
              <w:t>Investment Bank</w:t>
            </w:r>
            <w:r w:rsidRPr="00491918">
              <w:rPr>
                <w:b/>
                <w:color w:val="000000"/>
                <w:sz w:val="24"/>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lang w:val="en-GB"/>
              </w:rPr>
            </w:pPr>
            <w:r w:rsidRPr="00491918">
              <w:rPr>
                <w:b/>
                <w:color w:val="000000"/>
                <w:sz w:val="24"/>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lang w:val="en-GB"/>
              </w:rPr>
            </w:pPr>
            <w:r w:rsidRPr="00491918">
              <w:rPr>
                <w:b/>
                <w:color w:val="000000"/>
                <w:sz w:val="24"/>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lang w:val="en-GB"/>
              </w:rPr>
            </w:pPr>
            <w:r w:rsidRPr="00491918">
              <w:rPr>
                <w:color w:val="000000"/>
                <w:sz w:val="24"/>
                <w:lang w:val="en-GB"/>
              </w:rPr>
              <w:t xml:space="preserve"> </w:t>
            </w:r>
            <w:r w:rsidRPr="00491918">
              <w:rPr>
                <w:b/>
                <w:color w:val="000000"/>
                <w:sz w:val="2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lang w:val="en-GB"/>
              </w:rPr>
            </w:pPr>
            <w:r w:rsidRPr="00491918">
              <w:rPr>
                <w:color w:val="000000"/>
                <w:sz w:val="24"/>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r>
      <w:tr w:rsidR="009E6048" w:rsidRPr="00491918" w:rsidTr="000732DD">
        <w:trPr>
          <w:trHeight w:val="27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16"/>
                <w:lang w:val="en-GB"/>
              </w:rPr>
              <w:t xml:space="preserve"> </w:t>
            </w:r>
            <w:r w:rsidRPr="00491918">
              <w:rPr>
                <w:color w:val="000000"/>
                <w:sz w:val="16"/>
                <w:vertAlign w:val="superscript"/>
                <w:lang w:val="en-GB"/>
              </w:rPr>
              <w:t xml:space="preserve"> </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b/>
                <w:color w:val="000000"/>
                <w:sz w:val="16"/>
                <w:lang w:val="en-GB"/>
              </w:rPr>
              <w:t>Half Year Ended</w:t>
            </w:r>
          </w:p>
        </w:tc>
        <w:tc>
          <w:tcPr>
            <w:tcW w:w="1605"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Half Year Ended</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Half Year Ended</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Income Statement Information</w:t>
            </w:r>
            <w:r w:rsidRPr="00491918">
              <w:rPr>
                <w:b/>
                <w:color w:val="000000"/>
                <w:sz w:val="20"/>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0"/>
                <w:vertAlign w:val="superscript"/>
                <w:lang w:val="en-GB"/>
              </w:rPr>
            </w:pPr>
            <w:r w:rsidRPr="00491918">
              <w:rPr>
                <w:b/>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30.06.13</w:t>
            </w:r>
          </w:p>
        </w:tc>
        <w:tc>
          <w:tcPr>
            <w:tcW w:w="6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20"/>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0"/>
                <w:vertAlign w:val="superscript"/>
                <w:lang w:val="en-GB"/>
              </w:rPr>
            </w:pPr>
            <w:r w:rsidRPr="00491918">
              <w:rPr>
                <w:b/>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31.12.12</w:t>
            </w:r>
          </w:p>
        </w:tc>
        <w:tc>
          <w:tcPr>
            <w:tcW w:w="6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30.06.12</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YoY</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Change</w:t>
            </w:r>
          </w:p>
        </w:tc>
      </w:tr>
    </w:tbl>
    <w:p w:rsidR="000732DD" w:rsidRPr="00491918" w:rsidRDefault="000732DD"/>
    <w:tbl>
      <w:tblPr>
        <w:tblW w:w="0" w:type="auto"/>
        <w:tblLayout w:type="fixed"/>
        <w:tblLook w:val="0000" w:firstRow="0" w:lastRow="0" w:firstColumn="0" w:lastColumn="0" w:noHBand="0" w:noVBand="0"/>
      </w:tblPr>
      <w:tblGrid>
        <w:gridCol w:w="4275"/>
        <w:gridCol w:w="600"/>
        <w:gridCol w:w="900"/>
        <w:gridCol w:w="600"/>
        <w:gridCol w:w="105"/>
        <w:gridCol w:w="900"/>
        <w:gridCol w:w="600"/>
        <w:gridCol w:w="90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interest income</w:t>
            </w:r>
            <w:r w:rsidRPr="00491918">
              <w:rPr>
                <w:color w:val="000000"/>
                <w:sz w:val="16"/>
                <w:vertAlign w:val="superscript"/>
                <w:lang w:val="en-GB"/>
              </w:rPr>
              <w:t xml:space="preserve"> </w:t>
            </w:r>
          </w:p>
        </w:tc>
        <w:tc>
          <w:tcPr>
            <w:tcW w:w="6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86 </w:t>
            </w:r>
          </w:p>
        </w:tc>
        <w:tc>
          <w:tcPr>
            <w:tcW w:w="6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166 </w:t>
            </w:r>
          </w:p>
        </w:tc>
        <w:tc>
          <w:tcPr>
            <w:tcW w:w="6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364 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(76)</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fee and commission income</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1,622 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1,527 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1,502 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trading income</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4,435 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3,369 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4,319 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investment income</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329 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250 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271 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21 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income</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income</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6,473 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5,315 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6,460 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167EB2">
            <w:pPr>
              <w:rPr>
                <w:b/>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E81AF5">
            <w:pPr>
              <w:jc w:val="right"/>
              <w:rPr>
                <w:color w:val="000000"/>
                <w:sz w:val="16"/>
                <w:lang w:val="en-GB"/>
              </w:rPr>
            </w:pPr>
            <w:r w:rsidRPr="00491918">
              <w:rPr>
                <w:color w:val="000000"/>
                <w:sz w:val="16"/>
                <w:lang w:val="en-GB"/>
              </w:rPr>
              <w:t>(181)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D848E0">
            <w:pPr>
              <w:jc w:val="right"/>
              <w:rPr>
                <w:color w:val="000000"/>
                <w:sz w:val="16"/>
                <w:lang w:val="en-GB"/>
              </w:rPr>
            </w:pPr>
            <w:r w:rsidRPr="00491918">
              <w:rPr>
                <w:color w:val="000000"/>
                <w:sz w:val="16"/>
                <w:lang w:val="en-GB"/>
              </w:rPr>
              <w:t>(10)</w:t>
            </w:r>
            <w:r w:rsidR="000D1659"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Net operating income</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E81AF5">
            <w:pPr>
              <w:jc w:val="right"/>
              <w:rPr>
                <w:b/>
                <w:color w:val="000000"/>
                <w:sz w:val="16"/>
                <w:lang w:val="en-GB"/>
              </w:rPr>
            </w:pPr>
            <w:r w:rsidRPr="00491918">
              <w:rPr>
                <w:b/>
                <w:color w:val="000000"/>
                <w:sz w:val="16"/>
                <w:lang w:val="en-GB"/>
              </w:rPr>
              <w:t>6,</w:t>
            </w:r>
            <w:r w:rsidR="00E81AF5" w:rsidRPr="00491918">
              <w:rPr>
                <w:b/>
                <w:color w:val="000000"/>
                <w:sz w:val="16"/>
                <w:lang w:val="en-GB"/>
              </w:rPr>
              <w:t>292 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5,313 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6,258 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D848E0">
            <w:pPr>
              <w:jc w:val="right"/>
              <w:rPr>
                <w:b/>
                <w:color w:val="000000"/>
                <w:sz w:val="16"/>
                <w:lang w:val="en-GB"/>
              </w:rPr>
            </w:pPr>
            <w:r w:rsidRPr="00491918">
              <w:rPr>
                <w:b/>
                <w:color w:val="000000"/>
                <w:sz w:val="16"/>
                <w:lang w:val="en-GB"/>
              </w:rPr>
              <w:t>1</w:t>
            </w:r>
            <w:r w:rsidR="000D1659" w:rsidRPr="00491918">
              <w:rPr>
                <w:b/>
                <w:color w:val="000000"/>
                <w:sz w:val="16"/>
                <w:lang w:val="en-GB"/>
              </w:rPr>
              <w:t> </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510"/>
        </w:trPr>
        <w:tc>
          <w:tcPr>
            <w:tcW w:w="42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Operating expenses (excluding costs to achieve Transform and UK bank levy) </w:t>
            </w:r>
            <w:r w:rsidRPr="00491918">
              <w:rPr>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(3,751)</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(3,381)</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(4,044)</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(169)</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(206)</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Operating expenses</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(3,920)</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(3,587)</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(4,044)</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Other net income </w:t>
            </w:r>
            <w:r w:rsidRPr="00491918">
              <w:rPr>
                <w:color w:val="000000"/>
                <w:sz w:val="16"/>
                <w:vertAlign w:val="superscript"/>
                <w:lang w:val="en-GB"/>
              </w:rPr>
              <w:t xml:space="preserve"> </w:t>
            </w:r>
          </w:p>
        </w:tc>
        <w:tc>
          <w:tcPr>
            <w:tcW w:w="6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28 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Profit before tax</w:t>
            </w:r>
            <w:r w:rsidRPr="00491918">
              <w:rPr>
                <w:b/>
                <w:color w:val="000000"/>
                <w:sz w:val="16"/>
                <w:vertAlign w:val="superscript"/>
                <w:lang w:val="en-GB"/>
              </w:rPr>
              <w:t xml:space="preserve"> </w:t>
            </w:r>
          </w:p>
        </w:tc>
        <w:tc>
          <w:tcPr>
            <w:tcW w:w="6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E81AF5">
            <w:pPr>
              <w:jc w:val="right"/>
              <w:rPr>
                <w:b/>
                <w:color w:val="000000"/>
                <w:sz w:val="16"/>
                <w:lang w:val="en-GB"/>
              </w:rPr>
            </w:pPr>
            <w:r w:rsidRPr="00491918">
              <w:rPr>
                <w:b/>
                <w:color w:val="000000"/>
                <w:sz w:val="16"/>
                <w:lang w:val="en-GB"/>
              </w:rPr>
              <w:t>2,</w:t>
            </w:r>
            <w:r w:rsidR="00E81AF5" w:rsidRPr="00491918">
              <w:rPr>
                <w:b/>
                <w:color w:val="000000"/>
                <w:sz w:val="16"/>
                <w:lang w:val="en-GB"/>
              </w:rPr>
              <w:t>389 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1,748 </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2,242 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7 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Attributable profit</w:t>
            </w:r>
            <w:r w:rsidRPr="00491918">
              <w:rPr>
                <w:color w:val="000000"/>
                <w:sz w:val="16"/>
                <w:vertAlign w:val="superscript"/>
                <w:lang w:val="en-GB"/>
              </w:rPr>
              <w:t>1 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w:t>
            </w:r>
            <w:r w:rsidR="00D848E0" w:rsidRPr="00491918">
              <w:rPr>
                <w:color w:val="000000"/>
                <w:sz w:val="16"/>
                <w:lang w:val="en-GB"/>
              </w:rPr>
              <w:t>541</w:t>
            </w:r>
            <w:r w:rsidRPr="00491918">
              <w:rPr>
                <w:color w:val="000000"/>
                <w:sz w:val="16"/>
                <w:lang w:val="en-GB"/>
              </w:rPr>
              <w:t>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1,236 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1,446 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D848E0">
            <w:pPr>
              <w:jc w:val="right"/>
              <w:rPr>
                <w:color w:val="000000"/>
                <w:sz w:val="16"/>
                <w:lang w:val="en-GB"/>
              </w:rPr>
            </w:pPr>
            <w:r w:rsidRPr="00491918">
              <w:rPr>
                <w:color w:val="000000"/>
                <w:sz w:val="16"/>
                <w:lang w:val="en-GB"/>
              </w:rPr>
              <w:t>7</w:t>
            </w:r>
            <w:r w:rsidR="000D1659" w:rsidRPr="00491918">
              <w:rPr>
                <w:color w:val="000000"/>
                <w:sz w:val="16"/>
                <w:lang w:val="en-GB"/>
              </w:rPr>
              <w:t>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20"/>
                <w:lang w:val="en-GB"/>
              </w:rPr>
              <w:t>Balance Sheet Information and Key Facts</w:t>
            </w:r>
            <w:r w:rsidRPr="00491918">
              <w:rPr>
                <w:color w:val="000000"/>
                <w:sz w:val="20"/>
                <w:vertAlign w:val="superscript"/>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lang w:val="en-GB"/>
              </w:rPr>
            </w:pPr>
            <w:r w:rsidRPr="00491918">
              <w:rPr>
                <w:color w:val="000000"/>
                <w:sz w:val="20"/>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r w:rsidRPr="00491918">
              <w:rPr>
                <w:b/>
                <w:color w:val="000000"/>
                <w:sz w:val="20"/>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color w:val="000000"/>
                <w:sz w:val="20"/>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6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lang w:val="en-GB"/>
              </w:rPr>
            </w:pPr>
            <w:r w:rsidRPr="00491918">
              <w:rPr>
                <w:color w:val="000000"/>
                <w:sz w:val="20"/>
                <w:lang w:val="en-GB"/>
              </w:rPr>
              <w:t xml:space="preserve"> </w:t>
            </w:r>
          </w:p>
        </w:tc>
      </w:tr>
      <w:tr w:rsidR="000D1659" w:rsidRPr="00491918">
        <w:trPr>
          <w:trHeight w:val="51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20"/>
                <w:lang w:val="en-GB"/>
              </w:rPr>
            </w:pPr>
            <w:r w:rsidRPr="00491918">
              <w:rPr>
                <w:color w:val="000000"/>
                <w:sz w:val="16"/>
                <w:lang w:val="en-GB"/>
              </w:rPr>
              <w:t>Loans and advances to banks and customers at amortised cost</w:t>
            </w:r>
            <w:r w:rsidR="001D4113" w:rsidRPr="00491918">
              <w:rPr>
                <w:color w:val="000000"/>
                <w:sz w:val="16"/>
                <w:vertAlign w:val="superscript"/>
                <w:lang w:val="en-GB"/>
              </w:rPr>
              <w:t>2</w:t>
            </w:r>
          </w:p>
        </w:tc>
        <w:tc>
          <w:tcPr>
            <w:tcW w:w="6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£186.</w:t>
            </w:r>
            <w:r w:rsidR="00E81AF5" w:rsidRPr="00491918">
              <w:rPr>
                <w:color w:val="000000"/>
                <w:sz w:val="16"/>
                <w:lang w:val="en-GB"/>
              </w:rPr>
              <w:t>6</w:t>
            </w:r>
            <w:r w:rsidRPr="00491918">
              <w:rPr>
                <w:color w:val="000000"/>
                <w:sz w:val="16"/>
                <w:lang w:val="en-GB"/>
              </w:rPr>
              <w:t>bn</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£143.5bn</w:t>
            </w:r>
          </w:p>
        </w:tc>
        <w:tc>
          <w:tcPr>
            <w:tcW w:w="6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£184.3bn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Customer deposits</w:t>
            </w:r>
            <w:r w:rsidR="001D4113" w:rsidRPr="00491918">
              <w:rPr>
                <w:color w:val="000000"/>
                <w:sz w:val="16"/>
                <w:vertAlign w:val="superscript"/>
                <w:lang w:val="en-GB"/>
              </w:rPr>
              <w:t>2</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2F744A">
            <w:pPr>
              <w:jc w:val="right"/>
              <w:rPr>
                <w:color w:val="000000"/>
                <w:sz w:val="16"/>
                <w:lang w:val="en-GB"/>
              </w:rPr>
            </w:pPr>
            <w:r w:rsidRPr="00491918">
              <w:rPr>
                <w:color w:val="000000"/>
                <w:sz w:val="16"/>
                <w:lang w:val="en-GB"/>
              </w:rPr>
              <w:t>£117.4</w:t>
            </w:r>
            <w:r w:rsidR="000D1659" w:rsidRPr="00491918">
              <w:rPr>
                <w:color w:val="000000"/>
                <w:sz w:val="16"/>
                <w:lang w:val="en-GB"/>
              </w:rPr>
              <w:t>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£75.9bn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£114.3bn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Total assets</w:t>
            </w:r>
            <w:r w:rsidR="001D4113" w:rsidRPr="00491918">
              <w:rPr>
                <w:color w:val="000000"/>
                <w:sz w:val="16"/>
                <w:vertAlign w:val="superscript"/>
                <w:lang w:val="en-GB"/>
              </w:rPr>
              <w:t>3</w:t>
            </w:r>
            <w:r w:rsidRPr="00491918">
              <w:rPr>
                <w:color w:val="000000"/>
                <w:sz w:val="16"/>
                <w:vertAlign w:val="superscript"/>
                <w:lang w:val="en-GB"/>
              </w:rPr>
              <w:t>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£1,04</w:t>
            </w:r>
            <w:r w:rsidR="00062D75" w:rsidRPr="00491918">
              <w:rPr>
                <w:color w:val="000000"/>
                <w:sz w:val="16"/>
                <w:lang w:val="en-GB"/>
              </w:rPr>
              <w:t>3</w:t>
            </w:r>
            <w:r w:rsidRPr="00491918">
              <w:rPr>
                <w:color w:val="000000"/>
                <w:sz w:val="16"/>
                <w:lang w:val="en-GB"/>
              </w:rPr>
              <w:t>.</w:t>
            </w:r>
            <w:r w:rsidR="00062D75" w:rsidRPr="00491918">
              <w:rPr>
                <w:color w:val="000000"/>
                <w:sz w:val="16"/>
                <w:lang w:val="en-GB"/>
              </w:rPr>
              <w:t>8</w:t>
            </w:r>
            <w:r w:rsidRPr="00491918">
              <w:rPr>
                <w:color w:val="000000"/>
                <w:sz w:val="16"/>
                <w:lang w:val="en-GB"/>
              </w:rPr>
              <w:t>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£1,073.7bn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£1,224.0bn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Assets contributing to adjusted gross leverage</w:t>
            </w:r>
            <w:r w:rsidR="001D4113" w:rsidRPr="00491918">
              <w:rPr>
                <w:color w:val="000000"/>
                <w:sz w:val="16"/>
                <w:vertAlign w:val="superscript"/>
                <w:lang w:val="en-GB"/>
              </w:rPr>
              <w:t>3</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£568.</w:t>
            </w:r>
            <w:r w:rsidR="00062D75" w:rsidRPr="00491918">
              <w:rPr>
                <w:color w:val="000000"/>
                <w:sz w:val="16"/>
                <w:lang w:val="en-GB"/>
              </w:rPr>
              <w:t>5</w:t>
            </w:r>
            <w:r w:rsidRPr="00491918">
              <w:rPr>
                <w:color w:val="000000"/>
                <w:sz w:val="16"/>
                <w:lang w:val="en-GB"/>
              </w:rPr>
              <w:t>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£567.0bn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£649.2bn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Risk weighted assets</w:t>
            </w:r>
            <w:r w:rsidR="001D4113" w:rsidRPr="00491918">
              <w:rPr>
                <w:color w:val="000000"/>
                <w:sz w:val="16"/>
                <w:vertAlign w:val="superscript"/>
                <w:lang w:val="en-GB"/>
              </w:rPr>
              <w:t>3</w:t>
            </w:r>
            <w:r w:rsidRPr="00491918">
              <w:rPr>
                <w:color w:val="000000"/>
                <w:sz w:val="16"/>
                <w:vertAlign w:val="superscript"/>
                <w:lang w:val="en-GB"/>
              </w:rPr>
              <w:t>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£168.8bn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£177.9bn</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£190.5bn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rFonts w:ascii="Arial" w:eastAsia="Arial" w:hAnsi="Arial" w:cs="Arial"/>
                <w:color w:val="000000"/>
                <w:sz w:val="20"/>
                <w:lang w:val="en-GB"/>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lang w:val="en-GB"/>
              </w:rPr>
            </w:pPr>
            <w:r w:rsidRPr="00491918">
              <w:rPr>
                <w:rFonts w:ascii="Arial" w:eastAsia="Arial" w:hAnsi="Arial" w:cs="Arial"/>
                <w:color w:val="000000"/>
                <w:sz w:val="20"/>
                <w:lang w:val="en-GB"/>
              </w:rPr>
              <w:t xml:space="preserve"> </w:t>
            </w:r>
          </w:p>
        </w:tc>
        <w:tc>
          <w:tcPr>
            <w:tcW w:w="6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lang w:val="en-GB"/>
              </w:rPr>
            </w:pPr>
            <w:r w:rsidRPr="00491918">
              <w:rPr>
                <w:rFonts w:ascii="Arial" w:eastAsia="Arial" w:hAnsi="Arial" w:cs="Arial"/>
                <w:color w:val="000000"/>
                <w:sz w:val="20"/>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Average DVaR (95%)</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£31m</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rsidP="001B0DD0">
            <w:pPr>
              <w:jc w:val="right"/>
              <w:rPr>
                <w:color w:val="000000"/>
                <w:sz w:val="16"/>
                <w:lang w:val="en-GB"/>
              </w:rPr>
            </w:pPr>
            <w:r w:rsidRPr="00491918">
              <w:rPr>
                <w:color w:val="000000"/>
                <w:sz w:val="16"/>
                <w:lang w:val="en-GB"/>
              </w:rPr>
              <w:t>£3</w:t>
            </w:r>
            <w:r w:rsidR="001B0DD0" w:rsidRPr="00491918">
              <w:rPr>
                <w:color w:val="000000"/>
                <w:sz w:val="16"/>
                <w:lang w:val="en-GB"/>
              </w:rPr>
              <w:t>4</w:t>
            </w:r>
            <w:r w:rsidRPr="00491918">
              <w:rPr>
                <w:color w:val="000000"/>
                <w:sz w:val="16"/>
                <w:lang w:val="en-GB"/>
              </w:rPr>
              <w:t>m</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£42m</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Number of employees (full time equivalent)</w:t>
            </w:r>
            <w:r w:rsidRPr="00491918">
              <w:rPr>
                <w:color w:val="000000"/>
                <w:sz w:val="16"/>
                <w:vertAlign w:val="superscript"/>
                <w:lang w:val="en-GB"/>
              </w:rPr>
              <w:t xml:space="preserve"> </w:t>
            </w:r>
          </w:p>
        </w:tc>
        <w:tc>
          <w:tcPr>
            <w:tcW w:w="6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25,300 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25,600 </w:t>
            </w:r>
          </w:p>
        </w:tc>
        <w:tc>
          <w:tcPr>
            <w:tcW w:w="6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24,500 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9E6048" w:rsidRPr="00491918" w:rsidTr="000732DD">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225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lang w:val="en-GB"/>
              </w:rPr>
            </w:pPr>
            <w:r w:rsidRPr="00491918">
              <w:rPr>
                <w:b/>
                <w:color w:val="000000"/>
                <w:sz w:val="16"/>
                <w:lang w:val="en-GB"/>
              </w:rPr>
              <w:t>Adjusted</w:t>
            </w:r>
            <w:r w:rsidRPr="00491918">
              <w:rPr>
                <w:b/>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b/>
                <w:color w:val="000000"/>
                <w:sz w:val="16"/>
                <w:lang w:val="en-GB"/>
              </w:rPr>
              <w:t xml:space="preserve"> </w:t>
            </w:r>
          </w:p>
        </w:tc>
        <w:tc>
          <w:tcPr>
            <w:tcW w:w="225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Statutory</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Performance Measures</w:t>
            </w:r>
            <w:r w:rsidRPr="00491918">
              <w:rPr>
                <w:b/>
                <w:color w:val="000000"/>
                <w:sz w:val="20"/>
                <w:vertAlign w:val="superscript"/>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b/>
                <w:color w:val="000000"/>
                <w:sz w:val="16"/>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r w:rsidRPr="00491918">
              <w:rPr>
                <w:b/>
                <w:color w:val="000000"/>
                <w:sz w:val="20"/>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b/>
                <w:color w:val="000000"/>
                <w:sz w:val="16"/>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Return on average equity</w:t>
            </w:r>
            <w:r w:rsidRPr="00491918">
              <w:rPr>
                <w:color w:val="000000"/>
                <w:sz w:val="16"/>
                <w:vertAlign w:val="superscript"/>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rsidP="008A3FCB">
            <w:pPr>
              <w:jc w:val="right"/>
              <w:rPr>
                <w:color w:val="000000"/>
                <w:sz w:val="16"/>
                <w:vertAlign w:val="superscript"/>
                <w:lang w:val="en-GB"/>
              </w:rPr>
            </w:pPr>
            <w:r w:rsidRPr="00491918">
              <w:rPr>
                <w:color w:val="000000"/>
                <w:sz w:val="16"/>
                <w:lang w:val="en-GB"/>
              </w:rPr>
              <w:t>1</w:t>
            </w:r>
            <w:r w:rsidR="008A3FCB" w:rsidRPr="00491918">
              <w:rPr>
                <w:color w:val="000000"/>
                <w:sz w:val="16"/>
                <w:lang w:val="en-GB"/>
              </w:rPr>
              <w:t>5.4</w:t>
            </w:r>
            <w:r w:rsidRPr="00491918">
              <w:rPr>
                <w:color w:val="000000"/>
                <w:sz w:val="16"/>
                <w:lang w:val="en-GB"/>
              </w:rPr>
              <w:t>%</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11.9%</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13.4%</w:t>
            </w:r>
            <w:r w:rsidRPr="00491918">
              <w:rPr>
                <w:color w:val="000000"/>
                <w:sz w:val="16"/>
                <w:vertAlign w:val="superscript"/>
                <w:lang w:val="en-GB"/>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rsidP="008A3FCB">
            <w:pPr>
              <w:jc w:val="right"/>
              <w:rPr>
                <w:color w:val="000000"/>
                <w:sz w:val="16"/>
                <w:lang w:val="en-GB"/>
              </w:rPr>
            </w:pPr>
            <w:r w:rsidRPr="00491918">
              <w:rPr>
                <w:color w:val="000000"/>
                <w:sz w:val="16"/>
                <w:lang w:val="en-GB"/>
              </w:rPr>
              <w:t>1</w:t>
            </w:r>
            <w:r w:rsidR="008A3FCB" w:rsidRPr="00491918">
              <w:rPr>
                <w:color w:val="000000"/>
                <w:sz w:val="16"/>
                <w:lang w:val="en-GB"/>
              </w:rPr>
              <w:t>5.4</w:t>
            </w:r>
            <w:r w:rsidRPr="00491918">
              <w:rPr>
                <w:color w:val="000000"/>
                <w:sz w:val="16"/>
                <w:lang w:val="en-GB"/>
              </w:rPr>
              <w:t>%</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11.9%</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13.4%</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Return on average risk weighted assets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8A3FCB" w:rsidP="008A3FCB">
            <w:pPr>
              <w:jc w:val="right"/>
              <w:rPr>
                <w:color w:val="000000"/>
                <w:sz w:val="16"/>
                <w:vertAlign w:val="superscript"/>
                <w:lang w:val="en-GB"/>
              </w:rPr>
            </w:pPr>
            <w:r w:rsidRPr="00491918">
              <w:rPr>
                <w:color w:val="000000"/>
                <w:sz w:val="16"/>
                <w:lang w:val="en-GB"/>
              </w:rPr>
              <w:t>1.8</w:t>
            </w:r>
            <w:r w:rsidR="000D1659" w:rsidRPr="00491918">
              <w:rPr>
                <w:color w:val="000000"/>
                <w:sz w:val="16"/>
                <w:lang w:val="en-GB"/>
              </w:rPr>
              <w:t>%</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8A3FCB">
            <w:pPr>
              <w:jc w:val="right"/>
              <w:rPr>
                <w:color w:val="000000"/>
                <w:sz w:val="16"/>
                <w:lang w:val="en-GB"/>
              </w:rPr>
            </w:pPr>
            <w:r w:rsidRPr="00491918">
              <w:rPr>
                <w:color w:val="000000"/>
                <w:sz w:val="16"/>
                <w:lang w:val="en-GB"/>
              </w:rPr>
              <w:t>1.8</w:t>
            </w:r>
            <w:r w:rsidR="000D1659" w:rsidRPr="00491918">
              <w:rPr>
                <w:color w:val="000000"/>
                <w:sz w:val="16"/>
                <w:lang w:val="en-GB"/>
              </w:rPr>
              <w:t>%</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Cost: income ratio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61%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63%</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63%</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Cost: net operating income ratio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6</w:t>
            </w:r>
            <w:r w:rsidR="003A11E9" w:rsidRPr="00491918">
              <w:rPr>
                <w:color w:val="000000"/>
                <w:sz w:val="16"/>
                <w:lang w:val="en-GB"/>
              </w:rPr>
              <w:t>2</w:t>
            </w:r>
            <w:r w:rsidRPr="00491918">
              <w:rPr>
                <w:color w:val="000000"/>
                <w:sz w:val="16"/>
                <w:lang w:val="en-GB"/>
              </w:rPr>
              <w:t>%</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68%</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65%</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w:t>
            </w:r>
            <w:r w:rsidR="003A11E9" w:rsidRPr="00491918">
              <w:rPr>
                <w:color w:val="000000"/>
                <w:sz w:val="16"/>
                <w:lang w:val="en-GB"/>
              </w:rPr>
              <w:t>2</w:t>
            </w:r>
            <w:r w:rsidRPr="00491918">
              <w:rPr>
                <w:color w:val="000000"/>
                <w:sz w:val="16"/>
                <w:lang w:val="en-GB"/>
              </w:rPr>
              <w:t>%</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68%</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65%</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Compensation: income ratio</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Loan loss rate (bps)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DC613A">
            <w:pPr>
              <w:jc w:val="right"/>
              <w:rPr>
                <w:color w:val="000000"/>
                <w:sz w:val="16"/>
                <w:vertAlign w:val="superscript"/>
                <w:lang w:val="en-GB"/>
              </w:rPr>
            </w:pPr>
            <w:r w:rsidRPr="00491918">
              <w:rPr>
                <w:color w:val="000000"/>
                <w:sz w:val="16"/>
                <w:lang w:val="en-GB"/>
              </w:rPr>
              <w:t>19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DC613A">
            <w:pPr>
              <w:jc w:val="right"/>
              <w:rPr>
                <w:color w:val="000000"/>
                <w:sz w:val="16"/>
                <w:lang w:val="en-GB"/>
              </w:rPr>
            </w:pPr>
            <w:r w:rsidRPr="00491918">
              <w:rPr>
                <w:color w:val="000000"/>
                <w:sz w:val="16"/>
                <w:lang w:val="en-GB"/>
              </w:rPr>
              <w:t>19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bl>
    <w:p w:rsidR="000D1659" w:rsidRPr="00491918" w:rsidRDefault="000D1659">
      <w:pPr>
        <w:rPr>
          <w:lang w:val="en-GB"/>
        </w:rPr>
      </w:pPr>
    </w:p>
    <w:p w:rsidR="00E9782A" w:rsidRPr="00491918" w:rsidRDefault="00E9782A" w:rsidP="00E9782A">
      <w:pPr>
        <w:pStyle w:val="Normal24"/>
        <w:ind w:left="284"/>
        <w:rPr>
          <w:i/>
        </w:rPr>
      </w:pPr>
    </w:p>
    <w:p w:rsidR="00E9782A" w:rsidRPr="00491918" w:rsidRDefault="00E9782A" w:rsidP="00E9782A">
      <w:pPr>
        <w:pStyle w:val="Normal24"/>
        <w:ind w:left="284"/>
        <w:rPr>
          <w:i/>
        </w:rPr>
      </w:pPr>
    </w:p>
    <w:p w:rsidR="00E9782A" w:rsidRPr="00491918" w:rsidRDefault="00E9782A" w:rsidP="00E9782A">
      <w:pPr>
        <w:pStyle w:val="Normal24"/>
        <w:ind w:left="284"/>
        <w:rPr>
          <w:i/>
        </w:rPr>
      </w:pPr>
    </w:p>
    <w:p w:rsidR="00E9782A" w:rsidRPr="00491918" w:rsidRDefault="00E9782A" w:rsidP="00E9782A">
      <w:pPr>
        <w:pStyle w:val="Normal24"/>
        <w:ind w:left="284"/>
        <w:rPr>
          <w:i/>
        </w:rPr>
      </w:pPr>
    </w:p>
    <w:p w:rsidR="002C5837" w:rsidRPr="00491918" w:rsidRDefault="002C5837" w:rsidP="00E9782A">
      <w:pPr>
        <w:pStyle w:val="Normal24"/>
        <w:ind w:left="284"/>
        <w:rPr>
          <w:i/>
        </w:rPr>
      </w:pPr>
    </w:p>
    <w:p w:rsidR="00E9782A" w:rsidRPr="00491918" w:rsidRDefault="00E9782A" w:rsidP="00E9782A">
      <w:pPr>
        <w:pStyle w:val="Normal24"/>
        <w:ind w:left="284"/>
        <w:rPr>
          <w:i/>
        </w:rPr>
      </w:pPr>
    </w:p>
    <w:p w:rsidR="00E9782A" w:rsidRPr="00491918" w:rsidRDefault="00E9782A" w:rsidP="00E9782A">
      <w:pPr>
        <w:pStyle w:val="Normal24"/>
        <w:ind w:left="284"/>
        <w:rPr>
          <w:i/>
        </w:rPr>
      </w:pPr>
    </w:p>
    <w:p w:rsidR="00E9782A" w:rsidRPr="00491918" w:rsidRDefault="00E9782A" w:rsidP="00E9782A">
      <w:pPr>
        <w:pStyle w:val="Normal24"/>
        <w:ind w:left="284"/>
        <w:rPr>
          <w:i/>
        </w:rPr>
      </w:pPr>
    </w:p>
    <w:p w:rsidR="000D1659" w:rsidRPr="00491918" w:rsidRDefault="000D1659" w:rsidP="00CD39D9">
      <w:pPr>
        <w:pStyle w:val="Normal24"/>
        <w:numPr>
          <w:ilvl w:val="0"/>
          <w:numId w:val="49"/>
        </w:numPr>
        <w:ind w:left="284" w:hanging="284"/>
        <w:rPr>
          <w:i/>
        </w:rPr>
      </w:pPr>
      <w:r w:rsidRPr="00491918">
        <w:rPr>
          <w:i/>
          <w:color w:val="000000"/>
          <w:sz w:val="14"/>
        </w:rPr>
        <w:t>Attributable profit includes profit after tax and non-controlling interests.</w:t>
      </w:r>
    </w:p>
    <w:p w:rsidR="001D4113" w:rsidRPr="00491918" w:rsidRDefault="001D4113" w:rsidP="00CD39D9">
      <w:pPr>
        <w:pStyle w:val="Normal24"/>
        <w:numPr>
          <w:ilvl w:val="0"/>
          <w:numId w:val="49"/>
        </w:numPr>
        <w:ind w:left="284" w:hanging="284"/>
        <w:rPr>
          <w:i/>
          <w:sz w:val="14"/>
        </w:rPr>
      </w:pPr>
      <w:r w:rsidRPr="00491918">
        <w:rPr>
          <w:i/>
          <w:sz w:val="14"/>
        </w:rPr>
        <w:t>Loans and advances includes £146.</w:t>
      </w:r>
      <w:r w:rsidR="00062D75" w:rsidRPr="00491918">
        <w:rPr>
          <w:i/>
          <w:sz w:val="14"/>
        </w:rPr>
        <w:t>4</w:t>
      </w:r>
      <w:r w:rsidRPr="00491918">
        <w:rPr>
          <w:i/>
          <w:sz w:val="14"/>
        </w:rPr>
        <w:t>bn of loans and advances to customers (including settlement balances and cash collateral of £103.5bn) and loans and advances to banks of £40.2bn (including settlement balances and cash collateral of £26.2bn). Customer deposits includes £91.1bn relating to settlement balances and cash collateral.</w:t>
      </w:r>
    </w:p>
    <w:p w:rsidR="000D1659" w:rsidRPr="00491918" w:rsidRDefault="000D1659" w:rsidP="00CD39D9">
      <w:pPr>
        <w:pStyle w:val="Normal24"/>
        <w:numPr>
          <w:ilvl w:val="0"/>
          <w:numId w:val="49"/>
        </w:numPr>
        <w:ind w:left="284" w:hanging="284"/>
        <w:rPr>
          <w:i/>
        </w:rPr>
      </w:pPr>
      <w:r w:rsidRPr="00491918">
        <w:rPr>
          <w:i/>
          <w:color w:val="000000"/>
          <w:sz w:val="14"/>
        </w:rPr>
        <w:t xml:space="preserve">2013 total assets, assets contributing to adjusted gross leverage and risk weighted assets </w:t>
      </w:r>
      <w:r w:rsidR="004E77D0" w:rsidRPr="00491918">
        <w:rPr>
          <w:i/>
          <w:color w:val="000000"/>
          <w:sz w:val="14"/>
        </w:rPr>
        <w:t>reflect</w:t>
      </w:r>
      <w:r w:rsidRPr="00491918">
        <w:rPr>
          <w:i/>
          <w:color w:val="000000"/>
          <w:sz w:val="14"/>
        </w:rPr>
        <w:t xml:space="preserve"> a reallocation of liquidity pool assets to other businesses.</w:t>
      </w:r>
    </w:p>
    <w:p w:rsidR="000D1659" w:rsidRPr="00491918" w:rsidRDefault="000D1659">
      <w:pPr>
        <w:spacing w:line="14" w:lineRule="exact"/>
        <w:rPr>
          <w:i/>
        </w:rPr>
      </w:pPr>
      <w:r w:rsidRPr="00491918">
        <w:rPr>
          <w:i/>
        </w:rPr>
        <w:br w:type="page"/>
      </w:r>
    </w:p>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sidP="008D6001">
      <w:pPr>
        <w:pStyle w:val="HeadingLevel1-BarcRA12"/>
        <w:jc w:val="left"/>
        <w:outlineLvl w:val="0"/>
        <w:rPr>
          <w:lang w:val="en-GB"/>
        </w:rPr>
      </w:pPr>
      <w:r w:rsidRPr="00491918">
        <w:rPr>
          <w:lang w:val="en-GB"/>
        </w:rPr>
        <w:t>Investment Bank</w:t>
      </w:r>
    </w:p>
    <w:p w:rsidR="000D1659" w:rsidRPr="00491918" w:rsidRDefault="000D1659" w:rsidP="008D6001">
      <w:pPr>
        <w:pStyle w:val="Level1Bullet-BarcRA70"/>
        <w:numPr>
          <w:ilvl w:val="0"/>
          <w:numId w:val="0"/>
        </w:numPr>
        <w:tabs>
          <w:tab w:val="left" w:pos="720"/>
        </w:tabs>
        <w:ind w:left="284" w:hanging="284"/>
        <w:outlineLvl w:val="0"/>
        <w:rPr>
          <w:b/>
          <w:sz w:val="20"/>
          <w:lang w:val="en-US"/>
        </w:rPr>
      </w:pPr>
      <w:r w:rsidRPr="00491918">
        <w:rPr>
          <w:b/>
          <w:sz w:val="20"/>
          <w:lang w:val="en-US"/>
        </w:rPr>
        <w:t>Income Statement – H113 compared to H112</w:t>
      </w:r>
    </w:p>
    <w:tbl>
      <w:tblPr>
        <w:tblW w:w="0" w:type="auto"/>
        <w:tblLayout w:type="fixed"/>
        <w:tblLook w:val="0000" w:firstRow="0" w:lastRow="0" w:firstColumn="0" w:lastColumn="0" w:noHBand="0" w:noVBand="0"/>
      </w:tblPr>
      <w:tblGrid>
        <w:gridCol w:w="4275"/>
        <w:gridCol w:w="1350"/>
        <w:gridCol w:w="1350"/>
        <w:gridCol w:w="1350"/>
        <w:gridCol w:w="1350"/>
      </w:tblGrid>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sz w:val="20"/>
              </w:rPr>
            </w:pPr>
            <w:r w:rsidRPr="00491918">
              <w:rPr>
                <w:b/>
                <w:color w:val="000000"/>
                <w:sz w:val="16"/>
              </w:rPr>
              <w:t xml:space="preserve"> </w:t>
            </w:r>
            <w:r w:rsidRPr="00491918">
              <w:rPr>
                <w:b/>
                <w:color w:val="000000"/>
                <w:sz w:val="16"/>
                <w:vertAlign w:val="superscript"/>
              </w:rPr>
              <w:t xml:space="preserve"> </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Half Year Ended</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Analysis of Total Income</w:t>
            </w:r>
            <w:r w:rsidRPr="00491918">
              <w:rPr>
                <w:b/>
                <w:color w:val="000000"/>
                <w:sz w:val="20"/>
                <w:vertAlign w:val="superscript"/>
              </w:rPr>
              <w:t xml:space="preserve"> </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0"/>
                <w:vertAlign w:val="superscript"/>
              </w:rPr>
            </w:pPr>
            <w:r w:rsidRPr="00491918">
              <w:rPr>
                <w:b/>
                <w:color w:val="000000"/>
                <w:sz w:val="16"/>
              </w:rPr>
              <w:t>30.06.13</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30.06.12</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YoY</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Change</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Macro Products</w:t>
            </w:r>
            <w:r w:rsidRPr="00491918">
              <w:rPr>
                <w:color w:val="000000"/>
                <w:sz w:val="16"/>
                <w:vertAlign w:val="superscript"/>
              </w:rPr>
              <w:t>1 </w:t>
            </w:r>
          </w:p>
        </w:tc>
        <w:tc>
          <w:tcPr>
            <w:tcW w:w="13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2,013 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1,548 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2,476 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Credit Products</w:t>
            </w:r>
            <w:r w:rsidRPr="00491918">
              <w:rPr>
                <w:color w:val="000000"/>
                <w:sz w:val="16"/>
                <w:vertAlign w:val="superscript"/>
              </w:rPr>
              <w:t>1 </w:t>
            </w:r>
          </w:p>
        </w:tc>
        <w:tc>
          <w:tcPr>
            <w:tcW w:w="13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1,467 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1,206 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1,441 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2 </w:t>
            </w:r>
          </w:p>
        </w:tc>
      </w:tr>
      <w:tr w:rsidR="000D1659" w:rsidRPr="00491918">
        <w:trPr>
          <w:trHeight w:val="240"/>
        </w:trPr>
        <w:tc>
          <w:tcPr>
            <w:tcW w:w="427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Exit Quadrant Assets</w:t>
            </w:r>
            <w:r w:rsidRPr="00491918">
              <w:rPr>
                <w:color w:val="000000"/>
                <w:sz w:val="16"/>
                <w:vertAlign w:val="superscript"/>
              </w:rPr>
              <w:t>1 </w:t>
            </w:r>
          </w:p>
        </w:tc>
        <w:tc>
          <w:tcPr>
            <w:tcW w:w="1350" w:type="dxa"/>
            <w:tcBorders>
              <w:top w:val="nil"/>
              <w:left w:val="nil"/>
              <w:bottom w:val="single" w:sz="6" w:space="0" w:color="A5A5A5"/>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88 </w:t>
            </w:r>
          </w:p>
        </w:tc>
        <w:tc>
          <w:tcPr>
            <w:tcW w:w="13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415 </w:t>
            </w:r>
          </w:p>
        </w:tc>
        <w:tc>
          <w:tcPr>
            <w:tcW w:w="13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163 </w:t>
            </w:r>
          </w:p>
        </w:tc>
        <w:tc>
          <w:tcPr>
            <w:tcW w:w="13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w:t>
            </w:r>
          </w:p>
        </w:tc>
      </w:tr>
      <w:tr w:rsidR="000D1659" w:rsidRPr="00491918">
        <w:trPr>
          <w:trHeight w:val="240"/>
        </w:trPr>
        <w:tc>
          <w:tcPr>
            <w:tcW w:w="427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Fixed Income, Currency and Commodities (FICC)</w:t>
            </w:r>
            <w:r w:rsidRPr="00491918">
              <w:rPr>
                <w:color w:val="000000"/>
                <w:sz w:val="16"/>
                <w:vertAlign w:val="superscript"/>
              </w:rPr>
              <w:t xml:space="preserve"> </w:t>
            </w:r>
          </w:p>
        </w:tc>
        <w:tc>
          <w:tcPr>
            <w:tcW w:w="135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3,568 </w:t>
            </w:r>
          </w:p>
        </w:tc>
        <w:tc>
          <w:tcPr>
            <w:tcW w:w="13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3,169 </w:t>
            </w:r>
          </w:p>
        </w:tc>
        <w:tc>
          <w:tcPr>
            <w:tcW w:w="13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4,080 </w:t>
            </w:r>
          </w:p>
        </w:tc>
        <w:tc>
          <w:tcPr>
            <w:tcW w:w="13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Equities and Prime Services</w:t>
            </w:r>
            <w:r w:rsidRPr="00491918">
              <w:rPr>
                <w:color w:val="000000"/>
                <w:sz w:val="16"/>
                <w:vertAlign w:val="superscript"/>
              </w:rPr>
              <w:t xml:space="preserve"> </w:t>
            </w:r>
          </w:p>
        </w:tc>
        <w:tc>
          <w:tcPr>
            <w:tcW w:w="13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1,531 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977 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1,206 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Investment Banking</w:t>
            </w:r>
            <w:r w:rsidRPr="00491918">
              <w:rPr>
                <w:color w:val="000000"/>
                <w:sz w:val="16"/>
                <w:vertAlign w:val="superscript"/>
              </w:rPr>
              <w:t xml:space="preserve"> </w:t>
            </w:r>
          </w:p>
        </w:tc>
        <w:tc>
          <w:tcPr>
            <w:tcW w:w="13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1,086 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1,113 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1,024 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Principal Investments and Other Income</w:t>
            </w:r>
            <w:r w:rsidRPr="00491918">
              <w:rPr>
                <w:color w:val="000000"/>
                <w:sz w:val="16"/>
                <w:vertAlign w:val="superscript"/>
              </w:rPr>
              <w:t xml:space="preserve"> </w:t>
            </w:r>
          </w:p>
        </w:tc>
        <w:tc>
          <w:tcPr>
            <w:tcW w:w="13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288 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150 </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92 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income</w:t>
            </w:r>
            <w:r w:rsidRPr="00491918">
              <w:rPr>
                <w:b/>
                <w:color w:val="000000"/>
                <w:sz w:val="16"/>
                <w:vertAlign w:val="superscript"/>
              </w:rPr>
              <w:t xml:space="preserve"> </w:t>
            </w:r>
          </w:p>
        </w:tc>
        <w:tc>
          <w:tcPr>
            <w:tcW w:w="13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6,473 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5,315 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6,460 </w:t>
            </w:r>
          </w:p>
        </w:tc>
        <w:tc>
          <w:tcPr>
            <w:tcW w:w="13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r>
    </w:tbl>
    <w:p w:rsidR="000D1659" w:rsidRPr="00491918" w:rsidRDefault="000D1659" w:rsidP="00CD39D9">
      <w:pPr>
        <w:pStyle w:val="Level1Bullet-BarcRA7000"/>
        <w:numPr>
          <w:ilvl w:val="0"/>
          <w:numId w:val="51"/>
        </w:numPr>
        <w:tabs>
          <w:tab w:val="left" w:pos="720"/>
        </w:tabs>
        <w:rPr>
          <w:lang w:val="en-GB"/>
        </w:rPr>
      </w:pPr>
      <w:r w:rsidRPr="00491918">
        <w:rPr>
          <w:lang w:val="en-GB"/>
        </w:rPr>
        <w:t>Total income of £6,473m was in line with H112</w:t>
      </w:r>
    </w:p>
    <w:p w:rsidR="000D1659" w:rsidRPr="00491918" w:rsidRDefault="000D1659" w:rsidP="00CD39D9">
      <w:pPr>
        <w:pStyle w:val="Level2Bullet-BarcRA3"/>
        <w:numPr>
          <w:ilvl w:val="2"/>
          <w:numId w:val="51"/>
        </w:numPr>
        <w:tabs>
          <w:tab w:val="clear" w:pos="1401"/>
          <w:tab w:val="num" w:pos="567"/>
        </w:tabs>
        <w:ind w:left="567" w:hanging="283"/>
      </w:pPr>
      <w:r w:rsidRPr="00491918">
        <w:t xml:space="preserve">FICC income </w:t>
      </w:r>
      <w:r w:rsidRPr="00491918">
        <w:rPr>
          <w:lang w:val="en-GB"/>
        </w:rPr>
        <w:t>de</w:t>
      </w:r>
      <w:r w:rsidRPr="00491918">
        <w:t xml:space="preserve">creased </w:t>
      </w:r>
      <w:r w:rsidRPr="00491918">
        <w:rPr>
          <w:lang w:val="en-GB"/>
        </w:rPr>
        <w:t>13</w:t>
      </w:r>
      <w:r w:rsidRPr="00491918">
        <w:t>% to £</w:t>
      </w:r>
      <w:r w:rsidRPr="00491918">
        <w:rPr>
          <w:lang w:val="en-GB"/>
        </w:rPr>
        <w:t>3</w:t>
      </w:r>
      <w:r w:rsidRPr="00491918">
        <w:t>,</w:t>
      </w:r>
      <w:r w:rsidRPr="00491918">
        <w:rPr>
          <w:lang w:val="en-GB"/>
        </w:rPr>
        <w:t>568</w:t>
      </w:r>
      <w:r w:rsidRPr="00491918">
        <w:t>m</w:t>
      </w:r>
    </w:p>
    <w:p w:rsidR="00D51F48" w:rsidRPr="00491918" w:rsidRDefault="00D51F48" w:rsidP="00CD39D9">
      <w:pPr>
        <w:pStyle w:val="Level2Bullet-BarcRA3"/>
        <w:numPr>
          <w:ilvl w:val="3"/>
          <w:numId w:val="51"/>
        </w:numPr>
        <w:tabs>
          <w:tab w:val="clear" w:pos="1746"/>
          <w:tab w:val="num" w:pos="1134"/>
        </w:tabs>
        <w:ind w:left="1134" w:hanging="283"/>
      </w:pPr>
      <w:r w:rsidRPr="00491918">
        <w:rPr>
          <w:lang w:val="en-GB"/>
        </w:rPr>
        <w:t>Macro Products income decreased 19% to £2,013m due to a strong Q112 where markets were supported by the European Long Term Refinancing Operation (LTRO)</w:t>
      </w:r>
    </w:p>
    <w:p w:rsidR="00D51F48" w:rsidRPr="00491918" w:rsidRDefault="00D51F48" w:rsidP="00CD39D9">
      <w:pPr>
        <w:pStyle w:val="Level2Bullet-BarcRA3"/>
        <w:numPr>
          <w:ilvl w:val="3"/>
          <w:numId w:val="51"/>
        </w:numPr>
        <w:tabs>
          <w:tab w:val="clear" w:pos="1746"/>
          <w:tab w:val="num" w:pos="1134"/>
        </w:tabs>
        <w:ind w:left="1134" w:hanging="283"/>
      </w:pPr>
      <w:r w:rsidRPr="00491918">
        <w:rPr>
          <w:lang w:val="en-GB"/>
        </w:rPr>
        <w:t>Credit Products income increased 2% to £1,467m benefitting from credit spreads tightening and strong trading volumes</w:t>
      </w:r>
    </w:p>
    <w:p w:rsidR="00D51F48" w:rsidRPr="00491918" w:rsidRDefault="00D51F48" w:rsidP="00CD39D9">
      <w:pPr>
        <w:pStyle w:val="Level2Bullet-BarcRA3"/>
        <w:numPr>
          <w:ilvl w:val="3"/>
          <w:numId w:val="51"/>
        </w:numPr>
        <w:tabs>
          <w:tab w:val="clear" w:pos="1746"/>
          <w:tab w:val="num" w:pos="1134"/>
        </w:tabs>
        <w:ind w:left="1134" w:hanging="283"/>
      </w:pPr>
      <w:r w:rsidRPr="00491918">
        <w:rPr>
          <w:lang w:val="en-GB"/>
        </w:rPr>
        <w:t xml:space="preserve">Exit Quadrant Assets income of £88m reduced £75m from the prior year </w:t>
      </w:r>
      <w:r w:rsidR="001D4113" w:rsidRPr="00491918">
        <w:rPr>
          <w:lang w:val="en-GB"/>
        </w:rPr>
        <w:t>as we accelerated the disposal of exit assets</w:t>
      </w:r>
    </w:p>
    <w:p w:rsidR="000D1659" w:rsidRPr="00491918" w:rsidRDefault="000D1659" w:rsidP="00CD39D9">
      <w:pPr>
        <w:pStyle w:val="Level2Bullet-BarcRA3"/>
        <w:numPr>
          <w:ilvl w:val="2"/>
          <w:numId w:val="51"/>
        </w:numPr>
        <w:tabs>
          <w:tab w:val="clear" w:pos="1401"/>
          <w:tab w:val="num" w:pos="567"/>
        </w:tabs>
        <w:ind w:left="567" w:hanging="283"/>
      </w:pPr>
      <w:r w:rsidRPr="00491918">
        <w:t>Equities and Prime Services income increased 2</w:t>
      </w:r>
      <w:r w:rsidRPr="00491918">
        <w:rPr>
          <w:lang w:val="en-GB"/>
        </w:rPr>
        <w:t>7</w:t>
      </w:r>
      <w:r w:rsidRPr="00491918">
        <w:t>% to £1,5</w:t>
      </w:r>
      <w:r w:rsidRPr="00491918">
        <w:rPr>
          <w:lang w:val="en-GB"/>
        </w:rPr>
        <w:t>31</w:t>
      </w:r>
      <w:r w:rsidRPr="00491918">
        <w:t>m across US, Asia and European businesses, reflecting steady commission gain</w:t>
      </w:r>
      <w:r w:rsidRPr="00491918">
        <w:rPr>
          <w:lang w:val="en-GB"/>
        </w:rPr>
        <w:t>s,</w:t>
      </w:r>
      <w:r w:rsidRPr="00491918">
        <w:t xml:space="preserve"> an improvement in global equity markets driven by increased market confidence</w:t>
      </w:r>
      <w:r w:rsidRPr="00491918">
        <w:rPr>
          <w:lang w:val="en-GB"/>
        </w:rPr>
        <w:t xml:space="preserve"> and i</w:t>
      </w:r>
      <w:r w:rsidRPr="00491918">
        <w:t>ncrease</w:t>
      </w:r>
      <w:r w:rsidRPr="00491918">
        <w:rPr>
          <w:lang w:val="en-GB"/>
        </w:rPr>
        <w:t>d</w:t>
      </w:r>
      <w:r w:rsidRPr="00491918">
        <w:t xml:space="preserve"> client activity in Prime Services</w:t>
      </w:r>
    </w:p>
    <w:p w:rsidR="000D1659" w:rsidRPr="00491918" w:rsidRDefault="000D1659" w:rsidP="00CD39D9">
      <w:pPr>
        <w:pStyle w:val="Level2Bullet-BarcRA3"/>
        <w:numPr>
          <w:ilvl w:val="2"/>
          <w:numId w:val="51"/>
        </w:numPr>
        <w:tabs>
          <w:tab w:val="clear" w:pos="1401"/>
          <w:tab w:val="num" w:pos="567"/>
        </w:tabs>
        <w:ind w:left="567" w:hanging="283"/>
      </w:pPr>
      <w:r w:rsidRPr="00491918">
        <w:t xml:space="preserve">Investment Banking income </w:t>
      </w:r>
      <w:r w:rsidRPr="00491918">
        <w:rPr>
          <w:lang w:val="en-GB"/>
        </w:rPr>
        <w:t>in</w:t>
      </w:r>
      <w:r w:rsidRPr="00491918">
        <w:t xml:space="preserve">creased </w:t>
      </w:r>
      <w:r w:rsidRPr="00491918">
        <w:rPr>
          <w:lang w:val="en-GB"/>
        </w:rPr>
        <w:t>6</w:t>
      </w:r>
      <w:r w:rsidRPr="00491918">
        <w:t>% to £1,0</w:t>
      </w:r>
      <w:r w:rsidRPr="00491918">
        <w:rPr>
          <w:lang w:val="en-GB"/>
        </w:rPr>
        <w:t>86</w:t>
      </w:r>
      <w:r w:rsidRPr="00491918">
        <w:t>m</w:t>
      </w:r>
      <w:r w:rsidRPr="00491918">
        <w:rPr>
          <w:lang w:val="en-GB"/>
        </w:rPr>
        <w:t xml:space="preserve"> driven by e</w:t>
      </w:r>
      <w:r w:rsidRPr="00491918">
        <w:t>quity and debt underwriting</w:t>
      </w:r>
      <w:r w:rsidRPr="00491918">
        <w:rPr>
          <w:lang w:val="en-GB"/>
        </w:rPr>
        <w:t xml:space="preserve"> due to increased client activity in favourable  market conditions</w:t>
      </w:r>
    </w:p>
    <w:p w:rsidR="000D1659" w:rsidRPr="00491918" w:rsidRDefault="000D1659" w:rsidP="00CD39D9">
      <w:pPr>
        <w:pStyle w:val="Level2Bullet-BarcRA3"/>
        <w:numPr>
          <w:ilvl w:val="2"/>
          <w:numId w:val="51"/>
        </w:numPr>
        <w:tabs>
          <w:tab w:val="clear" w:pos="1401"/>
          <w:tab w:val="num" w:pos="567"/>
        </w:tabs>
        <w:ind w:left="567" w:hanging="283"/>
      </w:pPr>
      <w:r w:rsidRPr="00491918">
        <w:rPr>
          <w:lang w:val="en-GB"/>
        </w:rPr>
        <w:t xml:space="preserve">Principal Investments and Other income of £288m </w:t>
      </w:r>
      <w:r w:rsidRPr="00491918">
        <w:t>include</w:t>
      </w:r>
      <w:r w:rsidRPr="00491918">
        <w:rPr>
          <w:lang w:val="en-GB"/>
        </w:rPr>
        <w:t>d a fair value adjustment of £259m as a result of greater certainty regarding the recoverability of certain assets not yet received from the 2008 US Lehman acquisition</w:t>
      </w:r>
    </w:p>
    <w:p w:rsidR="000D1659" w:rsidRPr="00491918" w:rsidRDefault="000D1659" w:rsidP="00CD39D9">
      <w:pPr>
        <w:pStyle w:val="Level1Bullet-BarcRA7000"/>
        <w:numPr>
          <w:ilvl w:val="0"/>
          <w:numId w:val="51"/>
        </w:numPr>
        <w:tabs>
          <w:tab w:val="left" w:pos="720"/>
        </w:tabs>
        <w:rPr>
          <w:lang w:val="en-GB"/>
        </w:rPr>
      </w:pPr>
      <w:r w:rsidRPr="00491918">
        <w:rPr>
          <w:lang w:val="en-GB"/>
        </w:rPr>
        <w:t xml:space="preserve">Net credit impairment </w:t>
      </w:r>
      <w:r w:rsidR="00124B97" w:rsidRPr="00491918">
        <w:rPr>
          <w:lang w:val="en-GB"/>
        </w:rPr>
        <w:t xml:space="preserve">charges </w:t>
      </w:r>
      <w:r w:rsidRPr="00491918">
        <w:rPr>
          <w:lang w:val="en-GB"/>
        </w:rPr>
        <w:t>of £</w:t>
      </w:r>
      <w:r w:rsidR="00124B97" w:rsidRPr="00491918">
        <w:rPr>
          <w:lang w:val="en-GB"/>
        </w:rPr>
        <w:t xml:space="preserve">181m </w:t>
      </w:r>
      <w:r w:rsidRPr="00491918">
        <w:rPr>
          <w:lang w:val="en-GB"/>
        </w:rPr>
        <w:t xml:space="preserve">(2012: £202m) </w:t>
      </w:r>
      <w:r w:rsidR="00124B97" w:rsidRPr="00491918">
        <w:rPr>
          <w:lang w:val="en-GB"/>
        </w:rPr>
        <w:t xml:space="preserve">reflect a </w:t>
      </w:r>
      <w:r w:rsidR="008A3FCB" w:rsidRPr="00491918">
        <w:rPr>
          <w:lang w:val="en-GB"/>
        </w:rPr>
        <w:t>charge against</w:t>
      </w:r>
      <w:r w:rsidR="00124B97" w:rsidRPr="00491918">
        <w:rPr>
          <w:lang w:val="en-GB"/>
        </w:rPr>
        <w:t xml:space="preserve"> a single name exposure</w:t>
      </w:r>
      <w:r w:rsidR="0009324F" w:rsidRPr="00491918">
        <w:rPr>
          <w:lang w:val="en-GB"/>
        </w:rPr>
        <w:t>, partially</w:t>
      </w:r>
      <w:r w:rsidR="00124B97" w:rsidRPr="00491918">
        <w:rPr>
          <w:lang w:val="en-GB"/>
        </w:rPr>
        <w:t xml:space="preserve"> offset by</w:t>
      </w:r>
      <w:r w:rsidRPr="00491918">
        <w:rPr>
          <w:lang w:val="en-GB"/>
        </w:rPr>
        <w:t xml:space="preserve"> a number of </w:t>
      </w:r>
      <w:r w:rsidR="0009324F" w:rsidRPr="00491918">
        <w:rPr>
          <w:lang w:val="en-GB"/>
        </w:rPr>
        <w:t>releases</w:t>
      </w:r>
    </w:p>
    <w:p w:rsidR="000D1659" w:rsidRPr="00491918" w:rsidRDefault="000D1659" w:rsidP="00CD39D9">
      <w:pPr>
        <w:pStyle w:val="Level1Bullet-BarcRA7000"/>
        <w:numPr>
          <w:ilvl w:val="0"/>
          <w:numId w:val="51"/>
        </w:numPr>
        <w:tabs>
          <w:tab w:val="left" w:pos="720"/>
        </w:tabs>
        <w:rPr>
          <w:lang w:val="en-GB"/>
        </w:rPr>
      </w:pPr>
      <w:r w:rsidRPr="00491918">
        <w:rPr>
          <w:lang w:val="en-GB"/>
        </w:rPr>
        <w:t>Operating expenses reduced 3% to £3,920m, including £169m of costs to achieve Transform</w:t>
      </w:r>
      <w:r w:rsidR="002F744A" w:rsidRPr="00491918">
        <w:rPr>
          <w:lang w:val="en-GB"/>
        </w:rPr>
        <w:t xml:space="preserve"> primarily </w:t>
      </w:r>
      <w:r w:rsidRPr="00491918">
        <w:rPr>
          <w:lang w:val="en-GB"/>
        </w:rPr>
        <w:t>related to restructuring.  The reduction in operating expenses was driven by the ongoing cost saving initiatives despite £188m of costs relating to infrastructure improvement, including investments to meet the requirements of the Dodd-Frank Act, CRD IV and other regulatory reporting change projects.  2012 included a £193m charge relating to the setting of inter-bank offered rates</w:t>
      </w:r>
    </w:p>
    <w:p w:rsidR="000D1659" w:rsidRPr="00491918" w:rsidRDefault="000D1659" w:rsidP="00CD39D9">
      <w:pPr>
        <w:pStyle w:val="Level1Bullet-BarcRA7000"/>
        <w:numPr>
          <w:ilvl w:val="0"/>
          <w:numId w:val="51"/>
        </w:numPr>
        <w:tabs>
          <w:tab w:val="left" w:pos="720"/>
        </w:tabs>
        <w:rPr>
          <w:lang w:val="en-GB"/>
        </w:rPr>
      </w:pPr>
      <w:r w:rsidRPr="00491918">
        <w:rPr>
          <w:lang w:val="en-GB"/>
        </w:rPr>
        <w:t xml:space="preserve">Cost: net operating income ratio improved </w:t>
      </w:r>
      <w:r w:rsidR="004B5AFB" w:rsidRPr="00491918">
        <w:rPr>
          <w:lang w:val="en-GB"/>
        </w:rPr>
        <w:t>3</w:t>
      </w:r>
      <w:r w:rsidRPr="00491918">
        <w:rPr>
          <w:lang w:val="en-GB"/>
        </w:rPr>
        <w:t>% to 6</w:t>
      </w:r>
      <w:r w:rsidR="004B5AFB" w:rsidRPr="00491918">
        <w:rPr>
          <w:lang w:val="en-GB"/>
        </w:rPr>
        <w:t>2</w:t>
      </w:r>
      <w:r w:rsidRPr="00491918">
        <w:rPr>
          <w:lang w:val="en-GB"/>
        </w:rPr>
        <w:t>%. Compensation: income ratio improved to 39% (2012: 40%)</w:t>
      </w:r>
    </w:p>
    <w:p w:rsidR="000D1659" w:rsidRPr="00491918" w:rsidRDefault="000D1659" w:rsidP="00CD39D9">
      <w:pPr>
        <w:pStyle w:val="Level1Bullet-BarcRA7000"/>
        <w:numPr>
          <w:ilvl w:val="0"/>
          <w:numId w:val="51"/>
        </w:numPr>
        <w:tabs>
          <w:tab w:val="left" w:pos="720"/>
        </w:tabs>
        <w:rPr>
          <w:lang w:val="en-GB"/>
        </w:rPr>
      </w:pPr>
      <w:r w:rsidRPr="00491918">
        <w:rPr>
          <w:lang w:val="en-GB"/>
        </w:rPr>
        <w:t>Profit before tax increased 7% to £2,</w:t>
      </w:r>
      <w:r w:rsidR="00D848E0" w:rsidRPr="00491918">
        <w:rPr>
          <w:lang w:val="en-GB"/>
        </w:rPr>
        <w:t>389</w:t>
      </w:r>
      <w:r w:rsidRPr="00491918">
        <w:rPr>
          <w:lang w:val="en-GB"/>
        </w:rPr>
        <w:t>m</w:t>
      </w:r>
    </w:p>
    <w:p w:rsidR="00E9782A" w:rsidRPr="00491918" w:rsidRDefault="00E9782A" w:rsidP="00E9782A">
      <w:pPr>
        <w:pStyle w:val="Level1Bullet-BarcRA7000"/>
        <w:tabs>
          <w:tab w:val="clear" w:pos="284"/>
          <w:tab w:val="left" w:pos="720"/>
        </w:tabs>
        <w:rPr>
          <w:lang w:val="en-GB"/>
        </w:rPr>
      </w:pPr>
    </w:p>
    <w:p w:rsidR="006C2A38" w:rsidRPr="00491918" w:rsidRDefault="006C2A38" w:rsidP="00E9782A">
      <w:pPr>
        <w:pStyle w:val="Level1Bullet-BarcRA7000"/>
        <w:tabs>
          <w:tab w:val="clear" w:pos="284"/>
          <w:tab w:val="left" w:pos="720"/>
        </w:tabs>
        <w:rPr>
          <w:lang w:val="en-GB"/>
        </w:rPr>
      </w:pPr>
    </w:p>
    <w:p w:rsidR="000E4F19" w:rsidRPr="00491918" w:rsidRDefault="000E4F19" w:rsidP="00E9782A">
      <w:pPr>
        <w:pStyle w:val="Level1Bullet-BarcRA7000"/>
        <w:tabs>
          <w:tab w:val="clear" w:pos="284"/>
          <w:tab w:val="left" w:pos="720"/>
        </w:tabs>
        <w:rPr>
          <w:lang w:val="en-GB"/>
        </w:rPr>
      </w:pPr>
    </w:p>
    <w:p w:rsidR="000D1659" w:rsidRPr="00491918" w:rsidRDefault="000D1659">
      <w:pPr>
        <w:rPr>
          <w:lang w:val="en-GB"/>
        </w:rPr>
      </w:pPr>
    </w:p>
    <w:p w:rsidR="002F744A" w:rsidRPr="00491918" w:rsidRDefault="002F744A" w:rsidP="002F744A">
      <w:pPr>
        <w:pStyle w:val="HeadingLevel1-BarcRA15"/>
        <w:spacing w:after="0"/>
        <w:ind w:left="284"/>
        <w:rPr>
          <w:b w:val="0"/>
          <w:i/>
          <w:sz w:val="14"/>
          <w:lang w:val="en-GB"/>
        </w:rPr>
      </w:pPr>
    </w:p>
    <w:p w:rsidR="006E3C4C" w:rsidRPr="00491918" w:rsidRDefault="006E3C4C" w:rsidP="006E3C4C">
      <w:pPr>
        <w:pStyle w:val="Normal27"/>
      </w:pPr>
    </w:p>
    <w:p w:rsidR="000D1659" w:rsidRPr="00491918" w:rsidRDefault="000D1659" w:rsidP="00CD39D9">
      <w:pPr>
        <w:pStyle w:val="HeadingLevel1-BarcRA15"/>
        <w:numPr>
          <w:ilvl w:val="0"/>
          <w:numId w:val="54"/>
        </w:numPr>
        <w:spacing w:after="0"/>
        <w:ind w:left="284" w:hanging="284"/>
        <w:rPr>
          <w:b w:val="0"/>
          <w:i/>
          <w:sz w:val="14"/>
          <w:lang w:val="en-GB"/>
        </w:rPr>
      </w:pPr>
      <w:r w:rsidRPr="00491918">
        <w:rPr>
          <w:b w:val="0"/>
          <w:i/>
          <w:sz w:val="14"/>
        </w:rPr>
        <w:t xml:space="preserve">Macro </w:t>
      </w:r>
      <w:r w:rsidRPr="00491918">
        <w:rPr>
          <w:b w:val="0"/>
          <w:i/>
          <w:sz w:val="14"/>
          <w:lang w:val="en-GB"/>
        </w:rPr>
        <w:t>P</w:t>
      </w:r>
      <w:r w:rsidRPr="00491918">
        <w:rPr>
          <w:b w:val="0"/>
          <w:i/>
          <w:sz w:val="14"/>
        </w:rPr>
        <w:t xml:space="preserve">roducts represent Rates, </w:t>
      </w:r>
      <w:r w:rsidRPr="00491918">
        <w:rPr>
          <w:b w:val="0"/>
          <w:i/>
          <w:sz w:val="14"/>
          <w:lang w:val="en-US"/>
        </w:rPr>
        <w:t>Currency</w:t>
      </w:r>
      <w:r w:rsidRPr="00491918">
        <w:rPr>
          <w:b w:val="0"/>
          <w:i/>
          <w:sz w:val="14"/>
        </w:rPr>
        <w:t xml:space="preserve"> and Commodities income.  Credit </w:t>
      </w:r>
      <w:r w:rsidRPr="00491918">
        <w:rPr>
          <w:b w:val="0"/>
          <w:i/>
          <w:sz w:val="14"/>
          <w:lang w:val="en-GB"/>
        </w:rPr>
        <w:t>P</w:t>
      </w:r>
      <w:r w:rsidRPr="00491918">
        <w:rPr>
          <w:b w:val="0"/>
          <w:i/>
          <w:sz w:val="14"/>
        </w:rPr>
        <w:t>roducts represent Credit and Securitised Products income</w:t>
      </w:r>
      <w:r w:rsidRPr="00491918">
        <w:rPr>
          <w:b w:val="0"/>
          <w:i/>
          <w:sz w:val="14"/>
          <w:lang w:val="en-GB"/>
        </w:rPr>
        <w:t xml:space="preserve">.  Exit Quadrant Assets consist </w:t>
      </w:r>
      <w:r w:rsidR="002F744A" w:rsidRPr="00491918">
        <w:rPr>
          <w:b w:val="0"/>
          <w:i/>
          <w:sz w:val="14"/>
          <w:lang w:val="en-GB"/>
        </w:rPr>
        <w:t>of the Investment Bank Exit Quadrant busines</w:t>
      </w:r>
      <w:r w:rsidR="00D51F48" w:rsidRPr="00491918">
        <w:rPr>
          <w:b w:val="0"/>
          <w:i/>
          <w:sz w:val="14"/>
          <w:lang w:val="en-GB"/>
        </w:rPr>
        <w:t xml:space="preserve">s units as detailed on page </w:t>
      </w:r>
      <w:r w:rsidR="008D6001" w:rsidRPr="00491918">
        <w:rPr>
          <w:b w:val="0"/>
          <w:i/>
          <w:sz w:val="14"/>
          <w:lang w:val="en-GB"/>
        </w:rPr>
        <w:t>40</w:t>
      </w:r>
      <w:r w:rsidR="00D51F48" w:rsidRPr="00491918">
        <w:rPr>
          <w:b w:val="0"/>
          <w:i/>
          <w:sz w:val="14"/>
          <w:lang w:val="en-GB"/>
        </w:rPr>
        <w:t>.</w:t>
      </w:r>
    </w:p>
    <w:p w:rsidR="000D1659" w:rsidRPr="00491918" w:rsidRDefault="000D1659">
      <w:pPr>
        <w:spacing w:line="14" w:lineRule="exact"/>
        <w:rPr>
          <w:b/>
          <w:i/>
          <w:sz w:val="14"/>
          <w:lang w:val="en-GB"/>
        </w:rPr>
      </w:pPr>
      <w:r w:rsidRPr="00491918">
        <w:rPr>
          <w:b/>
          <w:i/>
          <w:sz w:val="14"/>
          <w:lang w:val="en-GB"/>
        </w:rPr>
        <w:br w:type="page"/>
      </w:r>
    </w:p>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sidP="008D6001">
      <w:pPr>
        <w:pStyle w:val="HeadingLevel1-BarcRA13"/>
        <w:jc w:val="left"/>
        <w:outlineLvl w:val="0"/>
        <w:rPr>
          <w:lang w:val="en-GB"/>
        </w:rPr>
      </w:pPr>
      <w:r w:rsidRPr="00491918">
        <w:rPr>
          <w:lang w:val="en-GB"/>
        </w:rPr>
        <w:t>Investment Bank</w:t>
      </w:r>
    </w:p>
    <w:p w:rsidR="000D1659" w:rsidRPr="00491918" w:rsidRDefault="000D1659" w:rsidP="008D6001">
      <w:pPr>
        <w:pStyle w:val="Level1Bullet-BarcRA7001"/>
        <w:tabs>
          <w:tab w:val="clear" w:pos="284"/>
          <w:tab w:val="left" w:pos="720"/>
        </w:tabs>
        <w:ind w:left="0" w:firstLine="0"/>
        <w:outlineLvl w:val="0"/>
        <w:rPr>
          <w:b/>
          <w:sz w:val="20"/>
          <w:lang w:val="en-US"/>
        </w:rPr>
      </w:pPr>
      <w:r w:rsidRPr="00491918">
        <w:rPr>
          <w:b/>
          <w:sz w:val="20"/>
          <w:lang w:val="en-US"/>
        </w:rPr>
        <w:t>Income Statement – Q213 compared to Q113</w:t>
      </w:r>
    </w:p>
    <w:p w:rsidR="000D1659" w:rsidRPr="00491918" w:rsidRDefault="000D1659" w:rsidP="00CD39D9">
      <w:pPr>
        <w:pStyle w:val="Level1Bullet-BarcRA7001"/>
        <w:numPr>
          <w:ilvl w:val="0"/>
          <w:numId w:val="55"/>
        </w:numPr>
        <w:tabs>
          <w:tab w:val="left" w:pos="720"/>
        </w:tabs>
        <w:rPr>
          <w:lang w:val="en-GB"/>
        </w:rPr>
      </w:pPr>
      <w:r w:rsidRPr="00491918">
        <w:rPr>
          <w:lang w:val="en-GB"/>
        </w:rPr>
        <w:t>Income decreased 13% to £3,010m</w:t>
      </w:r>
    </w:p>
    <w:p w:rsidR="000D1659" w:rsidRPr="00491918" w:rsidRDefault="000D1659" w:rsidP="00CD39D9">
      <w:pPr>
        <w:pStyle w:val="Level2Bullet-BarcRA31"/>
        <w:numPr>
          <w:ilvl w:val="2"/>
          <w:numId w:val="55"/>
        </w:numPr>
        <w:tabs>
          <w:tab w:val="clear" w:pos="1401"/>
          <w:tab w:val="num" w:pos="567"/>
        </w:tabs>
        <w:ind w:left="567" w:hanging="283"/>
      </w:pPr>
      <w:r w:rsidRPr="00491918">
        <w:t>FICC income decreased 3</w:t>
      </w:r>
      <w:r w:rsidRPr="00491918">
        <w:rPr>
          <w:lang w:val="en-GB"/>
        </w:rPr>
        <w:t>7</w:t>
      </w:r>
      <w:r w:rsidRPr="00491918">
        <w:t>% to £1,</w:t>
      </w:r>
      <w:r w:rsidRPr="00491918">
        <w:rPr>
          <w:lang w:val="en-GB"/>
        </w:rPr>
        <w:t>378</w:t>
      </w:r>
      <w:r w:rsidRPr="00491918">
        <w:t xml:space="preserve">m, reflecting lower activity in Macro and Credit Products driven by a decrease in client flow and a decline in </w:t>
      </w:r>
      <w:r w:rsidRPr="00491918">
        <w:rPr>
          <w:lang w:val="en-GB"/>
        </w:rPr>
        <w:t>R</w:t>
      </w:r>
      <w:r w:rsidRPr="00491918">
        <w:t xml:space="preserve">ates as the market weakened over concerns of </w:t>
      </w:r>
      <w:r w:rsidRPr="00491918">
        <w:rPr>
          <w:lang w:val="en-GB"/>
        </w:rPr>
        <w:t xml:space="preserve">central banks </w:t>
      </w:r>
      <w:r w:rsidRPr="00491918">
        <w:t xml:space="preserve">tapering </w:t>
      </w:r>
      <w:r w:rsidRPr="00491918">
        <w:rPr>
          <w:lang w:val="en-GB"/>
        </w:rPr>
        <w:t>q</w:t>
      </w:r>
      <w:r w:rsidRPr="00491918">
        <w:t xml:space="preserve">uantitative </w:t>
      </w:r>
      <w:r w:rsidRPr="00491918">
        <w:rPr>
          <w:lang w:val="en-GB"/>
        </w:rPr>
        <w:t>e</w:t>
      </w:r>
      <w:r w:rsidRPr="00491918">
        <w:t>asing program</w:t>
      </w:r>
      <w:r w:rsidRPr="00491918">
        <w:rPr>
          <w:lang w:val="en-GB"/>
        </w:rPr>
        <w:t>mes</w:t>
      </w:r>
    </w:p>
    <w:p w:rsidR="000D1659" w:rsidRPr="00491918" w:rsidRDefault="000D1659" w:rsidP="00CD39D9">
      <w:pPr>
        <w:pStyle w:val="Level2Bullet-BarcRA31"/>
        <w:numPr>
          <w:ilvl w:val="2"/>
          <w:numId w:val="55"/>
        </w:numPr>
        <w:tabs>
          <w:tab w:val="clear" w:pos="1401"/>
          <w:tab w:val="num" w:pos="567"/>
        </w:tabs>
        <w:ind w:left="567" w:hanging="283"/>
      </w:pPr>
      <w:r w:rsidRPr="00491918">
        <w:t>Equities and Prime Services income increased 1</w:t>
      </w:r>
      <w:r w:rsidRPr="00491918">
        <w:rPr>
          <w:lang w:val="en-GB"/>
        </w:rPr>
        <w:t>7</w:t>
      </w:r>
      <w:r w:rsidRPr="00491918">
        <w:t>% to £8</w:t>
      </w:r>
      <w:r w:rsidRPr="00491918">
        <w:rPr>
          <w:lang w:val="en-GB"/>
        </w:rPr>
        <w:t>25</w:t>
      </w:r>
      <w:r w:rsidRPr="00491918">
        <w:t>m, with growth in equity derivatives and Prime Services as the business continues to gain market share</w:t>
      </w:r>
    </w:p>
    <w:p w:rsidR="000D1659" w:rsidRPr="00491918" w:rsidRDefault="000D1659" w:rsidP="00CD39D9">
      <w:pPr>
        <w:pStyle w:val="Level2Bullet-BarcRA31"/>
        <w:numPr>
          <w:ilvl w:val="2"/>
          <w:numId w:val="55"/>
        </w:numPr>
        <w:tabs>
          <w:tab w:val="clear" w:pos="1401"/>
          <w:tab w:val="num" w:pos="567"/>
        </w:tabs>
        <w:ind w:left="567" w:hanging="283"/>
      </w:pPr>
      <w:r w:rsidRPr="00491918">
        <w:t xml:space="preserve">Investment Banking income decreased </w:t>
      </w:r>
      <w:r w:rsidRPr="00491918">
        <w:rPr>
          <w:lang w:val="en-GB"/>
        </w:rPr>
        <w:t>5</w:t>
      </w:r>
      <w:r w:rsidRPr="00491918">
        <w:t>% to £5</w:t>
      </w:r>
      <w:r w:rsidRPr="00491918">
        <w:rPr>
          <w:lang w:val="en-GB"/>
        </w:rPr>
        <w:t>28</w:t>
      </w:r>
      <w:r w:rsidRPr="00491918">
        <w:t>m</w:t>
      </w:r>
      <w:r w:rsidRPr="00491918">
        <w:rPr>
          <w:lang w:val="en-GB"/>
        </w:rPr>
        <w:t>,</w:t>
      </w:r>
      <w:r w:rsidRPr="00491918">
        <w:t xml:space="preserve"> reflecting </w:t>
      </w:r>
      <w:r w:rsidRPr="00491918">
        <w:rPr>
          <w:lang w:val="en-GB"/>
        </w:rPr>
        <w:t>lower</w:t>
      </w:r>
      <w:r w:rsidRPr="00491918">
        <w:t xml:space="preserve"> debt underwriting</w:t>
      </w:r>
      <w:r w:rsidRPr="00491918">
        <w:rPr>
          <w:lang w:val="en-GB"/>
        </w:rPr>
        <w:t xml:space="preserve"> when compared to a seasonally strong first quarter coupled with declines in financial advisory market activity</w:t>
      </w:r>
    </w:p>
    <w:p w:rsidR="000D1659" w:rsidRPr="00491918" w:rsidRDefault="000D1659" w:rsidP="00CD39D9">
      <w:pPr>
        <w:pStyle w:val="Level2Bullet-BarcRA31"/>
        <w:numPr>
          <w:ilvl w:val="2"/>
          <w:numId w:val="55"/>
        </w:numPr>
        <w:tabs>
          <w:tab w:val="clear" w:pos="1401"/>
          <w:tab w:val="num" w:pos="567"/>
        </w:tabs>
        <w:ind w:left="567" w:hanging="283"/>
      </w:pPr>
      <w:r w:rsidRPr="00491918">
        <w:t>Principal Investments and Other income include</w:t>
      </w:r>
      <w:r w:rsidRPr="00491918">
        <w:rPr>
          <w:lang w:val="en-GB"/>
        </w:rPr>
        <w:t>d</w:t>
      </w:r>
      <w:r w:rsidRPr="00491918">
        <w:t xml:space="preserve"> a </w:t>
      </w:r>
      <w:r w:rsidRPr="00491918">
        <w:rPr>
          <w:lang w:val="en-GB"/>
        </w:rPr>
        <w:t>fair value adjustment</w:t>
      </w:r>
      <w:r w:rsidRPr="00491918">
        <w:t xml:space="preserve"> of £259m in the second quarter as a result of greater certainty regarding the recoverability of certain assets not yet received from the 2008 US Lehman acquisition </w:t>
      </w:r>
    </w:p>
    <w:p w:rsidR="008A3FCB" w:rsidRPr="00491918" w:rsidRDefault="00016374" w:rsidP="00CD39D9">
      <w:pPr>
        <w:pStyle w:val="Level1Bullet-BarcRA7000"/>
        <w:numPr>
          <w:ilvl w:val="0"/>
          <w:numId w:val="55"/>
        </w:numPr>
        <w:tabs>
          <w:tab w:val="left" w:pos="720"/>
        </w:tabs>
        <w:rPr>
          <w:lang w:val="en-GB"/>
        </w:rPr>
      </w:pPr>
      <w:r w:rsidRPr="00491918">
        <w:rPr>
          <w:lang w:val="en-GB"/>
        </w:rPr>
        <w:t xml:space="preserve">Net credit impairment charges of £195m (Q113: release of £14m) reflect a </w:t>
      </w:r>
      <w:r w:rsidR="008A3FCB" w:rsidRPr="00491918">
        <w:rPr>
          <w:lang w:val="en-GB"/>
        </w:rPr>
        <w:t>charge against</w:t>
      </w:r>
      <w:r w:rsidRPr="00491918">
        <w:rPr>
          <w:lang w:val="en-GB"/>
        </w:rPr>
        <w:t xml:space="preserve"> a single name exposure, partially offset by a number of releases</w:t>
      </w:r>
    </w:p>
    <w:p w:rsidR="000D1659" w:rsidRPr="00491918" w:rsidRDefault="000D1659" w:rsidP="00CD39D9">
      <w:pPr>
        <w:pStyle w:val="Level1Bullet-BarcRA7001"/>
        <w:numPr>
          <w:ilvl w:val="0"/>
          <w:numId w:val="55"/>
        </w:numPr>
        <w:tabs>
          <w:tab w:val="left" w:pos="720"/>
        </w:tabs>
        <w:rPr>
          <w:lang w:val="en-GB"/>
        </w:rPr>
      </w:pPr>
      <w:r w:rsidRPr="00491918">
        <w:rPr>
          <w:lang w:val="en-GB"/>
        </w:rPr>
        <w:t>Operating expenses decreased 19% to £1,750m (Q113: £2,170m) due to lower performance cost and a reduction in costs to achieve Transform</w:t>
      </w:r>
    </w:p>
    <w:p w:rsidR="000D1659" w:rsidRPr="00491918" w:rsidRDefault="000D1659" w:rsidP="00CD39D9">
      <w:pPr>
        <w:pStyle w:val="Level1Bullet-BarcRA7001"/>
        <w:numPr>
          <w:ilvl w:val="0"/>
          <w:numId w:val="55"/>
        </w:numPr>
        <w:tabs>
          <w:tab w:val="left" w:pos="720"/>
        </w:tabs>
        <w:rPr>
          <w:lang w:val="en-GB"/>
        </w:rPr>
      </w:pPr>
      <w:r w:rsidRPr="00491918">
        <w:rPr>
          <w:lang w:val="en-GB"/>
        </w:rPr>
        <w:t>Profit before tax decreased 1</w:t>
      </w:r>
      <w:r w:rsidR="003A11E9" w:rsidRPr="00491918">
        <w:rPr>
          <w:lang w:val="en-GB"/>
        </w:rPr>
        <w:t>8</w:t>
      </w:r>
      <w:r w:rsidRPr="00491918">
        <w:rPr>
          <w:lang w:val="en-GB"/>
        </w:rPr>
        <w:t>% to £1,</w:t>
      </w:r>
      <w:r w:rsidR="003A11E9" w:rsidRPr="00491918">
        <w:rPr>
          <w:lang w:val="en-GB"/>
        </w:rPr>
        <w:t>074</w:t>
      </w:r>
      <w:r w:rsidRPr="00491918">
        <w:rPr>
          <w:lang w:val="en-GB"/>
        </w:rPr>
        <w:t xml:space="preserve">m </w:t>
      </w:r>
    </w:p>
    <w:p w:rsidR="000D1659" w:rsidRPr="00491918" w:rsidRDefault="000D1659" w:rsidP="008D6001">
      <w:pPr>
        <w:pStyle w:val="Level1Bullet-BarcRA7001"/>
        <w:tabs>
          <w:tab w:val="clear" w:pos="284"/>
          <w:tab w:val="left" w:pos="720"/>
        </w:tabs>
        <w:ind w:left="0" w:firstLine="0"/>
        <w:outlineLvl w:val="0"/>
        <w:rPr>
          <w:b/>
          <w:sz w:val="20"/>
          <w:lang w:val="en-US"/>
        </w:rPr>
      </w:pPr>
      <w:r w:rsidRPr="00491918">
        <w:rPr>
          <w:b/>
          <w:sz w:val="20"/>
          <w:lang w:val="en-US"/>
        </w:rPr>
        <w:t>Income Statement – Q213 compared to Q212</w:t>
      </w:r>
    </w:p>
    <w:p w:rsidR="000D1659" w:rsidRPr="00491918" w:rsidRDefault="000D1659" w:rsidP="00CD39D9">
      <w:pPr>
        <w:pStyle w:val="Level1Bullet-BarcRA7001"/>
        <w:numPr>
          <w:ilvl w:val="0"/>
          <w:numId w:val="55"/>
        </w:numPr>
        <w:tabs>
          <w:tab w:val="left" w:pos="720"/>
        </w:tabs>
        <w:rPr>
          <w:lang w:val="en-GB"/>
        </w:rPr>
      </w:pPr>
      <w:r w:rsidRPr="00491918">
        <w:rPr>
          <w:lang w:val="en-GB"/>
        </w:rPr>
        <w:t>Income of £3,010m is in line with Q212</w:t>
      </w:r>
    </w:p>
    <w:p w:rsidR="000D1659" w:rsidRPr="00491918" w:rsidRDefault="000D1659" w:rsidP="00CD39D9">
      <w:pPr>
        <w:pStyle w:val="Level2Bullet-BarcRA31"/>
        <w:numPr>
          <w:ilvl w:val="2"/>
          <w:numId w:val="55"/>
        </w:numPr>
        <w:tabs>
          <w:tab w:val="clear" w:pos="1401"/>
          <w:tab w:val="num" w:pos="567"/>
        </w:tabs>
        <w:ind w:left="567" w:hanging="283"/>
      </w:pPr>
      <w:r w:rsidRPr="00491918">
        <w:t xml:space="preserve">FICC income decreased </w:t>
      </w:r>
      <w:r w:rsidRPr="00491918">
        <w:rPr>
          <w:lang w:val="en-GB"/>
        </w:rPr>
        <w:t>22</w:t>
      </w:r>
      <w:r w:rsidRPr="00491918">
        <w:t>% to £1,</w:t>
      </w:r>
      <w:r w:rsidRPr="00491918">
        <w:rPr>
          <w:lang w:val="en-GB"/>
        </w:rPr>
        <w:t>378</w:t>
      </w:r>
      <w:r w:rsidRPr="00491918">
        <w:t>m, reflecting lower activity in Macro and Credit Products driven by a decrease in client flow market</w:t>
      </w:r>
      <w:r w:rsidRPr="00491918">
        <w:rPr>
          <w:lang w:val="en-GB"/>
        </w:rPr>
        <w:t xml:space="preserve"> declines</w:t>
      </w:r>
      <w:r w:rsidRPr="00491918">
        <w:t xml:space="preserve"> over concerns of </w:t>
      </w:r>
      <w:r w:rsidRPr="00491918">
        <w:rPr>
          <w:lang w:val="en-GB"/>
        </w:rPr>
        <w:t xml:space="preserve">central banks </w:t>
      </w:r>
      <w:r w:rsidRPr="00491918">
        <w:t xml:space="preserve">tapering </w:t>
      </w:r>
      <w:r w:rsidRPr="00491918">
        <w:rPr>
          <w:lang w:val="en-GB"/>
        </w:rPr>
        <w:t>of q</w:t>
      </w:r>
      <w:r w:rsidRPr="00491918">
        <w:t xml:space="preserve">uantitative </w:t>
      </w:r>
      <w:r w:rsidRPr="00491918">
        <w:rPr>
          <w:lang w:val="en-GB"/>
        </w:rPr>
        <w:t>e</w:t>
      </w:r>
      <w:r w:rsidRPr="00491918">
        <w:t>asing program</w:t>
      </w:r>
      <w:r w:rsidRPr="00491918">
        <w:rPr>
          <w:lang w:val="en-GB"/>
        </w:rPr>
        <w:t>mes.  There were also charges of £30m (Q212: gains of £56m) related to accelerated disposals of Exit Quadrant assets</w:t>
      </w:r>
    </w:p>
    <w:p w:rsidR="000D1659" w:rsidRPr="00491918" w:rsidRDefault="000D1659" w:rsidP="00CD39D9">
      <w:pPr>
        <w:pStyle w:val="Level2Bullet-BarcRA31"/>
        <w:numPr>
          <w:ilvl w:val="2"/>
          <w:numId w:val="55"/>
        </w:numPr>
        <w:tabs>
          <w:tab w:val="clear" w:pos="1401"/>
          <w:tab w:val="num" w:pos="567"/>
        </w:tabs>
        <w:ind w:left="567" w:hanging="283"/>
      </w:pPr>
      <w:r w:rsidRPr="00491918">
        <w:t>Equities and Prime Services income increased 3</w:t>
      </w:r>
      <w:r w:rsidRPr="00491918">
        <w:rPr>
          <w:lang w:val="en-GB"/>
        </w:rPr>
        <w:t>4</w:t>
      </w:r>
      <w:r w:rsidRPr="00491918">
        <w:t>% to £8</w:t>
      </w:r>
      <w:r w:rsidRPr="00491918">
        <w:rPr>
          <w:lang w:val="en-GB"/>
        </w:rPr>
        <w:t>25</w:t>
      </w:r>
      <w:r w:rsidRPr="00491918">
        <w:t xml:space="preserve">m driven by stronger performances in cash equities and equity derivatives as markets improved </w:t>
      </w:r>
      <w:r w:rsidRPr="00491918">
        <w:rPr>
          <w:lang w:val="en-GB"/>
        </w:rPr>
        <w:t>and trading volumes increased</w:t>
      </w:r>
    </w:p>
    <w:p w:rsidR="000D1659" w:rsidRPr="00491918" w:rsidRDefault="000D1659" w:rsidP="00CD39D9">
      <w:pPr>
        <w:pStyle w:val="Level2Bullet-BarcRA31"/>
        <w:numPr>
          <w:ilvl w:val="2"/>
          <w:numId w:val="55"/>
        </w:numPr>
        <w:tabs>
          <w:tab w:val="clear" w:pos="1401"/>
          <w:tab w:val="num" w:pos="567"/>
        </w:tabs>
        <w:ind w:left="567" w:hanging="283"/>
      </w:pPr>
      <w:r w:rsidRPr="00491918">
        <w:t xml:space="preserve">Investment Banking income increased </w:t>
      </w:r>
      <w:r w:rsidRPr="00491918">
        <w:rPr>
          <w:lang w:val="en-GB"/>
        </w:rPr>
        <w:t>4</w:t>
      </w:r>
      <w:r w:rsidRPr="00491918">
        <w:t>% to £5</w:t>
      </w:r>
      <w:r w:rsidRPr="00491918">
        <w:rPr>
          <w:lang w:val="en-GB"/>
        </w:rPr>
        <w:t>28</w:t>
      </w:r>
      <w:r w:rsidRPr="00491918">
        <w:t>m as increased deal issuance for equity and debt underwriting was offset by declines in financial advisory</w:t>
      </w:r>
      <w:r w:rsidRPr="00491918">
        <w:rPr>
          <w:lang w:val="en-GB"/>
        </w:rPr>
        <w:t xml:space="preserve"> market activity</w:t>
      </w:r>
    </w:p>
    <w:p w:rsidR="000D1659" w:rsidRPr="00491918" w:rsidRDefault="000D1659" w:rsidP="00CD39D9">
      <w:pPr>
        <w:pStyle w:val="Level1Bullet-BarcRA7001"/>
        <w:numPr>
          <w:ilvl w:val="0"/>
          <w:numId w:val="55"/>
        </w:numPr>
        <w:tabs>
          <w:tab w:val="left" w:pos="720"/>
        </w:tabs>
        <w:rPr>
          <w:lang w:val="en-GB"/>
        </w:rPr>
      </w:pPr>
      <w:r w:rsidRPr="00491918">
        <w:rPr>
          <w:lang w:val="en-GB"/>
        </w:rPr>
        <w:t>Operating expenses reduced 5% to £1,750m.  Q212 included a £78m charge relating to the setting of inter-bank offered rates</w:t>
      </w:r>
      <w:r w:rsidRPr="00491918">
        <w:t xml:space="preserve"> </w:t>
      </w:r>
    </w:p>
    <w:p w:rsidR="000D1659" w:rsidRPr="00491918" w:rsidRDefault="000D1659" w:rsidP="00CD39D9">
      <w:pPr>
        <w:pStyle w:val="Level1Bullet-BarcRA7001"/>
        <w:numPr>
          <w:ilvl w:val="0"/>
          <w:numId w:val="55"/>
        </w:numPr>
        <w:tabs>
          <w:tab w:val="left" w:pos="720"/>
        </w:tabs>
        <w:rPr>
          <w:lang w:val="en-GB"/>
        </w:rPr>
      </w:pPr>
      <w:r w:rsidRPr="00491918">
        <w:rPr>
          <w:lang w:val="en-GB"/>
        </w:rPr>
        <w:t xml:space="preserve">Profit before tax increased </w:t>
      </w:r>
      <w:r w:rsidR="00016374" w:rsidRPr="00491918">
        <w:rPr>
          <w:lang w:val="en-GB"/>
        </w:rPr>
        <w:t>1</w:t>
      </w:r>
      <w:r w:rsidRPr="00491918">
        <w:rPr>
          <w:lang w:val="en-GB"/>
        </w:rPr>
        <w:t>% to £1,</w:t>
      </w:r>
      <w:r w:rsidR="00124B97" w:rsidRPr="00491918">
        <w:rPr>
          <w:lang w:val="en-GB"/>
        </w:rPr>
        <w:t>0</w:t>
      </w:r>
      <w:r w:rsidR="003A11E9" w:rsidRPr="00491918">
        <w:rPr>
          <w:lang w:val="en-GB"/>
        </w:rPr>
        <w:t>7</w:t>
      </w:r>
      <w:r w:rsidR="00124B97" w:rsidRPr="00491918">
        <w:rPr>
          <w:lang w:val="en-GB"/>
        </w:rPr>
        <w:t>4m</w:t>
      </w:r>
    </w:p>
    <w:p w:rsidR="000D1659" w:rsidRPr="00491918" w:rsidRDefault="000D1659" w:rsidP="008D6001">
      <w:pPr>
        <w:pStyle w:val="Level1Bullet-BarcRA7001"/>
        <w:tabs>
          <w:tab w:val="clear" w:pos="284"/>
          <w:tab w:val="left" w:pos="720"/>
        </w:tabs>
        <w:ind w:left="0" w:firstLine="0"/>
        <w:outlineLvl w:val="0"/>
        <w:rPr>
          <w:b/>
          <w:color w:val="000000"/>
          <w:sz w:val="20"/>
        </w:rPr>
      </w:pPr>
      <w:r w:rsidRPr="00491918">
        <w:rPr>
          <w:b/>
          <w:sz w:val="20"/>
          <w:lang w:val="en-US"/>
        </w:rPr>
        <w:t xml:space="preserve">Balance Sheet – 30 </w:t>
      </w:r>
      <w:r w:rsidRPr="00491918">
        <w:rPr>
          <w:b/>
          <w:color w:val="000000"/>
          <w:sz w:val="20"/>
          <w:lang w:val="en-US"/>
        </w:rPr>
        <w:t>June 2013 compared to 31 December 2012</w:t>
      </w:r>
    </w:p>
    <w:p w:rsidR="000D1659" w:rsidRPr="00491918" w:rsidRDefault="000D1659" w:rsidP="00161467">
      <w:pPr>
        <w:pStyle w:val="Normal28"/>
        <w:numPr>
          <w:ilvl w:val="0"/>
          <w:numId w:val="58"/>
        </w:numPr>
        <w:jc w:val="both"/>
      </w:pPr>
      <w:r w:rsidRPr="00491918">
        <w:t>Assets contributing to adjusted gross leverage remained in line at £568.</w:t>
      </w:r>
      <w:r w:rsidR="00124B97" w:rsidRPr="00491918">
        <w:t>5</w:t>
      </w:r>
      <w:r w:rsidRPr="00491918">
        <w:t>bn reflecting increases in reverse repurchase agreements driven by higher matchbook trading, an increase in available for sale investments, offset by a reduction in cash and balances at central banks</w:t>
      </w:r>
    </w:p>
    <w:p w:rsidR="000D1659" w:rsidRPr="00491918" w:rsidRDefault="000D1659" w:rsidP="00CD39D9">
      <w:pPr>
        <w:pStyle w:val="Level1Bullet-BarcRA70000"/>
        <w:numPr>
          <w:ilvl w:val="0"/>
          <w:numId w:val="55"/>
        </w:numPr>
        <w:tabs>
          <w:tab w:val="left" w:pos="720"/>
        </w:tabs>
        <w:rPr>
          <w:lang w:val="en-GB"/>
        </w:rPr>
      </w:pPr>
      <w:r w:rsidRPr="00491918">
        <w:rPr>
          <w:szCs w:val="18"/>
          <w:lang w:val="en-GB"/>
        </w:rPr>
        <w:t>RWAs</w:t>
      </w:r>
      <w:r w:rsidRPr="00491918">
        <w:rPr>
          <w:szCs w:val="18"/>
        </w:rPr>
        <w:t xml:space="preserve"> decreased 5% to £168.8bn primarily driven by </w:t>
      </w:r>
      <w:r w:rsidRPr="00491918">
        <w:rPr>
          <w:szCs w:val="18"/>
          <w:lang w:val="en-ZA"/>
        </w:rPr>
        <w:t>a reduction of sovereign exposures in the trading book and a r</w:t>
      </w:r>
      <w:r w:rsidR="004E77D0" w:rsidRPr="00491918">
        <w:rPr>
          <w:szCs w:val="18"/>
          <w:lang w:val="en-ZA"/>
        </w:rPr>
        <w:t>eduction in Exit Quadrant RWAs</w:t>
      </w:r>
      <w:r w:rsidR="00D51F48" w:rsidRPr="00491918">
        <w:rPr>
          <w:szCs w:val="18"/>
          <w:lang w:val="en-ZA"/>
        </w:rPr>
        <w:t>, partially offset by foreign currency movements</w:t>
      </w:r>
    </w:p>
    <w:p w:rsidR="000D1659" w:rsidRPr="00491918" w:rsidRDefault="000D1659">
      <w:pPr>
        <w:rPr>
          <w:lang w:val="en-GB"/>
        </w:rPr>
        <w:sectPr w:rsidR="000D1659"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pPr>
              <w:rPr>
                <w:lang w:val="en-GB"/>
              </w:rPr>
            </w:pPr>
            <w:r w:rsidRPr="00491918">
              <w:rPr>
                <w:b/>
                <w:color w:val="000000"/>
                <w:sz w:val="24"/>
                <w:lang w:val="en-GB"/>
              </w:rPr>
              <w:t>Corporate Banking</w:t>
            </w:r>
            <w:r w:rsidRPr="00491918">
              <w:rPr>
                <w:b/>
                <w:color w:val="000000"/>
                <w:sz w:val="24"/>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vertAlign w:val="superscript"/>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r w:rsidRPr="00491918">
              <w:rPr>
                <w:color w:val="000000"/>
                <w:sz w:val="24"/>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vertAlign w:val="superscript"/>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24"/>
                <w:lang w:val="en-GB"/>
              </w:rPr>
              <w:t xml:space="preserve"> </w:t>
            </w:r>
          </w:p>
        </w:tc>
      </w:tr>
      <w:tr w:rsidR="009E6048" w:rsidRPr="00491918" w:rsidTr="000732DD">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lang w:val="en-GB"/>
              </w:rPr>
            </w:pPr>
            <w:r w:rsidRPr="00491918">
              <w:rPr>
                <w:color w:val="000000"/>
                <w:sz w:val="16"/>
                <w:lang w:val="en-GB"/>
              </w:rPr>
              <w:t xml:space="preserve"> </w:t>
            </w:r>
            <w:r w:rsidRPr="00491918">
              <w:rPr>
                <w:color w:val="000000"/>
                <w:sz w:val="16"/>
                <w:vertAlign w:val="superscript"/>
                <w:lang w:val="en-GB"/>
              </w:rPr>
              <w:t xml:space="preserve"> </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b/>
                <w:color w:val="000000"/>
                <w:sz w:val="16"/>
                <w:lang w:val="en-GB"/>
              </w:rPr>
              <w:t>Half Year Ended</w:t>
            </w:r>
          </w:p>
        </w:tc>
        <w:tc>
          <w:tcPr>
            <w:tcW w:w="1605"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Half Year Ended</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Half Year Ended</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Income Statement Information</w:t>
            </w:r>
            <w:r w:rsidRPr="00491918">
              <w:rPr>
                <w:b/>
                <w:color w:val="000000"/>
                <w:sz w:val="20"/>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0"/>
                <w:vertAlign w:val="superscript"/>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30.06.12</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YoY</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Change</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interest income</w:t>
            </w:r>
            <w:r w:rsidRPr="00491918">
              <w:rPr>
                <w:color w:val="000000"/>
                <w:sz w:val="16"/>
                <w:vertAlign w:val="superscript"/>
                <w:lang w:val="en-GB"/>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998 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941 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970 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fee and commission income</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506 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487 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511 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trading income</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49 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79 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(38)</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Net investment income</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(expense)/income</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14 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income</w:t>
            </w:r>
            <w:r w:rsidRPr="00491918">
              <w:rPr>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1,552 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1,463 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1,583 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(258)</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(454)</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(431)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Net operating income</w:t>
            </w:r>
            <w:r w:rsidRPr="00491918">
              <w:rPr>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1,294 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1,009 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1,152 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12 </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765"/>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Operating expenses (excluding provision for interest rate hedging products redress, costs to achieve Transform and UK bank levy)</w:t>
            </w:r>
            <w:r w:rsidRPr="00491918">
              <w:rPr>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(852)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(833)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(839)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Provision for interest rate hedging products redress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(650)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(400)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(450)</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(39)</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Operating expenses</w:t>
            </w:r>
            <w:r w:rsidRPr="00491918">
              <w:rPr>
                <w:b/>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(1,543)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(1,272)</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(1,289)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20 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net income /(expense)</w:t>
            </w:r>
            <w:r w:rsidRPr="00491918">
              <w:rPr>
                <w:color w:val="000000"/>
                <w:sz w:val="16"/>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Loss before tax</w:t>
            </w:r>
            <w:r w:rsidRPr="00491918">
              <w:rPr>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(248)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(251)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(139)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 xml:space="preserve"> </w:t>
            </w:r>
            <w:r w:rsidRPr="00491918">
              <w:rPr>
                <w:color w:val="000000"/>
                <w:sz w:val="20"/>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Adjusted profit before tax</w:t>
            </w:r>
            <w:r w:rsidRPr="00491918">
              <w:rPr>
                <w:b/>
                <w:color w:val="000000"/>
                <w:sz w:val="16"/>
                <w:vertAlign w:val="superscript"/>
                <w:lang w:val="en-GB"/>
              </w:rPr>
              <w:t>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402 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149 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29 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Adjusted attributable profit</w:t>
            </w:r>
            <w:r w:rsidRPr="00491918">
              <w:rPr>
                <w:color w:val="000000"/>
                <w:sz w:val="16"/>
                <w:vertAlign w:val="superscript"/>
                <w:lang w:val="en-GB"/>
              </w:rPr>
              <w:t>1,2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27</w:t>
            </w:r>
            <w:r w:rsidR="00016374" w:rsidRPr="00491918">
              <w:rPr>
                <w:color w:val="000000"/>
                <w:sz w:val="16"/>
                <w:lang w:val="en-GB"/>
              </w:rPr>
              <w:t>7</w:t>
            </w:r>
            <w:r w:rsidRPr="00491918">
              <w:rPr>
                <w:color w:val="000000"/>
                <w:sz w:val="16"/>
                <w:lang w:val="en-GB"/>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154 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w:t>
            </w:r>
            <w:r w:rsidR="00016374" w:rsidRPr="00491918">
              <w:rPr>
                <w:color w:val="000000"/>
                <w:sz w:val="16"/>
                <w:lang w:val="en-GB"/>
              </w:rPr>
              <w:t>0</w:t>
            </w:r>
            <w:r w:rsidRPr="00491918">
              <w:rPr>
                <w:color w:val="000000"/>
                <w:sz w:val="16"/>
                <w:lang w:val="en-GB"/>
              </w:rPr>
              <w:t>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20"/>
                <w:lang w:val="en-GB"/>
              </w:rPr>
              <w:t xml:space="preserve"> </w:t>
            </w:r>
            <w:r w:rsidRPr="00491918">
              <w:rPr>
                <w:b/>
                <w:color w:val="000000"/>
                <w:sz w:val="20"/>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20"/>
                <w:lang w:val="en-GB"/>
              </w:rPr>
              <w:t>Balance Sheet Information and Key Facts</w:t>
            </w:r>
            <w:r w:rsidRPr="00491918">
              <w:rPr>
                <w:b/>
                <w:color w:val="000000"/>
                <w:sz w:val="20"/>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Loans and advances to customers at amortised cost</w:t>
            </w:r>
            <w:r w:rsidRPr="00491918">
              <w:rPr>
                <w:color w:val="000000"/>
                <w:sz w:val="16"/>
                <w:vertAlign w:val="superscript"/>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£62.7bn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£64.3bn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£65.6bn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Loans and advances to customers at fair value</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£16.3bn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£17.6bn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£17.3bn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Customer deposits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£106.7bn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£99.6bn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£90.9bn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Total assets</w:t>
            </w:r>
            <w:r w:rsidRPr="00491918">
              <w:rPr>
                <w:color w:val="000000"/>
                <w:sz w:val="16"/>
                <w:vertAlign w:val="superscript"/>
                <w:lang w:val="en-GB"/>
              </w:rPr>
              <w:t>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£120.4bn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£87.8bn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£89.9bn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Risk weighted assets</w:t>
            </w:r>
            <w:r w:rsidRPr="00491918">
              <w:rPr>
                <w:color w:val="000000"/>
                <w:sz w:val="16"/>
                <w:vertAlign w:val="superscript"/>
                <w:lang w:val="en-GB"/>
              </w:rPr>
              <w:t>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£73.1bn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£70.9bn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£72.3bn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rFonts w:ascii="Arial" w:eastAsia="Arial" w:hAnsi="Arial" w:cs="Arial"/>
                <w:color w:val="000000"/>
                <w:sz w:val="20"/>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rFonts w:ascii="Arial" w:eastAsia="Arial" w:hAnsi="Arial" w:cs="Arial"/>
                <w:color w:val="000000"/>
                <w:sz w:val="20"/>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Number of employees (full time equivalent)</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13,000 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13,000 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13,300 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20"/>
                <w:lang w:val="en-GB"/>
              </w:rPr>
              <w:t xml:space="preserve"> </w:t>
            </w:r>
            <w:r w:rsidRPr="00491918">
              <w:rPr>
                <w:b/>
                <w:color w:val="000000"/>
                <w:sz w:val="20"/>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9E6048" w:rsidRPr="00491918" w:rsidTr="000732DD">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20"/>
                <w:lang w:val="en-GB"/>
              </w:rPr>
              <w:t xml:space="preserve"> </w:t>
            </w:r>
            <w:r w:rsidRPr="00491918">
              <w:rPr>
                <w:b/>
                <w:color w:val="000000"/>
                <w:sz w:val="20"/>
                <w:vertAlign w:val="superscript"/>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20"/>
                <w:vertAlign w:val="superscript"/>
                <w:lang w:val="en-GB"/>
              </w:rPr>
            </w:pPr>
            <w:r w:rsidRPr="00491918">
              <w:rPr>
                <w:b/>
                <w:color w:val="000000"/>
                <w:sz w:val="16"/>
                <w:lang w:val="en-GB"/>
              </w:rPr>
              <w:t>Adjusted</w:t>
            </w:r>
            <w:r w:rsidRPr="00491918">
              <w:rPr>
                <w:b/>
                <w:color w:val="000000"/>
                <w:sz w:val="16"/>
                <w:vertAlign w:val="superscript"/>
                <w:lang w:val="en-GB"/>
              </w:rPr>
              <w:t>1 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b/>
                <w:color w:val="000000"/>
                <w:sz w:val="16"/>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Statutory</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Performance Measures</w:t>
            </w:r>
            <w:r w:rsidRPr="00491918">
              <w:rPr>
                <w:b/>
                <w:color w:val="000000"/>
                <w:sz w:val="20"/>
                <w:vertAlign w:val="superscript"/>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lang w:val="en-GB"/>
              </w:rPr>
            </w:pPr>
            <w:r w:rsidRPr="00491918">
              <w:rPr>
                <w:b/>
                <w:color w:val="000000"/>
                <w:sz w:val="16"/>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r w:rsidRPr="00491918">
              <w:rPr>
                <w:b/>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30.06.12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Return on average equity</w:t>
            </w:r>
            <w:r w:rsidRPr="00491918">
              <w:rPr>
                <w:color w:val="000000"/>
                <w:sz w:val="16"/>
                <w:vertAlign w:val="superscript"/>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7.1%</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2.0%</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3.8%</w:t>
            </w:r>
            <w:r w:rsidRPr="00491918">
              <w:rPr>
                <w:color w:val="000000"/>
                <w:sz w:val="16"/>
                <w:vertAlign w:val="superscript"/>
                <w:lang w:val="en-GB"/>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(4.6%)</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(6.3%)</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(4.6%)</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Return on average risk weighted assets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0.9%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0.4%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0.5%</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(0.4%)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(0.5%)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(0.4%)</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Loan loss rate (bps)</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76 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124 </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124 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Cost: income ratio</w:t>
            </w:r>
            <w:r w:rsidRPr="00491918">
              <w:rPr>
                <w:color w:val="000000"/>
                <w:sz w:val="16"/>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58%</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60%</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53%</w:t>
            </w:r>
            <w:r w:rsidRPr="00491918">
              <w:rPr>
                <w:color w:val="000000"/>
                <w:sz w:val="16"/>
                <w:vertAlign w:val="superscript"/>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99%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81%</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bl>
    <w:p w:rsidR="000D1659" w:rsidRPr="00491918" w:rsidRDefault="000D1659">
      <w:pPr>
        <w:rPr>
          <w:lang w:val="en-GB"/>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0D1659">
      <w:pPr>
        <w:pStyle w:val="BodyText-BarcRA17"/>
        <w:spacing w:before="0" w:after="0"/>
        <w:rPr>
          <w:sz w:val="14"/>
          <w:szCs w:val="14"/>
        </w:rPr>
      </w:pPr>
    </w:p>
    <w:p w:rsidR="000D1659" w:rsidRPr="00491918" w:rsidRDefault="000D1659" w:rsidP="00CD39D9">
      <w:pPr>
        <w:pStyle w:val="HeadingLevel1-BarcRA14"/>
        <w:numPr>
          <w:ilvl w:val="0"/>
          <w:numId w:val="59"/>
        </w:numPr>
        <w:spacing w:after="0"/>
        <w:ind w:left="284" w:hanging="284"/>
        <w:rPr>
          <w:b w:val="0"/>
          <w:i/>
          <w:sz w:val="14"/>
          <w:lang w:val="en-GB"/>
        </w:rPr>
      </w:pPr>
      <w:r w:rsidRPr="00491918">
        <w:rPr>
          <w:b w:val="0"/>
          <w:i/>
          <w:sz w:val="14"/>
        </w:rPr>
        <w:t>Adjusted profit before tax</w:t>
      </w:r>
      <w:r w:rsidRPr="00491918">
        <w:rPr>
          <w:b w:val="0"/>
          <w:i/>
          <w:sz w:val="14"/>
          <w:lang w:val="en-GB"/>
        </w:rPr>
        <w:t>, adjusted attributable profit</w:t>
      </w:r>
      <w:r w:rsidRPr="00491918">
        <w:rPr>
          <w:b w:val="0"/>
          <w:i/>
          <w:sz w:val="14"/>
        </w:rPr>
        <w:t xml:space="preserve"> and adjusted performance measures exclude the </w:t>
      </w:r>
      <w:r w:rsidRPr="00491918">
        <w:rPr>
          <w:b w:val="0"/>
          <w:i/>
          <w:sz w:val="14"/>
          <w:lang w:val="en-GB"/>
        </w:rPr>
        <w:t xml:space="preserve">provision for interest rate hedging products redress </w:t>
      </w:r>
      <w:r w:rsidR="00B52C1E" w:rsidRPr="00491918">
        <w:rPr>
          <w:b w:val="0"/>
          <w:i/>
          <w:sz w:val="14"/>
          <w:lang w:val="en-GB"/>
        </w:rPr>
        <w:t>of £650m (H212: £400m, H1</w:t>
      </w:r>
      <w:r w:rsidRPr="00491918">
        <w:rPr>
          <w:b w:val="0"/>
          <w:i/>
          <w:sz w:val="14"/>
          <w:lang w:val="en-GB"/>
        </w:rPr>
        <w:t>12: £450m</w:t>
      </w:r>
      <w:r w:rsidRPr="00491918">
        <w:rPr>
          <w:b w:val="0"/>
          <w:i/>
          <w:sz w:val="14"/>
        </w:rPr>
        <w:t>).</w:t>
      </w:r>
    </w:p>
    <w:p w:rsidR="000D1659" w:rsidRPr="00491918" w:rsidRDefault="000D1659" w:rsidP="00CD39D9">
      <w:pPr>
        <w:pStyle w:val="HeadingLevel1-BarcRA14"/>
        <w:numPr>
          <w:ilvl w:val="0"/>
          <w:numId w:val="59"/>
        </w:numPr>
        <w:spacing w:after="0"/>
        <w:ind w:left="284" w:hanging="284"/>
        <w:rPr>
          <w:b w:val="0"/>
          <w:i/>
          <w:sz w:val="14"/>
        </w:rPr>
      </w:pPr>
      <w:r w:rsidRPr="00491918">
        <w:rPr>
          <w:b w:val="0"/>
          <w:i/>
          <w:sz w:val="14"/>
        </w:rPr>
        <w:t>A</w:t>
      </w:r>
      <w:r w:rsidRPr="00491918">
        <w:rPr>
          <w:b w:val="0"/>
          <w:i/>
          <w:sz w:val="14"/>
          <w:lang w:val="en-GB"/>
        </w:rPr>
        <w:t>djusted a</w:t>
      </w:r>
      <w:r w:rsidRPr="00491918">
        <w:rPr>
          <w:b w:val="0"/>
          <w:i/>
          <w:sz w:val="14"/>
        </w:rPr>
        <w:t>ttributable profit includes profit after tax and non-controlling interest</w:t>
      </w:r>
      <w:r w:rsidRPr="00491918">
        <w:rPr>
          <w:b w:val="0"/>
          <w:i/>
          <w:sz w:val="14"/>
          <w:lang w:val="en-GB"/>
        </w:rPr>
        <w:t>s.</w:t>
      </w:r>
    </w:p>
    <w:p w:rsidR="000D1659" w:rsidRPr="00491918" w:rsidRDefault="000D1659" w:rsidP="00CD39D9">
      <w:pPr>
        <w:pStyle w:val="HeadingLevel1-BarcRA14"/>
        <w:numPr>
          <w:ilvl w:val="0"/>
          <w:numId w:val="59"/>
        </w:numPr>
        <w:spacing w:after="0"/>
        <w:ind w:left="284" w:hanging="284"/>
        <w:rPr>
          <w:b w:val="0"/>
          <w:i/>
          <w:sz w:val="14"/>
          <w:lang w:val="en-GB"/>
        </w:rPr>
      </w:pPr>
      <w:r w:rsidRPr="00491918">
        <w:rPr>
          <w:b w:val="0"/>
          <w:i/>
          <w:sz w:val="14"/>
          <w:lang w:val="en-GB"/>
        </w:rPr>
        <w:t>2013 total assets and risk weighted assets include an allocation of liquidity pool assets previously held centrally.</w:t>
      </w:r>
    </w:p>
    <w:p w:rsidR="000D1659" w:rsidRPr="00491918" w:rsidRDefault="000D1659">
      <w:pPr>
        <w:spacing w:line="14" w:lineRule="exact"/>
      </w:pPr>
      <w:r w:rsidRPr="00491918">
        <w:br w:type="page"/>
      </w:r>
    </w:p>
    <w:tbl>
      <w:tblPr>
        <w:tblW w:w="0" w:type="auto"/>
        <w:tblLayout w:type="fixed"/>
        <w:tblLook w:val="0000" w:firstRow="0" w:lastRow="0" w:firstColumn="0" w:lastColumn="0" w:noHBand="0" w:noVBand="0"/>
      </w:tblPr>
      <w:tblGrid>
        <w:gridCol w:w="5370"/>
        <w:gridCol w:w="1080"/>
        <w:gridCol w:w="1080"/>
        <w:gridCol w:w="1080"/>
        <w:gridCol w:w="1080"/>
      </w:tblGrid>
      <w:tr w:rsidR="000D1659" w:rsidRPr="00491918">
        <w:trPr>
          <w:trHeight w:val="315"/>
        </w:trPr>
        <w:tc>
          <w:tcPr>
            <w:tcW w:w="5370"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 w:rsidRPr="00491918">
              <w:rPr>
                <w:b/>
                <w:color w:val="000000"/>
                <w:sz w:val="24"/>
              </w:rPr>
              <w:t>Corporate Banking</w:t>
            </w:r>
            <w:r w:rsidRPr="00491918">
              <w:rPr>
                <w:b/>
                <w:color w:val="000000"/>
                <w:sz w:val="24"/>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4"/>
                <w:vertAlign w:val="superscript"/>
              </w:rPr>
            </w:pPr>
            <w:r w:rsidRPr="00491918">
              <w:rPr>
                <w:color w:val="000000"/>
                <w:sz w:val="24"/>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rPr>
            </w:pPr>
            <w:r w:rsidRPr="00491918">
              <w:rPr>
                <w:color w:val="000000"/>
                <w:sz w:val="24"/>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rPr>
            </w:pPr>
            <w:r w:rsidRPr="00491918">
              <w:rPr>
                <w:color w:val="000000"/>
                <w:sz w:val="24"/>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4"/>
              </w:rPr>
            </w:pPr>
            <w:r w:rsidRPr="00491918">
              <w:rPr>
                <w:color w:val="000000"/>
                <w:sz w:val="24"/>
              </w:rPr>
              <w:t xml:space="preserve"> </w:t>
            </w:r>
          </w:p>
        </w:tc>
      </w:tr>
      <w:tr w:rsidR="000D1659" w:rsidRPr="00491918">
        <w:trPr>
          <w:trHeight w:hRule="exac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rPr>
            </w:pPr>
            <w:r w:rsidRPr="00491918">
              <w:rPr>
                <w:color w:val="000000"/>
                <w:sz w:val="16"/>
              </w:rPr>
              <w:t xml:space="preserve"> </w:t>
            </w:r>
            <w:r w:rsidRPr="00491918">
              <w:rPr>
                <w:b/>
                <w:color w:val="000000"/>
                <w:sz w:val="20"/>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trPr>
          <w:trHeight w:val="285"/>
        </w:trPr>
        <w:tc>
          <w:tcPr>
            <w:tcW w:w="53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20"/>
              </w:rPr>
              <w:t>Half Year Ended 30 June 2013</w:t>
            </w:r>
            <w:r w:rsidRPr="00491918">
              <w:rPr>
                <w:b/>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UK</w:t>
            </w:r>
          </w:p>
        </w:tc>
        <w:tc>
          <w:tcPr>
            <w:tcW w:w="10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Europe</w:t>
            </w:r>
          </w:p>
        </w:tc>
        <w:tc>
          <w:tcPr>
            <w:tcW w:w="10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RoW</w:t>
            </w:r>
          </w:p>
        </w:tc>
        <w:tc>
          <w:tcPr>
            <w:tcW w:w="10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Income Statement Information</w:t>
            </w:r>
            <w:r w:rsidRPr="00491918">
              <w:rPr>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r w:rsidR="000D1659" w:rsidRPr="00491918">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Income</w:t>
            </w:r>
            <w:r w:rsidRPr="00491918">
              <w:rPr>
                <w:color w:val="000000"/>
                <w:sz w:val="16"/>
                <w:vertAlign w:val="superscript"/>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44B98">
            <w:pPr>
              <w:jc w:val="right"/>
              <w:rPr>
                <w:color w:val="000000"/>
                <w:sz w:val="16"/>
                <w:vertAlign w:val="superscript"/>
              </w:rPr>
            </w:pPr>
            <w:r w:rsidRPr="00491918">
              <w:rPr>
                <w:color w:val="000000"/>
                <w:sz w:val="16"/>
              </w:rPr>
              <w:t>1,161</w:t>
            </w:r>
            <w:r w:rsidR="000D1659" w:rsidRPr="00491918">
              <w:rPr>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11</w:t>
            </w:r>
            <w:r w:rsidR="00844B98" w:rsidRPr="00491918">
              <w:rPr>
                <w:color w:val="000000"/>
                <w:sz w:val="16"/>
              </w:rPr>
              <w:t>7</w:t>
            </w:r>
            <w:r w:rsidRPr="00491918">
              <w:rPr>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27</w:t>
            </w:r>
            <w:r w:rsidR="00844B98" w:rsidRPr="00491918">
              <w:rPr>
                <w:color w:val="000000"/>
                <w:sz w:val="16"/>
              </w:rPr>
              <w:t>4</w:t>
            </w:r>
            <w:r w:rsidRPr="00491918">
              <w:rPr>
                <w:color w:val="000000"/>
                <w:sz w:val="16"/>
              </w:rPr>
              <w:t>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1,552 </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Credit impairment (charges)/releases and other provisions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(84)</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(180)</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(258)</w:t>
            </w:r>
          </w:p>
        </w:tc>
      </w:tr>
      <w:tr w:rsidR="000D1659" w:rsidRPr="00491918">
        <w:trPr>
          <w:trHeight w:val="51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Operating expenses (excluding provision for sale of interest rate hedging products redress and costs to achieve Transform)</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(5</w:t>
            </w:r>
            <w:r w:rsidR="00844B98" w:rsidRPr="00491918">
              <w:rPr>
                <w:color w:val="000000"/>
                <w:sz w:val="16"/>
              </w:rPr>
              <w:t>70</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(7</w:t>
            </w:r>
            <w:r w:rsidR="00844B98" w:rsidRPr="00491918">
              <w:rPr>
                <w:color w:val="000000"/>
                <w:sz w:val="16"/>
              </w:rPr>
              <w:t>8</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(204)</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(852)</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Provision for sale of interest rate hedging products redress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(650)</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(650)</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Costs to achieve Transform</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(37)</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(41)</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net income</w:t>
            </w:r>
            <w:r w:rsidRPr="00491918">
              <w:rPr>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844B98">
            <w:pPr>
              <w:jc w:val="right"/>
              <w:rPr>
                <w:color w:val="000000"/>
                <w:sz w:val="16"/>
                <w:vertAlign w:val="superscript"/>
              </w:rPr>
            </w:pPr>
            <w:r w:rsidRPr="00491918">
              <w:rPr>
                <w:color w:val="000000"/>
                <w:sz w:val="16"/>
              </w:rPr>
              <w:t>-</w:t>
            </w:r>
            <w:r w:rsidR="000D1659" w:rsidRPr="00491918">
              <w:rPr>
                <w:color w:val="000000"/>
                <w:sz w:val="16"/>
              </w:rPr>
              <w:t>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844B98">
            <w:pPr>
              <w:jc w:val="right"/>
              <w:rPr>
                <w:color w:val="000000"/>
                <w:sz w:val="16"/>
              </w:rPr>
            </w:pPr>
            <w:r w:rsidRPr="00491918">
              <w:rPr>
                <w:color w:val="000000"/>
                <w:sz w:val="16"/>
              </w:rPr>
              <w:t>1</w:t>
            </w:r>
            <w:r w:rsidR="000D1659" w:rsidRPr="00491918">
              <w:rPr>
                <w:color w:val="000000"/>
                <w:sz w:val="16"/>
              </w:rPr>
              <w:t>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1 </w:t>
            </w:r>
          </w:p>
        </w:tc>
      </w:tr>
      <w:tr w:rsidR="000D1659" w:rsidRPr="00491918" w:rsidTr="003D20E2">
        <w:trPr>
          <w:trHeight w:val="240"/>
        </w:trPr>
        <w:tc>
          <w:tcPr>
            <w:tcW w:w="537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(Loss)/profit before tax</w:t>
            </w:r>
            <w:r w:rsidRPr="00491918">
              <w:rPr>
                <w:b/>
                <w:color w:val="000000"/>
                <w:sz w:val="16"/>
                <w:vertAlign w:val="superscript"/>
              </w:rPr>
              <w:t xml:space="preserve"> </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(147)</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(178)</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77 </w:t>
            </w:r>
          </w:p>
        </w:tc>
        <w:tc>
          <w:tcPr>
            <w:tcW w:w="1080" w:type="dxa"/>
            <w:tcBorders>
              <w:top w:val="single" w:sz="6" w:space="0" w:color="969696"/>
              <w:left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(248)</w:t>
            </w:r>
          </w:p>
        </w:tc>
      </w:tr>
      <w:tr w:rsidR="003D20E2" w:rsidRPr="00491918" w:rsidTr="003D20E2">
        <w:trPr>
          <w:trHeight w:hRule="exact" w:val="57"/>
        </w:trPr>
        <w:tc>
          <w:tcPr>
            <w:tcW w:w="537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r>
      <w:tr w:rsidR="000D1659" w:rsidRPr="00491918" w:rsidTr="003D20E2">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Adjusted profit/(loss) before tax</w:t>
            </w:r>
            <w:r w:rsidRPr="00491918">
              <w:rPr>
                <w:b/>
                <w:color w:val="000000"/>
                <w:sz w:val="16"/>
                <w:vertAlign w:val="superscript"/>
              </w:rPr>
              <w:t>1 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503 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(178)</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77 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402 </w:t>
            </w:r>
          </w:p>
        </w:tc>
      </w:tr>
      <w:tr w:rsidR="000D1659" w:rsidRPr="00491918">
        <w:trPr>
          <w:trHeight w:hRule="exact" w:val="105"/>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Balance Sheet Information</w:t>
            </w:r>
            <w:r w:rsidRPr="00491918">
              <w:rPr>
                <w:b/>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Loans and advances to customers at amortised cost</w:t>
            </w:r>
            <w:r w:rsidRPr="00491918">
              <w:rPr>
                <w:color w:val="000000"/>
                <w:sz w:val="16"/>
                <w:vertAlign w:val="superscript"/>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£50.1bn</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£6.1bn</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£6.5bn</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£62.7bn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Loans and advances to customers at fair value</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£16.3bn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£16.3bn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deposits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£84.4bn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£9.3bn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£13.0bn</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£106.7bn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Risk weighted assets</w:t>
            </w:r>
            <w:r w:rsidRPr="00491918">
              <w:rPr>
                <w:color w:val="000000"/>
                <w:sz w:val="16"/>
                <w:vertAlign w:val="superscript"/>
              </w:rPr>
              <w:t>2 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£54.4bn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£10.0bn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£8.7bn</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£73.1bn</w:t>
            </w:r>
          </w:p>
        </w:tc>
      </w:tr>
      <w:tr w:rsidR="000D1659" w:rsidRPr="00491918">
        <w:trPr>
          <w:trHeight w:hRule="exact" w:val="135"/>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 xml:space="preserve"> </w:t>
            </w:r>
            <w:r w:rsidRPr="00491918">
              <w:rPr>
                <w:b/>
                <w:color w:val="000000"/>
                <w:sz w:val="20"/>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20"/>
              </w:rPr>
            </w:pPr>
            <w:r w:rsidRPr="00491918">
              <w:rPr>
                <w:b/>
                <w:color w:val="000000"/>
                <w:sz w:val="20"/>
              </w:rPr>
              <w:t>Half Year Ended 31 December 2012</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Income Statement Information</w:t>
            </w:r>
            <w:r w:rsidRPr="00491918">
              <w:rPr>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Income</w:t>
            </w:r>
            <w:r w:rsidRPr="00491918">
              <w:rPr>
                <w:color w:val="000000"/>
                <w:sz w:val="16"/>
                <w:vertAlign w:val="superscript"/>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1,08</w:t>
            </w:r>
            <w:r w:rsidR="00844B98" w:rsidRPr="00491918">
              <w:rPr>
                <w:color w:val="000000"/>
                <w:sz w:val="16"/>
              </w:rPr>
              <w:t>5</w:t>
            </w:r>
            <w:r w:rsidRPr="00491918">
              <w:rPr>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13</w:t>
            </w:r>
            <w:r w:rsidR="00844B98" w:rsidRPr="00491918">
              <w:rPr>
                <w:color w:val="000000"/>
                <w:sz w:val="16"/>
              </w:rPr>
              <w:t>2</w:t>
            </w:r>
            <w:r w:rsidRPr="00491918">
              <w:rPr>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24</w:t>
            </w:r>
            <w:r w:rsidR="00844B98" w:rsidRPr="00491918">
              <w:rPr>
                <w:color w:val="000000"/>
                <w:sz w:val="16"/>
              </w:rPr>
              <w:t>6</w:t>
            </w:r>
            <w:r w:rsidRPr="00491918">
              <w:rPr>
                <w:color w:val="000000"/>
                <w:sz w:val="16"/>
              </w:rPr>
              <w:t>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1,463 </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Credit impairment charges and other provisions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(13</w:t>
            </w:r>
            <w:r w:rsidR="00844B98" w:rsidRPr="00491918">
              <w:rPr>
                <w:color w:val="000000"/>
                <w:sz w:val="16"/>
              </w:rPr>
              <w:t>9</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(265)</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(5</w:t>
            </w:r>
            <w:r w:rsidR="00844B98" w:rsidRPr="00491918">
              <w:rPr>
                <w:color w:val="000000"/>
                <w:sz w:val="16"/>
              </w:rPr>
              <w:t>0</w:t>
            </w:r>
            <w:r w:rsidRPr="00491918">
              <w:rPr>
                <w:color w:val="000000"/>
                <w:sz w:val="16"/>
              </w:rPr>
              <w:t>)</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(454)</w:t>
            </w:r>
          </w:p>
        </w:tc>
      </w:tr>
      <w:tr w:rsidR="000D1659" w:rsidRPr="00491918">
        <w:trPr>
          <w:trHeight w:val="51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Operating expenses (excluding provision for sale of interest rate hedging products redress and UK bank levy)</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(53</w:t>
            </w:r>
            <w:r w:rsidR="00844B98" w:rsidRPr="00491918">
              <w:rPr>
                <w:color w:val="000000"/>
                <w:sz w:val="16"/>
              </w:rPr>
              <w:t>1</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(8</w:t>
            </w:r>
            <w:r w:rsidR="00844B98" w:rsidRPr="00491918">
              <w:rPr>
                <w:color w:val="000000"/>
                <w:sz w:val="16"/>
              </w:rPr>
              <w:t>5</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(217)</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(833)</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Provision for sale of interest rate hedging products redress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(400)</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(400)</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bank levy</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(39)</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(39)</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net income</w:t>
            </w:r>
            <w:r w:rsidRPr="00491918">
              <w:rPr>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12 </w:t>
            </w:r>
          </w:p>
        </w:tc>
      </w:tr>
      <w:tr w:rsidR="000D1659" w:rsidRPr="00491918" w:rsidTr="003D20E2">
        <w:trPr>
          <w:trHeight w:val="240"/>
        </w:trPr>
        <w:tc>
          <w:tcPr>
            <w:tcW w:w="537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Loss before tax</w:t>
            </w:r>
            <w:r w:rsidRPr="00491918">
              <w:rPr>
                <w:b/>
                <w:color w:val="000000"/>
                <w:sz w:val="16"/>
                <w:vertAlign w:val="superscript"/>
              </w:rPr>
              <w:t xml:space="preserve"> </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vertAlign w:val="superscript"/>
              </w:rPr>
            </w:pPr>
            <w:r w:rsidRPr="00491918">
              <w:rPr>
                <w:b/>
                <w:color w:val="000000"/>
                <w:sz w:val="16"/>
              </w:rPr>
              <w:t>(2</w:t>
            </w:r>
            <w:r w:rsidR="00844B98" w:rsidRPr="00491918">
              <w:rPr>
                <w:b/>
                <w:color w:val="000000"/>
                <w:sz w:val="16"/>
              </w:rPr>
              <w:t>0</w:t>
            </w:r>
            <w:r w:rsidRPr="00491918">
              <w:rPr>
                <w:b/>
                <w:color w:val="000000"/>
                <w:sz w:val="16"/>
              </w:rPr>
              <w:t>)</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rPr>
            </w:pPr>
            <w:r w:rsidRPr="00491918">
              <w:rPr>
                <w:b/>
                <w:color w:val="000000"/>
                <w:sz w:val="16"/>
              </w:rPr>
              <w:t>(21</w:t>
            </w:r>
            <w:r w:rsidR="00844B98" w:rsidRPr="00491918">
              <w:rPr>
                <w:b/>
                <w:color w:val="000000"/>
                <w:sz w:val="16"/>
              </w:rPr>
              <w:t>8</w:t>
            </w:r>
            <w:r w:rsidRPr="00491918">
              <w:rPr>
                <w:b/>
                <w:color w:val="000000"/>
                <w:sz w:val="16"/>
              </w:rPr>
              <w:t>)</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rPr>
            </w:pPr>
            <w:r w:rsidRPr="00491918">
              <w:rPr>
                <w:b/>
                <w:color w:val="000000"/>
                <w:sz w:val="16"/>
              </w:rPr>
              <w:t>(1</w:t>
            </w:r>
            <w:r w:rsidR="00844B98" w:rsidRPr="00491918">
              <w:rPr>
                <w:b/>
                <w:color w:val="000000"/>
                <w:sz w:val="16"/>
              </w:rPr>
              <w:t>3</w:t>
            </w:r>
            <w:r w:rsidRPr="00491918">
              <w:rPr>
                <w:b/>
                <w:color w:val="000000"/>
                <w:sz w:val="16"/>
              </w:rPr>
              <w:t>)</w:t>
            </w:r>
          </w:p>
        </w:tc>
        <w:tc>
          <w:tcPr>
            <w:tcW w:w="1080" w:type="dxa"/>
            <w:tcBorders>
              <w:top w:val="single" w:sz="6" w:space="0" w:color="969696"/>
              <w:left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(251)</w:t>
            </w:r>
          </w:p>
        </w:tc>
      </w:tr>
      <w:tr w:rsidR="003D20E2" w:rsidRPr="00491918" w:rsidTr="003D20E2">
        <w:trPr>
          <w:trHeight w:hRule="exact" w:val="57"/>
        </w:trPr>
        <w:tc>
          <w:tcPr>
            <w:tcW w:w="537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c>
          <w:tcPr>
            <w:tcW w:w="1080" w:type="dxa"/>
            <w:tcBorders>
              <w:left w:val="nil"/>
              <w:bottom w:val="single" w:sz="6" w:space="0" w:color="969696"/>
              <w:right w:val="nil"/>
            </w:tcBorders>
            <w:shd w:val="clear" w:color="auto" w:fill="FFFFFF"/>
            <w:tcMar>
              <w:left w:w="36" w:type="dxa"/>
              <w:right w:w="36" w:type="dxa"/>
            </w:tcMar>
            <w:vAlign w:val="center"/>
          </w:tcPr>
          <w:p w:rsidR="003D20E2" w:rsidRPr="00491918" w:rsidRDefault="003D20E2">
            <w:pPr>
              <w:jc w:val="right"/>
              <w:rPr>
                <w:b/>
                <w:color w:val="000000"/>
                <w:sz w:val="16"/>
              </w:rPr>
            </w:pPr>
          </w:p>
        </w:tc>
      </w:tr>
      <w:tr w:rsidR="000D1659" w:rsidRPr="00491918" w:rsidTr="003D20E2">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Adjusted profit/(loss) before tax</w:t>
            </w:r>
            <w:r w:rsidRPr="00491918">
              <w:rPr>
                <w:b/>
                <w:color w:val="000000"/>
                <w:sz w:val="16"/>
                <w:vertAlign w:val="superscript"/>
              </w:rPr>
              <w:t>1 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44B98" w:rsidP="00844B98">
            <w:pPr>
              <w:jc w:val="right"/>
              <w:rPr>
                <w:b/>
                <w:color w:val="000000"/>
                <w:sz w:val="16"/>
                <w:vertAlign w:val="superscript"/>
              </w:rPr>
            </w:pPr>
            <w:r w:rsidRPr="00491918">
              <w:rPr>
                <w:b/>
                <w:color w:val="000000"/>
                <w:sz w:val="16"/>
              </w:rPr>
              <w:t>380</w:t>
            </w:r>
            <w:r w:rsidR="000D1659" w:rsidRPr="00491918">
              <w:rPr>
                <w:b/>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4E77D0" w:rsidP="00844B98">
            <w:pPr>
              <w:jc w:val="right"/>
              <w:rPr>
                <w:b/>
                <w:color w:val="000000"/>
                <w:sz w:val="16"/>
              </w:rPr>
            </w:pPr>
            <w:r w:rsidRPr="00491918">
              <w:rPr>
                <w:b/>
                <w:color w:val="000000"/>
                <w:sz w:val="16"/>
              </w:rPr>
              <w:t>(21</w:t>
            </w:r>
            <w:r w:rsidR="00844B98" w:rsidRPr="00491918">
              <w:rPr>
                <w:b/>
                <w:color w:val="000000"/>
                <w:sz w:val="16"/>
              </w:rPr>
              <w:t>8</w:t>
            </w:r>
            <w:r w:rsidR="000D1659" w:rsidRPr="00491918">
              <w:rPr>
                <w:b/>
                <w:color w:val="000000"/>
                <w:sz w:val="16"/>
              </w:rPr>
              <w:t>)</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44B98">
            <w:pPr>
              <w:jc w:val="right"/>
              <w:rPr>
                <w:b/>
                <w:color w:val="000000"/>
                <w:sz w:val="16"/>
              </w:rPr>
            </w:pPr>
            <w:r w:rsidRPr="00491918">
              <w:rPr>
                <w:b/>
                <w:color w:val="000000"/>
                <w:sz w:val="16"/>
              </w:rPr>
              <w:t>(13</w:t>
            </w:r>
            <w:r w:rsidR="000D1659" w:rsidRPr="00491918">
              <w:rPr>
                <w:b/>
                <w:color w:val="000000"/>
                <w:sz w:val="16"/>
              </w:rPr>
              <w:t>)</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149 </w:t>
            </w:r>
          </w:p>
        </w:tc>
      </w:tr>
      <w:tr w:rsidR="000D1659" w:rsidRPr="00491918">
        <w:trPr>
          <w:trHeight w:hRule="exact" w:val="12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Balance Sheet Information</w:t>
            </w:r>
            <w:r w:rsidRPr="00491918">
              <w:rPr>
                <w:b/>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Loans and advances to customers at amortised cost</w:t>
            </w:r>
            <w:r w:rsidRPr="00491918">
              <w:rPr>
                <w:color w:val="000000"/>
                <w:sz w:val="16"/>
                <w:vertAlign w:val="superscript"/>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£51.5bn</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£6.5bn</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£6.3bn</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£64.3bn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Loans and advances to customers at fair value</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£17.6bn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£17.6bn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deposits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£79.0bn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£8.2bn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£12.4bn</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£99.6bn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Risk weighted assets</w:t>
            </w:r>
            <w:r w:rsidRPr="00491918">
              <w:rPr>
                <w:color w:val="000000"/>
                <w:sz w:val="16"/>
                <w:vertAlign w:val="superscript"/>
              </w:rPr>
              <w:t>2 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844B98">
            <w:pPr>
              <w:jc w:val="right"/>
              <w:rPr>
                <w:color w:val="000000"/>
                <w:sz w:val="16"/>
                <w:vertAlign w:val="superscript"/>
              </w:rPr>
            </w:pPr>
            <w:r w:rsidRPr="00491918">
              <w:rPr>
                <w:color w:val="000000"/>
                <w:sz w:val="16"/>
              </w:rPr>
              <w:t>£49.9</w:t>
            </w:r>
            <w:r w:rsidR="000D1659" w:rsidRPr="00491918">
              <w:rPr>
                <w:color w:val="000000"/>
                <w:sz w:val="16"/>
              </w:rPr>
              <w:t>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£10.5bn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£10.</w:t>
            </w:r>
            <w:r w:rsidR="00844B98" w:rsidRPr="00491918">
              <w:rPr>
                <w:color w:val="000000"/>
                <w:sz w:val="16"/>
              </w:rPr>
              <w:t>5</w:t>
            </w:r>
            <w:r w:rsidRPr="00491918">
              <w:rPr>
                <w:color w:val="000000"/>
                <w:sz w:val="16"/>
              </w:rPr>
              <w:t>bn</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£70.9bn</w:t>
            </w:r>
          </w:p>
        </w:tc>
      </w:tr>
      <w:tr w:rsidR="000D1659" w:rsidRPr="00491918">
        <w:trPr>
          <w:trHeight w:hRule="exact" w:val="12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 xml:space="preserve"> </w:t>
            </w:r>
            <w:r w:rsidRPr="00491918">
              <w:rPr>
                <w:b/>
                <w:color w:val="000000"/>
                <w:sz w:val="20"/>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20"/>
              </w:rPr>
            </w:pPr>
            <w:r w:rsidRPr="00491918">
              <w:rPr>
                <w:b/>
                <w:color w:val="000000"/>
                <w:sz w:val="20"/>
              </w:rPr>
              <w:t>Half Year Ended 30 June 2012</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Income Statement Information</w:t>
            </w:r>
            <w:r w:rsidRPr="00491918">
              <w:rPr>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Income</w:t>
            </w:r>
            <w:r w:rsidRPr="00491918">
              <w:rPr>
                <w:color w:val="000000"/>
                <w:sz w:val="16"/>
                <w:vertAlign w:val="superscript"/>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1,13</w:t>
            </w:r>
            <w:r w:rsidR="00844B98" w:rsidRPr="00491918">
              <w:rPr>
                <w:color w:val="000000"/>
                <w:sz w:val="16"/>
              </w:rPr>
              <w:t>6</w:t>
            </w:r>
            <w:r w:rsidRPr="00491918">
              <w:rPr>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44B98">
            <w:pPr>
              <w:jc w:val="right"/>
              <w:rPr>
                <w:color w:val="000000"/>
                <w:sz w:val="16"/>
              </w:rPr>
            </w:pPr>
            <w:r w:rsidRPr="00491918">
              <w:rPr>
                <w:color w:val="000000"/>
                <w:sz w:val="16"/>
              </w:rPr>
              <w:t>169</w:t>
            </w:r>
            <w:r w:rsidR="000D1659" w:rsidRPr="00491918">
              <w:rPr>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27</w:t>
            </w:r>
            <w:r w:rsidR="00844B98" w:rsidRPr="00491918">
              <w:rPr>
                <w:color w:val="000000"/>
                <w:sz w:val="16"/>
              </w:rPr>
              <w:t>8</w:t>
            </w:r>
            <w:r w:rsidRPr="00491918">
              <w:rPr>
                <w:color w:val="000000"/>
                <w:sz w:val="16"/>
              </w:rPr>
              <w:t>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1,583 </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Credit impairment charges and other provisions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(14</w:t>
            </w:r>
            <w:r w:rsidR="00844B98" w:rsidRPr="00491918">
              <w:rPr>
                <w:color w:val="000000"/>
                <w:sz w:val="16"/>
              </w:rPr>
              <w:t>5</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(277)</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w:t>
            </w:r>
            <w:r w:rsidR="00844B98" w:rsidRPr="00491918">
              <w:rPr>
                <w:color w:val="000000"/>
                <w:sz w:val="16"/>
              </w:rPr>
              <w:t>9</w:t>
            </w:r>
            <w:r w:rsidRPr="00491918">
              <w:rPr>
                <w:color w:val="000000"/>
                <w:sz w:val="16"/>
              </w:rPr>
              <w:t>)</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(431)</w:t>
            </w:r>
          </w:p>
        </w:tc>
      </w:tr>
      <w:tr w:rsidR="000D1659" w:rsidRPr="00491918">
        <w:trPr>
          <w:trHeight w:val="51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Operating expenses (excluding provision for sale of interest rate hedging products redress)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(53</w:t>
            </w:r>
            <w:r w:rsidR="00844B98" w:rsidRPr="00491918">
              <w:rPr>
                <w:color w:val="000000"/>
                <w:sz w:val="16"/>
              </w:rPr>
              <w:t>8</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(7</w:t>
            </w:r>
            <w:r w:rsidR="00844B98" w:rsidRPr="00491918">
              <w:rPr>
                <w:color w:val="000000"/>
                <w:sz w:val="16"/>
              </w:rPr>
              <w:t>8</w:t>
            </w:r>
            <w:r w:rsidRPr="00491918">
              <w:rPr>
                <w:color w:val="000000"/>
                <w:sz w:val="16"/>
              </w:rPr>
              <w:t>)</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(223)</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(839)</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Provision for sale of interest rate hedging products redress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(450)</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(450)</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net expense</w:t>
            </w:r>
            <w:r w:rsidRPr="00491918">
              <w:rPr>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w:t>
            </w:r>
          </w:p>
        </w:tc>
      </w:tr>
      <w:tr w:rsidR="000D1659" w:rsidRPr="00491918" w:rsidTr="003D20E2">
        <w:trPr>
          <w:trHeight w:val="240"/>
        </w:trPr>
        <w:tc>
          <w:tcPr>
            <w:tcW w:w="537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(Loss)/profit before tax</w:t>
            </w:r>
            <w:r w:rsidRPr="00491918">
              <w:rPr>
                <w:b/>
                <w:color w:val="000000"/>
                <w:sz w:val="16"/>
                <w:vertAlign w:val="superscript"/>
              </w:rPr>
              <w:t xml:space="preserve"> </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844B98">
            <w:pPr>
              <w:jc w:val="right"/>
              <w:rPr>
                <w:b/>
                <w:color w:val="000000"/>
                <w:sz w:val="16"/>
                <w:vertAlign w:val="superscript"/>
              </w:rPr>
            </w:pPr>
            <w:r w:rsidRPr="00491918">
              <w:rPr>
                <w:b/>
                <w:color w:val="000000"/>
                <w:sz w:val="16"/>
              </w:rPr>
              <w:t>1</w:t>
            </w:r>
            <w:r w:rsidR="000D1659" w:rsidRPr="00491918">
              <w:rPr>
                <w:b/>
                <w:color w:val="000000"/>
                <w:sz w:val="16"/>
              </w:rPr>
              <w:t> </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rPr>
            </w:pPr>
            <w:r w:rsidRPr="00491918">
              <w:rPr>
                <w:b/>
                <w:color w:val="000000"/>
                <w:sz w:val="16"/>
              </w:rPr>
              <w:t>(18</w:t>
            </w:r>
            <w:r w:rsidR="00844B98" w:rsidRPr="00491918">
              <w:rPr>
                <w:b/>
                <w:color w:val="000000"/>
                <w:sz w:val="16"/>
              </w:rPr>
              <w:t>6</w:t>
            </w:r>
            <w:r w:rsidRPr="00491918">
              <w:rPr>
                <w:b/>
                <w:color w:val="000000"/>
                <w:sz w:val="16"/>
              </w:rPr>
              <w:t>)</w:t>
            </w:r>
          </w:p>
        </w:tc>
        <w:tc>
          <w:tcPr>
            <w:tcW w:w="1080" w:type="dxa"/>
            <w:tcBorders>
              <w:top w:val="single" w:sz="6" w:space="0" w:color="969696"/>
              <w:left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46 </w:t>
            </w:r>
          </w:p>
        </w:tc>
        <w:tc>
          <w:tcPr>
            <w:tcW w:w="1080" w:type="dxa"/>
            <w:tcBorders>
              <w:top w:val="single" w:sz="6" w:space="0" w:color="969696"/>
              <w:left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(139)</w:t>
            </w:r>
          </w:p>
        </w:tc>
      </w:tr>
      <w:tr w:rsidR="000B4E89" w:rsidRPr="00491918" w:rsidTr="003D20E2">
        <w:trPr>
          <w:trHeight w:hRule="exact" w:val="57"/>
        </w:trPr>
        <w:tc>
          <w:tcPr>
            <w:tcW w:w="5370" w:type="dxa"/>
            <w:tcBorders>
              <w:left w:val="nil"/>
              <w:bottom w:val="nil"/>
              <w:right w:val="nil"/>
            </w:tcBorders>
            <w:shd w:val="clear" w:color="auto" w:fill="FFFFFF"/>
            <w:tcMar>
              <w:left w:w="36" w:type="dxa"/>
              <w:right w:w="36" w:type="dxa"/>
            </w:tcMar>
            <w:vAlign w:val="center"/>
          </w:tcPr>
          <w:p w:rsidR="000B4E89" w:rsidRPr="00491918" w:rsidRDefault="000B4E89">
            <w:pPr>
              <w:rPr>
                <w:b/>
                <w:color w:val="000000"/>
                <w:szCs w:val="2"/>
              </w:rPr>
            </w:pPr>
          </w:p>
        </w:tc>
        <w:tc>
          <w:tcPr>
            <w:tcW w:w="1080" w:type="dxa"/>
            <w:tcBorders>
              <w:left w:val="nil"/>
              <w:bottom w:val="single" w:sz="6" w:space="0" w:color="969696"/>
              <w:right w:val="nil"/>
            </w:tcBorders>
            <w:shd w:val="clear" w:color="auto" w:fill="FFFFFF"/>
            <w:tcMar>
              <w:left w:w="36" w:type="dxa"/>
              <w:right w:w="36" w:type="dxa"/>
            </w:tcMar>
            <w:vAlign w:val="center"/>
          </w:tcPr>
          <w:p w:rsidR="000B4E89" w:rsidRPr="00491918" w:rsidRDefault="000B4E89">
            <w:pPr>
              <w:jc w:val="right"/>
              <w:rPr>
                <w:b/>
                <w:color w:val="000000"/>
                <w:szCs w:val="2"/>
              </w:rPr>
            </w:pPr>
          </w:p>
        </w:tc>
        <w:tc>
          <w:tcPr>
            <w:tcW w:w="1080" w:type="dxa"/>
            <w:tcBorders>
              <w:left w:val="nil"/>
              <w:bottom w:val="single" w:sz="6" w:space="0" w:color="969696"/>
              <w:right w:val="nil"/>
            </w:tcBorders>
            <w:shd w:val="clear" w:color="auto" w:fill="FFFFFF"/>
            <w:tcMar>
              <w:left w:w="36" w:type="dxa"/>
              <w:right w:w="36" w:type="dxa"/>
            </w:tcMar>
            <w:vAlign w:val="center"/>
          </w:tcPr>
          <w:p w:rsidR="000B4E89" w:rsidRPr="00491918" w:rsidRDefault="000B4E89">
            <w:pPr>
              <w:jc w:val="right"/>
              <w:rPr>
                <w:b/>
                <w:color w:val="000000"/>
                <w:szCs w:val="2"/>
              </w:rPr>
            </w:pPr>
          </w:p>
        </w:tc>
        <w:tc>
          <w:tcPr>
            <w:tcW w:w="1080" w:type="dxa"/>
            <w:tcBorders>
              <w:left w:val="nil"/>
              <w:bottom w:val="single" w:sz="6" w:space="0" w:color="969696"/>
              <w:right w:val="nil"/>
            </w:tcBorders>
            <w:shd w:val="clear" w:color="auto" w:fill="FFFFFF"/>
            <w:tcMar>
              <w:left w:w="36" w:type="dxa"/>
              <w:right w:w="36" w:type="dxa"/>
            </w:tcMar>
            <w:vAlign w:val="center"/>
          </w:tcPr>
          <w:p w:rsidR="000B4E89" w:rsidRPr="00491918" w:rsidRDefault="000B4E89">
            <w:pPr>
              <w:jc w:val="right"/>
              <w:rPr>
                <w:b/>
                <w:color w:val="000000"/>
                <w:szCs w:val="2"/>
              </w:rPr>
            </w:pPr>
          </w:p>
        </w:tc>
        <w:tc>
          <w:tcPr>
            <w:tcW w:w="1080" w:type="dxa"/>
            <w:tcBorders>
              <w:left w:val="nil"/>
              <w:bottom w:val="single" w:sz="6" w:space="0" w:color="969696"/>
              <w:right w:val="nil"/>
            </w:tcBorders>
            <w:shd w:val="clear" w:color="auto" w:fill="FFFFFF"/>
            <w:tcMar>
              <w:left w:w="36" w:type="dxa"/>
              <w:right w:w="36" w:type="dxa"/>
            </w:tcMar>
            <w:vAlign w:val="center"/>
          </w:tcPr>
          <w:p w:rsidR="000B4E89" w:rsidRPr="00491918" w:rsidRDefault="000B4E89">
            <w:pPr>
              <w:jc w:val="right"/>
              <w:rPr>
                <w:b/>
                <w:color w:val="000000"/>
                <w:szCs w:val="2"/>
              </w:rPr>
            </w:pPr>
          </w:p>
        </w:tc>
      </w:tr>
      <w:tr w:rsidR="000D1659" w:rsidRPr="00491918" w:rsidTr="003D20E2">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Adjusted profit/(loss) before tax</w:t>
            </w:r>
            <w:r w:rsidRPr="00491918">
              <w:rPr>
                <w:b/>
                <w:color w:val="000000"/>
                <w:sz w:val="16"/>
                <w:vertAlign w:val="superscript"/>
              </w:rPr>
              <w:t>1 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vertAlign w:val="superscript"/>
              </w:rPr>
            </w:pPr>
            <w:r w:rsidRPr="00491918">
              <w:rPr>
                <w:b/>
                <w:color w:val="000000"/>
                <w:sz w:val="16"/>
              </w:rPr>
              <w:t>45</w:t>
            </w:r>
            <w:r w:rsidR="00844B98" w:rsidRPr="00491918">
              <w:rPr>
                <w:b/>
                <w:color w:val="000000"/>
                <w:sz w:val="16"/>
              </w:rPr>
              <w:t>1</w:t>
            </w:r>
            <w:r w:rsidRPr="00491918">
              <w:rPr>
                <w:b/>
                <w:color w:val="000000"/>
                <w:sz w:val="16"/>
              </w:rPr>
              <w:t>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rPr>
            </w:pPr>
            <w:r w:rsidRPr="00491918">
              <w:rPr>
                <w:b/>
                <w:color w:val="000000"/>
                <w:sz w:val="16"/>
              </w:rPr>
              <w:t>(18</w:t>
            </w:r>
            <w:r w:rsidR="00844B98" w:rsidRPr="00491918">
              <w:rPr>
                <w:b/>
                <w:color w:val="000000"/>
                <w:sz w:val="16"/>
              </w:rPr>
              <w:t>6</w:t>
            </w:r>
            <w:r w:rsidRPr="00491918">
              <w:rPr>
                <w:b/>
                <w:color w:val="000000"/>
                <w:sz w:val="16"/>
              </w:rPr>
              <w:t>)</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46 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311 </w:t>
            </w:r>
          </w:p>
        </w:tc>
      </w:tr>
      <w:tr w:rsidR="000D1659" w:rsidRPr="00491918">
        <w:trPr>
          <w:trHeight w:hRule="exact" w:val="12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Balance Sheet Information</w:t>
            </w:r>
            <w:r w:rsidRPr="00491918">
              <w:rPr>
                <w:b/>
                <w:color w:val="000000"/>
                <w:sz w:val="16"/>
                <w:vertAlign w:val="superscript"/>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53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Loans and advances to customers at amortised cost</w:t>
            </w:r>
            <w:r w:rsidRPr="00491918">
              <w:rPr>
                <w:color w:val="000000"/>
                <w:sz w:val="16"/>
                <w:vertAlign w:val="superscript"/>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vertAlign w:val="superscript"/>
              </w:rPr>
            </w:pPr>
            <w:r w:rsidRPr="00491918">
              <w:rPr>
                <w:color w:val="000000"/>
                <w:sz w:val="16"/>
              </w:rPr>
              <w:t>£51.</w:t>
            </w:r>
            <w:r w:rsidR="00844B98" w:rsidRPr="00491918">
              <w:rPr>
                <w:color w:val="000000"/>
                <w:sz w:val="16"/>
              </w:rPr>
              <w:t>1</w:t>
            </w:r>
            <w:r w:rsidRPr="00491918">
              <w:rPr>
                <w:color w:val="000000"/>
                <w:sz w:val="16"/>
              </w:rPr>
              <w:t>bn</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£7.5bn</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44B98">
            <w:pPr>
              <w:jc w:val="right"/>
              <w:rPr>
                <w:color w:val="000000"/>
                <w:sz w:val="16"/>
              </w:rPr>
            </w:pPr>
            <w:r w:rsidRPr="00491918">
              <w:rPr>
                <w:color w:val="000000"/>
                <w:sz w:val="16"/>
              </w:rPr>
              <w:t>£7.0</w:t>
            </w:r>
            <w:r w:rsidR="000D1659" w:rsidRPr="00491918">
              <w:rPr>
                <w:color w:val="000000"/>
                <w:sz w:val="16"/>
              </w:rPr>
              <w:t>bn</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£65.6bn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Loans and advances to customers at fair value</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£17.2bn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£0.1bn</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£17.3bn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deposits</w:t>
            </w:r>
            <w:r w:rsidRPr="00491918">
              <w:rPr>
                <w:color w:val="000000"/>
                <w:sz w:val="16"/>
                <w:vertAlign w:val="superscript"/>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color w:val="000000"/>
                <w:sz w:val="16"/>
                <w:vertAlign w:val="superscript"/>
              </w:rPr>
            </w:pPr>
            <w:r w:rsidRPr="00491918">
              <w:rPr>
                <w:color w:val="000000"/>
                <w:sz w:val="16"/>
              </w:rPr>
              <w:t>£72.6</w:t>
            </w:r>
            <w:r w:rsidR="000D1659" w:rsidRPr="00491918">
              <w:rPr>
                <w:color w:val="000000"/>
                <w:sz w:val="16"/>
              </w:rPr>
              <w:t>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£12.</w:t>
            </w:r>
            <w:r w:rsidR="00EA3F9D" w:rsidRPr="00491918">
              <w:rPr>
                <w:color w:val="000000"/>
                <w:sz w:val="16"/>
              </w:rPr>
              <w:t>7</w:t>
            </w:r>
            <w:r w:rsidRPr="00491918">
              <w:rPr>
                <w:color w:val="000000"/>
                <w:sz w:val="16"/>
              </w:rPr>
              <w:t>bn</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£90.9bn</w:t>
            </w:r>
          </w:p>
        </w:tc>
      </w:tr>
      <w:tr w:rsidR="000D1659" w:rsidRPr="00491918">
        <w:trPr>
          <w:trHeight w:val="240"/>
        </w:trPr>
        <w:tc>
          <w:tcPr>
            <w:tcW w:w="53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Risk weighted assets</w:t>
            </w:r>
            <w:r w:rsidRPr="00491918">
              <w:rPr>
                <w:color w:val="000000"/>
                <w:sz w:val="16"/>
                <w:vertAlign w:val="superscript"/>
              </w:rPr>
              <w:t>2 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844B98">
            <w:pPr>
              <w:jc w:val="right"/>
              <w:rPr>
                <w:color w:val="000000"/>
                <w:sz w:val="16"/>
                <w:vertAlign w:val="superscript"/>
              </w:rPr>
            </w:pPr>
            <w:r w:rsidRPr="00491918">
              <w:rPr>
                <w:color w:val="000000"/>
                <w:sz w:val="16"/>
              </w:rPr>
              <w:t>£49.9</w:t>
            </w:r>
            <w:r w:rsidR="000D1659" w:rsidRPr="00491918">
              <w:rPr>
                <w:color w:val="000000"/>
                <w:sz w:val="16"/>
              </w:rPr>
              <w:t>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£11.5bn</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w:t>
            </w:r>
            <w:r w:rsidR="00844B98" w:rsidRPr="00491918">
              <w:rPr>
                <w:color w:val="000000"/>
                <w:sz w:val="16"/>
              </w:rPr>
              <w:t>10</w:t>
            </w:r>
            <w:r w:rsidRPr="00491918">
              <w:rPr>
                <w:color w:val="000000"/>
                <w:sz w:val="16"/>
              </w:rPr>
              <w:t>.9bn</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£72.3bn</w:t>
            </w:r>
          </w:p>
        </w:tc>
      </w:tr>
    </w:tbl>
    <w:p w:rsidR="000D1659" w:rsidRPr="00491918" w:rsidRDefault="000D1659"/>
    <w:p w:rsidR="000D1659" w:rsidRPr="00491918" w:rsidRDefault="000D1659" w:rsidP="00CD39D9">
      <w:pPr>
        <w:pStyle w:val="HeadingLevel1-BarcRA16"/>
        <w:numPr>
          <w:ilvl w:val="0"/>
          <w:numId w:val="60"/>
        </w:numPr>
        <w:spacing w:after="0"/>
        <w:ind w:left="284" w:hanging="284"/>
        <w:rPr>
          <w:b w:val="0"/>
          <w:i/>
          <w:sz w:val="14"/>
          <w:lang w:val="en-GB"/>
        </w:rPr>
      </w:pPr>
      <w:r w:rsidRPr="00491918">
        <w:rPr>
          <w:b w:val="0"/>
          <w:i/>
          <w:sz w:val="14"/>
        </w:rPr>
        <w:t xml:space="preserve">Adjusted profit before tax and adjusted performance measures exclude the </w:t>
      </w:r>
      <w:r w:rsidRPr="00491918">
        <w:rPr>
          <w:b w:val="0"/>
          <w:i/>
          <w:sz w:val="14"/>
          <w:lang w:val="en-GB"/>
        </w:rPr>
        <w:t xml:space="preserve">provision for interest rate hedging products redress </w:t>
      </w:r>
      <w:r w:rsidR="00B52C1E" w:rsidRPr="00491918">
        <w:rPr>
          <w:b w:val="0"/>
          <w:i/>
          <w:sz w:val="14"/>
          <w:lang w:val="en-GB"/>
        </w:rPr>
        <w:t>of £650m (H212: £400m, H1</w:t>
      </w:r>
      <w:r w:rsidRPr="00491918">
        <w:rPr>
          <w:b w:val="0"/>
          <w:i/>
          <w:sz w:val="14"/>
          <w:lang w:val="en-GB"/>
        </w:rPr>
        <w:t>12: £450m</w:t>
      </w:r>
      <w:r w:rsidRPr="00491918">
        <w:rPr>
          <w:b w:val="0"/>
          <w:i/>
          <w:sz w:val="14"/>
        </w:rPr>
        <w:t>).</w:t>
      </w:r>
    </w:p>
    <w:p w:rsidR="000D1659" w:rsidRPr="00491918" w:rsidRDefault="000D1659" w:rsidP="00CD39D9">
      <w:pPr>
        <w:pStyle w:val="HeadingLevel1-BarcRA16"/>
        <w:numPr>
          <w:ilvl w:val="0"/>
          <w:numId w:val="60"/>
        </w:numPr>
        <w:spacing w:after="0"/>
        <w:ind w:left="284" w:hanging="284"/>
        <w:rPr>
          <w:b w:val="0"/>
          <w:i/>
          <w:sz w:val="14"/>
          <w:lang w:val="en-GB"/>
        </w:rPr>
      </w:pPr>
      <w:r w:rsidRPr="00491918">
        <w:rPr>
          <w:b w:val="0"/>
          <w:i/>
          <w:sz w:val="14"/>
          <w:lang w:val="en-GB"/>
        </w:rPr>
        <w:t>2013 total assets and risk weighted assets include an allocation of liquidity pool assets previously held centrally.</w:t>
      </w:r>
    </w:p>
    <w:p w:rsidR="000D1659" w:rsidRPr="00491918" w:rsidRDefault="000D1659">
      <w:pPr>
        <w:spacing w:line="14" w:lineRule="exact"/>
      </w:pPr>
      <w:r w:rsidRPr="00491918">
        <w:br w:type="page"/>
      </w:r>
    </w:p>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sidP="008D6001">
      <w:pPr>
        <w:pStyle w:val="HeadingLevel1-BarcRA17"/>
        <w:spacing w:after="0"/>
        <w:jc w:val="left"/>
        <w:outlineLvl w:val="0"/>
        <w:rPr>
          <w:lang w:val="en-GB"/>
        </w:rPr>
      </w:pPr>
      <w:r w:rsidRPr="00491918">
        <w:t>Corporate</w:t>
      </w:r>
      <w:r w:rsidRPr="00491918">
        <w:rPr>
          <w:lang w:val="en-GB"/>
        </w:rPr>
        <w:t xml:space="preserve"> Banking</w:t>
      </w:r>
    </w:p>
    <w:p w:rsidR="000D1659" w:rsidRPr="00491918" w:rsidRDefault="000D1659" w:rsidP="000D1659">
      <w:pPr>
        <w:pStyle w:val="Normal29"/>
        <w:ind w:left="180" w:hanging="180"/>
        <w:rPr>
          <w:b/>
          <w:szCs w:val="20"/>
        </w:rPr>
      </w:pPr>
    </w:p>
    <w:p w:rsidR="000D1659" w:rsidRPr="00491918" w:rsidRDefault="000D1659" w:rsidP="008D6001">
      <w:pPr>
        <w:pStyle w:val="Normal29"/>
        <w:outlineLvl w:val="0"/>
        <w:rPr>
          <w:b/>
          <w:bCs/>
          <w:sz w:val="20"/>
          <w:szCs w:val="20"/>
        </w:rPr>
      </w:pPr>
      <w:r w:rsidRPr="00491918">
        <w:rPr>
          <w:b/>
          <w:bCs/>
          <w:sz w:val="20"/>
          <w:szCs w:val="20"/>
        </w:rPr>
        <w:t>Income Statement – H113 compared to H112</w:t>
      </w:r>
    </w:p>
    <w:p w:rsidR="000D1659" w:rsidRPr="00491918" w:rsidRDefault="000D1659" w:rsidP="00CD39D9">
      <w:pPr>
        <w:pStyle w:val="Level1Bullet-BarcRA203001"/>
        <w:numPr>
          <w:ilvl w:val="0"/>
          <w:numId w:val="61"/>
        </w:numPr>
        <w:rPr>
          <w:color w:val="000000"/>
          <w:lang w:val="en-GB"/>
        </w:rPr>
      </w:pPr>
      <w:r w:rsidRPr="00491918">
        <w:rPr>
          <w:bCs/>
          <w:szCs w:val="18"/>
        </w:rPr>
        <w:t>Total income decreased</w:t>
      </w:r>
      <w:r w:rsidRPr="00491918">
        <w:rPr>
          <w:bCs/>
          <w:szCs w:val="18"/>
          <w:lang w:val="en-GB"/>
        </w:rPr>
        <w:t xml:space="preserve"> </w:t>
      </w:r>
      <w:r w:rsidRPr="00491918">
        <w:rPr>
          <w:bCs/>
          <w:szCs w:val="18"/>
        </w:rPr>
        <w:t>2% to £1,55</w:t>
      </w:r>
      <w:r w:rsidRPr="00491918">
        <w:rPr>
          <w:bCs/>
          <w:szCs w:val="18"/>
          <w:lang w:val="en-GB"/>
        </w:rPr>
        <w:t>2</w:t>
      </w:r>
      <w:r w:rsidRPr="00491918">
        <w:rPr>
          <w:bCs/>
          <w:szCs w:val="18"/>
        </w:rPr>
        <w:t>m  reflecting a reduction in gains on fair value</w:t>
      </w:r>
      <w:r w:rsidRPr="00491918">
        <w:rPr>
          <w:bCs/>
          <w:szCs w:val="18"/>
          <w:lang w:val="en-GB"/>
        </w:rPr>
        <w:t xml:space="preserve"> </w:t>
      </w:r>
      <w:r w:rsidRPr="00491918">
        <w:rPr>
          <w:bCs/>
          <w:szCs w:val="18"/>
        </w:rPr>
        <w:t>items of £</w:t>
      </w:r>
      <w:r w:rsidRPr="00491918">
        <w:rPr>
          <w:bCs/>
          <w:szCs w:val="18"/>
          <w:lang w:val="en-GB"/>
        </w:rPr>
        <w:t>24</w:t>
      </w:r>
      <w:r w:rsidRPr="00491918">
        <w:rPr>
          <w:bCs/>
          <w:szCs w:val="18"/>
        </w:rPr>
        <w:t>m</w:t>
      </w:r>
      <w:r w:rsidRPr="00491918">
        <w:rPr>
          <w:bCs/>
          <w:szCs w:val="18"/>
          <w:lang w:val="en-GB"/>
        </w:rPr>
        <w:t xml:space="preserve"> (2012: £68m),</w:t>
      </w:r>
      <w:r w:rsidRPr="00491918">
        <w:rPr>
          <w:lang w:val="en-GB"/>
        </w:rPr>
        <w:t xml:space="preserve"> </w:t>
      </w:r>
      <w:r w:rsidRPr="00491918">
        <w:rPr>
          <w:bCs/>
          <w:szCs w:val="18"/>
        </w:rPr>
        <w:t xml:space="preserve">non-recurring income from exited businesses and </w:t>
      </w:r>
      <w:r w:rsidRPr="00491918">
        <w:rPr>
          <w:bCs/>
          <w:szCs w:val="18"/>
          <w:lang w:val="en-GB"/>
        </w:rPr>
        <w:t xml:space="preserve">a </w:t>
      </w:r>
      <w:r w:rsidRPr="00491918">
        <w:rPr>
          <w:bCs/>
          <w:szCs w:val="18"/>
        </w:rPr>
        <w:t xml:space="preserve">reduction in </w:t>
      </w:r>
      <w:r w:rsidRPr="00491918">
        <w:rPr>
          <w:bCs/>
          <w:szCs w:val="18"/>
          <w:lang w:val="en-GB"/>
        </w:rPr>
        <w:t>Exit Quadrant</w:t>
      </w:r>
      <w:r w:rsidRPr="00491918">
        <w:rPr>
          <w:bCs/>
          <w:szCs w:val="18"/>
        </w:rPr>
        <w:t xml:space="preserve"> portfolios in Europe,</w:t>
      </w:r>
      <w:r w:rsidRPr="00491918">
        <w:rPr>
          <w:szCs w:val="18"/>
        </w:rPr>
        <w:t xml:space="preserve"> </w:t>
      </w:r>
      <w:r w:rsidRPr="00491918">
        <w:rPr>
          <w:bCs/>
          <w:szCs w:val="18"/>
        </w:rPr>
        <w:t xml:space="preserve">partially offset by an increase in UK </w:t>
      </w:r>
      <w:r w:rsidRPr="00491918">
        <w:rPr>
          <w:bCs/>
          <w:szCs w:val="18"/>
          <w:lang w:val="en-GB"/>
        </w:rPr>
        <w:t xml:space="preserve">Cash Management </w:t>
      </w:r>
      <w:r w:rsidRPr="00491918">
        <w:rPr>
          <w:bCs/>
          <w:szCs w:val="18"/>
        </w:rPr>
        <w:t>income</w:t>
      </w:r>
      <w:r w:rsidRPr="00491918">
        <w:rPr>
          <w:bCs/>
          <w:szCs w:val="18"/>
          <w:lang w:val="en-GB"/>
        </w:rPr>
        <w:t xml:space="preserve"> </w:t>
      </w:r>
    </w:p>
    <w:p w:rsidR="000D1659" w:rsidRPr="00491918" w:rsidRDefault="000D1659" w:rsidP="000D1659">
      <w:pPr>
        <w:pStyle w:val="Level1Bullet-BarcRA300000"/>
      </w:pPr>
      <w:r w:rsidRPr="00491918">
        <w:t>Net interest margin was down 4bps to 12</w:t>
      </w:r>
      <w:r w:rsidRPr="00491918">
        <w:rPr>
          <w:lang w:val="en-GB"/>
        </w:rPr>
        <w:t>3</w:t>
      </w:r>
      <w:r w:rsidRPr="00491918">
        <w:t>bps primarily reflecting reduced contribution</w:t>
      </w:r>
      <w:r w:rsidRPr="00491918">
        <w:rPr>
          <w:lang w:val="en-GB"/>
        </w:rPr>
        <w:t>s</w:t>
      </w:r>
      <w:r w:rsidRPr="00491918">
        <w:t xml:space="preserve"> from</w:t>
      </w:r>
      <w:r w:rsidRPr="00491918">
        <w:rPr>
          <w:lang w:val="en-GB"/>
        </w:rPr>
        <w:t xml:space="preserve"> </w:t>
      </w:r>
      <w:r w:rsidRPr="00491918">
        <w:t>structural hedges</w:t>
      </w:r>
    </w:p>
    <w:p w:rsidR="000D1659" w:rsidRPr="00491918" w:rsidRDefault="000D1659" w:rsidP="000D1659">
      <w:pPr>
        <w:pStyle w:val="Level2Bullet-BarcRA00"/>
        <w:tabs>
          <w:tab w:val="num" w:pos="567"/>
        </w:tabs>
        <w:ind w:left="567" w:hanging="283"/>
        <w:rPr>
          <w:szCs w:val="18"/>
        </w:rPr>
      </w:pPr>
      <w:r w:rsidRPr="00491918">
        <w:rPr>
          <w:szCs w:val="18"/>
        </w:rPr>
        <w:t xml:space="preserve">Customer asset margin increased </w:t>
      </w:r>
      <w:r w:rsidRPr="00491918">
        <w:rPr>
          <w:szCs w:val="18"/>
          <w:lang w:val="en-GB"/>
        </w:rPr>
        <w:t>9</w:t>
      </w:r>
      <w:r w:rsidRPr="00491918">
        <w:rPr>
          <w:szCs w:val="18"/>
        </w:rPr>
        <w:t>bps to 1</w:t>
      </w:r>
      <w:r w:rsidRPr="00491918">
        <w:rPr>
          <w:szCs w:val="18"/>
          <w:lang w:val="en-GB"/>
        </w:rPr>
        <w:t>28</w:t>
      </w:r>
      <w:r w:rsidRPr="00491918">
        <w:rPr>
          <w:szCs w:val="18"/>
        </w:rPr>
        <w:t xml:space="preserve">bps reflecting higher </w:t>
      </w:r>
      <w:r w:rsidRPr="00491918">
        <w:rPr>
          <w:szCs w:val="18"/>
          <w:lang w:val="en-GB"/>
        </w:rPr>
        <w:t>margins on</w:t>
      </w:r>
      <w:r w:rsidRPr="00491918">
        <w:rPr>
          <w:szCs w:val="18"/>
        </w:rPr>
        <w:t xml:space="preserve"> </w:t>
      </w:r>
      <w:r w:rsidRPr="00491918">
        <w:rPr>
          <w:szCs w:val="18"/>
          <w:lang w:val="en-GB"/>
        </w:rPr>
        <w:t xml:space="preserve">term and </w:t>
      </w:r>
      <w:r w:rsidRPr="00491918">
        <w:rPr>
          <w:szCs w:val="18"/>
        </w:rPr>
        <w:t xml:space="preserve">syndicated loans in the UK.  Average customer assets decreased 4% to £67.2bn driven by </w:t>
      </w:r>
      <w:r w:rsidRPr="00491918">
        <w:rPr>
          <w:szCs w:val="18"/>
          <w:lang w:val="en-GB"/>
        </w:rPr>
        <w:t>the rundown of</w:t>
      </w:r>
      <w:r w:rsidRPr="00491918">
        <w:rPr>
          <w:szCs w:val="18"/>
        </w:rPr>
        <w:t xml:space="preserve"> </w:t>
      </w:r>
      <w:r w:rsidRPr="00491918">
        <w:rPr>
          <w:szCs w:val="18"/>
          <w:lang w:val="en-GB"/>
        </w:rPr>
        <w:t>Exit Quadrant</w:t>
      </w:r>
      <w:r w:rsidRPr="00491918">
        <w:rPr>
          <w:szCs w:val="18"/>
        </w:rPr>
        <w:t xml:space="preserve"> portfolios in Europe</w:t>
      </w:r>
    </w:p>
    <w:p w:rsidR="000D1659" w:rsidRPr="00491918" w:rsidRDefault="000D1659" w:rsidP="000D1659">
      <w:pPr>
        <w:pStyle w:val="Level2Bullet-BarcRA00"/>
        <w:tabs>
          <w:tab w:val="num" w:pos="567"/>
        </w:tabs>
        <w:ind w:left="567" w:hanging="283"/>
        <w:rPr>
          <w:szCs w:val="18"/>
        </w:rPr>
      </w:pPr>
      <w:r w:rsidRPr="00491918">
        <w:rPr>
          <w:szCs w:val="18"/>
        </w:rPr>
        <w:t xml:space="preserve">Customer liability margin decreased </w:t>
      </w:r>
      <w:r w:rsidRPr="00491918">
        <w:rPr>
          <w:szCs w:val="18"/>
          <w:lang w:val="en-GB"/>
        </w:rPr>
        <w:t>8</w:t>
      </w:r>
      <w:r w:rsidRPr="00491918">
        <w:rPr>
          <w:szCs w:val="18"/>
        </w:rPr>
        <w:t xml:space="preserve">bps to </w:t>
      </w:r>
      <w:r w:rsidRPr="00491918">
        <w:rPr>
          <w:szCs w:val="18"/>
          <w:lang w:val="en-GB"/>
        </w:rPr>
        <w:t>104</w:t>
      </w:r>
      <w:r w:rsidRPr="00491918">
        <w:rPr>
          <w:szCs w:val="18"/>
        </w:rPr>
        <w:t xml:space="preserve">bps reflecting </w:t>
      </w:r>
      <w:r w:rsidRPr="00491918">
        <w:rPr>
          <w:szCs w:val="18"/>
          <w:lang w:val="en-GB"/>
        </w:rPr>
        <w:t>higher customer deposit rates</w:t>
      </w:r>
      <w:r w:rsidRPr="00491918">
        <w:rPr>
          <w:szCs w:val="18"/>
        </w:rPr>
        <w:t>. Average customer liabilities increased 15% to £95.</w:t>
      </w:r>
      <w:r w:rsidRPr="00491918">
        <w:rPr>
          <w:szCs w:val="18"/>
          <w:lang w:val="en-GB"/>
        </w:rPr>
        <w:t>9</w:t>
      </w:r>
      <w:r w:rsidRPr="00491918">
        <w:rPr>
          <w:szCs w:val="18"/>
        </w:rPr>
        <w:t xml:space="preserve">bn driven by an increase in </w:t>
      </w:r>
      <w:r w:rsidRPr="00491918">
        <w:rPr>
          <w:szCs w:val="18"/>
          <w:lang w:val="en-GB"/>
        </w:rPr>
        <w:t xml:space="preserve">deposits from </w:t>
      </w:r>
      <w:r w:rsidRPr="00491918">
        <w:rPr>
          <w:szCs w:val="18"/>
        </w:rPr>
        <w:t xml:space="preserve">UK </w:t>
      </w:r>
      <w:r w:rsidRPr="00491918">
        <w:rPr>
          <w:szCs w:val="18"/>
          <w:lang w:val="en-GB"/>
        </w:rPr>
        <w:t>c</w:t>
      </w:r>
      <w:r w:rsidRPr="00491918">
        <w:rPr>
          <w:szCs w:val="18"/>
        </w:rPr>
        <w:t>orporates</w:t>
      </w:r>
    </w:p>
    <w:p w:rsidR="000D1659" w:rsidRPr="00491918" w:rsidRDefault="000D1659" w:rsidP="000D1659">
      <w:pPr>
        <w:pStyle w:val="Level1Bullet-BarcRA30000"/>
        <w:rPr>
          <w:bCs/>
          <w:szCs w:val="18"/>
        </w:rPr>
      </w:pPr>
      <w:r w:rsidRPr="00491918">
        <w:rPr>
          <w:bCs/>
          <w:szCs w:val="18"/>
        </w:rPr>
        <w:t xml:space="preserve"> Credit impairment charges reduced 40% to £2</w:t>
      </w:r>
      <w:r w:rsidRPr="00491918">
        <w:rPr>
          <w:bCs/>
          <w:szCs w:val="18"/>
          <w:lang w:val="en-GB"/>
        </w:rPr>
        <w:t>58</w:t>
      </w:r>
      <w:r w:rsidRPr="00491918">
        <w:rPr>
          <w:bCs/>
          <w:szCs w:val="18"/>
        </w:rPr>
        <w:t xml:space="preserve">m. Loan loss rate improved to </w:t>
      </w:r>
      <w:r w:rsidRPr="00491918">
        <w:rPr>
          <w:bCs/>
          <w:szCs w:val="18"/>
          <w:lang w:val="en-GB"/>
        </w:rPr>
        <w:t>76</w:t>
      </w:r>
      <w:r w:rsidRPr="00491918">
        <w:rPr>
          <w:bCs/>
          <w:szCs w:val="18"/>
        </w:rPr>
        <w:t>bps (</w:t>
      </w:r>
      <w:r w:rsidRPr="00491918">
        <w:rPr>
          <w:bCs/>
          <w:szCs w:val="18"/>
          <w:lang w:val="en-GB"/>
        </w:rPr>
        <w:t>20</w:t>
      </w:r>
      <w:r w:rsidRPr="00491918">
        <w:rPr>
          <w:bCs/>
          <w:szCs w:val="18"/>
        </w:rPr>
        <w:t>12: 12</w:t>
      </w:r>
      <w:r w:rsidRPr="00491918">
        <w:rPr>
          <w:bCs/>
          <w:szCs w:val="18"/>
          <w:lang w:val="en-GB"/>
        </w:rPr>
        <w:t>4</w:t>
      </w:r>
      <w:r w:rsidRPr="00491918">
        <w:rPr>
          <w:bCs/>
          <w:szCs w:val="18"/>
        </w:rPr>
        <w:t>bps)</w:t>
      </w:r>
    </w:p>
    <w:p w:rsidR="000D1659" w:rsidRPr="00491918" w:rsidRDefault="000D1659" w:rsidP="000D1659">
      <w:pPr>
        <w:pStyle w:val="Level2Bullet-BarcRA00"/>
        <w:tabs>
          <w:tab w:val="num" w:pos="567"/>
        </w:tabs>
        <w:ind w:left="567" w:hanging="283"/>
        <w:rPr>
          <w:szCs w:val="18"/>
        </w:rPr>
      </w:pPr>
      <w:r w:rsidRPr="00491918">
        <w:rPr>
          <w:szCs w:val="18"/>
        </w:rPr>
        <w:t>UK impairment</w:t>
      </w:r>
      <w:r w:rsidRPr="00491918">
        <w:rPr>
          <w:szCs w:val="18"/>
          <w:lang w:val="en-GB"/>
        </w:rPr>
        <w:t xml:space="preserve"> charges</w:t>
      </w:r>
      <w:r w:rsidRPr="00491918">
        <w:rPr>
          <w:szCs w:val="18"/>
        </w:rPr>
        <w:t xml:space="preserve"> reduced by £</w:t>
      </w:r>
      <w:r w:rsidRPr="00491918">
        <w:rPr>
          <w:szCs w:val="18"/>
          <w:lang w:val="en-GB"/>
        </w:rPr>
        <w:t>62</w:t>
      </w:r>
      <w:r w:rsidRPr="00491918">
        <w:rPr>
          <w:szCs w:val="18"/>
        </w:rPr>
        <w:t>m to £8</w:t>
      </w:r>
      <w:r w:rsidRPr="00491918">
        <w:rPr>
          <w:szCs w:val="18"/>
          <w:lang w:val="en-GB"/>
        </w:rPr>
        <w:t>4</w:t>
      </w:r>
      <w:r w:rsidRPr="00491918">
        <w:rPr>
          <w:szCs w:val="18"/>
        </w:rPr>
        <w:t xml:space="preserve">m, partly reflecting </w:t>
      </w:r>
      <w:r w:rsidRPr="00491918">
        <w:rPr>
          <w:szCs w:val="18"/>
          <w:lang w:val="en-GB"/>
        </w:rPr>
        <w:t>reduced impairment against large corporate clients</w:t>
      </w:r>
    </w:p>
    <w:p w:rsidR="000D1659" w:rsidRPr="00491918" w:rsidRDefault="000D1659" w:rsidP="000D1659">
      <w:pPr>
        <w:pStyle w:val="Level2Bullet-BarcRA00"/>
        <w:tabs>
          <w:tab w:val="num" w:pos="567"/>
        </w:tabs>
        <w:ind w:left="567" w:hanging="283"/>
        <w:rPr>
          <w:szCs w:val="18"/>
        </w:rPr>
      </w:pPr>
      <w:r w:rsidRPr="00491918">
        <w:rPr>
          <w:szCs w:val="18"/>
        </w:rPr>
        <w:t>Europe impairment charges reduced by £</w:t>
      </w:r>
      <w:r w:rsidRPr="00491918">
        <w:rPr>
          <w:szCs w:val="18"/>
          <w:lang w:val="en-GB"/>
        </w:rPr>
        <w:t>97</w:t>
      </w:r>
      <w:r w:rsidRPr="00491918">
        <w:rPr>
          <w:szCs w:val="18"/>
        </w:rPr>
        <w:t>m to £1</w:t>
      </w:r>
      <w:r w:rsidRPr="00491918">
        <w:rPr>
          <w:szCs w:val="18"/>
          <w:lang w:val="en-GB"/>
        </w:rPr>
        <w:t>80</w:t>
      </w:r>
      <w:r w:rsidRPr="00491918">
        <w:rPr>
          <w:szCs w:val="18"/>
        </w:rPr>
        <w:t xml:space="preserve">m </w:t>
      </w:r>
      <w:r w:rsidRPr="00491918">
        <w:rPr>
          <w:szCs w:val="18"/>
          <w:lang w:val="en-GB"/>
        </w:rPr>
        <w:t>following</w:t>
      </w:r>
      <w:r w:rsidRPr="00491918">
        <w:rPr>
          <w:szCs w:val="18"/>
        </w:rPr>
        <w:t xml:space="preserve"> ongoing action to reduce exposure to the property and construction sector in Spain</w:t>
      </w:r>
    </w:p>
    <w:p w:rsidR="000D1659" w:rsidRPr="00491918" w:rsidRDefault="000D1659" w:rsidP="000D1659">
      <w:pPr>
        <w:pStyle w:val="Level1Bullet-BarcRA20302"/>
        <w:tabs>
          <w:tab w:val="num" w:pos="567"/>
        </w:tabs>
        <w:rPr>
          <w:lang w:val="en-GB"/>
        </w:rPr>
      </w:pPr>
      <w:r w:rsidRPr="00491918">
        <w:t xml:space="preserve">Adjusted </w:t>
      </w:r>
      <w:r w:rsidRPr="00491918">
        <w:rPr>
          <w:lang w:val="en-GB"/>
        </w:rPr>
        <w:t>o</w:t>
      </w:r>
      <w:r w:rsidRPr="00491918">
        <w:t xml:space="preserve">perating </w:t>
      </w:r>
      <w:r w:rsidRPr="00491918">
        <w:rPr>
          <w:lang w:val="en-GB"/>
        </w:rPr>
        <w:t>e</w:t>
      </w:r>
      <w:r w:rsidRPr="00491918">
        <w:t xml:space="preserve">xpenses increased </w:t>
      </w:r>
      <w:r w:rsidRPr="00491918">
        <w:rPr>
          <w:lang w:val="en-GB"/>
        </w:rPr>
        <w:t>6</w:t>
      </w:r>
      <w:r w:rsidRPr="00491918">
        <w:t>% to £89</w:t>
      </w:r>
      <w:r w:rsidRPr="00491918">
        <w:rPr>
          <w:lang w:val="en-GB"/>
        </w:rPr>
        <w:t>3</w:t>
      </w:r>
      <w:r w:rsidRPr="00491918">
        <w:t>m</w:t>
      </w:r>
      <w:r w:rsidRPr="00491918">
        <w:rPr>
          <w:lang w:val="en-GB"/>
        </w:rPr>
        <w:t xml:space="preserve"> </w:t>
      </w:r>
      <w:r w:rsidRPr="00491918">
        <w:t>driven by costs to achieve Transform of £4</w:t>
      </w:r>
      <w:r w:rsidRPr="00491918">
        <w:rPr>
          <w:lang w:val="en-GB"/>
        </w:rPr>
        <w:t>1</w:t>
      </w:r>
      <w:r w:rsidRPr="00491918">
        <w:t>m</w:t>
      </w:r>
      <w:r w:rsidRPr="00491918">
        <w:rPr>
          <w:lang w:val="en-GB"/>
        </w:rPr>
        <w:t xml:space="preserve"> largely</w:t>
      </w:r>
      <w:r w:rsidRPr="00491918">
        <w:t xml:space="preserve"> related to restructuring costs in Europe</w:t>
      </w:r>
      <w:r w:rsidRPr="00491918">
        <w:rPr>
          <w:lang w:val="en-GB"/>
        </w:rPr>
        <w:t>. Statutory operating expenses increased 20% to £1,543m after charging an additional £650m provision for interest rate hedging products redress (2012: £450m)</w:t>
      </w:r>
    </w:p>
    <w:p w:rsidR="000D1659" w:rsidRPr="00491918" w:rsidRDefault="000D1659" w:rsidP="00CD39D9">
      <w:pPr>
        <w:pStyle w:val="Level1Bullet-BarcRA9"/>
        <w:numPr>
          <w:ilvl w:val="0"/>
          <w:numId w:val="66"/>
        </w:numPr>
        <w:tabs>
          <w:tab w:val="num" w:pos="567"/>
          <w:tab w:val="left" w:pos="720"/>
        </w:tabs>
        <w:rPr>
          <w:szCs w:val="18"/>
        </w:rPr>
      </w:pPr>
      <w:r w:rsidRPr="00491918">
        <w:rPr>
          <w:szCs w:val="18"/>
        </w:rPr>
        <w:t xml:space="preserve">Adjusted profit before tax increased </w:t>
      </w:r>
      <w:r w:rsidRPr="00491918">
        <w:rPr>
          <w:szCs w:val="18"/>
          <w:lang w:val="en-GB"/>
        </w:rPr>
        <w:t>29</w:t>
      </w:r>
      <w:r w:rsidRPr="00491918">
        <w:rPr>
          <w:szCs w:val="18"/>
        </w:rPr>
        <w:t>% to £</w:t>
      </w:r>
      <w:r w:rsidRPr="00491918">
        <w:rPr>
          <w:szCs w:val="18"/>
          <w:lang w:val="en-GB"/>
        </w:rPr>
        <w:t>402</w:t>
      </w:r>
      <w:r w:rsidRPr="00491918">
        <w:rPr>
          <w:szCs w:val="18"/>
        </w:rPr>
        <w:t>m</w:t>
      </w:r>
    </w:p>
    <w:p w:rsidR="000D1659" w:rsidRPr="00491918" w:rsidRDefault="000D1659" w:rsidP="000D1659">
      <w:pPr>
        <w:pStyle w:val="Level2Bullet-BarcRA00"/>
        <w:tabs>
          <w:tab w:val="num" w:pos="567"/>
        </w:tabs>
        <w:ind w:left="567" w:hanging="283"/>
        <w:rPr>
          <w:szCs w:val="18"/>
        </w:rPr>
      </w:pPr>
      <w:r w:rsidRPr="00491918">
        <w:rPr>
          <w:szCs w:val="18"/>
        </w:rPr>
        <w:t xml:space="preserve">UK adjusted profit before tax increased </w:t>
      </w:r>
      <w:r w:rsidRPr="00491918">
        <w:rPr>
          <w:szCs w:val="18"/>
          <w:lang w:val="en-GB"/>
        </w:rPr>
        <w:t>12</w:t>
      </w:r>
      <w:r w:rsidRPr="00491918">
        <w:rPr>
          <w:szCs w:val="18"/>
        </w:rPr>
        <w:t>% to £</w:t>
      </w:r>
      <w:r w:rsidRPr="00491918">
        <w:rPr>
          <w:szCs w:val="18"/>
          <w:lang w:val="en-GB"/>
        </w:rPr>
        <w:t>503</w:t>
      </w:r>
      <w:r w:rsidRPr="00491918">
        <w:rPr>
          <w:szCs w:val="18"/>
        </w:rPr>
        <w:t>m driven by</w:t>
      </w:r>
      <w:r w:rsidRPr="00491918">
        <w:rPr>
          <w:szCs w:val="18"/>
          <w:lang w:val="en-GB"/>
        </w:rPr>
        <w:t xml:space="preserve"> lower credit</w:t>
      </w:r>
      <w:r w:rsidRPr="00491918">
        <w:rPr>
          <w:szCs w:val="18"/>
        </w:rPr>
        <w:t xml:space="preserve"> </w:t>
      </w:r>
      <w:r w:rsidRPr="00491918">
        <w:rPr>
          <w:szCs w:val="18"/>
          <w:lang w:val="en-GB"/>
        </w:rPr>
        <w:t>impairment charges</w:t>
      </w:r>
    </w:p>
    <w:p w:rsidR="000D1659" w:rsidRPr="00491918" w:rsidRDefault="000D1659" w:rsidP="000D1659">
      <w:pPr>
        <w:pStyle w:val="Level2Bullet-BarcRA00"/>
        <w:tabs>
          <w:tab w:val="num" w:pos="567"/>
        </w:tabs>
        <w:ind w:left="567" w:hanging="283"/>
        <w:rPr>
          <w:szCs w:val="18"/>
        </w:rPr>
      </w:pPr>
      <w:r w:rsidRPr="00491918">
        <w:rPr>
          <w:szCs w:val="18"/>
        </w:rPr>
        <w:t xml:space="preserve">Europe loss before tax reduced </w:t>
      </w:r>
      <w:r w:rsidRPr="00491918">
        <w:rPr>
          <w:szCs w:val="18"/>
          <w:lang w:val="en-GB"/>
        </w:rPr>
        <w:t>4</w:t>
      </w:r>
      <w:r w:rsidRPr="00491918">
        <w:rPr>
          <w:szCs w:val="18"/>
        </w:rPr>
        <w:t>% to £1</w:t>
      </w:r>
      <w:r w:rsidRPr="00491918">
        <w:rPr>
          <w:szCs w:val="18"/>
          <w:lang w:val="en-GB"/>
        </w:rPr>
        <w:t>78</w:t>
      </w:r>
      <w:r w:rsidRPr="00491918">
        <w:rPr>
          <w:szCs w:val="18"/>
        </w:rPr>
        <w:t xml:space="preserve">m principally due to </w:t>
      </w:r>
      <w:r w:rsidRPr="00491918">
        <w:rPr>
          <w:szCs w:val="18"/>
          <w:lang w:val="en-GB"/>
        </w:rPr>
        <w:t>lower</w:t>
      </w:r>
      <w:r w:rsidRPr="00491918">
        <w:rPr>
          <w:szCs w:val="18"/>
        </w:rPr>
        <w:t xml:space="preserve"> credit impairment charges</w:t>
      </w:r>
      <w:r w:rsidRPr="00491918">
        <w:rPr>
          <w:szCs w:val="18"/>
          <w:lang w:val="en-GB"/>
        </w:rPr>
        <w:t>,</w:t>
      </w:r>
      <w:r w:rsidRPr="00491918">
        <w:rPr>
          <w:szCs w:val="18"/>
        </w:rPr>
        <w:t xml:space="preserve"> partially offset by </w:t>
      </w:r>
      <w:r w:rsidRPr="00491918">
        <w:rPr>
          <w:bCs/>
          <w:szCs w:val="18"/>
        </w:rPr>
        <w:t xml:space="preserve">non-recurring income from exited businesses and </w:t>
      </w:r>
      <w:r w:rsidRPr="00491918">
        <w:rPr>
          <w:bCs/>
          <w:szCs w:val="18"/>
          <w:lang w:val="en-GB"/>
        </w:rPr>
        <w:t xml:space="preserve">a </w:t>
      </w:r>
      <w:r w:rsidRPr="00491918">
        <w:rPr>
          <w:bCs/>
          <w:szCs w:val="18"/>
        </w:rPr>
        <w:t xml:space="preserve">reduction in </w:t>
      </w:r>
      <w:r w:rsidRPr="00491918">
        <w:rPr>
          <w:bCs/>
          <w:szCs w:val="18"/>
          <w:lang w:val="en-GB"/>
        </w:rPr>
        <w:t>Exit Quadrant</w:t>
      </w:r>
      <w:r w:rsidRPr="00491918">
        <w:rPr>
          <w:bCs/>
          <w:szCs w:val="18"/>
        </w:rPr>
        <w:t xml:space="preserve"> portfolios</w:t>
      </w:r>
      <w:r w:rsidRPr="00491918">
        <w:rPr>
          <w:bCs/>
          <w:szCs w:val="18"/>
          <w:lang w:val="en-GB"/>
        </w:rPr>
        <w:t xml:space="preserve">, and </w:t>
      </w:r>
      <w:r w:rsidRPr="00491918">
        <w:rPr>
          <w:szCs w:val="18"/>
        </w:rPr>
        <w:t>costs to achieve Transform</w:t>
      </w:r>
    </w:p>
    <w:p w:rsidR="000D1659" w:rsidRPr="00491918" w:rsidRDefault="000D1659" w:rsidP="000D1659">
      <w:pPr>
        <w:pStyle w:val="Level2Bullet-BarcRA00"/>
        <w:tabs>
          <w:tab w:val="num" w:pos="567"/>
        </w:tabs>
        <w:ind w:left="567" w:hanging="283"/>
        <w:rPr>
          <w:szCs w:val="18"/>
        </w:rPr>
      </w:pPr>
      <w:r w:rsidRPr="00491918">
        <w:rPr>
          <w:szCs w:val="18"/>
        </w:rPr>
        <w:t xml:space="preserve">Rest of the World profit before tax increased </w:t>
      </w:r>
      <w:r w:rsidRPr="00491918">
        <w:rPr>
          <w:szCs w:val="18"/>
          <w:lang w:val="en-GB"/>
        </w:rPr>
        <w:t xml:space="preserve">67% </w:t>
      </w:r>
      <w:r w:rsidRPr="00491918">
        <w:rPr>
          <w:szCs w:val="18"/>
        </w:rPr>
        <w:t>to £</w:t>
      </w:r>
      <w:r w:rsidRPr="00491918">
        <w:rPr>
          <w:szCs w:val="18"/>
          <w:lang w:val="en-GB"/>
        </w:rPr>
        <w:t>77</w:t>
      </w:r>
      <w:r w:rsidRPr="00491918">
        <w:rPr>
          <w:szCs w:val="18"/>
        </w:rPr>
        <w:t xml:space="preserve">m </w:t>
      </w:r>
      <w:r w:rsidRPr="00491918">
        <w:rPr>
          <w:szCs w:val="18"/>
          <w:lang w:val="en-GB"/>
        </w:rPr>
        <w:t>reflecting lower</w:t>
      </w:r>
      <w:r w:rsidRPr="00491918">
        <w:rPr>
          <w:szCs w:val="18"/>
        </w:rPr>
        <w:t xml:space="preserve"> costs due to exited businesses</w:t>
      </w:r>
    </w:p>
    <w:p w:rsidR="000D1659" w:rsidRPr="00491918" w:rsidRDefault="000D1659" w:rsidP="00CD39D9">
      <w:pPr>
        <w:pStyle w:val="Level1Bullet-BarcRA203001"/>
        <w:numPr>
          <w:ilvl w:val="0"/>
          <w:numId w:val="63"/>
        </w:numPr>
        <w:rPr>
          <w:lang w:val="en-GB"/>
        </w:rPr>
      </w:pPr>
      <w:r w:rsidRPr="00491918">
        <w:rPr>
          <w:lang w:val="en-GB"/>
        </w:rPr>
        <w:t>Statutory loss before tax was £248m (2012: £139m) after charging an additional provision for interest rate hedging products redress</w:t>
      </w:r>
    </w:p>
    <w:p w:rsidR="000D1659" w:rsidRPr="00491918" w:rsidRDefault="000D1659" w:rsidP="008D6001">
      <w:pPr>
        <w:pStyle w:val="Level1Bullet-BarcRA9"/>
        <w:numPr>
          <w:ilvl w:val="0"/>
          <w:numId w:val="0"/>
        </w:numPr>
        <w:tabs>
          <w:tab w:val="left" w:pos="720"/>
        </w:tabs>
        <w:outlineLvl w:val="0"/>
        <w:rPr>
          <w:b/>
          <w:sz w:val="20"/>
          <w:lang w:val="en-GB"/>
        </w:rPr>
      </w:pPr>
      <w:r w:rsidRPr="00491918">
        <w:rPr>
          <w:b/>
          <w:bCs/>
          <w:sz w:val="20"/>
        </w:rPr>
        <w:t>Income Statement – Q213 compared to Q113</w:t>
      </w:r>
    </w:p>
    <w:p w:rsidR="000D1659" w:rsidRPr="00491918" w:rsidRDefault="000D1659" w:rsidP="00CD39D9">
      <w:pPr>
        <w:pStyle w:val="Level1Bullet-BarcRA9"/>
        <w:numPr>
          <w:ilvl w:val="0"/>
          <w:numId w:val="66"/>
        </w:numPr>
        <w:tabs>
          <w:tab w:val="left" w:pos="720"/>
        </w:tabs>
        <w:rPr>
          <w:szCs w:val="18"/>
        </w:rPr>
      </w:pPr>
      <w:r w:rsidRPr="00491918">
        <w:rPr>
          <w:szCs w:val="18"/>
          <w:lang w:val="en-GB"/>
        </w:rPr>
        <w:t>Adjusted p</w:t>
      </w:r>
      <w:r w:rsidRPr="00491918">
        <w:rPr>
          <w:szCs w:val="18"/>
        </w:rPr>
        <w:t xml:space="preserve">rofit before tax increased </w:t>
      </w:r>
      <w:r w:rsidRPr="00491918">
        <w:rPr>
          <w:szCs w:val="18"/>
          <w:lang w:val="en-GB"/>
        </w:rPr>
        <w:t>20</w:t>
      </w:r>
      <w:r w:rsidRPr="00491918">
        <w:rPr>
          <w:szCs w:val="18"/>
        </w:rPr>
        <w:t>% to £2</w:t>
      </w:r>
      <w:r w:rsidRPr="00491918">
        <w:rPr>
          <w:szCs w:val="18"/>
          <w:lang w:val="en-GB"/>
        </w:rPr>
        <w:t>19</w:t>
      </w:r>
      <w:r w:rsidRPr="00491918">
        <w:rPr>
          <w:szCs w:val="18"/>
        </w:rPr>
        <w:t>m driven by</w:t>
      </w:r>
      <w:r w:rsidRPr="00491918">
        <w:rPr>
          <w:szCs w:val="18"/>
          <w:lang w:val="en-GB"/>
        </w:rPr>
        <w:t xml:space="preserve"> increased </w:t>
      </w:r>
      <w:r w:rsidRPr="00491918">
        <w:rPr>
          <w:szCs w:val="18"/>
        </w:rPr>
        <w:t>UK</w:t>
      </w:r>
      <w:r w:rsidRPr="00491918">
        <w:rPr>
          <w:szCs w:val="18"/>
          <w:lang w:val="en-GB"/>
        </w:rPr>
        <w:t xml:space="preserve"> Cash Management income and reduced operating expenses </w:t>
      </w:r>
      <w:r w:rsidRPr="00491918">
        <w:rPr>
          <w:szCs w:val="18"/>
        </w:rPr>
        <w:t>due to lower costs to achieve Transform</w:t>
      </w:r>
    </w:p>
    <w:p w:rsidR="000D1659" w:rsidRPr="00491918" w:rsidRDefault="000D1659" w:rsidP="00CD39D9">
      <w:pPr>
        <w:pStyle w:val="Level1Bullet-BarcRA203001"/>
        <w:numPr>
          <w:ilvl w:val="0"/>
          <w:numId w:val="66"/>
        </w:numPr>
        <w:tabs>
          <w:tab w:val="clear" w:pos="284"/>
        </w:tabs>
        <w:rPr>
          <w:lang w:val="en-GB"/>
        </w:rPr>
      </w:pPr>
      <w:r w:rsidRPr="00491918">
        <w:rPr>
          <w:lang w:val="en-GB"/>
        </w:rPr>
        <w:t>Statutory loss before tax was £431m (Q113: profit of £183m) after charging an additional provision for interest rate hedging products redress</w:t>
      </w:r>
    </w:p>
    <w:p w:rsidR="000D1659" w:rsidRPr="00491918" w:rsidRDefault="000D1659" w:rsidP="008D6001">
      <w:pPr>
        <w:pStyle w:val="Level1Bullet-BarcRA9"/>
        <w:numPr>
          <w:ilvl w:val="0"/>
          <w:numId w:val="0"/>
        </w:numPr>
        <w:tabs>
          <w:tab w:val="left" w:pos="720"/>
        </w:tabs>
        <w:outlineLvl w:val="0"/>
        <w:rPr>
          <w:b/>
          <w:bCs/>
          <w:sz w:val="20"/>
        </w:rPr>
      </w:pPr>
      <w:r w:rsidRPr="00491918">
        <w:rPr>
          <w:b/>
          <w:bCs/>
          <w:sz w:val="20"/>
        </w:rPr>
        <w:t xml:space="preserve">Balance Sheet – </w:t>
      </w:r>
      <w:r w:rsidRPr="00491918">
        <w:rPr>
          <w:b/>
          <w:bCs/>
          <w:sz w:val="20"/>
          <w:lang w:val="en-GB"/>
        </w:rPr>
        <w:t>30 June</w:t>
      </w:r>
      <w:r w:rsidRPr="00491918">
        <w:rPr>
          <w:b/>
          <w:bCs/>
          <w:sz w:val="20"/>
        </w:rPr>
        <w:t xml:space="preserve"> </w:t>
      </w:r>
      <w:r w:rsidRPr="00491918">
        <w:rPr>
          <w:b/>
          <w:bCs/>
          <w:sz w:val="20"/>
          <w:lang w:val="en-GB"/>
        </w:rPr>
        <w:t>2013</w:t>
      </w:r>
      <w:r w:rsidRPr="00491918">
        <w:rPr>
          <w:b/>
          <w:bCs/>
          <w:sz w:val="20"/>
        </w:rPr>
        <w:t xml:space="preserve"> compared to </w:t>
      </w:r>
      <w:r w:rsidRPr="00491918">
        <w:rPr>
          <w:b/>
          <w:bCs/>
          <w:sz w:val="20"/>
          <w:lang w:val="en-GB"/>
        </w:rPr>
        <w:t>31 December 2012</w:t>
      </w:r>
    </w:p>
    <w:p w:rsidR="000D1659" w:rsidRPr="00491918" w:rsidRDefault="000D1659" w:rsidP="00CD39D9">
      <w:pPr>
        <w:pStyle w:val="Level1Bullet-BarcRA9"/>
        <w:numPr>
          <w:ilvl w:val="0"/>
          <w:numId w:val="66"/>
        </w:numPr>
      </w:pPr>
      <w:r w:rsidRPr="00491918">
        <w:t xml:space="preserve">Loans </w:t>
      </w:r>
      <w:r w:rsidRPr="00491918">
        <w:rPr>
          <w:lang w:val="en-GB"/>
        </w:rPr>
        <w:t>and a</w:t>
      </w:r>
      <w:r w:rsidRPr="00491918">
        <w:t xml:space="preserve">dvances to </w:t>
      </w:r>
      <w:r w:rsidRPr="00491918">
        <w:rPr>
          <w:lang w:val="en-GB"/>
        </w:rPr>
        <w:t>c</w:t>
      </w:r>
      <w:r w:rsidRPr="00491918">
        <w:t xml:space="preserve">ustomers declined </w:t>
      </w:r>
      <w:r w:rsidRPr="00491918">
        <w:rPr>
          <w:lang w:val="en-GB"/>
        </w:rPr>
        <w:t>2%</w:t>
      </w:r>
      <w:r w:rsidRPr="00491918">
        <w:t xml:space="preserve"> to £62.7bn driven by a reduction in the </w:t>
      </w:r>
      <w:r w:rsidR="009145D8" w:rsidRPr="00491918">
        <w:rPr>
          <w:lang w:val="en-GB"/>
        </w:rPr>
        <w:t>client financing requirements as working capital deposits increased</w:t>
      </w:r>
      <w:r w:rsidRPr="00491918">
        <w:t xml:space="preserve"> and the </w:t>
      </w:r>
      <w:r w:rsidRPr="00491918">
        <w:rPr>
          <w:lang w:val="en-GB"/>
        </w:rPr>
        <w:t>rundown</w:t>
      </w:r>
      <w:r w:rsidRPr="00491918">
        <w:t xml:space="preserve"> of Exit Quadrant portfolios in Europe</w:t>
      </w:r>
    </w:p>
    <w:p w:rsidR="000D1659" w:rsidRPr="00491918" w:rsidRDefault="000D1659" w:rsidP="00CD39D9">
      <w:pPr>
        <w:pStyle w:val="Level1Bullet-BarcRA9"/>
        <w:numPr>
          <w:ilvl w:val="0"/>
          <w:numId w:val="66"/>
        </w:numPr>
        <w:rPr>
          <w:bCs/>
          <w:szCs w:val="18"/>
          <w:lang w:val="en-GB"/>
        </w:rPr>
      </w:pPr>
      <w:r w:rsidRPr="00491918">
        <w:t xml:space="preserve">Customer deposits increased </w:t>
      </w:r>
      <w:r w:rsidRPr="00491918">
        <w:rPr>
          <w:lang w:val="en-GB"/>
        </w:rPr>
        <w:t>7%</w:t>
      </w:r>
      <w:r w:rsidRPr="00491918">
        <w:t xml:space="preserve"> to £106.7bn reflecting an increase in UK deposit growth</w:t>
      </w:r>
    </w:p>
    <w:p w:rsidR="000D1659" w:rsidRPr="00491918" w:rsidRDefault="000D1659" w:rsidP="00CD39D9">
      <w:pPr>
        <w:pStyle w:val="Level1Bullet-BarcRA9"/>
        <w:numPr>
          <w:ilvl w:val="0"/>
          <w:numId w:val="66"/>
        </w:numPr>
        <w:rPr>
          <w:bCs/>
          <w:szCs w:val="18"/>
          <w:lang w:val="en-GB"/>
        </w:rPr>
      </w:pPr>
      <w:r w:rsidRPr="00491918">
        <w:t xml:space="preserve">Total assets increased £32.6bn </w:t>
      </w:r>
      <w:r w:rsidR="00DE4EF3" w:rsidRPr="00491918">
        <w:t>to £120.4bn driven by a</w:t>
      </w:r>
      <w:r w:rsidR="00DE4EF3" w:rsidRPr="00491918">
        <w:rPr>
          <w:lang w:val="en-GB"/>
        </w:rPr>
        <w:t xml:space="preserve"> </w:t>
      </w:r>
      <w:r w:rsidRPr="00491918">
        <w:t>reallocation of liquidity pool assets. This was following a decision in 2013 to reallocate liquidity costs to the businesses</w:t>
      </w:r>
    </w:p>
    <w:p w:rsidR="000D1659" w:rsidRPr="00491918" w:rsidRDefault="000D1659" w:rsidP="00CD39D9">
      <w:pPr>
        <w:pStyle w:val="Level1Bullet-BarcRA9"/>
        <w:numPr>
          <w:ilvl w:val="0"/>
          <w:numId w:val="66"/>
        </w:numPr>
        <w:rPr>
          <w:bCs/>
          <w:szCs w:val="18"/>
          <w:lang w:val="en-GB"/>
        </w:rPr>
      </w:pPr>
      <w:r w:rsidRPr="00491918">
        <w:rPr>
          <w:szCs w:val="18"/>
          <w:lang w:val="en-GB"/>
        </w:rPr>
        <w:t>RWAs</w:t>
      </w:r>
      <w:r w:rsidRPr="00491918">
        <w:rPr>
          <w:szCs w:val="18"/>
        </w:rPr>
        <w:t xml:space="preserve"> increase</w:t>
      </w:r>
      <w:r w:rsidRPr="00491918">
        <w:rPr>
          <w:szCs w:val="18"/>
          <w:lang w:val="en-GB"/>
        </w:rPr>
        <w:t>d</w:t>
      </w:r>
      <w:r w:rsidRPr="00491918">
        <w:rPr>
          <w:szCs w:val="18"/>
        </w:rPr>
        <w:t xml:space="preserve"> 3% to £73.</w:t>
      </w:r>
      <w:r w:rsidRPr="00491918">
        <w:rPr>
          <w:szCs w:val="18"/>
          <w:lang w:val="en-GB"/>
        </w:rPr>
        <w:t>1</w:t>
      </w:r>
      <w:r w:rsidRPr="00491918">
        <w:rPr>
          <w:szCs w:val="18"/>
        </w:rPr>
        <w:t xml:space="preserve">bn primarily reflecting </w:t>
      </w:r>
      <w:r w:rsidRPr="00491918">
        <w:rPr>
          <w:szCs w:val="18"/>
          <w:lang w:val="en-GB"/>
        </w:rPr>
        <w:t>l</w:t>
      </w:r>
      <w:r w:rsidRPr="00491918">
        <w:rPr>
          <w:szCs w:val="18"/>
        </w:rPr>
        <w:t xml:space="preserve">oss </w:t>
      </w:r>
      <w:r w:rsidRPr="00491918">
        <w:rPr>
          <w:szCs w:val="18"/>
          <w:lang w:val="en-GB"/>
        </w:rPr>
        <w:t>g</w:t>
      </w:r>
      <w:r w:rsidRPr="00491918">
        <w:rPr>
          <w:szCs w:val="18"/>
        </w:rPr>
        <w:t xml:space="preserve">iven </w:t>
      </w:r>
      <w:r w:rsidRPr="00491918">
        <w:rPr>
          <w:szCs w:val="18"/>
          <w:lang w:val="en-GB"/>
        </w:rPr>
        <w:t>d</w:t>
      </w:r>
      <w:r w:rsidRPr="00491918">
        <w:rPr>
          <w:szCs w:val="18"/>
        </w:rPr>
        <w:t>efault recalibration</w:t>
      </w:r>
      <w:r w:rsidRPr="00491918">
        <w:rPr>
          <w:szCs w:val="18"/>
          <w:lang w:val="en-GB"/>
        </w:rPr>
        <w:t>,</w:t>
      </w:r>
      <w:r w:rsidRPr="00491918">
        <w:rPr>
          <w:szCs w:val="18"/>
        </w:rPr>
        <w:t xml:space="preserve"> a change </w:t>
      </w:r>
      <w:r w:rsidRPr="00491918">
        <w:rPr>
          <w:szCs w:val="18"/>
          <w:lang w:val="en-GB"/>
        </w:rPr>
        <w:t>in the</w:t>
      </w:r>
      <w:r w:rsidRPr="00491918">
        <w:rPr>
          <w:szCs w:val="18"/>
        </w:rPr>
        <w:t xml:space="preserve"> regulatory treatment for </w:t>
      </w:r>
      <w:r w:rsidRPr="00491918">
        <w:rPr>
          <w:szCs w:val="18"/>
          <w:lang w:val="en-GB"/>
        </w:rPr>
        <w:t>c</w:t>
      </w:r>
      <w:r w:rsidRPr="00491918">
        <w:rPr>
          <w:szCs w:val="18"/>
        </w:rPr>
        <w:t xml:space="preserve">ommercial </w:t>
      </w:r>
      <w:r w:rsidRPr="00491918">
        <w:rPr>
          <w:szCs w:val="18"/>
          <w:lang w:val="en-GB"/>
        </w:rPr>
        <w:t>r</w:t>
      </w:r>
      <w:r w:rsidRPr="00491918">
        <w:rPr>
          <w:szCs w:val="18"/>
        </w:rPr>
        <w:t xml:space="preserve">eal </w:t>
      </w:r>
      <w:r w:rsidRPr="00491918">
        <w:rPr>
          <w:szCs w:val="18"/>
          <w:lang w:val="en-GB"/>
        </w:rPr>
        <w:t>e</w:t>
      </w:r>
      <w:r w:rsidRPr="00491918">
        <w:rPr>
          <w:szCs w:val="18"/>
        </w:rPr>
        <w:t>state exposures, and foreign currency movements</w:t>
      </w:r>
      <w:r w:rsidRPr="00491918">
        <w:rPr>
          <w:szCs w:val="18"/>
          <w:lang w:val="en-GB"/>
        </w:rPr>
        <w:t>. This was</w:t>
      </w:r>
      <w:r w:rsidRPr="00491918">
        <w:rPr>
          <w:szCs w:val="18"/>
        </w:rPr>
        <w:t xml:space="preserve"> partially offset by</w:t>
      </w:r>
      <w:r w:rsidR="000A77B6" w:rsidRPr="00491918">
        <w:rPr>
          <w:szCs w:val="18"/>
          <w:lang w:val="en-GB"/>
        </w:rPr>
        <w:t xml:space="preserve"> a reduction in</w:t>
      </w:r>
      <w:r w:rsidRPr="00491918">
        <w:rPr>
          <w:szCs w:val="18"/>
          <w:lang w:val="en-GB"/>
        </w:rPr>
        <w:t xml:space="preserve"> Exit Quadrant RWAs </w:t>
      </w:r>
      <w:r w:rsidRPr="00491918">
        <w:rPr>
          <w:szCs w:val="18"/>
        </w:rPr>
        <w:t xml:space="preserve">and </w:t>
      </w:r>
      <w:r w:rsidRPr="00491918">
        <w:rPr>
          <w:szCs w:val="18"/>
          <w:lang w:val="en-GB"/>
        </w:rPr>
        <w:t>RWA</w:t>
      </w:r>
      <w:r w:rsidRPr="00491918">
        <w:rPr>
          <w:szCs w:val="18"/>
        </w:rPr>
        <w:t xml:space="preserve"> reallocation</w:t>
      </w:r>
      <w:r w:rsidRPr="00491918">
        <w:rPr>
          <w:szCs w:val="18"/>
          <w:lang w:val="en-GB"/>
        </w:rPr>
        <w:t>s</w:t>
      </w:r>
      <w:r w:rsidRPr="00491918">
        <w:rPr>
          <w:szCs w:val="18"/>
        </w:rPr>
        <w:t xml:space="preserve"> across businesses</w:t>
      </w:r>
    </w:p>
    <w:p w:rsidR="000D1659" w:rsidRPr="00491918" w:rsidRDefault="000D1659">
      <w:pPr>
        <w:rPr>
          <w:bCs/>
          <w:szCs w:val="18"/>
          <w:lang w:val="en-GB"/>
        </w:rPr>
        <w:sectPr w:rsidR="000D1659"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trPr>
          <w:trHeight w:val="315"/>
        </w:trPr>
        <w:tc>
          <w:tcPr>
            <w:tcW w:w="42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pPr>
              <w:rPr>
                <w:bCs/>
                <w:szCs w:val="18"/>
                <w:lang w:val="en-GB"/>
              </w:rPr>
            </w:pPr>
            <w:r w:rsidRPr="00491918">
              <w:rPr>
                <w:b/>
                <w:bCs/>
                <w:color w:val="000000"/>
                <w:sz w:val="24"/>
                <w:szCs w:val="18"/>
                <w:lang w:val="en-GB"/>
              </w:rPr>
              <w:t>Wealth and Investment Management</w:t>
            </w:r>
            <w:r w:rsidRPr="00491918">
              <w:rPr>
                <w:b/>
                <w:bCs/>
                <w:color w:val="000000"/>
                <w:sz w:val="24"/>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bCs/>
                <w:color w:val="000000"/>
                <w:sz w:val="24"/>
                <w:szCs w:val="18"/>
                <w:vertAlign w:val="superscript"/>
                <w:lang w:val="en-GB"/>
              </w:rPr>
            </w:pPr>
            <w:r w:rsidRPr="00491918">
              <w:rPr>
                <w:bCs/>
                <w:color w:val="000000"/>
                <w:sz w:val="24"/>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24"/>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24"/>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24"/>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24"/>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24"/>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24"/>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24"/>
                <w:szCs w:val="18"/>
                <w:lang w:val="en-GB"/>
              </w:rPr>
              <w:t xml:space="preserve"> </w:t>
            </w:r>
          </w:p>
        </w:tc>
      </w:tr>
      <w:tr w:rsidR="009E6048" w:rsidRPr="00491918" w:rsidTr="000732DD">
        <w:trPr>
          <w:trHeight w:val="27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24"/>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Cs/>
                <w:color w:val="000000"/>
                <w:sz w:val="16"/>
                <w:szCs w:val="18"/>
                <w:vertAlign w:val="superscript"/>
                <w:lang w:val="en-GB"/>
              </w:rPr>
            </w:pPr>
            <w:r w:rsidRPr="00491918">
              <w:rPr>
                <w:b/>
                <w:bCs/>
                <w:color w:val="000000"/>
                <w:sz w:val="16"/>
                <w:szCs w:val="18"/>
                <w:lang w:val="en-GB"/>
              </w:rPr>
              <w:t>Half Year Ended</w:t>
            </w:r>
          </w:p>
        </w:tc>
        <w:tc>
          <w:tcPr>
            <w:tcW w:w="1605"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Half Year Ended</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Half Year Ended</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
                <w:bCs/>
                <w:color w:val="000000"/>
                <w:sz w:val="20"/>
                <w:szCs w:val="18"/>
                <w:lang w:val="en-GB"/>
              </w:rPr>
              <w:t>Income Statement Information</w:t>
            </w:r>
            <w:r w:rsidRPr="00491918">
              <w:rPr>
                <w:b/>
                <w:bCs/>
                <w:color w:val="000000"/>
                <w:sz w:val="20"/>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20"/>
                <w:szCs w:val="18"/>
                <w:vertAlign w:val="superscript"/>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30.06.12</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bCs/>
                <w:color w:val="000000"/>
                <w:sz w:val="16"/>
                <w:szCs w:val="18"/>
                <w:lang w:val="en-GB"/>
              </w:rPr>
            </w:pPr>
            <w:r w:rsidRPr="00491918">
              <w:rPr>
                <w:b/>
                <w:bCs/>
                <w:color w:val="000000"/>
                <w:sz w:val="16"/>
                <w:szCs w:val="18"/>
                <w:lang w:val="en-GB"/>
              </w:rPr>
              <w:t>YoY</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Change</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Net interest income</w:t>
            </w:r>
            <w:r w:rsidRPr="00491918">
              <w:rPr>
                <w:bCs/>
                <w:color w:val="000000"/>
                <w:sz w:val="16"/>
                <w:szCs w:val="18"/>
                <w:vertAlign w:val="superscript"/>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431 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436 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420 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3 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Net fee and commission income</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485 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480 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468 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Net trading income</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9 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11 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5 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80 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Net investment income</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Other (expense)/income</w:t>
            </w:r>
            <w:r w:rsidRPr="00491918">
              <w:rPr>
                <w:bCs/>
                <w:color w:val="000000"/>
                <w:sz w:val="16"/>
                <w:szCs w:val="18"/>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
                <w:bCs/>
                <w:color w:val="000000"/>
                <w:sz w:val="16"/>
                <w:szCs w:val="18"/>
                <w:lang w:val="en-GB"/>
              </w:rPr>
              <w:t>Total income</w:t>
            </w:r>
            <w:r w:rsidRPr="00491918">
              <w:rPr>
                <w:b/>
                <w:bCs/>
                <w:color w:val="000000"/>
                <w:sz w:val="16"/>
                <w:szCs w:val="18"/>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931 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926 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894 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4 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Cs/>
                <w:color w:val="000000"/>
                <w:sz w:val="16"/>
                <w:szCs w:val="18"/>
                <w:lang w:val="en-GB"/>
              </w:rPr>
              <w:t>Credit impairment charges and other provisions</w:t>
            </w:r>
            <w:r w:rsidRPr="00491918">
              <w:rPr>
                <w:bCs/>
                <w:color w:val="000000"/>
                <w:sz w:val="16"/>
                <w:szCs w:val="18"/>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(49)</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(19)</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(19)</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
                <w:bCs/>
                <w:color w:val="000000"/>
                <w:sz w:val="16"/>
                <w:szCs w:val="18"/>
                <w:lang w:val="en-GB"/>
              </w:rPr>
              <w:t>Net operating income</w:t>
            </w:r>
            <w:r w:rsidRPr="00491918">
              <w:rPr>
                <w:b/>
                <w:bCs/>
                <w:color w:val="000000"/>
                <w:sz w:val="16"/>
                <w:szCs w:val="18"/>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882 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907 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875 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1 </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
                <w:bCs/>
                <w:color w:val="000000"/>
                <w:sz w:val="16"/>
                <w:szCs w:val="18"/>
                <w:lang w:val="en-GB"/>
              </w:rPr>
              <w:t xml:space="preserve"> </w:t>
            </w:r>
            <w:r w:rsidRPr="00491918">
              <w:rPr>
                <w:b/>
                <w:bCs/>
                <w:color w:val="000000"/>
                <w:sz w:val="16"/>
                <w:szCs w:val="18"/>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r>
      <w:tr w:rsidR="000D1659" w:rsidRPr="00491918">
        <w:trPr>
          <w:trHeight w:val="51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Cs/>
                <w:color w:val="000000"/>
                <w:sz w:val="16"/>
                <w:szCs w:val="18"/>
                <w:lang w:val="en-GB"/>
              </w:rPr>
              <w:t xml:space="preserve">Operating expenses (excluding costs to achieve Transform and UK bank levy) </w:t>
            </w:r>
            <w:r w:rsidRPr="00491918">
              <w:rPr>
                <w:bCs/>
                <w:color w:val="000000"/>
                <w:sz w:val="16"/>
                <w:szCs w:val="18"/>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(810)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(730)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(775)</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5 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Costs to achieve Transform</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(33)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UK bank levy</w:t>
            </w:r>
            <w:r w:rsidRPr="00491918">
              <w:rPr>
                <w:bCs/>
                <w:color w:val="000000"/>
                <w:sz w:val="16"/>
                <w:szCs w:val="18"/>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
                <w:bCs/>
                <w:color w:val="000000"/>
                <w:sz w:val="16"/>
                <w:szCs w:val="18"/>
                <w:lang w:val="en-GB"/>
              </w:rPr>
              <w:t>Operating expenses</w:t>
            </w:r>
            <w:r w:rsidRPr="00491918">
              <w:rPr>
                <w:b/>
                <w:bCs/>
                <w:color w:val="000000"/>
                <w:sz w:val="16"/>
                <w:szCs w:val="18"/>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(843)</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(734)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(775)</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9 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
                <w:bCs/>
                <w:color w:val="000000"/>
                <w:sz w:val="16"/>
                <w:szCs w:val="18"/>
                <w:lang w:val="en-GB"/>
              </w:rPr>
              <w:t xml:space="preserve"> </w:t>
            </w:r>
            <w:r w:rsidRPr="00491918">
              <w:rPr>
                <w:b/>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Cs/>
                <w:color w:val="000000"/>
                <w:sz w:val="16"/>
                <w:szCs w:val="18"/>
                <w:lang w:val="en-GB"/>
              </w:rPr>
              <w:t>Other net income/(expense)</w:t>
            </w:r>
            <w:r w:rsidRPr="00491918">
              <w:rPr>
                <w:bCs/>
                <w:color w:val="000000"/>
                <w:sz w:val="16"/>
                <w:szCs w:val="18"/>
                <w:vertAlign w:val="superscript"/>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bCs/>
                <w:color w:val="000000"/>
                <w:sz w:val="16"/>
                <w:szCs w:val="18"/>
                <w:lang w:val="en-GB"/>
              </w:rPr>
            </w:pPr>
            <w:r w:rsidRPr="00491918">
              <w:rPr>
                <w:bCs/>
                <w:color w:val="000000"/>
                <w:sz w:val="16"/>
                <w:szCs w:val="18"/>
                <w:lang w:val="en-GB"/>
              </w:rPr>
              <w:t>8 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
                <w:bCs/>
                <w:color w:val="000000"/>
                <w:sz w:val="16"/>
                <w:szCs w:val="18"/>
                <w:lang w:val="en-GB"/>
              </w:rPr>
              <w:t>Profit before tax</w:t>
            </w:r>
            <w:r w:rsidRPr="00491918">
              <w:rPr>
                <w:b/>
                <w:bCs/>
                <w:color w:val="000000"/>
                <w:sz w:val="16"/>
                <w:szCs w:val="18"/>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47 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175 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99 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(53)</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
                <w:bCs/>
                <w:color w:val="000000"/>
                <w:sz w:val="16"/>
                <w:szCs w:val="18"/>
                <w:lang w:val="en-GB"/>
              </w:rPr>
              <w:t xml:space="preserve"> </w:t>
            </w:r>
            <w:r w:rsidRPr="00491918">
              <w:rPr>
                <w:b/>
                <w:bCs/>
                <w:color w:val="000000"/>
                <w:sz w:val="16"/>
                <w:szCs w:val="18"/>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
                <w:bCs/>
                <w:color w:val="000000"/>
                <w:sz w:val="16"/>
                <w:szCs w:val="18"/>
                <w:lang w:val="en-GB"/>
              </w:rPr>
              <w:t>Adjusted profit before tax</w:t>
            </w:r>
            <w:r w:rsidRPr="00491918">
              <w:rPr>
                <w:b/>
                <w:bCs/>
                <w:color w:val="000000"/>
                <w:sz w:val="16"/>
                <w:szCs w:val="18"/>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47 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175 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99 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(53)</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Cs/>
                <w:color w:val="000000"/>
                <w:sz w:val="16"/>
                <w:szCs w:val="18"/>
                <w:lang w:val="en-GB"/>
              </w:rPr>
              <w:t>Adjusted attributable profit</w:t>
            </w:r>
            <w:r w:rsidRPr="00491918">
              <w:rPr>
                <w:bCs/>
                <w:color w:val="000000"/>
                <w:sz w:val="16"/>
                <w:szCs w:val="18"/>
                <w:vertAlign w:val="superscript"/>
                <w:lang w:val="en-GB"/>
              </w:rPr>
              <w:t>1 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29 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153 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70 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(59)</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
                <w:bCs/>
                <w:color w:val="000000"/>
                <w:sz w:val="16"/>
                <w:szCs w:val="18"/>
                <w:lang w:val="en-GB"/>
              </w:rPr>
              <w:t xml:space="preserve"> </w:t>
            </w:r>
            <w:r w:rsidRPr="00491918">
              <w:rPr>
                <w:b/>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vertAlign w:val="superscript"/>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
                <w:bCs/>
                <w:color w:val="000000"/>
                <w:sz w:val="20"/>
                <w:szCs w:val="18"/>
                <w:lang w:val="en-GB"/>
              </w:rPr>
              <w:t>Balance Sheet Information and Key Facts</w:t>
            </w:r>
            <w:r w:rsidRPr="00491918">
              <w:rPr>
                <w:b/>
                <w:bCs/>
                <w:color w:val="000000"/>
                <w:sz w:val="20"/>
                <w:szCs w:val="18"/>
                <w:vertAlign w:val="superscript"/>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20"/>
                <w:szCs w:val="18"/>
                <w:vertAlign w:val="superscript"/>
                <w:lang w:val="en-GB"/>
              </w:rPr>
            </w:pPr>
            <w:r w:rsidRPr="00491918">
              <w:rPr>
                <w:bCs/>
                <w:color w:val="000000"/>
                <w:sz w:val="20"/>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20"/>
                <w:szCs w:val="18"/>
                <w:lang w:val="en-GB"/>
              </w:rPr>
            </w:pPr>
            <w:r w:rsidRPr="00491918">
              <w:rPr>
                <w:bCs/>
                <w:color w:val="000000"/>
                <w:sz w:val="20"/>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20"/>
                <w:szCs w:val="18"/>
                <w:lang w:val="en-GB"/>
              </w:rPr>
            </w:pPr>
            <w:r w:rsidRPr="00491918">
              <w:rPr>
                <w:bCs/>
                <w:color w:val="000000"/>
                <w:sz w:val="20"/>
                <w:szCs w:val="18"/>
                <w:lang w:val="en-GB"/>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20"/>
                <w:szCs w:val="18"/>
                <w:lang w:val="en-GB"/>
              </w:rPr>
            </w:pPr>
            <w:r w:rsidRPr="00491918">
              <w:rPr>
                <w:bCs/>
                <w:color w:val="000000"/>
                <w:sz w:val="20"/>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20"/>
                <w:szCs w:val="18"/>
                <w:lang w:val="en-GB"/>
              </w:rPr>
            </w:pPr>
            <w:r w:rsidRPr="00491918">
              <w:rPr>
                <w:bCs/>
                <w:color w:val="000000"/>
                <w:sz w:val="20"/>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20"/>
                <w:szCs w:val="18"/>
                <w:lang w:val="en-GB"/>
              </w:rPr>
            </w:pPr>
            <w:r w:rsidRPr="00491918">
              <w:rPr>
                <w:bCs/>
                <w:color w:val="000000"/>
                <w:sz w:val="20"/>
                <w:szCs w:val="18"/>
                <w:lang w:val="en-GB"/>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20"/>
                <w:szCs w:val="18"/>
                <w:lang w:val="en-GB"/>
              </w:rPr>
            </w:pPr>
            <w:r w:rsidRPr="00491918">
              <w:rPr>
                <w:bCs/>
                <w:color w:val="000000"/>
                <w:sz w:val="20"/>
                <w:szCs w:val="18"/>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Cs/>
                <w:color w:val="000000"/>
                <w:sz w:val="20"/>
                <w:szCs w:val="18"/>
                <w:lang w:val="en-GB"/>
              </w:rPr>
            </w:pPr>
            <w:r w:rsidRPr="00491918">
              <w:rPr>
                <w:bCs/>
                <w:color w:val="000000"/>
                <w:sz w:val="20"/>
                <w:szCs w:val="18"/>
                <w:lang w:val="en-GB"/>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Cs/>
                <w:color w:val="000000"/>
                <w:sz w:val="20"/>
                <w:szCs w:val="18"/>
                <w:lang w:val="en-GB"/>
              </w:rPr>
            </w:pPr>
            <w:r w:rsidRPr="00491918">
              <w:rPr>
                <w:bCs/>
                <w:color w:val="000000"/>
                <w:sz w:val="16"/>
                <w:szCs w:val="18"/>
                <w:lang w:val="en-GB"/>
              </w:rPr>
              <w:t>Loans and advances to customers at amortised cost</w:t>
            </w:r>
            <w:r w:rsidRPr="00491918">
              <w:rPr>
                <w:bCs/>
                <w:color w:val="000000"/>
                <w:sz w:val="16"/>
                <w:szCs w:val="18"/>
                <w:vertAlign w:val="superscript"/>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£22</w:t>
            </w:r>
            <w:r w:rsidR="00DE4EF3" w:rsidRPr="00491918">
              <w:rPr>
                <w:bCs/>
                <w:color w:val="000000"/>
                <w:sz w:val="16"/>
                <w:szCs w:val="18"/>
                <w:lang w:val="en-GB"/>
              </w:rPr>
              <w:t>.6</w:t>
            </w:r>
            <w:r w:rsidRPr="00491918">
              <w:rPr>
                <w:bCs/>
                <w:color w:val="000000"/>
                <w:sz w:val="16"/>
                <w:szCs w:val="18"/>
                <w:lang w:val="en-GB"/>
              </w:rPr>
              <w:t>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£21.3bn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£19.8bn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Customer deposits</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£62.8bn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£53.8bn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£50.0bn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Total assets</w:t>
            </w:r>
            <w:r w:rsidRPr="00491918">
              <w:rPr>
                <w:bCs/>
                <w:color w:val="000000"/>
                <w:sz w:val="16"/>
                <w:szCs w:val="18"/>
                <w:vertAlign w:val="superscript"/>
                <w:lang w:val="en-GB"/>
              </w:rPr>
              <w:t>2 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£36.5bn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£24.5bn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£23.4bn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Risk weighted assets</w:t>
            </w:r>
            <w:r w:rsidRPr="00491918">
              <w:rPr>
                <w:bCs/>
                <w:color w:val="000000"/>
                <w:sz w:val="16"/>
                <w:szCs w:val="18"/>
                <w:vertAlign w:val="superscript"/>
                <w:lang w:val="en-GB"/>
              </w:rPr>
              <w:t>2 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£17.0bn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£16.1bn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£14.0bn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Cs/>
                <w:color w:val="000000"/>
                <w:sz w:val="16"/>
                <w:szCs w:val="18"/>
                <w:vertAlign w:val="superscript"/>
                <w:lang w:val="en-GB"/>
              </w:rPr>
            </w:pPr>
            <w:r w:rsidRPr="00491918">
              <w:rPr>
                <w:rFonts w:ascii="Arial" w:eastAsia="Arial" w:hAnsi="Arial" w:cs="Arial"/>
                <w:bCs/>
                <w:color w:val="000000"/>
                <w:sz w:val="20"/>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bCs/>
                <w:color w:val="000000"/>
                <w:sz w:val="20"/>
                <w:szCs w:val="18"/>
                <w:lang w:val="en-GB"/>
              </w:rPr>
            </w:pPr>
            <w:r w:rsidRPr="00491918">
              <w:rPr>
                <w:rFonts w:ascii="Arial" w:eastAsia="Arial" w:hAnsi="Arial" w:cs="Arial"/>
                <w:bCs/>
                <w:color w:val="000000"/>
                <w:sz w:val="20"/>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rFonts w:ascii="Arial" w:eastAsia="Arial" w:hAnsi="Arial" w:cs="Arial"/>
                <w:bCs/>
                <w:color w:val="000000"/>
                <w:sz w:val="20"/>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Client assets</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£202.8bn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£186.0bn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£176.1bn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Number of employees (full time equivalent)</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8,300 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8,300 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8,200 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9E6048" w:rsidRPr="00491918" w:rsidTr="000732DD">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Cs/>
                <w:color w:val="000000"/>
                <w:sz w:val="16"/>
                <w:szCs w:val="18"/>
                <w:vertAlign w:val="superscript"/>
                <w:lang w:val="en-GB"/>
              </w:rPr>
            </w:pPr>
            <w:r w:rsidRPr="00491918">
              <w:rPr>
                <w:b/>
                <w:bCs/>
                <w:color w:val="000000"/>
                <w:sz w:val="16"/>
                <w:szCs w:val="18"/>
                <w:lang w:val="en-GB"/>
              </w:rPr>
              <w:t>Adjusted</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bCs/>
                <w:color w:val="000000"/>
                <w:sz w:val="16"/>
                <w:szCs w:val="18"/>
                <w:lang w:val="en-GB"/>
              </w:rPr>
            </w:pPr>
            <w:r w:rsidRPr="00491918">
              <w:rPr>
                <w:b/>
                <w:bCs/>
                <w:color w:val="000000"/>
                <w:sz w:val="16"/>
                <w:szCs w:val="18"/>
                <w:lang w:val="en-GB"/>
              </w:rPr>
              <w:t xml:space="preserve"> </w:t>
            </w:r>
          </w:p>
        </w:tc>
        <w:tc>
          <w:tcPr>
            <w:tcW w:w="225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bCs/>
                <w:color w:val="000000"/>
                <w:sz w:val="16"/>
                <w:szCs w:val="18"/>
                <w:lang w:val="en-GB"/>
              </w:rPr>
            </w:pPr>
            <w:r w:rsidRPr="00491918">
              <w:rPr>
                <w:b/>
                <w:bCs/>
                <w:color w:val="000000"/>
                <w:sz w:val="16"/>
                <w:szCs w:val="18"/>
                <w:lang w:val="en-GB"/>
              </w:rPr>
              <w:t>Statutory</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bCs/>
                <w:color w:val="000000"/>
                <w:sz w:val="16"/>
                <w:szCs w:val="18"/>
                <w:lang w:val="en-GB"/>
              </w:rPr>
            </w:pPr>
            <w:r w:rsidRPr="00491918">
              <w:rPr>
                <w:b/>
                <w:bCs/>
                <w:color w:val="000000"/>
                <w:sz w:val="16"/>
                <w:szCs w:val="18"/>
                <w:lang w:val="en-GB"/>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
                <w:bCs/>
                <w:color w:val="000000"/>
                <w:sz w:val="20"/>
                <w:szCs w:val="18"/>
                <w:lang w:val="en-GB"/>
              </w:rPr>
              <w:t>Performance Measures</w:t>
            </w:r>
            <w:r w:rsidRPr="00491918">
              <w:rPr>
                <w:b/>
                <w:bCs/>
                <w:color w:val="000000"/>
                <w:sz w:val="20"/>
                <w:szCs w:val="18"/>
                <w:vertAlign w:val="superscript"/>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20"/>
                <w:szCs w:val="18"/>
                <w:vertAlign w:val="superscript"/>
                <w:lang w:val="en-GB"/>
              </w:rPr>
            </w:pPr>
            <w:r w:rsidRPr="00491918">
              <w:rPr>
                <w:b/>
                <w:bCs/>
                <w:color w:val="000000"/>
                <w:sz w:val="16"/>
                <w:szCs w:val="18"/>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30.06.12</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30.06.13</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31.12.12</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30.06.12</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bCs/>
                <w:color w:val="000000"/>
                <w:sz w:val="16"/>
                <w:szCs w:val="18"/>
                <w:lang w:val="en-GB"/>
              </w:rPr>
            </w:pPr>
            <w:r w:rsidRPr="00491918">
              <w:rPr>
                <w:b/>
                <w:bCs/>
                <w:color w:val="000000"/>
                <w:sz w:val="16"/>
                <w:szCs w:val="18"/>
                <w:lang w:val="en-GB"/>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b/>
                <w:bCs/>
                <w:color w:val="000000"/>
                <w:sz w:val="16"/>
                <w:szCs w:val="18"/>
                <w:lang w:val="en-GB"/>
              </w:rPr>
            </w:pPr>
            <w:r w:rsidRPr="00491918">
              <w:rPr>
                <w:bCs/>
                <w:color w:val="000000"/>
                <w:sz w:val="16"/>
                <w:szCs w:val="18"/>
                <w:lang w:val="en-GB"/>
              </w:rPr>
              <w:t>Return on average equity</w:t>
            </w:r>
            <w:r w:rsidRPr="00491918">
              <w:rPr>
                <w:bCs/>
                <w:color w:val="000000"/>
                <w:sz w:val="16"/>
                <w:szCs w:val="18"/>
                <w:vertAlign w:val="superscript"/>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2.5%</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14.9%</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7.3%</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2.5%</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14.9%</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7.3%</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Return on average risk weighted assets</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0.4%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1.2%</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0.4%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2.2%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1.2%</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Cost: income ratio</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91%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79%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87%</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91%</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79%</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87%</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Loan loss rate (bps)</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43 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19 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43 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19 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color w:val="000000"/>
                <w:sz w:val="16"/>
                <w:szCs w:val="18"/>
                <w:lang w:val="en-GB"/>
              </w:rPr>
              <w:t xml:space="preserve"> </w:t>
            </w:r>
            <w:r w:rsidRPr="00491918">
              <w:rPr>
                <w:bCs/>
                <w:color w:val="000000"/>
                <w:sz w:val="16"/>
                <w:szCs w:val="18"/>
                <w:vertAlign w:val="superscript"/>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vertAlign w:val="superscript"/>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Cs/>
                <w:color w:val="000000"/>
                <w:sz w:val="16"/>
                <w:szCs w:val="18"/>
                <w:lang w:val="en-GB"/>
              </w:rPr>
            </w:pPr>
            <w:r w:rsidRPr="00491918">
              <w:rPr>
                <w:bCs/>
                <w:color w:val="000000"/>
                <w:sz w:val="16"/>
                <w:szCs w:val="18"/>
                <w:lang w:val="en-GB"/>
              </w:rPr>
              <w:t xml:space="preserve"> </w:t>
            </w:r>
          </w:p>
        </w:tc>
      </w:tr>
      <w:tr w:rsidR="009E6048" w:rsidRPr="00491918" w:rsidTr="000732DD">
        <w:trPr>
          <w:trHeight w:hRule="exact" w:val="420"/>
        </w:trPr>
        <w:tc>
          <w:tcPr>
            <w:tcW w:w="8880" w:type="dxa"/>
            <w:gridSpan w:val="8"/>
            <w:tcBorders>
              <w:top w:val="nil"/>
              <w:left w:val="nil"/>
              <w:bottom w:val="nil"/>
              <w:right w:val="nil"/>
            </w:tcBorders>
            <w:shd w:val="clear" w:color="auto" w:fill="FFFFFF"/>
            <w:tcMar>
              <w:left w:w="36" w:type="dxa"/>
              <w:right w:w="36" w:type="dxa"/>
            </w:tcMar>
            <w:vAlign w:val="center"/>
          </w:tcPr>
          <w:p w:rsidR="000D1659" w:rsidRPr="00491918" w:rsidRDefault="000D1659">
            <w:pPr>
              <w:rPr>
                <w:bCs/>
                <w:color w:val="000000"/>
                <w:sz w:val="16"/>
                <w:szCs w:val="18"/>
                <w:lang w:val="en-GB"/>
              </w:rPr>
            </w:pPr>
            <w:r w:rsidRPr="00491918">
              <w:rPr>
                <w:bCs/>
                <w:i/>
                <w:color w:val="000000"/>
                <w:sz w:val="14"/>
                <w:szCs w:val="18"/>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Cs/>
                <w:i/>
                <w:color w:val="000000"/>
                <w:sz w:val="14"/>
                <w:szCs w:val="18"/>
                <w:lang w:val="en-GB"/>
              </w:rPr>
            </w:pPr>
            <w:r w:rsidRPr="00491918">
              <w:rPr>
                <w:bCs/>
                <w:i/>
                <w:color w:val="000000"/>
                <w:sz w:val="14"/>
                <w:szCs w:val="18"/>
                <w:lang w:val="en-GB"/>
              </w:rPr>
              <w:t xml:space="preserve"> </w:t>
            </w:r>
          </w:p>
        </w:tc>
      </w:tr>
    </w:tbl>
    <w:p w:rsidR="000D1659" w:rsidRPr="00491918" w:rsidRDefault="000D1659">
      <w:pPr>
        <w:rPr>
          <w:bCs/>
          <w:szCs w:val="18"/>
          <w:lang w:val="en-GB"/>
        </w:rPr>
      </w:pPr>
    </w:p>
    <w:p w:rsidR="000D1659" w:rsidRPr="00491918" w:rsidRDefault="000D1659" w:rsidP="000D1659">
      <w:pPr>
        <w:pStyle w:val="HeadingLevel1-BarcRA18"/>
        <w:spacing w:after="0"/>
        <w:ind w:left="284" w:hanging="284"/>
        <w:jc w:val="left"/>
        <w:rPr>
          <w:b w:val="0"/>
          <w:i/>
          <w:sz w:val="14"/>
          <w:szCs w:val="14"/>
          <w:lang w:val="en-GB"/>
        </w:rPr>
      </w:pPr>
    </w:p>
    <w:p w:rsidR="000D1659" w:rsidRPr="00491918" w:rsidRDefault="000D1659" w:rsidP="000D1659">
      <w:pPr>
        <w:pStyle w:val="HeadingLevel1-BarcRA18"/>
        <w:spacing w:after="0"/>
        <w:ind w:left="284" w:hanging="284"/>
        <w:jc w:val="left"/>
        <w:rPr>
          <w:b w:val="0"/>
          <w:i/>
          <w:sz w:val="14"/>
          <w:szCs w:val="14"/>
          <w:lang w:val="en-GB"/>
        </w:rPr>
      </w:pPr>
    </w:p>
    <w:p w:rsidR="00E9782A" w:rsidRPr="00491918" w:rsidRDefault="00E9782A" w:rsidP="00E9782A">
      <w:pPr>
        <w:pStyle w:val="BodyText-BarcRA20"/>
      </w:pPr>
    </w:p>
    <w:p w:rsidR="000D1659" w:rsidRPr="00491918" w:rsidRDefault="000D1659" w:rsidP="00CD39D9">
      <w:pPr>
        <w:pStyle w:val="Normal30"/>
        <w:numPr>
          <w:ilvl w:val="0"/>
          <w:numId w:val="68"/>
        </w:numPr>
        <w:ind w:left="284" w:hanging="284"/>
        <w:rPr>
          <w:i/>
        </w:rPr>
      </w:pPr>
      <w:r w:rsidRPr="00491918">
        <w:rPr>
          <w:i/>
          <w:color w:val="000000"/>
          <w:sz w:val="14"/>
        </w:rPr>
        <w:t>Attributable profit includes profit after tax and non-controlling interests.</w:t>
      </w:r>
    </w:p>
    <w:p w:rsidR="00E9782A" w:rsidRPr="00491918" w:rsidRDefault="000D1659" w:rsidP="00CD39D9">
      <w:pPr>
        <w:pStyle w:val="Normal30"/>
        <w:numPr>
          <w:ilvl w:val="0"/>
          <w:numId w:val="68"/>
        </w:numPr>
        <w:ind w:left="284" w:hanging="284"/>
        <w:rPr>
          <w:i/>
        </w:rPr>
      </w:pPr>
      <w:r w:rsidRPr="00491918">
        <w:rPr>
          <w:i/>
          <w:color w:val="000000"/>
          <w:sz w:val="14"/>
        </w:rPr>
        <w:t>2013 total assets and risk weighted assets include an allocation of liquidity pool assets previously held centrally.</w:t>
      </w:r>
    </w:p>
    <w:p w:rsidR="00DA356B" w:rsidRPr="00491918" w:rsidRDefault="00DA356B" w:rsidP="000464EA">
      <w:pPr>
        <w:spacing w:after="240"/>
        <w:rPr>
          <w:b/>
          <w:sz w:val="24"/>
        </w:rPr>
      </w:pPr>
    </w:p>
    <w:p w:rsidR="00DA356B" w:rsidRPr="00491918" w:rsidRDefault="00DA356B" w:rsidP="000464EA">
      <w:pPr>
        <w:spacing w:after="240"/>
        <w:rPr>
          <w:b/>
          <w:sz w:val="24"/>
        </w:rPr>
      </w:pPr>
    </w:p>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sidP="008D6001">
      <w:pPr>
        <w:pStyle w:val="Normal30"/>
        <w:outlineLvl w:val="0"/>
        <w:rPr>
          <w:i/>
        </w:rPr>
      </w:pPr>
      <w:r w:rsidRPr="00491918">
        <w:rPr>
          <w:b/>
          <w:sz w:val="24"/>
        </w:rPr>
        <w:t>Wealth and Investment Management</w:t>
      </w:r>
    </w:p>
    <w:p w:rsidR="000D1659" w:rsidRPr="00491918" w:rsidRDefault="000D1659" w:rsidP="000D1659">
      <w:pPr>
        <w:pStyle w:val="Normal30"/>
        <w:rPr>
          <w:b/>
          <w:sz w:val="20"/>
        </w:rPr>
      </w:pPr>
    </w:p>
    <w:p w:rsidR="000D1659" w:rsidRPr="00491918" w:rsidRDefault="000D1659" w:rsidP="008D6001">
      <w:pPr>
        <w:pStyle w:val="Normal30"/>
        <w:outlineLvl w:val="0"/>
        <w:rPr>
          <w:b/>
          <w:sz w:val="20"/>
        </w:rPr>
      </w:pPr>
      <w:r w:rsidRPr="00491918">
        <w:rPr>
          <w:b/>
          <w:sz w:val="20"/>
        </w:rPr>
        <w:t>Income Statement – H113 compared to H112</w:t>
      </w:r>
    </w:p>
    <w:p w:rsidR="000D1659" w:rsidRPr="00491918" w:rsidRDefault="000D1659" w:rsidP="00CD39D9">
      <w:pPr>
        <w:pStyle w:val="Level1Bullet-BarcRA8"/>
        <w:numPr>
          <w:ilvl w:val="0"/>
          <w:numId w:val="70"/>
        </w:numPr>
        <w:rPr>
          <w:lang w:val="en-GB"/>
        </w:rPr>
      </w:pPr>
      <w:r w:rsidRPr="00491918">
        <w:rPr>
          <w:lang w:val="en-GB"/>
        </w:rPr>
        <w:t>Total income increased 4% to £931m, driven by the High Net Worth businesses, with particular growth in the Americas and Asia regions</w:t>
      </w:r>
    </w:p>
    <w:p w:rsidR="000D1659" w:rsidRPr="00491918" w:rsidRDefault="000D1659" w:rsidP="000D1659">
      <w:pPr>
        <w:pStyle w:val="Level1Bullet-BarcRA300001"/>
      </w:pPr>
      <w:r w:rsidRPr="00491918">
        <w:rPr>
          <w:lang w:val="en-GB"/>
        </w:rPr>
        <w:t xml:space="preserve">Net interest income grew 3% to £431m, driven by growth in deposit and lending balances primarily in the High Net Worth businesses.  </w:t>
      </w:r>
      <w:r w:rsidRPr="00491918">
        <w:t>Net interest margin</w:t>
      </w:r>
      <w:r w:rsidRPr="00491918">
        <w:rPr>
          <w:lang w:val="en-GB"/>
        </w:rPr>
        <w:t xml:space="preserve"> decreased</w:t>
      </w:r>
      <w:r w:rsidRPr="00491918">
        <w:t xml:space="preserve"> </w:t>
      </w:r>
      <w:r w:rsidRPr="00491918">
        <w:rPr>
          <w:lang w:val="en-GB"/>
        </w:rPr>
        <w:t>17</w:t>
      </w:r>
      <w:r w:rsidRPr="00491918">
        <w:t>bps to 1</w:t>
      </w:r>
      <w:r w:rsidRPr="00491918">
        <w:rPr>
          <w:lang w:val="en-GB"/>
        </w:rPr>
        <w:t>08</w:t>
      </w:r>
      <w:r w:rsidRPr="00491918">
        <w:t xml:space="preserve">bps </w:t>
      </w:r>
      <w:r w:rsidRPr="00491918">
        <w:rPr>
          <w:lang w:val="en-GB"/>
        </w:rPr>
        <w:t xml:space="preserve">primarily </w:t>
      </w:r>
      <w:r w:rsidRPr="00491918">
        <w:t>reflecting reduced contribution</w:t>
      </w:r>
      <w:r w:rsidRPr="00491918">
        <w:rPr>
          <w:lang w:val="en-GB"/>
        </w:rPr>
        <w:t>s</w:t>
      </w:r>
      <w:r w:rsidRPr="00491918">
        <w:t xml:space="preserve"> from</w:t>
      </w:r>
      <w:r w:rsidRPr="00491918">
        <w:rPr>
          <w:lang w:val="en-GB"/>
        </w:rPr>
        <w:t xml:space="preserve"> </w:t>
      </w:r>
      <w:r w:rsidRPr="00491918">
        <w:t>structural hedges</w:t>
      </w:r>
    </w:p>
    <w:p w:rsidR="000D1659" w:rsidRPr="00491918" w:rsidRDefault="000D1659" w:rsidP="000D1659">
      <w:pPr>
        <w:pStyle w:val="Level2Bullet-BarcRA01"/>
        <w:tabs>
          <w:tab w:val="num" w:pos="567"/>
        </w:tabs>
        <w:ind w:left="567" w:hanging="283"/>
        <w:rPr>
          <w:szCs w:val="18"/>
        </w:rPr>
      </w:pPr>
      <w:r w:rsidRPr="00491918">
        <w:rPr>
          <w:szCs w:val="18"/>
        </w:rPr>
        <w:t xml:space="preserve">Customer asset margin increased </w:t>
      </w:r>
      <w:r w:rsidRPr="00491918">
        <w:rPr>
          <w:szCs w:val="18"/>
          <w:lang w:val="en-GB"/>
        </w:rPr>
        <w:t>16</w:t>
      </w:r>
      <w:r w:rsidRPr="00491918">
        <w:rPr>
          <w:szCs w:val="18"/>
        </w:rPr>
        <w:t xml:space="preserve">bps to </w:t>
      </w:r>
      <w:r w:rsidRPr="00491918">
        <w:rPr>
          <w:szCs w:val="18"/>
          <w:lang w:val="en-GB"/>
        </w:rPr>
        <w:t>81</w:t>
      </w:r>
      <w:r w:rsidRPr="00491918">
        <w:rPr>
          <w:szCs w:val="18"/>
        </w:rPr>
        <w:t>bps reflecting</w:t>
      </w:r>
      <w:r w:rsidRPr="00491918">
        <w:rPr>
          <w:szCs w:val="18"/>
          <w:lang w:val="en-GB"/>
        </w:rPr>
        <w:t xml:space="preserve"> higher margins on High Net Worth businesses</w:t>
      </w:r>
      <w:r w:rsidRPr="00491918">
        <w:rPr>
          <w:szCs w:val="18"/>
        </w:rPr>
        <w:t xml:space="preserve">.  Average customer assets </w:t>
      </w:r>
      <w:r w:rsidRPr="00491918">
        <w:rPr>
          <w:szCs w:val="18"/>
          <w:lang w:val="en-GB"/>
        </w:rPr>
        <w:t>increased 16</w:t>
      </w:r>
      <w:r w:rsidRPr="00491918">
        <w:rPr>
          <w:szCs w:val="18"/>
        </w:rPr>
        <w:t>% to £</w:t>
      </w:r>
      <w:r w:rsidRPr="00491918">
        <w:rPr>
          <w:szCs w:val="18"/>
          <w:lang w:val="en-GB"/>
        </w:rPr>
        <w:t>22.1</w:t>
      </w:r>
      <w:r w:rsidRPr="00491918">
        <w:rPr>
          <w:szCs w:val="18"/>
        </w:rPr>
        <w:t>bn</w:t>
      </w:r>
    </w:p>
    <w:p w:rsidR="000D1659" w:rsidRPr="00491918" w:rsidRDefault="000D1659" w:rsidP="000D1659">
      <w:pPr>
        <w:pStyle w:val="Level2Bullet-BarcRA01"/>
        <w:tabs>
          <w:tab w:val="num" w:pos="567"/>
        </w:tabs>
        <w:ind w:left="567" w:hanging="283"/>
        <w:rPr>
          <w:szCs w:val="18"/>
        </w:rPr>
      </w:pPr>
      <w:r w:rsidRPr="00491918">
        <w:rPr>
          <w:szCs w:val="18"/>
        </w:rPr>
        <w:t xml:space="preserve">Customer liability margin decreased </w:t>
      </w:r>
      <w:r w:rsidRPr="00491918">
        <w:rPr>
          <w:szCs w:val="18"/>
          <w:lang w:val="en-GB"/>
        </w:rPr>
        <w:t>12</w:t>
      </w:r>
      <w:r w:rsidRPr="00491918">
        <w:rPr>
          <w:szCs w:val="18"/>
        </w:rPr>
        <w:t xml:space="preserve">bps to </w:t>
      </w:r>
      <w:r w:rsidRPr="00491918">
        <w:rPr>
          <w:szCs w:val="18"/>
          <w:lang w:val="en-GB"/>
        </w:rPr>
        <w:t>99</w:t>
      </w:r>
      <w:r w:rsidRPr="00491918">
        <w:rPr>
          <w:szCs w:val="18"/>
        </w:rPr>
        <w:t>bps reflecting</w:t>
      </w:r>
      <w:r w:rsidR="00DE4EF3" w:rsidRPr="00491918">
        <w:rPr>
          <w:szCs w:val="18"/>
          <w:lang w:val="en-GB"/>
        </w:rPr>
        <w:t xml:space="preserve"> changes in product mix</w:t>
      </w:r>
      <w:r w:rsidRPr="00491918">
        <w:rPr>
          <w:szCs w:val="18"/>
        </w:rPr>
        <w:t xml:space="preserve">. Average customer liabilities increased </w:t>
      </w:r>
      <w:r w:rsidRPr="00491918">
        <w:rPr>
          <w:szCs w:val="18"/>
          <w:lang w:val="en-GB"/>
        </w:rPr>
        <w:t>21</w:t>
      </w:r>
      <w:r w:rsidRPr="00491918">
        <w:rPr>
          <w:szCs w:val="18"/>
        </w:rPr>
        <w:t>% to £</w:t>
      </w:r>
      <w:r w:rsidRPr="00491918">
        <w:rPr>
          <w:szCs w:val="18"/>
          <w:lang w:val="en-GB"/>
        </w:rPr>
        <w:t>58.4</w:t>
      </w:r>
      <w:r w:rsidRPr="00491918">
        <w:rPr>
          <w:szCs w:val="18"/>
        </w:rPr>
        <w:t>bn</w:t>
      </w:r>
    </w:p>
    <w:p w:rsidR="000D1659" w:rsidRPr="00491918" w:rsidRDefault="000D1659" w:rsidP="000D1659">
      <w:pPr>
        <w:pStyle w:val="Level1Bullet-BarcRA300001"/>
        <w:rPr>
          <w:lang w:val="en-GB"/>
        </w:rPr>
      </w:pPr>
      <w:r w:rsidRPr="00491918">
        <w:rPr>
          <w:lang w:val="en-GB"/>
        </w:rPr>
        <w:t>Net fees and commission income increased 4% to £485m</w:t>
      </w:r>
    </w:p>
    <w:p w:rsidR="000D1659" w:rsidRPr="00491918" w:rsidRDefault="000D1659" w:rsidP="00CD39D9">
      <w:pPr>
        <w:pStyle w:val="Level1Bullet-BarcRA8"/>
        <w:numPr>
          <w:ilvl w:val="0"/>
          <w:numId w:val="70"/>
        </w:numPr>
      </w:pPr>
      <w:r w:rsidRPr="00491918">
        <w:rPr>
          <w:lang w:val="en-GB"/>
        </w:rPr>
        <w:t>Credit impairment charges increased £30m to £49m, largely due to a £15m charge relating to secured lending on Spanish property</w:t>
      </w:r>
    </w:p>
    <w:p w:rsidR="000D1659" w:rsidRPr="00491918" w:rsidRDefault="000D1659" w:rsidP="00CD39D9">
      <w:pPr>
        <w:pStyle w:val="Level1Bullet-BarcRA8"/>
        <w:numPr>
          <w:ilvl w:val="0"/>
          <w:numId w:val="70"/>
        </w:numPr>
      </w:pPr>
      <w:r w:rsidRPr="00491918">
        <w:t>Operating expenses increased £</w:t>
      </w:r>
      <w:r w:rsidRPr="00491918">
        <w:rPr>
          <w:lang w:val="en-GB"/>
        </w:rPr>
        <w:t>68</w:t>
      </w:r>
      <w:r w:rsidRPr="00491918">
        <w:t>m to £8</w:t>
      </w:r>
      <w:r w:rsidRPr="00491918">
        <w:rPr>
          <w:lang w:val="en-GB"/>
        </w:rPr>
        <w:t>43</w:t>
      </w:r>
      <w:r w:rsidRPr="00491918">
        <w:t>m largely reflecting cost to achieve Transform of £3</w:t>
      </w:r>
      <w:r w:rsidRPr="00491918">
        <w:rPr>
          <w:lang w:val="en-GB"/>
        </w:rPr>
        <w:t>3</w:t>
      </w:r>
      <w:r w:rsidRPr="00491918">
        <w:t xml:space="preserve">m related to restructuring costs and </w:t>
      </w:r>
      <w:r w:rsidRPr="00491918">
        <w:rPr>
          <w:lang w:val="en-GB"/>
        </w:rPr>
        <w:t xml:space="preserve">a £22m </w:t>
      </w:r>
      <w:r w:rsidRPr="00491918">
        <w:t>customer remediation</w:t>
      </w:r>
      <w:r w:rsidRPr="00491918">
        <w:rPr>
          <w:lang w:val="en-GB"/>
        </w:rPr>
        <w:t xml:space="preserve"> provision</w:t>
      </w:r>
    </w:p>
    <w:p w:rsidR="000D1659" w:rsidRPr="00491918" w:rsidRDefault="000D1659" w:rsidP="00CD39D9">
      <w:pPr>
        <w:pStyle w:val="Level1Bullet-BarcRA8"/>
        <w:numPr>
          <w:ilvl w:val="0"/>
          <w:numId w:val="70"/>
        </w:numPr>
      </w:pPr>
      <w:r w:rsidRPr="00491918">
        <w:t xml:space="preserve">Profit before tax decreased </w:t>
      </w:r>
      <w:r w:rsidRPr="00491918">
        <w:rPr>
          <w:lang w:val="en-GB"/>
        </w:rPr>
        <w:t>53</w:t>
      </w:r>
      <w:r w:rsidRPr="00491918">
        <w:t>% to £</w:t>
      </w:r>
      <w:r w:rsidRPr="00491918">
        <w:rPr>
          <w:lang w:val="en-GB"/>
        </w:rPr>
        <w:t>47</w:t>
      </w:r>
      <w:r w:rsidRPr="00491918">
        <w:t>m primarily driven by cost</w:t>
      </w:r>
      <w:r w:rsidRPr="00491918">
        <w:rPr>
          <w:lang w:val="en-GB"/>
        </w:rPr>
        <w:t>s</w:t>
      </w:r>
      <w:r w:rsidRPr="00491918">
        <w:t xml:space="preserve"> to achieve Transform</w:t>
      </w:r>
      <w:r w:rsidRPr="00491918">
        <w:rPr>
          <w:lang w:val="en-GB"/>
        </w:rPr>
        <w:t xml:space="preserve">, </w:t>
      </w:r>
      <w:r w:rsidRPr="00491918">
        <w:t>customer remediation provision</w:t>
      </w:r>
      <w:r w:rsidRPr="00491918">
        <w:rPr>
          <w:lang w:val="en-GB"/>
        </w:rPr>
        <w:t xml:space="preserve"> and increased credit impairment charges</w:t>
      </w:r>
    </w:p>
    <w:p w:rsidR="000D1659" w:rsidRPr="00491918" w:rsidRDefault="000D1659" w:rsidP="008D6001">
      <w:pPr>
        <w:pStyle w:val="Level1Bullet-BarcRA8"/>
        <w:numPr>
          <w:ilvl w:val="0"/>
          <w:numId w:val="0"/>
        </w:numPr>
        <w:tabs>
          <w:tab w:val="left" w:pos="720"/>
        </w:tabs>
        <w:ind w:left="284" w:hanging="284"/>
        <w:outlineLvl w:val="0"/>
        <w:rPr>
          <w:b/>
          <w:sz w:val="20"/>
        </w:rPr>
      </w:pPr>
      <w:r w:rsidRPr="00491918">
        <w:rPr>
          <w:b/>
          <w:sz w:val="20"/>
        </w:rPr>
        <w:t>Income Statement – Q213 compared to Q113</w:t>
      </w:r>
    </w:p>
    <w:p w:rsidR="000D1659" w:rsidRPr="00491918" w:rsidRDefault="000D1659" w:rsidP="00CD39D9">
      <w:pPr>
        <w:pStyle w:val="Level1Bullet-BarcRA8"/>
        <w:numPr>
          <w:ilvl w:val="0"/>
          <w:numId w:val="70"/>
        </w:numPr>
      </w:pPr>
      <w:r w:rsidRPr="00491918">
        <w:t>Profit before tax decreased £</w:t>
      </w:r>
      <w:r w:rsidRPr="00491918">
        <w:rPr>
          <w:lang w:val="en-GB"/>
        </w:rPr>
        <w:t>73</w:t>
      </w:r>
      <w:r w:rsidRPr="00491918">
        <w:t>m to a loss of £</w:t>
      </w:r>
      <w:r w:rsidRPr="00491918">
        <w:rPr>
          <w:lang w:val="en-GB"/>
        </w:rPr>
        <w:t>13</w:t>
      </w:r>
      <w:r w:rsidRPr="00491918">
        <w:t xml:space="preserve">m primarily due to cost to achieve Transform, customer remediation provision and increased </w:t>
      </w:r>
      <w:r w:rsidRPr="00491918">
        <w:rPr>
          <w:lang w:val="en-GB"/>
        </w:rPr>
        <w:t>credit impairment charges</w:t>
      </w:r>
    </w:p>
    <w:p w:rsidR="000D1659" w:rsidRPr="00491918" w:rsidRDefault="000D1659" w:rsidP="008D6001">
      <w:pPr>
        <w:pStyle w:val="Level1Bullet-BarcRA8"/>
        <w:numPr>
          <w:ilvl w:val="0"/>
          <w:numId w:val="0"/>
        </w:numPr>
        <w:tabs>
          <w:tab w:val="left" w:pos="720"/>
        </w:tabs>
        <w:ind w:left="284" w:hanging="284"/>
        <w:outlineLvl w:val="0"/>
        <w:rPr>
          <w:b/>
          <w:sz w:val="20"/>
        </w:rPr>
      </w:pPr>
      <w:r w:rsidRPr="00491918">
        <w:rPr>
          <w:b/>
          <w:sz w:val="20"/>
        </w:rPr>
        <w:t xml:space="preserve">Balance Sheet – </w:t>
      </w:r>
      <w:r w:rsidRPr="00491918">
        <w:rPr>
          <w:b/>
          <w:sz w:val="20"/>
          <w:lang w:val="en-GB"/>
        </w:rPr>
        <w:t>30 June 2013</w:t>
      </w:r>
      <w:r w:rsidRPr="00491918">
        <w:rPr>
          <w:b/>
          <w:sz w:val="20"/>
        </w:rPr>
        <w:t xml:space="preserve"> compared to </w:t>
      </w:r>
      <w:r w:rsidRPr="00491918">
        <w:rPr>
          <w:b/>
          <w:sz w:val="20"/>
          <w:lang w:val="en-GB"/>
        </w:rPr>
        <w:t>31 December 2012</w:t>
      </w:r>
      <w:r w:rsidRPr="00491918">
        <w:rPr>
          <w:b/>
          <w:sz w:val="20"/>
        </w:rPr>
        <w:t xml:space="preserve"> </w:t>
      </w:r>
    </w:p>
    <w:p w:rsidR="000D1659" w:rsidRPr="00491918" w:rsidRDefault="000D1659" w:rsidP="00CD39D9">
      <w:pPr>
        <w:pStyle w:val="Level1Bullet-BarcRA8"/>
        <w:numPr>
          <w:ilvl w:val="0"/>
          <w:numId w:val="70"/>
        </w:numPr>
      </w:pPr>
      <w:r w:rsidRPr="00491918">
        <w:t>Loans and advances</w:t>
      </w:r>
      <w:r w:rsidRPr="00491918">
        <w:rPr>
          <w:lang w:val="en-GB"/>
        </w:rPr>
        <w:t xml:space="preserve"> to customers</w:t>
      </w:r>
      <w:r w:rsidRPr="00491918">
        <w:t xml:space="preserve"> increased </w:t>
      </w:r>
      <w:r w:rsidRPr="00491918">
        <w:rPr>
          <w:lang w:val="en-GB"/>
        </w:rPr>
        <w:t>7</w:t>
      </w:r>
      <w:r w:rsidRPr="00491918">
        <w:t>% to £22.</w:t>
      </w:r>
      <w:r w:rsidR="001D4113" w:rsidRPr="00491918">
        <w:rPr>
          <w:lang w:val="en-GB"/>
        </w:rPr>
        <w:t>6</w:t>
      </w:r>
      <w:r w:rsidRPr="00491918">
        <w:t>bn</w:t>
      </w:r>
      <w:r w:rsidRPr="00491918">
        <w:rPr>
          <w:lang w:val="en-GB"/>
        </w:rPr>
        <w:t xml:space="preserve"> and customer d</w:t>
      </w:r>
      <w:r w:rsidRPr="00491918">
        <w:t>eposits increased 1</w:t>
      </w:r>
      <w:r w:rsidRPr="00491918">
        <w:rPr>
          <w:lang w:val="en-GB"/>
        </w:rPr>
        <w:t>7</w:t>
      </w:r>
      <w:r w:rsidRPr="00491918">
        <w:t>% to £62.</w:t>
      </w:r>
      <w:r w:rsidRPr="00491918">
        <w:rPr>
          <w:lang w:val="en-GB"/>
        </w:rPr>
        <w:t>8</w:t>
      </w:r>
      <w:r w:rsidRPr="00491918">
        <w:t>bn primarily driven by growth in the High Net Worth businesses</w:t>
      </w:r>
    </w:p>
    <w:p w:rsidR="000D1659" w:rsidRPr="00491918" w:rsidRDefault="000D1659" w:rsidP="00CD39D9">
      <w:pPr>
        <w:pStyle w:val="Level1Bullet-BarcRA8"/>
        <w:numPr>
          <w:ilvl w:val="0"/>
          <w:numId w:val="70"/>
        </w:numPr>
      </w:pPr>
      <w:r w:rsidRPr="00491918">
        <w:t>Client Assets increased to £20</w:t>
      </w:r>
      <w:r w:rsidRPr="00491918">
        <w:rPr>
          <w:lang w:val="en-GB"/>
        </w:rPr>
        <w:t>2</w:t>
      </w:r>
      <w:r w:rsidRPr="00491918">
        <w:t>.</w:t>
      </w:r>
      <w:r w:rsidRPr="00491918">
        <w:rPr>
          <w:lang w:val="en-GB"/>
        </w:rPr>
        <w:t>8</w:t>
      </w:r>
      <w:r w:rsidRPr="00491918">
        <w:t>bn (2012: £186.0bn) driven by net new assets in the High Net Worth businesses and favourable</w:t>
      </w:r>
      <w:r w:rsidRPr="00491918">
        <w:rPr>
          <w:lang w:val="en-GB"/>
        </w:rPr>
        <w:t xml:space="preserve"> equity</w:t>
      </w:r>
      <w:r w:rsidRPr="00491918">
        <w:t xml:space="preserve"> market</w:t>
      </w:r>
      <w:r w:rsidRPr="00491918">
        <w:rPr>
          <w:lang w:val="en-GB"/>
        </w:rPr>
        <w:t xml:space="preserve"> and foreign currency</w:t>
      </w:r>
      <w:r w:rsidRPr="00491918">
        <w:t xml:space="preserve"> movements </w:t>
      </w:r>
    </w:p>
    <w:p w:rsidR="000D1659" w:rsidRPr="00491918" w:rsidRDefault="000D1659" w:rsidP="00CD39D9">
      <w:pPr>
        <w:pStyle w:val="Level1Bullet-BarcRA8"/>
        <w:numPr>
          <w:ilvl w:val="0"/>
          <w:numId w:val="70"/>
        </w:numPr>
      </w:pPr>
      <w:r w:rsidRPr="00491918">
        <w:rPr>
          <w:szCs w:val="18"/>
        </w:rPr>
        <w:t>R</w:t>
      </w:r>
      <w:r w:rsidRPr="00491918">
        <w:rPr>
          <w:szCs w:val="18"/>
          <w:lang w:val="en-GB"/>
        </w:rPr>
        <w:t>WAs</w:t>
      </w:r>
      <w:r w:rsidRPr="00491918">
        <w:rPr>
          <w:szCs w:val="18"/>
        </w:rPr>
        <w:t xml:space="preserve"> in</w:t>
      </w:r>
      <w:r w:rsidR="00DE4EF3" w:rsidRPr="00491918">
        <w:rPr>
          <w:szCs w:val="18"/>
        </w:rPr>
        <w:t xml:space="preserve">creased 6% to £17.0bn </w:t>
      </w:r>
      <w:r w:rsidRPr="00491918">
        <w:rPr>
          <w:szCs w:val="18"/>
        </w:rPr>
        <w:t xml:space="preserve">driven by </w:t>
      </w:r>
      <w:r w:rsidRPr="00491918">
        <w:rPr>
          <w:szCs w:val="18"/>
          <w:lang w:val="en-ZA"/>
        </w:rPr>
        <w:t>foreign currency movements</w:t>
      </w:r>
    </w:p>
    <w:p w:rsidR="000D1659" w:rsidRPr="00491918" w:rsidRDefault="000D1659">
      <w:pPr>
        <w:sectPr w:rsidR="000D1659"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9E6048" w:rsidRPr="00491918" w:rsidTr="000732DD">
        <w:trPr>
          <w:trHeight w:val="315"/>
        </w:trPr>
        <w:tc>
          <w:tcPr>
            <w:tcW w:w="8880" w:type="dxa"/>
            <w:gridSpan w:val="8"/>
            <w:tcBorders>
              <w:top w:val="nil"/>
              <w:left w:val="nil"/>
              <w:bottom w:val="nil"/>
              <w:right w:val="nil"/>
            </w:tcBorders>
            <w:shd w:val="clear" w:color="auto" w:fill="FFFFFF"/>
            <w:tcMar>
              <w:left w:w="36" w:type="dxa"/>
              <w:right w:w="36" w:type="dxa"/>
            </w:tcMar>
            <w:vAlign w:val="center"/>
          </w:tcPr>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 w:rsidRPr="00491918">
              <w:rPr>
                <w:b/>
                <w:color w:val="000000"/>
                <w:sz w:val="24"/>
              </w:rPr>
              <w:t>Head Office and Other Operations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b/>
                <w:color w:val="000000"/>
                <w:sz w:val="24"/>
              </w:rPr>
              <w:t xml:space="preserve"> </w:t>
            </w:r>
          </w:p>
        </w:tc>
      </w:tr>
      <w:tr w:rsidR="009E6048" w:rsidRPr="00491918" w:rsidTr="000732DD">
        <w:trPr>
          <w:trHeight w:val="27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rPr>
            </w:pPr>
            <w:r w:rsidRPr="00491918">
              <w:rPr>
                <w:color w:val="000000"/>
                <w:sz w:val="16"/>
              </w:rPr>
              <w:t xml:space="preserve"> </w:t>
            </w:r>
            <w:r w:rsidRPr="00491918">
              <w:rPr>
                <w:color w:val="000000"/>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b/>
                <w:color w:val="000000"/>
                <w:sz w:val="16"/>
              </w:rPr>
              <w:t>Half Year Ended</w:t>
            </w:r>
          </w:p>
        </w:tc>
        <w:tc>
          <w:tcPr>
            <w:tcW w:w="1605"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Income Statement Information</w:t>
            </w:r>
            <w:r w:rsidRPr="00491918">
              <w:rPr>
                <w:b/>
                <w:color w:val="000000"/>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0"/>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30.06.12</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bl>
    <w:p w:rsidR="000732DD" w:rsidRPr="00491918" w:rsidRDefault="000732DD"/>
    <w:tbl>
      <w:tblPr>
        <w:tblW w:w="0" w:type="auto"/>
        <w:tblLayout w:type="fixed"/>
        <w:tblLook w:val="0000" w:firstRow="0" w:lastRow="0" w:firstColumn="0" w:lastColumn="0" w:noHBand="0" w:noVBand="0"/>
      </w:tblPr>
      <w:tblGrid>
        <w:gridCol w:w="4275"/>
        <w:gridCol w:w="750"/>
        <w:gridCol w:w="750"/>
        <w:gridCol w:w="750"/>
        <w:gridCol w:w="105"/>
        <w:gridCol w:w="750"/>
        <w:gridCol w:w="750"/>
        <w:gridCol w:w="750"/>
        <w:gridCol w:w="795"/>
      </w:tblGrid>
      <w:tr w:rsidR="000D1659" w:rsidRPr="00491918" w:rsidTr="000732DD">
        <w:trPr>
          <w:trHeight w:val="240"/>
        </w:trPr>
        <w:tc>
          <w:tcPr>
            <w:tcW w:w="427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interest (expense)/income</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(137)</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(182)</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258 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fee and commission expense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(92)</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(106)</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trading income/(expense)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investment income</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192 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B95045">
            <w:pPr>
              <w:rPr>
                <w:color w:val="000000"/>
                <w:sz w:val="16"/>
              </w:rPr>
            </w:pPr>
            <w:r w:rsidRPr="00491918">
              <w:rPr>
                <w:color w:val="000000"/>
                <w:sz w:val="16"/>
              </w:rPr>
              <w:t>Net premiums from</w:t>
            </w:r>
            <w:r w:rsidR="000D1659" w:rsidRPr="00491918">
              <w:rPr>
                <w:color w:val="000000"/>
                <w:sz w:val="16"/>
              </w:rPr>
              <w:t xml:space="preserve"> insurance contracts</w:t>
            </w:r>
            <w:r w:rsidR="000D1659"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income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Adjusted total (expense)/income net of insurance claims</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(134)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387 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Own credit</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(1,634)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(2,945)</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Gain on disposal of investment in BlackRock, Inc.</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227 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expense net of insurance claims</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(48)</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(1,665)</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(2,331)</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Credit impairment release/(charges) and other provisions</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Net operating expense</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(1,666)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(2,336)</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55"/>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Operating expenses (excluding UK bank levy)</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(67)</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(98)</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UK bank levy</w:t>
            </w:r>
            <w:r w:rsidRPr="00491918">
              <w:rPr>
                <w:b/>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(19)</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Operating expenses</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(86)</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(98)</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55"/>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Other net (expense)/income</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Loss before tax</w:t>
            </w:r>
            <w:r w:rsidRPr="00491918">
              <w:rPr>
                <w:b/>
                <w:color w:val="000000"/>
                <w:sz w:val="16"/>
                <w:vertAlign w:val="superscript"/>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(71)</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(1,754)</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(2,409)</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hRule="exac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Adjusted (loss)/profit before tax</w:t>
            </w:r>
            <w:r w:rsidRPr="00491918">
              <w:rPr>
                <w:b/>
                <w:color w:val="000000"/>
                <w:sz w:val="16"/>
                <w:vertAlign w:val="superscript"/>
              </w:rPr>
              <w:t>1 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(157)</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(120)</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309 </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Adjusted attributable (loss)/profit</w:t>
            </w:r>
            <w:r w:rsidRPr="00491918">
              <w:rPr>
                <w:color w:val="000000"/>
                <w:sz w:val="16"/>
                <w:vertAlign w:val="superscript"/>
              </w:rPr>
              <w:t>1,2</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(313)</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(305)</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237 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 xml:space="preserve"> </w:t>
            </w:r>
            <w:r w:rsidRPr="00491918">
              <w:rPr>
                <w:b/>
                <w:color w:val="000000"/>
                <w:sz w:val="20"/>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r>
      <w:tr w:rsidR="000D1659" w:rsidRPr="00491918">
        <w:trPr>
          <w:trHeight w:val="240"/>
        </w:trPr>
        <w:tc>
          <w:tcPr>
            <w:tcW w:w="42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20"/>
              </w:rPr>
            </w:pPr>
            <w:r w:rsidRPr="00491918">
              <w:rPr>
                <w:b/>
                <w:color w:val="000000"/>
                <w:sz w:val="20"/>
              </w:rPr>
              <w:t>Balance Sheet Information and Key Facts</w:t>
            </w:r>
            <w:r w:rsidRPr="00491918">
              <w:rPr>
                <w:b/>
                <w:color w:val="000000"/>
                <w:sz w:val="20"/>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vertAlign w:val="superscript"/>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1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20"/>
              </w:rPr>
            </w:pPr>
            <w:r w:rsidRPr="00491918">
              <w:rPr>
                <w:color w:val="000000"/>
                <w:sz w:val="20"/>
              </w:rPr>
              <w:t xml:space="preserve"> </w:t>
            </w:r>
          </w:p>
        </w:tc>
      </w:tr>
      <w:tr w:rsidR="000D1659" w:rsidRPr="00491918">
        <w:trPr>
          <w:trHeight w:val="240"/>
        </w:trPr>
        <w:tc>
          <w:tcPr>
            <w:tcW w:w="42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20"/>
              </w:rPr>
            </w:pPr>
            <w:r w:rsidRPr="00491918">
              <w:rPr>
                <w:color w:val="000000"/>
                <w:sz w:val="16"/>
              </w:rPr>
              <w:t>Total assets</w:t>
            </w:r>
            <w:r w:rsidRPr="00491918">
              <w:rPr>
                <w:color w:val="000000"/>
                <w:sz w:val="16"/>
                <w:vertAlign w:val="superscript"/>
              </w:rPr>
              <w:t>3 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£47.2bn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£41.3bn</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£35.3bn</w:t>
            </w:r>
          </w:p>
        </w:tc>
        <w:tc>
          <w:tcPr>
            <w:tcW w:w="7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Risk weighted assets</w:t>
            </w:r>
            <w:r w:rsidRPr="00491918">
              <w:rPr>
                <w:color w:val="000000"/>
                <w:sz w:val="16"/>
                <w:vertAlign w:val="superscript"/>
              </w:rPr>
              <w:t>3 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£3.7bn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£5.3bn</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£2.7bn</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hRule="exac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rFonts w:ascii="Arial" w:eastAsia="Arial" w:hAnsi="Arial" w:cs="Arial"/>
                <w:color w:val="000000"/>
                <w:sz w:val="20"/>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27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Number of employees (full time equivalent)</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bl>
    <w:p w:rsidR="000D1659" w:rsidRPr="00491918" w:rsidRDefault="000D1659"/>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E9782A" w:rsidRPr="00491918" w:rsidRDefault="00E9782A" w:rsidP="000D1659">
      <w:pPr>
        <w:pStyle w:val="BarclaysFooterText"/>
        <w:spacing w:after="20"/>
        <w:ind w:left="284" w:hanging="284"/>
        <w:rPr>
          <w:b w:val="0"/>
          <w:i/>
          <w:sz w:val="14"/>
          <w:szCs w:val="14"/>
        </w:rPr>
      </w:pPr>
    </w:p>
    <w:p w:rsidR="00E9782A" w:rsidRPr="00491918" w:rsidRDefault="00E9782A" w:rsidP="000D1659">
      <w:pPr>
        <w:pStyle w:val="BarclaysFooterText"/>
        <w:spacing w:after="20"/>
        <w:ind w:left="284" w:hanging="284"/>
        <w:rPr>
          <w:b w:val="0"/>
          <w:i/>
          <w:sz w:val="14"/>
          <w:szCs w:val="14"/>
        </w:rPr>
      </w:pPr>
    </w:p>
    <w:p w:rsidR="000D1659" w:rsidRPr="00491918" w:rsidRDefault="000D1659" w:rsidP="000D1659">
      <w:pPr>
        <w:pStyle w:val="BarclaysFooterText"/>
        <w:spacing w:after="20"/>
        <w:ind w:left="284" w:hanging="284"/>
        <w:rPr>
          <w:b w:val="0"/>
          <w:i/>
          <w:sz w:val="14"/>
          <w:szCs w:val="14"/>
        </w:rPr>
      </w:pPr>
    </w:p>
    <w:p w:rsidR="00E9782A" w:rsidRPr="00491918" w:rsidRDefault="000D1659" w:rsidP="00CC41A9">
      <w:pPr>
        <w:pStyle w:val="Normal30"/>
        <w:numPr>
          <w:ilvl w:val="0"/>
          <w:numId w:val="232"/>
        </w:numPr>
        <w:rPr>
          <w:i/>
          <w:color w:val="000000"/>
          <w:sz w:val="14"/>
        </w:rPr>
      </w:pPr>
      <w:r w:rsidRPr="00491918">
        <w:rPr>
          <w:i/>
          <w:color w:val="000000"/>
          <w:sz w:val="14"/>
        </w:rPr>
        <w:t>Adjusted (loss)/profit before tax, adjusted attributable (loss)/profit and adjusted performance measures and profit before tax exclude the impac</w:t>
      </w:r>
      <w:r w:rsidR="00EA3F9D" w:rsidRPr="00491918">
        <w:rPr>
          <w:i/>
          <w:color w:val="000000"/>
          <w:sz w:val="14"/>
        </w:rPr>
        <w:t>t of £86m own credit gain (H212: loss of £1,634m, H1</w:t>
      </w:r>
      <w:r w:rsidRPr="00491918">
        <w:rPr>
          <w:i/>
          <w:color w:val="000000"/>
          <w:sz w:val="14"/>
        </w:rPr>
        <w:t>12: £2,945m) and £nil gain on disposal of strategic inv</w:t>
      </w:r>
      <w:r w:rsidR="00EA3F9D" w:rsidRPr="00491918">
        <w:rPr>
          <w:i/>
          <w:color w:val="000000"/>
          <w:sz w:val="14"/>
        </w:rPr>
        <w:t>estment in BlackRock, Inc (H212: nil, H1</w:t>
      </w:r>
      <w:r w:rsidRPr="00491918">
        <w:rPr>
          <w:i/>
          <w:color w:val="000000"/>
          <w:sz w:val="14"/>
        </w:rPr>
        <w:t>12: £227m).</w:t>
      </w:r>
    </w:p>
    <w:p w:rsidR="00E9782A" w:rsidRPr="00491918" w:rsidRDefault="000D1659" w:rsidP="00CC41A9">
      <w:pPr>
        <w:pStyle w:val="Normal30"/>
        <w:numPr>
          <w:ilvl w:val="0"/>
          <w:numId w:val="232"/>
        </w:numPr>
        <w:rPr>
          <w:i/>
          <w:color w:val="000000"/>
          <w:sz w:val="14"/>
        </w:rPr>
      </w:pPr>
      <w:r w:rsidRPr="00491918">
        <w:rPr>
          <w:i/>
          <w:color w:val="000000"/>
          <w:sz w:val="14"/>
        </w:rPr>
        <w:t>Attributable profit includes profit after tax and non-controlling interests.</w:t>
      </w:r>
    </w:p>
    <w:p w:rsidR="000D1659" w:rsidRPr="00491918" w:rsidRDefault="000D1659" w:rsidP="00CC41A9">
      <w:pPr>
        <w:pStyle w:val="Normal30"/>
        <w:numPr>
          <w:ilvl w:val="0"/>
          <w:numId w:val="232"/>
        </w:numPr>
        <w:rPr>
          <w:i/>
          <w:color w:val="000000"/>
          <w:sz w:val="14"/>
        </w:rPr>
      </w:pPr>
      <w:r w:rsidRPr="00491918">
        <w:rPr>
          <w:i/>
          <w:color w:val="000000"/>
          <w:sz w:val="14"/>
        </w:rPr>
        <w:t>2013 total assets and risk weighted assets reflect reallocation to businesses of liquidity pool assets previously held centrally.</w:t>
      </w:r>
    </w:p>
    <w:p w:rsidR="000D1659" w:rsidRPr="00491918" w:rsidRDefault="000D1659">
      <w:pPr>
        <w:spacing w:line="14" w:lineRule="exact"/>
        <w:rPr>
          <w:b/>
          <w:i/>
          <w:color w:val="000000"/>
          <w:sz w:val="14"/>
        </w:rPr>
      </w:pPr>
      <w:r w:rsidRPr="00491918">
        <w:rPr>
          <w:b/>
          <w:i/>
          <w:color w:val="000000"/>
          <w:sz w:val="14"/>
        </w:rPr>
        <w:br w:type="page"/>
      </w:r>
    </w:p>
    <w:p w:rsidR="000464EA" w:rsidRPr="00491918" w:rsidRDefault="000464EA" w:rsidP="000464EA">
      <w:pPr>
        <w:spacing w:after="240"/>
        <w:rPr>
          <w:b/>
          <w:sz w:val="24"/>
        </w:rPr>
      </w:pPr>
      <w:r w:rsidRPr="00491918">
        <w:rPr>
          <w:b/>
          <w:sz w:val="24"/>
        </w:rPr>
        <w:lastRenderedPageBreak/>
        <w:t>Results by Business</w:t>
      </w:r>
    </w:p>
    <w:p w:rsidR="000D1659" w:rsidRPr="00491918" w:rsidRDefault="000D1659" w:rsidP="008D6001">
      <w:pPr>
        <w:pStyle w:val="Level1Bullet-BarcRA203"/>
        <w:numPr>
          <w:ilvl w:val="0"/>
          <w:numId w:val="0"/>
        </w:numPr>
        <w:tabs>
          <w:tab w:val="left" w:pos="720"/>
        </w:tabs>
        <w:spacing w:before="0"/>
        <w:ind w:left="284" w:hanging="284"/>
        <w:outlineLvl w:val="0"/>
        <w:rPr>
          <w:b/>
          <w:sz w:val="24"/>
          <w:szCs w:val="24"/>
          <w:lang w:val="en-GB"/>
        </w:rPr>
      </w:pPr>
      <w:r w:rsidRPr="00491918">
        <w:rPr>
          <w:b/>
          <w:sz w:val="24"/>
          <w:szCs w:val="24"/>
          <w:lang w:val="en-GB"/>
        </w:rPr>
        <w:t>Head Office and Other Operations</w:t>
      </w:r>
    </w:p>
    <w:p w:rsidR="000D1659" w:rsidRPr="00491918" w:rsidRDefault="000D1659" w:rsidP="008D6001">
      <w:pPr>
        <w:pStyle w:val="Level1Bullet-BarcRA203"/>
        <w:numPr>
          <w:ilvl w:val="0"/>
          <w:numId w:val="0"/>
        </w:numPr>
        <w:tabs>
          <w:tab w:val="left" w:pos="720"/>
        </w:tabs>
        <w:spacing w:before="0"/>
        <w:ind w:left="284" w:hanging="284"/>
        <w:outlineLvl w:val="0"/>
        <w:rPr>
          <w:b/>
          <w:sz w:val="20"/>
        </w:rPr>
      </w:pPr>
      <w:r w:rsidRPr="00491918">
        <w:rPr>
          <w:b/>
          <w:sz w:val="20"/>
          <w:lang w:val="en-GB"/>
        </w:rPr>
        <w:t>Income Statement – H113 compared to H112</w:t>
      </w:r>
    </w:p>
    <w:p w:rsidR="000D1659" w:rsidRPr="00491918" w:rsidRDefault="000D1659" w:rsidP="00CD39D9">
      <w:pPr>
        <w:pStyle w:val="Level1Bullet-BarcRA80"/>
        <w:numPr>
          <w:ilvl w:val="0"/>
          <w:numId w:val="75"/>
        </w:numPr>
        <w:rPr>
          <w:lang w:val="en-GB"/>
        </w:rPr>
      </w:pPr>
      <w:r w:rsidRPr="00491918">
        <w:rPr>
          <w:lang w:val="en-GB"/>
        </w:rPr>
        <w:t>Adjusted income declined to a net expense of £134m (2012: income of £387m), predominately driven by lower margins achieved on funding higher growth in customer deposits across the Group and the non-recurrence of gains related to hedges of employee share awards in Q112 of £235m</w:t>
      </w:r>
    </w:p>
    <w:p w:rsidR="000D1659" w:rsidRPr="00491918" w:rsidRDefault="000D1659" w:rsidP="00CD39D9">
      <w:pPr>
        <w:pStyle w:val="Level1Bullet-BarcRA80"/>
        <w:numPr>
          <w:ilvl w:val="0"/>
          <w:numId w:val="75"/>
        </w:numPr>
        <w:rPr>
          <w:lang w:val="en-GB"/>
        </w:rPr>
      </w:pPr>
      <w:r w:rsidRPr="00491918">
        <w:rPr>
          <w:lang w:val="en-GB"/>
        </w:rPr>
        <w:t>Operating expenses decreased £74m to £24m, mainly due to the non-recurrence of the £97m penalty arising from the industry wide investigation into the setting of inter-bank offered rates recognised in H112, partially offset by Transform programme costs and the Salz review</w:t>
      </w:r>
    </w:p>
    <w:p w:rsidR="000D1659" w:rsidRPr="00491918" w:rsidRDefault="000D1659" w:rsidP="00CD39D9">
      <w:pPr>
        <w:pStyle w:val="Level1Bullet-BarcRA80"/>
        <w:numPr>
          <w:ilvl w:val="0"/>
          <w:numId w:val="75"/>
        </w:numPr>
        <w:rPr>
          <w:lang w:val="en-GB"/>
        </w:rPr>
      </w:pPr>
      <w:r w:rsidRPr="00491918">
        <w:rPr>
          <w:lang w:val="en-GB"/>
        </w:rPr>
        <w:t xml:space="preserve">Adjusted loss before tax increased to </w:t>
      </w:r>
      <w:r w:rsidR="00DE4EF3" w:rsidRPr="00491918">
        <w:rPr>
          <w:lang w:val="en-GB"/>
        </w:rPr>
        <w:t xml:space="preserve">£157m (2012: profit of £309m). </w:t>
      </w:r>
      <w:r w:rsidRPr="00491918">
        <w:rPr>
          <w:lang w:val="en-GB"/>
        </w:rPr>
        <w:t>Statutory loss before tax improved to £71m (2012: £2,409m) including an own credit gain of £86m (2012: charge of £2,945m)</w:t>
      </w:r>
    </w:p>
    <w:p w:rsidR="000D1659" w:rsidRPr="00491918" w:rsidRDefault="000D1659" w:rsidP="008D6001">
      <w:pPr>
        <w:pStyle w:val="Level1Bullet-BarcRA203"/>
        <w:numPr>
          <w:ilvl w:val="0"/>
          <w:numId w:val="0"/>
        </w:numPr>
        <w:tabs>
          <w:tab w:val="left" w:pos="720"/>
        </w:tabs>
        <w:ind w:left="284" w:hanging="284"/>
        <w:outlineLvl w:val="0"/>
        <w:rPr>
          <w:b/>
          <w:sz w:val="20"/>
          <w:lang w:val="en-GB"/>
        </w:rPr>
      </w:pPr>
      <w:r w:rsidRPr="00491918">
        <w:rPr>
          <w:b/>
          <w:sz w:val="20"/>
          <w:lang w:val="en-GB"/>
        </w:rPr>
        <w:t>Income Statement – Q213 compared to Q113</w:t>
      </w:r>
    </w:p>
    <w:p w:rsidR="000D1659" w:rsidRPr="00491918" w:rsidRDefault="000D1659" w:rsidP="00CD39D9">
      <w:pPr>
        <w:pStyle w:val="Level1Bullet-BarcRA81"/>
        <w:numPr>
          <w:ilvl w:val="0"/>
          <w:numId w:val="75"/>
        </w:numPr>
        <w:rPr>
          <w:lang w:val="en-GB"/>
        </w:rPr>
      </w:pPr>
      <w:r w:rsidRPr="00491918">
        <w:rPr>
          <w:lang w:val="en-GB"/>
        </w:rPr>
        <w:t>Adjusted loss before tax of £104m (Q113: £53m) principally reflecting a decline in total expense net of insurance claims to £100m (Q113: £34m) driven by the impact of growth in customer deposits, partially offset by a gain on debt buy back</w:t>
      </w:r>
    </w:p>
    <w:p w:rsidR="000D1659" w:rsidRPr="00491918" w:rsidRDefault="000D1659" w:rsidP="00CD39D9">
      <w:pPr>
        <w:pStyle w:val="Level1Bullet-BarcRA80"/>
        <w:numPr>
          <w:ilvl w:val="0"/>
          <w:numId w:val="75"/>
        </w:numPr>
        <w:rPr>
          <w:lang w:val="en-GB"/>
        </w:rPr>
      </w:pPr>
      <w:r w:rsidRPr="00491918">
        <w:rPr>
          <w:lang w:val="en-GB"/>
        </w:rPr>
        <w:t>Statutory profit before tax of £233m (Q113: loss of £304m) included an own credit gain of £337m (Q113: charge of £251m)</w:t>
      </w:r>
    </w:p>
    <w:p w:rsidR="000D1659" w:rsidRPr="00491918" w:rsidRDefault="000D1659" w:rsidP="008D6001">
      <w:pPr>
        <w:pStyle w:val="Level1Bullet-BarcRA203"/>
        <w:numPr>
          <w:ilvl w:val="0"/>
          <w:numId w:val="0"/>
        </w:numPr>
        <w:tabs>
          <w:tab w:val="left" w:pos="720"/>
        </w:tabs>
        <w:ind w:left="284" w:hanging="284"/>
        <w:outlineLvl w:val="0"/>
        <w:rPr>
          <w:b/>
          <w:sz w:val="20"/>
          <w:lang w:val="en-GB"/>
        </w:rPr>
      </w:pPr>
      <w:r w:rsidRPr="00491918">
        <w:rPr>
          <w:b/>
          <w:sz w:val="20"/>
          <w:lang w:val="en-GB"/>
        </w:rPr>
        <w:t>Balance Sheet – 30 June 2013 compared to 31 December 2012</w:t>
      </w:r>
    </w:p>
    <w:p w:rsidR="000D1659" w:rsidRPr="00491918" w:rsidRDefault="000D1659" w:rsidP="00CD39D9">
      <w:pPr>
        <w:pStyle w:val="Level1Bullet-BarcRA80"/>
        <w:numPr>
          <w:ilvl w:val="0"/>
          <w:numId w:val="78"/>
        </w:numPr>
        <w:rPr>
          <w:lang w:val="en-GB"/>
        </w:rPr>
      </w:pPr>
      <w:r w:rsidRPr="00491918">
        <w:rPr>
          <w:lang w:val="en-GB"/>
        </w:rPr>
        <w:t>Total assets increased 14% to £47.2bn reflecting growth in the liquidity pool bond portfolio, partially offset by a reallocation of liquidity pool assets across the businesses.  This was following a decision in 2013 to reallocate liquidity costs to the businesses</w:t>
      </w:r>
    </w:p>
    <w:p w:rsidR="000D1659" w:rsidRPr="00491918" w:rsidRDefault="000D1659" w:rsidP="00CD39D9">
      <w:pPr>
        <w:pStyle w:val="Level1Bullet-BarcRA203002"/>
        <w:numPr>
          <w:ilvl w:val="0"/>
          <w:numId w:val="78"/>
        </w:numPr>
        <w:rPr>
          <w:lang w:val="en-GB"/>
        </w:rPr>
      </w:pPr>
      <w:r w:rsidRPr="00491918">
        <w:rPr>
          <w:szCs w:val="18"/>
        </w:rPr>
        <w:t>R</w:t>
      </w:r>
      <w:r w:rsidRPr="00491918">
        <w:rPr>
          <w:szCs w:val="18"/>
          <w:lang w:val="en-GB"/>
        </w:rPr>
        <w:t>WAs</w:t>
      </w:r>
      <w:r w:rsidRPr="00491918">
        <w:rPr>
          <w:szCs w:val="18"/>
        </w:rPr>
        <w:t xml:space="preserve"> decreased 3</w:t>
      </w:r>
      <w:r w:rsidR="000A77B6" w:rsidRPr="00491918">
        <w:rPr>
          <w:szCs w:val="18"/>
          <w:lang w:val="en-GB"/>
        </w:rPr>
        <w:t>1</w:t>
      </w:r>
      <w:r w:rsidRPr="00491918">
        <w:rPr>
          <w:szCs w:val="18"/>
        </w:rPr>
        <w:t xml:space="preserve">% to £3.7bn primarily driven </w:t>
      </w:r>
      <w:r w:rsidRPr="00491918">
        <w:rPr>
          <w:szCs w:val="18"/>
          <w:lang w:val="en-GB"/>
        </w:rPr>
        <w:t>by</w:t>
      </w:r>
      <w:r w:rsidRPr="00491918">
        <w:rPr>
          <w:szCs w:val="18"/>
        </w:rPr>
        <w:t xml:space="preserve"> </w:t>
      </w:r>
      <w:r w:rsidRPr="00491918">
        <w:rPr>
          <w:lang w:val="en-GB"/>
        </w:rPr>
        <w:t>reallocation of liquidity pool assets to the businesses</w:t>
      </w:r>
    </w:p>
    <w:p w:rsidR="000D1659" w:rsidRPr="00491918" w:rsidRDefault="000D1659">
      <w:pPr>
        <w:rPr>
          <w:lang w:val="en-GB"/>
        </w:rPr>
        <w:sectPr w:rsidR="000D1659"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pStyle w:val="HeadingLevel1-BarcRA19"/>
              <w:rPr>
                <w:lang w:val="en-GB"/>
              </w:rPr>
            </w:pPr>
            <w:r w:rsidRPr="00491918">
              <w:rPr>
                <w:lang w:val="en-GB"/>
              </w:rPr>
              <w:lastRenderedPageBreak/>
              <w:t xml:space="preserve">Business </w:t>
            </w:r>
            <w:r w:rsidRPr="00491918">
              <w:t>Results</w:t>
            </w:r>
            <w:r w:rsidRPr="00491918">
              <w:rPr>
                <w:lang w:val="en-GB"/>
              </w:rPr>
              <w:t xml:space="preserve"> by Quarter</w:t>
            </w:r>
          </w:p>
          <w:p w:rsidR="000D1659" w:rsidRPr="00491918" w:rsidRDefault="000D1659">
            <w:pPr>
              <w:rPr>
                <w:lang w:val="en-GB"/>
              </w:rPr>
            </w:pP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20"/>
                <w:vertAlign w:val="superscript"/>
                <w:lang w:val="en-GB"/>
              </w:rPr>
            </w:pPr>
            <w:r w:rsidRPr="00491918">
              <w:rPr>
                <w:b/>
                <w:color w:val="000000"/>
                <w:sz w:val="16"/>
                <w:lang w:val="en-GB"/>
              </w:rPr>
              <w:t>Q213</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Q113</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Q412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Q312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Q212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Q112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Q411</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Q311</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b/>
                <w:color w:val="000000"/>
                <w:sz w:val="20"/>
                <w:lang w:val="en-GB"/>
              </w:rPr>
              <w:t>UK Retail and Business Banking</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£m</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Total 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1,135 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1,067 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1,077 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1,123 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1,118 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1,066 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1,129 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1,244 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Credit impairment 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(89)</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(89)</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(76)</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(156)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(105)</w:t>
            </w:r>
          </w:p>
        </w:tc>
      </w:tr>
      <w:tr w:rsidR="000D1659" w:rsidRPr="00491918" w:rsidTr="00A64EB1">
        <w:trPr>
          <w:trHeight w:val="255"/>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Net operating income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1,046 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978 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1,006 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1,047 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1,072 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990 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973 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1,139 </w:t>
            </w:r>
          </w:p>
        </w:tc>
      </w:tr>
      <w:tr w:rsidR="000D1659" w:rsidRPr="00491918" w:rsidTr="00A64EB1">
        <w:trPr>
          <w:trHeight w:val="387"/>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Operating expenses (excluding costs to achieve Transform and UK bank levy)</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(689)</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(704)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(718)</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(689)</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(713)</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(757)</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(790)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(711)</w:t>
            </w:r>
          </w:p>
        </w:tc>
      </w:tr>
      <w:tr w:rsidR="000D1659" w:rsidRPr="00491918" w:rsidTr="00A64EB1">
        <w:trPr>
          <w:trHeight w:val="255"/>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(27)</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(17)</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(22)</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Operating expenses</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(716)</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(704)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(735)</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(689)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(713)</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(757)</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(812)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(711)</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Other net income/(expenses)</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25 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profit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333 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299 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275 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358 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232 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162 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429 </w:t>
            </w:r>
          </w:p>
        </w:tc>
      </w:tr>
      <w:tr w:rsidR="000D1659" w:rsidRPr="00491918" w:rsidTr="00A64EB1">
        <w:trPr>
          <w:trHeight w:hRule="exac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Adjusting items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Provision for PPI redress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(660)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(330)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(550)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(300)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Statutory (loss)/profit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(327)</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299 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(55)</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(192)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(68)</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162 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429 </w:t>
            </w:r>
          </w:p>
        </w:tc>
      </w:tr>
      <w:tr w:rsidR="000D1659" w:rsidRPr="00491918">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lang w:val="en-GB"/>
              </w:rPr>
            </w:pPr>
            <w:r w:rsidRPr="00491918">
              <w:rPr>
                <w:b/>
                <w:color w:val="000000"/>
                <w:sz w:val="20"/>
                <w:lang w:val="en-GB"/>
              </w:rPr>
              <w:t>Europe Retail and Business Banking</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Total 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176 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176 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161 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168 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191 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188 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198 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309 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Credit impairment 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(72)</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(74)</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(58)</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(65)</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(46)</w:t>
            </w:r>
          </w:p>
        </w:tc>
      </w:tr>
      <w:tr w:rsidR="000D1659" w:rsidRPr="00491918" w:rsidTr="00A64EB1">
        <w:trPr>
          <w:trHeight w:val="255"/>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Net operating income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104 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106 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87 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110 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120 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134 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133 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263 </w:t>
            </w:r>
          </w:p>
        </w:tc>
      </w:tr>
      <w:tr w:rsidR="000D1659" w:rsidRPr="00491918" w:rsidTr="00A64EB1">
        <w:trPr>
          <w:trHeight w:val="319"/>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Operating expenses (excluding costs to achieve Transform and UK bank levy)</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(207)</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(215)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(185)</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(193)</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(200)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(209)</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(290)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(244)</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(356)</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(20)</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Operating expenses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(207)</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(571)</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(205)</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(193)</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(200)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(209)</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(311)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(244)</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Other net (expense)/income</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(144)</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(loss)/profit before tax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(247)</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(462)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(114)</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(76)</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(176)</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21 </w:t>
            </w:r>
          </w:p>
        </w:tc>
      </w:tr>
      <w:tr w:rsidR="000D1659" w:rsidRPr="00491918" w:rsidTr="00A64EB1">
        <w:trPr>
          <w:trHeight w:hRule="exac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b/>
                <w:color w:val="000000"/>
                <w:sz w:val="16"/>
                <w:lang w:val="en-GB"/>
              </w:rPr>
              <w:t xml:space="preserve">Adjusting items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Goodwill impairment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(427)</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Statutory (loss)/profit before tax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(247)</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(462)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(114)</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(76)</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(603)</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21 </w:t>
            </w:r>
          </w:p>
        </w:tc>
      </w:tr>
      <w:tr w:rsidR="000D1659" w:rsidRPr="00491918" w:rsidTr="00A64EB1">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lang w:val="en-GB"/>
              </w:rPr>
            </w:pPr>
            <w:r w:rsidRPr="00491918">
              <w:rPr>
                <w:b/>
                <w:color w:val="000000"/>
                <w:sz w:val="20"/>
                <w:lang w:val="en-GB"/>
              </w:rPr>
              <w:t>Africa Retail and Business Banking</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Total 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684 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668 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721 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714 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729 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764 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806 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883 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Credit impairment 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(94)</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(142)</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(176)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(208)</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(106)</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(108)</w:t>
            </w:r>
          </w:p>
        </w:tc>
      </w:tr>
      <w:tr w:rsidR="000D1659" w:rsidRPr="00491918" w:rsidTr="00A64EB1">
        <w:trPr>
          <w:trHeight w:val="255"/>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Net operating income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590 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554 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579 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538 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521 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658 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720 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775 </w:t>
            </w:r>
          </w:p>
        </w:tc>
      </w:tr>
      <w:tr w:rsidR="000D1659" w:rsidRPr="00491918" w:rsidTr="00A64EB1">
        <w:trPr>
          <w:trHeight w:val="393"/>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Operating expenses (excluding costs to achieve Transform and UK bank levy)</w:t>
            </w:r>
            <w:r w:rsidRPr="00491918">
              <w:rPr>
                <w:b/>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color w:val="000000"/>
                <w:sz w:val="16"/>
                <w:lang w:val="en-GB"/>
              </w:rPr>
              <w:t>(452)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(474)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(455)</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(506)</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(471)</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(528)</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(468)</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(584)</w:t>
            </w:r>
          </w:p>
        </w:tc>
      </w:tr>
      <w:tr w:rsidR="000D1659" w:rsidRPr="00491918" w:rsidTr="00A64EB1">
        <w:trPr>
          <w:trHeight w:val="255"/>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Costs to achieve Transform</w:t>
            </w:r>
            <w:r w:rsidRPr="00491918">
              <w:rPr>
                <w:b/>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color w:val="000000"/>
                <w:sz w:val="16"/>
                <w:lang w:val="en-GB"/>
              </w:rPr>
              <w:t>(9)</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UK bank levy</w:t>
            </w:r>
            <w:r w:rsidRPr="00491918">
              <w:rPr>
                <w:b/>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(24)</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(23)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Operating expenses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(461)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(474)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(479)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(506)</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(471)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(528)</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(491)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(584)</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Other net income</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2 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profit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131 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132 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231 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191 </w:t>
            </w:r>
          </w:p>
        </w:tc>
      </w:tr>
      <w:tr w:rsidR="000D1659" w:rsidRPr="00491918" w:rsidTr="00A64EB1">
        <w:trPr>
          <w:trHeight w:hRule="exact" w:val="255"/>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Adjusting items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Gains on acquisitions and disposals </w:t>
            </w:r>
            <w:r w:rsidRPr="00491918">
              <w:rPr>
                <w:color w:val="000000"/>
                <w:sz w:val="16"/>
                <w:vertAlign w:val="superscript"/>
                <w:lang w:val="en-GB"/>
              </w:rPr>
              <w:t xml:space="preserve"> </w:t>
            </w:r>
          </w:p>
        </w:tc>
        <w:tc>
          <w:tcPr>
            <w:tcW w:w="720" w:type="dxa"/>
            <w:tcBorders>
              <w:top w:val="single" w:sz="6" w:space="0" w:color="969696"/>
              <w:left w:val="nil"/>
              <w:bottom w:val="single" w:sz="6" w:space="0" w:color="969696"/>
              <w:right w:val="nil"/>
            </w:tcBorders>
            <w:shd w:val="clear" w:color="auto" w:fill="EAEAEA"/>
            <w:tcMar>
              <w:left w:w="36" w:type="dxa"/>
              <w:right w:w="36" w:type="dxa"/>
            </w:tcMar>
            <w:vAlign w:val="bottom"/>
          </w:tcPr>
          <w:p w:rsidR="000D1659" w:rsidRPr="00491918" w:rsidRDefault="00DE4EF3" w:rsidP="00A64EB1">
            <w:pPr>
              <w:jc w:val="right"/>
              <w:rPr>
                <w:color w:val="000000"/>
                <w:sz w:val="16"/>
                <w:vertAlign w:val="superscript"/>
                <w:lang w:val="en-GB"/>
              </w:rPr>
            </w:pPr>
            <w:r w:rsidRPr="00491918">
              <w:rPr>
                <w:color w:val="000000"/>
                <w:sz w:val="16"/>
                <w:lang w:val="en-GB"/>
              </w:rPr>
              <w:t>-</w:t>
            </w:r>
            <w:r w:rsidR="000D1659" w:rsidRPr="00491918">
              <w:rPr>
                <w:color w:val="000000"/>
                <w:sz w:val="16"/>
                <w:lang w:val="en-GB"/>
              </w:rPr>
              <w:t xml:space="preserve"> </w:t>
            </w:r>
          </w:p>
        </w:tc>
        <w:tc>
          <w:tcPr>
            <w:tcW w:w="7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Statutory profit before tax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131 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132 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231 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193 </w:t>
            </w:r>
          </w:p>
        </w:tc>
      </w:tr>
      <w:tr w:rsidR="000D1659" w:rsidRPr="00491918" w:rsidTr="00A64EB1">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r>
      <w:tr w:rsidR="000464EA" w:rsidRPr="00491918" w:rsidTr="00A64EB1">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464EA" w:rsidRPr="00491918" w:rsidRDefault="000464EA">
            <w:pPr>
              <w:rPr>
                <w:color w:val="000000"/>
                <w:sz w:val="16"/>
                <w:lang w:val="en-GB"/>
              </w:rPr>
            </w:pPr>
          </w:p>
          <w:p w:rsidR="000464EA" w:rsidRPr="00491918" w:rsidRDefault="000464EA">
            <w:pPr>
              <w:rPr>
                <w:color w:val="000000"/>
                <w:sz w:val="16"/>
                <w:lang w:val="en-GB"/>
              </w:rPr>
            </w:pPr>
          </w:p>
          <w:p w:rsidR="000464EA" w:rsidRPr="00491918" w:rsidRDefault="000464EA">
            <w:pPr>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1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1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c>
          <w:tcPr>
            <w:tcW w:w="720" w:type="dxa"/>
            <w:tcBorders>
              <w:top w:val="nil"/>
              <w:left w:val="nil"/>
              <w:bottom w:val="nil"/>
              <w:right w:val="nil"/>
            </w:tcBorders>
            <w:shd w:val="clear" w:color="auto" w:fill="FFFFFF"/>
            <w:tcMar>
              <w:left w:w="36" w:type="dxa"/>
              <w:right w:w="36" w:type="dxa"/>
            </w:tcMar>
            <w:vAlign w:val="bottom"/>
          </w:tcPr>
          <w:p w:rsidR="000464EA" w:rsidRPr="00491918" w:rsidRDefault="000464EA" w:rsidP="00A64EB1">
            <w:pPr>
              <w:jc w:val="right"/>
              <w:rPr>
                <w:color w:val="000000"/>
                <w:sz w:val="16"/>
                <w:lang w:val="en-GB"/>
              </w:rPr>
            </w:pPr>
          </w:p>
        </w:tc>
      </w:tr>
    </w:tbl>
    <w:p w:rsidR="000D1659" w:rsidRPr="00491918" w:rsidRDefault="000D1659">
      <w:pPr>
        <w:spacing w:line="14" w:lineRule="exact"/>
        <w:rPr>
          <w:lang w:val="en-GB"/>
        </w:rPr>
      </w:pPr>
      <w:r w:rsidRPr="00491918">
        <w:rPr>
          <w:lang w:val="en-GB"/>
        </w:rPr>
        <w:br w:type="page"/>
      </w:r>
    </w:p>
    <w:p w:rsidR="000464EA" w:rsidRPr="00491918" w:rsidRDefault="000464EA">
      <w:pPr>
        <w:spacing w:line="14" w:lineRule="exact"/>
        <w:rPr>
          <w:lang w:val="en-GB"/>
        </w:rPr>
      </w:pPr>
    </w:p>
    <w:p w:rsidR="000464EA" w:rsidRPr="00491918" w:rsidRDefault="000464EA">
      <w:pPr>
        <w:spacing w:line="14" w:lineRule="exact"/>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464EA" w:rsidRPr="00491918" w:rsidRDefault="000464EA" w:rsidP="000464EA">
            <w:pPr>
              <w:pStyle w:val="HeadingLevel1-BarcRA19"/>
              <w:rPr>
                <w:lang w:val="en-GB"/>
              </w:rPr>
            </w:pPr>
            <w:r w:rsidRPr="00491918">
              <w:rPr>
                <w:lang w:val="en-GB"/>
              </w:rPr>
              <w:t xml:space="preserve">Business </w:t>
            </w:r>
            <w:r w:rsidRPr="00491918">
              <w:t>Results</w:t>
            </w:r>
            <w:r w:rsidRPr="00491918">
              <w:rPr>
                <w:lang w:val="en-GB"/>
              </w:rPr>
              <w:t xml:space="preserve"> by Quarter</w:t>
            </w:r>
          </w:p>
          <w:p w:rsidR="000D1659" w:rsidRPr="00491918" w:rsidRDefault="000D1659">
            <w:pPr>
              <w:rPr>
                <w:lang w:val="en-GB"/>
              </w:rPr>
            </w:pP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color w:val="000000"/>
                <w:sz w:val="16"/>
                <w:vertAlign w:val="superscript"/>
                <w:lang w:val="en-GB"/>
              </w:rPr>
            </w:pPr>
            <w:r w:rsidRPr="00491918">
              <w:rPr>
                <w:b/>
                <w:color w:val="000000"/>
                <w:sz w:val="16"/>
                <w:lang w:val="en-GB"/>
              </w:rPr>
              <w:t>Q2</w:t>
            </w:r>
            <w:r w:rsidR="000D1659" w:rsidRPr="00491918">
              <w:rPr>
                <w:b/>
                <w:color w:val="000000"/>
                <w:sz w:val="16"/>
                <w:lang w:val="en-GB"/>
              </w:rPr>
              <w:t>13</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b/>
                <w:color w:val="000000"/>
                <w:sz w:val="16"/>
                <w:lang w:val="en-GB"/>
              </w:rPr>
            </w:pPr>
            <w:r w:rsidRPr="00491918">
              <w:rPr>
                <w:b/>
                <w:color w:val="000000"/>
                <w:sz w:val="16"/>
                <w:lang w:val="en-GB"/>
              </w:rPr>
              <w:t>Q1</w:t>
            </w:r>
            <w:r w:rsidR="000D1659" w:rsidRPr="00491918">
              <w:rPr>
                <w:b/>
                <w:color w:val="000000"/>
                <w:sz w:val="16"/>
                <w:lang w:val="en-GB"/>
              </w:rPr>
              <w:t>13</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color w:val="000000"/>
                <w:sz w:val="16"/>
                <w:lang w:val="en-GB"/>
              </w:rPr>
            </w:pPr>
            <w:r w:rsidRPr="00491918">
              <w:rPr>
                <w:b/>
                <w:color w:val="000000"/>
                <w:sz w:val="16"/>
                <w:lang w:val="en-GB"/>
              </w:rPr>
              <w:t>Q4</w:t>
            </w:r>
            <w:r w:rsidR="000D1659" w:rsidRPr="00491918">
              <w:rPr>
                <w:b/>
                <w:color w:val="000000"/>
                <w:sz w:val="16"/>
                <w:lang w:val="en-GB"/>
              </w:rPr>
              <w:t>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b/>
                <w:color w:val="000000"/>
                <w:sz w:val="16"/>
                <w:lang w:val="en-GB"/>
              </w:rPr>
            </w:pPr>
            <w:r w:rsidRPr="00491918">
              <w:rPr>
                <w:b/>
                <w:color w:val="000000"/>
                <w:sz w:val="16"/>
                <w:lang w:val="en-GB"/>
              </w:rPr>
              <w:t>Q3</w:t>
            </w:r>
            <w:r w:rsidR="000D1659" w:rsidRPr="00491918">
              <w:rPr>
                <w:b/>
                <w:color w:val="000000"/>
                <w:sz w:val="16"/>
                <w:lang w:val="en-GB"/>
              </w:rPr>
              <w:t>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b/>
                <w:color w:val="000000"/>
                <w:sz w:val="16"/>
                <w:lang w:val="en-GB"/>
              </w:rPr>
            </w:pPr>
            <w:r w:rsidRPr="00491918">
              <w:rPr>
                <w:b/>
                <w:color w:val="000000"/>
                <w:sz w:val="16"/>
                <w:lang w:val="en-GB"/>
              </w:rPr>
              <w:t>Q2</w:t>
            </w:r>
            <w:r w:rsidR="000D1659" w:rsidRPr="00491918">
              <w:rPr>
                <w:b/>
                <w:color w:val="000000"/>
                <w:sz w:val="16"/>
                <w:lang w:val="en-GB"/>
              </w:rPr>
              <w:t>12</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b/>
                <w:color w:val="000000"/>
                <w:sz w:val="16"/>
                <w:lang w:val="en-GB"/>
              </w:rPr>
            </w:pPr>
            <w:r w:rsidRPr="00491918">
              <w:rPr>
                <w:b/>
                <w:color w:val="000000"/>
                <w:sz w:val="16"/>
                <w:lang w:val="en-GB"/>
              </w:rPr>
              <w:t>Q1</w:t>
            </w:r>
            <w:r w:rsidR="000D1659" w:rsidRPr="00491918">
              <w:rPr>
                <w:b/>
                <w:color w:val="000000"/>
                <w:sz w:val="16"/>
                <w:lang w:val="en-GB"/>
              </w:rPr>
              <w:t>12</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EA3F9D">
            <w:pPr>
              <w:jc w:val="right"/>
              <w:rPr>
                <w:color w:val="000000"/>
                <w:sz w:val="16"/>
                <w:lang w:val="en-GB"/>
              </w:rPr>
            </w:pPr>
            <w:r w:rsidRPr="00491918">
              <w:rPr>
                <w:b/>
                <w:color w:val="000000"/>
                <w:sz w:val="16"/>
                <w:lang w:val="en-GB"/>
              </w:rPr>
              <w:t>Q4</w:t>
            </w:r>
            <w:r w:rsidR="000D1659" w:rsidRPr="00491918">
              <w:rPr>
                <w:b/>
                <w:color w:val="000000"/>
                <w:sz w:val="16"/>
                <w:lang w:val="en-GB"/>
              </w:rPr>
              <w:t>11</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Q</w:t>
            </w:r>
            <w:r w:rsidR="00EA3F9D" w:rsidRPr="00491918">
              <w:rPr>
                <w:b/>
                <w:color w:val="000000"/>
                <w:sz w:val="16"/>
                <w:lang w:val="en-GB"/>
              </w:rPr>
              <w:t>3</w:t>
            </w:r>
            <w:r w:rsidRPr="00491918">
              <w:rPr>
                <w:b/>
                <w:color w:val="000000"/>
                <w:sz w:val="16"/>
                <w:lang w:val="en-GB"/>
              </w:rPr>
              <w:t>11</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Barclaycard</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Adjusted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Total 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1,190 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1,153 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1,140 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1,092 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1,079 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1,033 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1,037 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1,177 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Credit impairment 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(313)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(303)</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(286)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(271)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(242)</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(250)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(287)</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(356)</w:t>
            </w:r>
          </w:p>
        </w:tc>
      </w:tr>
      <w:tr w:rsidR="000D1659" w:rsidRPr="00491918" w:rsidTr="00A64EB1">
        <w:trPr>
          <w:trHeight w:val="255"/>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Net operating income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877 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850 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854 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821 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837 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783 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750 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821 </w:t>
            </w:r>
          </w:p>
        </w:tc>
      </w:tr>
      <w:tr w:rsidR="000D1659" w:rsidRPr="00491918" w:rsidTr="00A64EB1">
        <w:trPr>
          <w:trHeight w:val="373"/>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Operating expenses (excluding costs to achieve Transform and UK bank levy)</w:t>
            </w:r>
            <w:r w:rsidRPr="00491918">
              <w:rPr>
                <w:b/>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color w:val="000000"/>
                <w:sz w:val="16"/>
                <w:lang w:val="en-GB"/>
              </w:rPr>
              <w:t>(467)</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(496)</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(508)</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(432)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(441)</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(445)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(478)</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(462)</w:t>
            </w:r>
          </w:p>
        </w:tc>
      </w:tr>
      <w:tr w:rsidR="000D1659" w:rsidRPr="00491918" w:rsidTr="00A64EB1">
        <w:trPr>
          <w:trHeight w:val="255"/>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(5)</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UK bank levy</w:t>
            </w:r>
            <w:r w:rsidRPr="00491918">
              <w:rPr>
                <w:b/>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(16)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Operating expenses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(472)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(496)</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(524)</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(432)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(441)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(445)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(494)</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(462)</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Other net income</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7 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Adjusted profit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412 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335 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396 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404 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347 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261 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367 </w:t>
            </w:r>
          </w:p>
        </w:tc>
      </w:tr>
      <w:tr w:rsidR="000D1659" w:rsidRPr="00491918" w:rsidTr="00A64EB1">
        <w:trPr>
          <w:trHeight w:hRule="exac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Adjusting items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Provision for PPI redress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(690)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(270)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(150)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Statutory (loss)/profit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(278)</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246 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404 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347 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261 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367 </w:t>
            </w:r>
          </w:p>
        </w:tc>
      </w:tr>
      <w:tr w:rsidR="000D1659" w:rsidRPr="00491918">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lang w:val="en-GB"/>
              </w:rPr>
            </w:pPr>
            <w:r w:rsidRPr="00491918">
              <w:rPr>
                <w:b/>
                <w:color w:val="000000"/>
                <w:sz w:val="20"/>
                <w:lang w:val="en-GB"/>
              </w:rPr>
              <w:t>Investment Bank</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Adjusted and statutory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Macro Products</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900 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1,113 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800 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748 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1,040 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1,436 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563 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1,131 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Credit Products</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508 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959 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505 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701 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665 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776 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490 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439 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Exit Quadrant Assets</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(30)</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118 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189 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226 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56 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107 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(120)</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(271)</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Fixed Income, Currency and Commodities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1,378 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2,190 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1,494 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1,675 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1,761 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2,319 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933 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1,299 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Equities and Prime Services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825 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706 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454 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523 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615 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591 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300 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346 </w:t>
            </w:r>
          </w:p>
        </w:tc>
      </w:tr>
      <w:tr w:rsidR="000D1659" w:rsidRPr="00491918" w:rsidTr="00A64EB1">
        <w:trPr>
          <w:trHeight w:val="225"/>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Investment Banking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528 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558 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620 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493 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509 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515 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518 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402 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DB18B5">
            <w:pPr>
              <w:rPr>
                <w:color w:val="000000"/>
                <w:sz w:val="16"/>
                <w:lang w:val="en-GB"/>
              </w:rPr>
            </w:pPr>
            <w:r w:rsidRPr="00491918">
              <w:rPr>
                <w:color w:val="000000"/>
                <w:sz w:val="16"/>
                <w:lang w:val="en-GB"/>
              </w:rPr>
              <w:t>Principal Investments</w:t>
            </w:r>
            <w:r w:rsidR="00DB18B5" w:rsidRPr="00491918">
              <w:rPr>
                <w:color w:val="000000"/>
                <w:sz w:val="16"/>
                <w:lang w:val="en-GB"/>
              </w:rPr>
              <w:t xml:space="preserve"> and Other Income</w:t>
            </w: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279 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26 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30 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139 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36 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89 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Total income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3,010 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3,463 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2,594 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2,721 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3,024 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3,436 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1,787 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2,136 </w:t>
            </w:r>
          </w:p>
        </w:tc>
      </w:tr>
      <w:tr w:rsidR="000D1659" w:rsidRPr="00491918" w:rsidTr="00A64EB1">
        <w:trPr>
          <w:trHeight w:val="281"/>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Credit impairment </w:t>
            </w:r>
            <w:r w:rsidR="00A64EB1" w:rsidRPr="00491918">
              <w:rPr>
                <w:color w:val="000000"/>
                <w:sz w:val="16"/>
                <w:lang w:val="en-GB"/>
              </w:rPr>
              <w:t>(</w:t>
            </w:r>
            <w:r w:rsidRPr="00491918">
              <w:rPr>
                <w:color w:val="000000"/>
                <w:sz w:val="16"/>
                <w:lang w:val="en-GB"/>
              </w:rPr>
              <w:t>charges</w:t>
            </w:r>
            <w:r w:rsidR="00A64EB1" w:rsidRPr="00491918">
              <w:rPr>
                <w:color w:val="000000"/>
                <w:sz w:val="16"/>
                <w:lang w:val="en-GB"/>
              </w:rPr>
              <w:t>)/releases</w:t>
            </w:r>
            <w:r w:rsidRPr="00491918">
              <w:rPr>
                <w:color w:val="000000"/>
                <w:sz w:val="16"/>
                <w:lang w:val="en-GB"/>
              </w:rPr>
              <w:t xml:space="preserve"> and other provisions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3A11E9" w:rsidP="00A64EB1">
            <w:pPr>
              <w:jc w:val="right"/>
              <w:rPr>
                <w:color w:val="000000"/>
                <w:sz w:val="16"/>
                <w:vertAlign w:val="superscript"/>
                <w:lang w:val="en-GB"/>
              </w:rPr>
            </w:pPr>
            <w:r w:rsidRPr="00491918">
              <w:rPr>
                <w:color w:val="000000"/>
                <w:sz w:val="16"/>
                <w:lang w:val="en-GB"/>
              </w:rPr>
              <w:t>(195)</w:t>
            </w:r>
            <w:r w:rsidR="000D1659"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14 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1 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(121)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(81)</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(89)</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(114)</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Net operating income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3A11E9" w:rsidP="00A64EB1">
            <w:pPr>
              <w:jc w:val="right"/>
              <w:rPr>
                <w:color w:val="000000"/>
                <w:sz w:val="16"/>
                <w:vertAlign w:val="superscript"/>
                <w:lang w:val="en-GB"/>
              </w:rPr>
            </w:pPr>
            <w:r w:rsidRPr="00491918">
              <w:rPr>
                <w:b/>
                <w:color w:val="000000"/>
                <w:sz w:val="16"/>
                <w:lang w:val="en-GB"/>
              </w:rPr>
              <w:t>2,815</w:t>
            </w:r>
            <w:r w:rsidR="000D1659" w:rsidRPr="00491918">
              <w:rPr>
                <w:b/>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3,477 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2,595 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2,718 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2,903 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3,355 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1,698 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2,022 </w:t>
            </w:r>
          </w:p>
        </w:tc>
      </w:tr>
      <w:tr w:rsidR="000D1659" w:rsidRPr="00491918" w:rsidTr="00A64EB1">
        <w:trPr>
          <w:trHeight w:val="287"/>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Operating expenses (excluding costs to achieve Transform and UK bank levy)</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(1,697)</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(2,054)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(1,644)</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(1,737)</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(1,849)</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(2,195)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(1,527)</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(1,818)</w:t>
            </w:r>
          </w:p>
        </w:tc>
      </w:tr>
      <w:tr w:rsidR="000D1659" w:rsidRPr="00491918" w:rsidTr="00A64EB1">
        <w:trPr>
          <w:trHeight w:val="225"/>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(53)</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(116)</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(206)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(199)</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Operating expenses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(1,750)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(2,170)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(1,850)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(1,737)</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(1,849)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(2,195)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(1,726)</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(1,818)</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Other net income/(expenses)</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9 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15 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Adjusted and statutory profit/(loss) before tax</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1,</w:t>
            </w:r>
            <w:r w:rsidR="003A11E9" w:rsidRPr="00491918">
              <w:rPr>
                <w:b/>
                <w:color w:val="000000"/>
                <w:sz w:val="16"/>
                <w:lang w:val="en-GB"/>
              </w:rPr>
              <w:t>074</w:t>
            </w:r>
            <w:r w:rsidRPr="00491918">
              <w:rPr>
                <w:b/>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1,315 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760 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988 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1,060 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1,182 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210 </w:t>
            </w:r>
          </w:p>
        </w:tc>
      </w:tr>
      <w:tr w:rsidR="000D1659" w:rsidRPr="00491918" w:rsidTr="00A64EB1">
        <w:trPr>
          <w:trHeight w:hRule="exact" w:val="255"/>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r>
    </w:tbl>
    <w:p w:rsidR="000464EA" w:rsidRPr="00491918" w:rsidRDefault="000D1659" w:rsidP="002D6B71">
      <w:pPr>
        <w:pStyle w:val="HeadingLevel1-BarcRA20"/>
        <w:rPr>
          <w:lang w:val="en-GB"/>
        </w:rPr>
      </w:pPr>
      <w:r w:rsidRPr="00491918">
        <w:rPr>
          <w:lang w:val="en-GB"/>
        </w:rPr>
        <w:br w:type="page"/>
      </w:r>
      <w:r w:rsidR="000464EA" w:rsidRPr="00491918">
        <w:rPr>
          <w:lang w:val="en-GB"/>
        </w:rPr>
        <w:lastRenderedPageBreak/>
        <w:t xml:space="preserve">Business </w:t>
      </w:r>
      <w:r w:rsidR="000464EA" w:rsidRPr="00491918">
        <w:t>Results</w:t>
      </w:r>
      <w:r w:rsidR="000464EA" w:rsidRPr="00491918">
        <w:rPr>
          <w:lang w:val="en-GB"/>
        </w:rPr>
        <w:t xml:space="preserve"> by Quarter</w:t>
      </w:r>
    </w:p>
    <w:p w:rsidR="000D1659" w:rsidRPr="00491918" w:rsidRDefault="000D1659">
      <w:pPr>
        <w:spacing w:line="14" w:lineRule="exact"/>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lang w:val="en-GB"/>
              </w:rPr>
            </w:pPr>
            <w:r w:rsidRPr="00491918">
              <w:rPr>
                <w:b/>
                <w:color w:val="000000"/>
                <w:sz w:val="20"/>
                <w:lang w:val="en-GB"/>
              </w:rPr>
              <w:t>Corporate Banking</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color w:val="000000"/>
                <w:sz w:val="16"/>
                <w:vertAlign w:val="superscript"/>
                <w:lang w:val="en-GB"/>
              </w:rPr>
            </w:pPr>
            <w:r w:rsidRPr="00491918">
              <w:rPr>
                <w:b/>
                <w:color w:val="000000"/>
                <w:sz w:val="16"/>
                <w:lang w:val="en-GB"/>
              </w:rPr>
              <w:t>Q2</w:t>
            </w:r>
            <w:r w:rsidR="000D1659" w:rsidRPr="00491918">
              <w:rPr>
                <w:b/>
                <w:color w:val="000000"/>
                <w:sz w:val="16"/>
                <w:lang w:val="en-GB"/>
              </w:rPr>
              <w:t>13</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b/>
                <w:color w:val="000000"/>
                <w:sz w:val="16"/>
                <w:lang w:val="en-GB"/>
              </w:rPr>
            </w:pPr>
            <w:r w:rsidRPr="00491918">
              <w:rPr>
                <w:b/>
                <w:color w:val="000000"/>
                <w:sz w:val="16"/>
                <w:lang w:val="en-GB"/>
              </w:rPr>
              <w:t>Q1</w:t>
            </w:r>
            <w:r w:rsidR="000D1659" w:rsidRPr="00491918">
              <w:rPr>
                <w:b/>
                <w:color w:val="000000"/>
                <w:sz w:val="16"/>
                <w:lang w:val="en-GB"/>
              </w:rPr>
              <w:t>13</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b/>
                <w:color w:val="000000"/>
                <w:sz w:val="16"/>
                <w:lang w:val="en-GB"/>
              </w:rPr>
            </w:pPr>
            <w:r w:rsidRPr="00491918">
              <w:rPr>
                <w:b/>
                <w:color w:val="000000"/>
                <w:sz w:val="16"/>
                <w:lang w:val="en-GB"/>
              </w:rPr>
              <w:t>Q4</w:t>
            </w:r>
            <w:r w:rsidR="000D1659" w:rsidRPr="00491918">
              <w:rPr>
                <w:b/>
                <w:color w:val="000000"/>
                <w:sz w:val="16"/>
                <w:lang w:val="en-GB"/>
              </w:rPr>
              <w:t>12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b/>
                <w:color w:val="000000"/>
                <w:sz w:val="16"/>
                <w:lang w:val="en-GB"/>
              </w:rPr>
            </w:pPr>
            <w:r w:rsidRPr="00491918">
              <w:rPr>
                <w:b/>
                <w:color w:val="000000"/>
                <w:sz w:val="16"/>
                <w:lang w:val="en-GB"/>
              </w:rPr>
              <w:t>Q3</w:t>
            </w:r>
            <w:r w:rsidR="000D1659" w:rsidRPr="00491918">
              <w:rPr>
                <w:b/>
                <w:color w:val="000000"/>
                <w:sz w:val="16"/>
                <w:lang w:val="en-GB"/>
              </w:rPr>
              <w:t>12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b/>
                <w:color w:val="000000"/>
                <w:sz w:val="16"/>
                <w:lang w:val="en-GB"/>
              </w:rPr>
            </w:pPr>
            <w:r w:rsidRPr="00491918">
              <w:rPr>
                <w:b/>
                <w:color w:val="000000"/>
                <w:sz w:val="16"/>
                <w:lang w:val="en-GB"/>
              </w:rPr>
              <w:t>Q2</w:t>
            </w:r>
            <w:r w:rsidR="000D1659" w:rsidRPr="00491918">
              <w:rPr>
                <w:b/>
                <w:color w:val="000000"/>
                <w:sz w:val="16"/>
                <w:lang w:val="en-GB"/>
              </w:rPr>
              <w:t>12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b/>
                <w:color w:val="000000"/>
                <w:sz w:val="16"/>
                <w:lang w:val="en-GB"/>
              </w:rPr>
            </w:pPr>
            <w:r w:rsidRPr="00491918">
              <w:rPr>
                <w:b/>
                <w:color w:val="000000"/>
                <w:sz w:val="16"/>
                <w:lang w:val="en-GB"/>
              </w:rPr>
              <w:t>Q1</w:t>
            </w:r>
            <w:r w:rsidR="000D1659" w:rsidRPr="00491918">
              <w:rPr>
                <w:b/>
                <w:color w:val="000000"/>
                <w:sz w:val="16"/>
                <w:lang w:val="en-GB"/>
              </w:rPr>
              <w:t>12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b/>
                <w:color w:val="000000"/>
                <w:sz w:val="16"/>
                <w:lang w:val="en-GB"/>
              </w:rPr>
            </w:pPr>
            <w:r w:rsidRPr="00491918">
              <w:rPr>
                <w:b/>
                <w:color w:val="000000"/>
                <w:sz w:val="16"/>
                <w:lang w:val="en-GB"/>
              </w:rPr>
              <w:t>Q4</w:t>
            </w:r>
            <w:r w:rsidR="000D1659" w:rsidRPr="00491918">
              <w:rPr>
                <w:b/>
                <w:color w:val="000000"/>
                <w:sz w:val="16"/>
                <w:lang w:val="en-GB"/>
              </w:rPr>
              <w:t>11</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2D6B71">
            <w:pPr>
              <w:jc w:val="right"/>
              <w:rPr>
                <w:b/>
                <w:color w:val="000000"/>
                <w:sz w:val="16"/>
                <w:lang w:val="en-GB"/>
              </w:rPr>
            </w:pPr>
            <w:r w:rsidRPr="00491918">
              <w:rPr>
                <w:b/>
                <w:color w:val="000000"/>
                <w:sz w:val="16"/>
                <w:lang w:val="en-GB"/>
              </w:rPr>
              <w:t>Q3</w:t>
            </w:r>
            <w:r w:rsidR="000D1659" w:rsidRPr="00491918">
              <w:rPr>
                <w:b/>
                <w:color w:val="000000"/>
                <w:sz w:val="16"/>
                <w:lang w:val="en-GB"/>
              </w:rPr>
              <w:t>11</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 xml:space="preserve">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Adjusted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Total 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780 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772 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746 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717 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734 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849 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753 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902 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Credit impairment 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(128)</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(130)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(240)</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(214)</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(223)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(208)</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(252)</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(284)</w:t>
            </w:r>
          </w:p>
        </w:tc>
      </w:tr>
      <w:tr w:rsidR="000D1659" w:rsidRPr="00491918" w:rsidTr="00A64EB1">
        <w:trPr>
          <w:trHeight w:val="255"/>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Net operating income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652 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642 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506 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503 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511 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641 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501 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618 </w:t>
            </w:r>
          </w:p>
        </w:tc>
      </w:tr>
      <w:tr w:rsidR="000D1659" w:rsidRPr="00491918" w:rsidTr="00A64EB1">
        <w:trPr>
          <w:trHeight w:val="373"/>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Operating expenses (excluding costs to achieve Transform and UK bank levy)</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(430)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(422)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(412)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(421)</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(402)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(437)</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(469)</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(480)</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(4)</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(37)</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(39)</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Operating expenses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(434)</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(459)</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(451)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(421)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(402)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(437)</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(512)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(480)</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Other net income/(expenses)</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Adjusted profit/(loss)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219 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183 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203 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140 </w:t>
            </w:r>
          </w:p>
        </w:tc>
      </w:tr>
      <w:tr w:rsidR="000D1659" w:rsidRPr="00491918" w:rsidTr="00A64EB1">
        <w:trPr>
          <w:trHeight w:hRule="exact" w:val="18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Adjusting items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Goodwill impairment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(123)</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449"/>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Provision for interest rate hedging products</w:t>
            </w:r>
          </w:p>
          <w:p w:rsidR="000D1659" w:rsidRPr="00491918" w:rsidRDefault="000D1659">
            <w:pPr>
              <w:rPr>
                <w:color w:val="000000"/>
                <w:sz w:val="16"/>
                <w:lang w:val="en-GB"/>
              </w:rPr>
            </w:pPr>
            <w:r w:rsidRPr="00491918">
              <w:rPr>
                <w:color w:val="000000"/>
                <w:sz w:val="16"/>
                <w:lang w:val="en-GB"/>
              </w:rPr>
              <w:t>redress</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(650)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(400)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(450)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Losses on disposal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Statutory (loss)/profit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(431)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183 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(339)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88 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203 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(142)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140 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hRule="exact" w:val="240"/>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20"/>
                <w:lang w:val="en-GB"/>
              </w:rPr>
              <w:t>Wealth and Investment Management</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and statutory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Total 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462 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469 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483 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443 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442 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452 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453 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462 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Credit impairment 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(35)</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(12)</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(12)</w:t>
            </w:r>
          </w:p>
        </w:tc>
      </w:tr>
      <w:tr w:rsidR="000D1659" w:rsidRPr="00491918" w:rsidTr="00A64EB1">
        <w:trPr>
          <w:trHeight w:val="255"/>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Net operating income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427 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455 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470 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437 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430 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445 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443 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450 </w:t>
            </w:r>
          </w:p>
        </w:tc>
      </w:tr>
      <w:tr w:rsidR="000D1659" w:rsidRPr="00491918" w:rsidTr="00A64EB1">
        <w:trPr>
          <w:trHeight w:val="51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Operating expenses (excluding costs to achieve Transform and UK bank levy)</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(410)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(400)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(361)</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(369)</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(380)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(395)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(398)</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(380)</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(33)</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55"/>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Operating expenses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(443)</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(400)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(365)</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(369)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(380)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(395)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(399)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(380)</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Other net income/(expense)</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Adjusted and statutory (loss)/profit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(13)</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60 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70 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49 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50 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70 </w:t>
            </w:r>
          </w:p>
        </w:tc>
      </w:tr>
      <w:tr w:rsidR="000D1659" w:rsidRPr="00491918">
        <w:trPr>
          <w:trHeight w:hRule="exact" w:val="255"/>
        </w:trPr>
        <w:tc>
          <w:tcPr>
            <w:tcW w:w="367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3675"/>
        <w:gridCol w:w="720"/>
        <w:gridCol w:w="720"/>
        <w:gridCol w:w="120"/>
        <w:gridCol w:w="720"/>
        <w:gridCol w:w="720"/>
        <w:gridCol w:w="720"/>
        <w:gridCol w:w="720"/>
        <w:gridCol w:w="120"/>
        <w:gridCol w:w="720"/>
        <w:gridCol w:w="720"/>
      </w:tblGrid>
      <w:tr w:rsidR="000D1659" w:rsidRPr="00491918">
        <w:trPr>
          <w:trHeight w:val="240"/>
        </w:trPr>
        <w:tc>
          <w:tcPr>
            <w:tcW w:w="36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lang w:val="en-GB"/>
              </w:rPr>
            </w:pPr>
            <w:r w:rsidRPr="00491918">
              <w:rPr>
                <w:b/>
                <w:color w:val="000000"/>
                <w:sz w:val="20"/>
                <w:lang w:val="en-GB"/>
              </w:rPr>
              <w:t>Head Office and Other Operations</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36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 xml:space="preserve">Adjusted basis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Total (expense)/income net of insurance claims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(100)</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(55)</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24 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68 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319 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49 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(112)</w:t>
            </w:r>
          </w:p>
        </w:tc>
      </w:tr>
      <w:tr w:rsidR="000D1659" w:rsidRPr="00491918" w:rsidTr="00A64EB1">
        <w:trPr>
          <w:trHeight w:val="48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Credit impairment releases/(charges) and other provisions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1 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r>
      <w:tr w:rsidR="000D1659" w:rsidRPr="00491918" w:rsidTr="00A64EB1">
        <w:trPr>
          <w:trHeight w:val="255"/>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Net operating (expense)/income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(99)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(55)</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317 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43 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(110)</w:t>
            </w:r>
          </w:p>
        </w:tc>
      </w:tr>
      <w:tr w:rsidR="000D1659" w:rsidRPr="00491918" w:rsidTr="00A64EB1">
        <w:trPr>
          <w:trHeight w:val="51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Operating expenses (excluding costs to achieve Transform and UK bank levy)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(7)</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(17)</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(61)</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(6)</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(99)</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(22)</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(7)</w:t>
            </w:r>
          </w:p>
        </w:tc>
      </w:tr>
      <w:tr w:rsidR="000D1659" w:rsidRPr="00491918" w:rsidTr="00A64EB1">
        <w:trPr>
          <w:trHeight w:val="255"/>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5 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UK bank levy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(19)</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Operating expenses</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(22)</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(80)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(99)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(7)</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Other net (expense)/income</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23 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Adjusted (loss)/profit before tax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(104)</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(53)</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(132)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12 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(11)</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320 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21 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(116)</w:t>
            </w:r>
          </w:p>
        </w:tc>
      </w:tr>
      <w:tr w:rsidR="000D1659" w:rsidRPr="00491918" w:rsidTr="00A64EB1">
        <w:trPr>
          <w:trHeight w:hRule="exact" w:val="18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b/>
                <w:color w:val="000000"/>
                <w:sz w:val="16"/>
                <w:lang w:val="en-GB"/>
              </w:rPr>
              <w:t xml:space="preserve">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b/>
                <w:color w:val="000000"/>
                <w:sz w:val="16"/>
                <w:lang w:val="en-GB"/>
              </w:rPr>
              <w:t xml:space="preserve">Adjusting items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b/>
                <w:color w:val="000000"/>
                <w:sz w:val="16"/>
                <w:lang w:val="en-GB"/>
              </w:rPr>
            </w:pPr>
            <w:r w:rsidRPr="00491918">
              <w:rPr>
                <w:color w:val="000000"/>
                <w:sz w:val="16"/>
                <w:lang w:val="en-GB"/>
              </w:rPr>
              <w:t xml:space="preserve">Own credit </w:t>
            </w:r>
            <w:r w:rsidRPr="00491918">
              <w:rPr>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337 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(251)</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(560)</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(1,074)</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(325)</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(2,620)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(263)</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2,882 </w:t>
            </w:r>
          </w:p>
        </w:tc>
      </w:tr>
      <w:tr w:rsidR="000D1659" w:rsidRPr="00491918" w:rsidTr="00A64EB1">
        <w:trPr>
          <w:trHeight w:val="51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Impairment and gain on disposal of BlackRock investment</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227 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(1,800)</w:t>
            </w:r>
          </w:p>
        </w:tc>
      </w:tr>
      <w:tr w:rsidR="000D1659" w:rsidRPr="00491918" w:rsidTr="00A64EB1">
        <w:trPr>
          <w:trHeight w:val="240"/>
        </w:trPr>
        <w:tc>
          <w:tcPr>
            <w:tcW w:w="3675"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Gains on debt buy-backs </w:t>
            </w:r>
            <w:r w:rsidRPr="00491918">
              <w:rPr>
                <w:color w:val="000000"/>
                <w:sz w:val="16"/>
                <w:vertAlign w:val="superscript"/>
                <w:lang w:val="en-GB"/>
              </w:rPr>
              <w:t xml:space="preserve"> </w:t>
            </w:r>
          </w:p>
        </w:tc>
        <w:tc>
          <w:tcPr>
            <w:tcW w:w="720" w:type="dxa"/>
            <w:tcBorders>
              <w:top w:val="nil"/>
              <w:left w:val="nil"/>
              <w:bottom w:val="nil"/>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1,130 </w:t>
            </w:r>
          </w:p>
        </w:tc>
        <w:tc>
          <w:tcPr>
            <w:tcW w:w="7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r>
      <w:tr w:rsidR="000D1659" w:rsidRPr="00491918" w:rsidTr="00A64EB1">
        <w:trPr>
          <w:trHeight w:val="240"/>
        </w:trPr>
        <w:tc>
          <w:tcPr>
            <w:tcW w:w="36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color w:val="000000"/>
                <w:sz w:val="16"/>
                <w:lang w:val="en-GB"/>
              </w:rPr>
              <w:t xml:space="preserve">(Losses)/gains on acquisitions and disposals </w:t>
            </w:r>
            <w:r w:rsidRPr="00491918">
              <w:rPr>
                <w:color w:val="000000"/>
                <w:sz w:val="16"/>
                <w:vertAlign w:val="superscript"/>
                <w:lang w:val="en-GB"/>
              </w:rPr>
              <w:t xml:space="preserve"> </w:t>
            </w:r>
          </w:p>
        </w:tc>
        <w:tc>
          <w:tcPr>
            <w:tcW w:w="72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A64EB1">
            <w:pPr>
              <w:jc w:val="right"/>
              <w:rPr>
                <w:color w:val="000000"/>
                <w:sz w:val="16"/>
                <w:vertAlign w:val="superscript"/>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 xml:space="preserve"> </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(23)</w:t>
            </w:r>
          </w:p>
        </w:tc>
        <w:tc>
          <w:tcPr>
            <w:tcW w:w="7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rsidP="00A64EB1">
            <w:pPr>
              <w:jc w:val="right"/>
              <w:rPr>
                <w:color w:val="000000"/>
                <w:sz w:val="16"/>
                <w:lang w:val="en-GB"/>
              </w:rPr>
            </w:pPr>
            <w:r w:rsidRPr="00491918">
              <w:rPr>
                <w:color w:val="000000"/>
                <w:sz w:val="16"/>
                <w:lang w:val="en-GB"/>
              </w:rPr>
              <w:t>1 </w:t>
            </w:r>
          </w:p>
        </w:tc>
      </w:tr>
      <w:tr w:rsidR="000D1659" w:rsidRPr="00491918" w:rsidTr="00A64EB1">
        <w:trPr>
          <w:trHeight w:val="240"/>
        </w:trPr>
        <w:tc>
          <w:tcPr>
            <w:tcW w:w="367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rPr>
                <w:color w:val="000000"/>
                <w:sz w:val="16"/>
                <w:lang w:val="en-GB"/>
              </w:rPr>
            </w:pPr>
            <w:r w:rsidRPr="00491918">
              <w:rPr>
                <w:b/>
                <w:color w:val="000000"/>
                <w:sz w:val="16"/>
                <w:lang w:val="en-GB"/>
              </w:rPr>
              <w:t xml:space="preserve">Statutory profit/(loss) before tax </w:t>
            </w:r>
            <w:r w:rsidRPr="00491918">
              <w:rPr>
                <w:b/>
                <w:color w:val="000000"/>
                <w:sz w:val="16"/>
                <w:vertAlign w:val="superscript"/>
                <w:lang w:val="en-GB"/>
              </w:rPr>
              <w:t xml:space="preserve"> </w:t>
            </w:r>
          </w:p>
        </w:tc>
        <w:tc>
          <w:tcPr>
            <w:tcW w:w="72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rsidP="00A64EB1">
            <w:pPr>
              <w:jc w:val="right"/>
              <w:rPr>
                <w:b/>
                <w:color w:val="000000"/>
                <w:sz w:val="16"/>
                <w:vertAlign w:val="superscript"/>
                <w:lang w:val="en-GB"/>
              </w:rPr>
            </w:pPr>
            <w:r w:rsidRPr="00491918">
              <w:rPr>
                <w:b/>
                <w:color w:val="000000"/>
                <w:sz w:val="16"/>
                <w:lang w:val="en-GB"/>
              </w:rPr>
              <w:t>233 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(304)</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(692)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(1,062)</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(109)</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(2,300)</w:t>
            </w:r>
          </w:p>
        </w:tc>
        <w:tc>
          <w:tcPr>
            <w:tcW w:w="120" w:type="dxa"/>
            <w:tcBorders>
              <w:top w:val="nil"/>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 xml:space="preserve">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865 </w:t>
            </w:r>
          </w:p>
        </w:tc>
        <w:tc>
          <w:tcPr>
            <w:tcW w:w="7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rsidP="00A64EB1">
            <w:pPr>
              <w:jc w:val="right"/>
              <w:rPr>
                <w:b/>
                <w:color w:val="000000"/>
                <w:sz w:val="16"/>
                <w:lang w:val="en-GB"/>
              </w:rPr>
            </w:pPr>
            <w:r w:rsidRPr="00491918">
              <w:rPr>
                <w:b/>
                <w:color w:val="000000"/>
                <w:sz w:val="16"/>
                <w:lang w:val="en-GB"/>
              </w:rPr>
              <w:t>967 </w:t>
            </w:r>
          </w:p>
        </w:tc>
      </w:tr>
    </w:tbl>
    <w:p w:rsidR="000D1659" w:rsidRPr="00491918" w:rsidRDefault="000D1659">
      <w:pPr>
        <w:rPr>
          <w:lang w:val="en-GB"/>
        </w:rPr>
        <w:sectPr w:rsidR="000D1659" w:rsidRPr="00491918" w:rsidSect="00751636">
          <w:headerReference w:type="default" r:id="rId24"/>
          <w:pgSz w:w="11905" w:h="16837"/>
          <w:pgMar w:top="851" w:right="1134" w:bottom="567" w:left="1134" w:header="851" w:footer="567" w:gutter="0"/>
          <w:cols w:space="708"/>
        </w:sectPr>
      </w:pPr>
    </w:p>
    <w:p w:rsidR="000D76A8" w:rsidRPr="00491918" w:rsidRDefault="000D76A8" w:rsidP="000D76A8">
      <w:pPr>
        <w:pStyle w:val="HeadingLevel1-BarcRA20"/>
        <w:rPr>
          <w:lang w:val="en-GB"/>
        </w:rPr>
      </w:pPr>
      <w:r w:rsidRPr="00491918">
        <w:rPr>
          <w:lang w:val="en-GB"/>
        </w:rPr>
        <w:lastRenderedPageBreak/>
        <w:t>Performance Management</w:t>
      </w:r>
    </w:p>
    <w:p w:rsidR="000D1659" w:rsidRPr="00491918" w:rsidRDefault="000D1659" w:rsidP="008D6001">
      <w:pPr>
        <w:pStyle w:val="HeadingLevel1-BarcRA21"/>
        <w:outlineLvl w:val="0"/>
      </w:pPr>
      <w:r w:rsidRPr="00491918">
        <w:t>Returns and Equity by Business</w:t>
      </w:r>
    </w:p>
    <w:p w:rsidR="000D1659" w:rsidRPr="00491918" w:rsidRDefault="000D1659" w:rsidP="000D1659">
      <w:pPr>
        <w:pStyle w:val="BodyText-BarcRA23"/>
      </w:pPr>
      <w:r w:rsidRPr="00491918">
        <w:t>Returns on average equity and average tangible equity are calculated using attributable profit for the period, divided by average allocated equity or tangible equity as appropriate. Average allocated equity has been calculated as 10.5%</w:t>
      </w:r>
      <w:r w:rsidR="00E9782A" w:rsidRPr="00491918">
        <w:t xml:space="preserve"> of average RWAs</w:t>
      </w:r>
      <w:r w:rsidRPr="00491918">
        <w:t xml:space="preserve"> for each business, adjusted for capital deductions, including goodwill and intangible assets, reflecting the assumptions the Group uses for capital planning purposes. The higher capital level currently held, reflecting Core Tier 1 capital ratio of 11.1% as at 30 June 2013, is allocated to Head Office and Other Operations. Average allocated tangible equity is calculated using the same method but excludes goodwill and intangible assets. </w:t>
      </w:r>
    </w:p>
    <w:p w:rsidR="000D1659" w:rsidRPr="00491918" w:rsidRDefault="000D1659"/>
    <w:tbl>
      <w:tblPr>
        <w:tblW w:w="0" w:type="auto"/>
        <w:tblLayout w:type="fixed"/>
        <w:tblLook w:val="0000" w:firstRow="0" w:lastRow="0" w:firstColumn="0" w:lastColumn="0" w:noHBand="0" w:noVBand="0"/>
      </w:tblPr>
      <w:tblGrid>
        <w:gridCol w:w="4125"/>
        <w:gridCol w:w="900"/>
        <w:gridCol w:w="900"/>
        <w:gridCol w:w="900"/>
        <w:gridCol w:w="150"/>
        <w:gridCol w:w="900"/>
        <w:gridCol w:w="900"/>
        <w:gridCol w:w="900"/>
      </w:tblGrid>
      <w:tr w:rsidR="009E6048" w:rsidRPr="00491918" w:rsidTr="000732DD">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color w:val="000000"/>
                <w:sz w:val="16"/>
              </w:rPr>
              <w:t xml:space="preserve"> </w:t>
            </w:r>
            <w:r w:rsidRPr="00491918">
              <w:rPr>
                <w:color w:val="000000"/>
                <w:sz w:val="16"/>
                <w:vertAlign w:val="superscript"/>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Adjusted</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Statutory</w:t>
            </w:r>
            <w:r w:rsidRPr="00491918">
              <w:rPr>
                <w:b/>
                <w:color w:val="000000"/>
                <w:sz w:val="16"/>
                <w:vertAlign w:val="superscript"/>
              </w:rPr>
              <w:t xml:space="preserve"> </w:t>
            </w:r>
          </w:p>
        </w:tc>
      </w:tr>
      <w:tr w:rsidR="000D1659" w:rsidRPr="00491918">
        <w:trPr>
          <w:trHeight w:val="51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b/>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Return on Average Equity</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125"/>
        <w:gridCol w:w="900"/>
        <w:gridCol w:w="900"/>
        <w:gridCol w:w="900"/>
        <w:gridCol w:w="150"/>
        <w:gridCol w:w="900"/>
        <w:gridCol w:w="900"/>
        <w:gridCol w:w="900"/>
      </w:tblGrid>
      <w:tr w:rsidR="000D1659" w:rsidRPr="00491918" w:rsidTr="000732DD">
        <w:trPr>
          <w:trHeight w:val="240"/>
        </w:trPr>
        <w:tc>
          <w:tcPr>
            <w:tcW w:w="41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UK RBB</w:t>
            </w:r>
            <w:r w:rsidRPr="00491918">
              <w:rPr>
                <w:color w:val="000000"/>
                <w:sz w:val="16"/>
                <w:vertAlign w:val="superscript"/>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12.2 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12.2 </w:t>
            </w:r>
            <w:r w:rsidRPr="00491918">
              <w:rPr>
                <w:color w:val="000000"/>
                <w:sz w:val="16"/>
                <w:vertAlign w:val="superscript"/>
              </w:rPr>
              <w:t xml:space="preserve">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(6.0)</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5.7 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Europe RBB</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(49.1)</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(10.9)</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(49.1)</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(10.9)</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Africa RBB</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Barclaycard</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19.3 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20.1 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0.5 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20.1 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Investment Bank</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rsidP="00B862F0">
            <w:pPr>
              <w:jc w:val="right"/>
              <w:rPr>
                <w:color w:val="000000"/>
                <w:sz w:val="16"/>
                <w:vertAlign w:val="superscript"/>
              </w:rPr>
            </w:pPr>
            <w:r w:rsidRPr="00491918">
              <w:rPr>
                <w:color w:val="000000"/>
                <w:sz w:val="16"/>
              </w:rPr>
              <w:t>1</w:t>
            </w:r>
            <w:r w:rsidR="00B862F0" w:rsidRPr="00491918">
              <w:rPr>
                <w:color w:val="000000"/>
                <w:sz w:val="16"/>
              </w:rPr>
              <w:t>5.4</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13.4 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rsidP="00B862F0">
            <w:pPr>
              <w:jc w:val="right"/>
              <w:rPr>
                <w:color w:val="000000"/>
                <w:sz w:val="16"/>
              </w:rPr>
            </w:pPr>
            <w:r w:rsidRPr="00491918">
              <w:rPr>
                <w:color w:val="000000"/>
                <w:sz w:val="16"/>
              </w:rPr>
              <w:t>1</w:t>
            </w:r>
            <w:r w:rsidR="00B862F0" w:rsidRPr="00491918">
              <w:rPr>
                <w:color w:val="000000"/>
                <w:sz w:val="16"/>
              </w:rPr>
              <w:t>5.4</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13.4 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Corporate Banking</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(4.6)</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w:t>
            </w:r>
            <w:r w:rsidRPr="00491918">
              <w:rPr>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Wealth and Investment Management</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2.5 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7.3 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7.3 </w:t>
            </w:r>
            <w:r w:rsidRPr="00491918">
              <w:rPr>
                <w:color w:val="000000"/>
                <w:sz w:val="16"/>
                <w:vertAlign w:val="superscript"/>
              </w:rPr>
              <w:t xml:space="preserve"> </w:t>
            </w:r>
          </w:p>
        </w:tc>
      </w:tr>
      <w:tr w:rsidR="000D1659" w:rsidRPr="00491918">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Group excluding Head Office and Other Operations</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862F0">
            <w:pPr>
              <w:jc w:val="right"/>
              <w:rPr>
                <w:b/>
                <w:color w:val="000000"/>
                <w:sz w:val="16"/>
                <w:vertAlign w:val="superscript"/>
              </w:rPr>
            </w:pPr>
            <w:r w:rsidRPr="00491918">
              <w:rPr>
                <w:b/>
                <w:color w:val="000000"/>
                <w:sz w:val="16"/>
              </w:rPr>
              <w:t>9.9</w:t>
            </w:r>
            <w:r w:rsidR="000D1659"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10.4 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862F0">
            <w:pPr>
              <w:jc w:val="right"/>
              <w:rPr>
                <w:b/>
                <w:color w:val="000000"/>
                <w:sz w:val="16"/>
              </w:rPr>
            </w:pPr>
            <w:r w:rsidRPr="00491918">
              <w:rPr>
                <w:b/>
                <w:color w:val="000000"/>
                <w:sz w:val="16"/>
              </w:rPr>
              <w:t>3.7</w:t>
            </w:r>
            <w:r w:rsidR="000D1659"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8.0 </w:t>
            </w:r>
            <w:r w:rsidRPr="00491918">
              <w:rPr>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Head Office and Other Operations impact</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B862F0">
            <w:pPr>
              <w:jc w:val="right"/>
              <w:rPr>
                <w:color w:val="000000"/>
                <w:sz w:val="16"/>
                <w:vertAlign w:val="superscript"/>
              </w:rPr>
            </w:pPr>
            <w:r w:rsidRPr="00491918">
              <w:rPr>
                <w:color w:val="000000"/>
                <w:sz w:val="16"/>
              </w:rPr>
              <w:t>(2.</w:t>
            </w:r>
            <w:r w:rsidR="00B862F0" w:rsidRPr="00491918">
              <w:rPr>
                <w:color w:val="000000"/>
                <w:sz w:val="16"/>
              </w:rPr>
              <w:t>1</w:t>
            </w: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w:t>
            </w:r>
            <w:r w:rsidR="00B862F0" w:rsidRPr="00491918">
              <w:rPr>
                <w:color w:val="000000"/>
                <w:sz w:val="16"/>
              </w:rPr>
              <w:t>1</w:t>
            </w: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w:t>
            </w:r>
            <w:r w:rsidRPr="00491918">
              <w:rPr>
                <w:color w:val="000000"/>
                <w:sz w:val="16"/>
                <w:vertAlign w:val="superscript"/>
              </w:rPr>
              <w:t xml:space="preserve"> </w:t>
            </w:r>
          </w:p>
        </w:tc>
      </w:tr>
      <w:tr w:rsidR="000D1659" w:rsidRPr="00491918">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862F0">
            <w:pPr>
              <w:jc w:val="right"/>
              <w:rPr>
                <w:b/>
                <w:color w:val="000000"/>
                <w:sz w:val="16"/>
                <w:vertAlign w:val="superscript"/>
              </w:rPr>
            </w:pPr>
            <w:r w:rsidRPr="00491918">
              <w:rPr>
                <w:b/>
                <w:color w:val="000000"/>
                <w:sz w:val="16"/>
              </w:rPr>
              <w:t>7.8</w:t>
            </w:r>
            <w:r w:rsidR="000D1659"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7.4 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10.6 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862F0">
            <w:pPr>
              <w:jc w:val="right"/>
              <w:rPr>
                <w:b/>
                <w:color w:val="000000"/>
                <w:sz w:val="16"/>
              </w:rPr>
            </w:pPr>
            <w:r w:rsidRPr="00491918">
              <w:rPr>
                <w:b/>
                <w:color w:val="000000"/>
                <w:sz w:val="16"/>
              </w:rPr>
              <w:t>2.6</w:t>
            </w:r>
            <w:r w:rsidR="000D1659"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0.6 </w:t>
            </w:r>
            <w:r w:rsidRPr="00491918">
              <w:rPr>
                <w:b/>
                <w:color w:val="000000"/>
                <w:sz w:val="16"/>
                <w:vertAlign w:val="superscript"/>
              </w:rPr>
              <w:t xml:space="preserve"> </w:t>
            </w:r>
          </w:p>
        </w:tc>
      </w:tr>
      <w:tr w:rsidR="000D1659" w:rsidRPr="00491918">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9E6048" w:rsidRPr="00491918" w:rsidTr="000732DD">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Adjusted</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Statutory</w:t>
            </w:r>
            <w:r w:rsidRPr="00491918">
              <w:rPr>
                <w:color w:val="000000"/>
                <w:sz w:val="16"/>
                <w:vertAlign w:val="superscript"/>
              </w:rPr>
              <w:t xml:space="preserve"> </w:t>
            </w:r>
          </w:p>
        </w:tc>
      </w:tr>
      <w:tr w:rsidR="000D1659" w:rsidRPr="00491918">
        <w:trPr>
          <w:trHeight w:val="51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Return on Average Tangible Equity</w:t>
            </w:r>
            <w:r w:rsidRPr="00491918">
              <w:rPr>
                <w:b/>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125"/>
        <w:gridCol w:w="900"/>
        <w:gridCol w:w="900"/>
        <w:gridCol w:w="900"/>
        <w:gridCol w:w="150"/>
        <w:gridCol w:w="900"/>
        <w:gridCol w:w="900"/>
        <w:gridCol w:w="900"/>
      </w:tblGrid>
      <w:tr w:rsidR="000D1659" w:rsidRPr="00491918" w:rsidTr="000732DD">
        <w:trPr>
          <w:trHeight w:val="240"/>
        </w:trPr>
        <w:tc>
          <w:tcPr>
            <w:tcW w:w="41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UK RBB</w:t>
            </w:r>
            <w:r w:rsidRPr="00491918">
              <w:rPr>
                <w:color w:val="000000"/>
                <w:sz w:val="16"/>
                <w:vertAlign w:val="superscript"/>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21.5 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22.7 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23.1 </w:t>
            </w:r>
            <w:r w:rsidRPr="00491918">
              <w:rPr>
                <w:color w:val="000000"/>
                <w:sz w:val="16"/>
                <w:vertAlign w:val="superscript"/>
              </w:rPr>
              <w:t xml:space="preserve">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(11.1)</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10.7 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Europe RBB</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(53.8)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(16.5)</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(53.8)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(16.5)</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Africa RBB</w:t>
            </w:r>
            <w:r w:rsidRPr="00491918">
              <w:rPr>
                <w:color w:val="000000"/>
                <w:sz w:val="16"/>
                <w:vertAlign w:val="superscript"/>
              </w:rPr>
              <w:t>1 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7.9 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7.9 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Barclaycard</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26.0 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27.2 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0.6 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27.2 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Investment Bank</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rsidP="00B862F0">
            <w:pPr>
              <w:jc w:val="right"/>
              <w:rPr>
                <w:color w:val="000000"/>
                <w:sz w:val="16"/>
                <w:vertAlign w:val="superscript"/>
              </w:rPr>
            </w:pPr>
            <w:r w:rsidRPr="00491918">
              <w:rPr>
                <w:color w:val="000000"/>
                <w:sz w:val="16"/>
              </w:rPr>
              <w:t>1</w:t>
            </w:r>
            <w:r w:rsidR="00B862F0" w:rsidRPr="00491918">
              <w:rPr>
                <w:color w:val="000000"/>
                <w:sz w:val="16"/>
              </w:rPr>
              <w:t>5.9</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13.9 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w:t>
            </w:r>
            <w:r w:rsidR="00B862F0" w:rsidRPr="00491918">
              <w:rPr>
                <w:color w:val="000000"/>
                <w:sz w:val="16"/>
              </w:rPr>
              <w:t>5.9</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13.9 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Corporate Banking</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(6.6)</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(4.9)</w:t>
            </w:r>
            <w:r w:rsidRPr="00491918">
              <w:rPr>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Wealth and Investment Management</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3.3 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20.4 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3.3 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20.4 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10.2 </w:t>
            </w:r>
            <w:r w:rsidRPr="00491918">
              <w:rPr>
                <w:color w:val="000000"/>
                <w:sz w:val="16"/>
                <w:vertAlign w:val="superscript"/>
              </w:rPr>
              <w:t xml:space="preserve"> </w:t>
            </w:r>
          </w:p>
        </w:tc>
      </w:tr>
      <w:tr w:rsidR="000D1659" w:rsidRPr="00491918">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Group excluding Head Office and Other Operations</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w:t>
            </w:r>
            <w:r w:rsidR="00B862F0" w:rsidRPr="00491918">
              <w:rPr>
                <w:b/>
                <w:color w:val="000000"/>
                <w:sz w:val="16"/>
              </w:rPr>
              <w:t>1.8</w:t>
            </w:r>
            <w:r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12.3 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862F0">
            <w:pPr>
              <w:jc w:val="right"/>
              <w:rPr>
                <w:b/>
                <w:color w:val="000000"/>
                <w:sz w:val="16"/>
              </w:rPr>
            </w:pPr>
            <w:r w:rsidRPr="00491918">
              <w:rPr>
                <w:b/>
                <w:color w:val="000000"/>
                <w:sz w:val="16"/>
              </w:rPr>
              <w:t>4.6</w:t>
            </w:r>
            <w:r w:rsidR="000D1659"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9.6 </w:t>
            </w:r>
            <w:r w:rsidRPr="00491918">
              <w:rPr>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Head Office and Other Operations impact</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w:t>
            </w:r>
            <w:r w:rsidR="00B862F0" w:rsidRPr="00491918">
              <w:rPr>
                <w:color w:val="000000"/>
                <w:sz w:val="16"/>
              </w:rPr>
              <w:t>7</w:t>
            </w: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(8.9)</w:t>
            </w:r>
            <w:r w:rsidRPr="00491918">
              <w:rPr>
                <w:color w:val="000000"/>
                <w:sz w:val="16"/>
                <w:vertAlign w:val="superscript"/>
              </w:rPr>
              <w:t xml:space="preserve"> </w:t>
            </w:r>
          </w:p>
        </w:tc>
      </w:tr>
      <w:tr w:rsidR="000D1659" w:rsidRPr="00491918">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9.</w:t>
            </w:r>
            <w:r w:rsidR="00B862F0" w:rsidRPr="00491918">
              <w:rPr>
                <w:b/>
                <w:color w:val="000000"/>
                <w:sz w:val="16"/>
              </w:rPr>
              <w:t>1</w:t>
            </w:r>
            <w:r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12.5 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3.</w:t>
            </w:r>
            <w:r w:rsidR="00B862F0" w:rsidRPr="00491918">
              <w:rPr>
                <w:b/>
                <w:color w:val="000000"/>
                <w:sz w:val="16"/>
              </w:rPr>
              <w:t>0</w:t>
            </w:r>
            <w:r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(3.5)</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0.7 </w:t>
            </w:r>
            <w:r w:rsidRPr="00491918">
              <w:rPr>
                <w:b/>
                <w:color w:val="000000"/>
                <w:sz w:val="16"/>
                <w:vertAlign w:val="superscript"/>
              </w:rPr>
              <w:t xml:space="preserve"> </w:t>
            </w:r>
          </w:p>
        </w:tc>
      </w:tr>
    </w:tbl>
    <w:p w:rsidR="000D1659" w:rsidRPr="00491918" w:rsidRDefault="000D1659"/>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E9782A" w:rsidRPr="00491918" w:rsidRDefault="00E9782A" w:rsidP="000D1659">
      <w:pPr>
        <w:pStyle w:val="Normal33"/>
        <w:ind w:left="284" w:hanging="284"/>
        <w:rPr>
          <w:i/>
          <w:color w:val="000000"/>
          <w:sz w:val="14"/>
        </w:rPr>
      </w:pPr>
    </w:p>
    <w:p w:rsidR="00E9782A" w:rsidRPr="00491918" w:rsidRDefault="00E9782A"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rmal33"/>
        <w:rPr>
          <w:i/>
          <w:color w:val="000000"/>
          <w:sz w:val="14"/>
        </w:rPr>
      </w:pPr>
    </w:p>
    <w:p w:rsidR="000D1659" w:rsidRPr="00491918" w:rsidRDefault="000D1659" w:rsidP="000D1659">
      <w:pPr>
        <w:pStyle w:val="Normal33"/>
        <w:ind w:left="284" w:hanging="284"/>
        <w:rPr>
          <w:i/>
          <w:color w:val="000000"/>
          <w:sz w:val="14"/>
        </w:rPr>
      </w:pPr>
    </w:p>
    <w:p w:rsidR="000D1659" w:rsidRPr="00491918" w:rsidRDefault="000D1659" w:rsidP="000D1659">
      <w:pPr>
        <w:pStyle w:val="NoteandSourceText-BarcRA"/>
        <w:ind w:left="284" w:hanging="284"/>
      </w:pPr>
      <w:r w:rsidRPr="00491918">
        <w:t>The return on average tangible equity for Africa RBB has been calculated including amounts relating to Absa Group’s non-controlling interests.</w:t>
      </w:r>
    </w:p>
    <w:p w:rsidR="000D76A8" w:rsidRPr="00491918" w:rsidRDefault="000D76A8" w:rsidP="000D76A8">
      <w:pPr>
        <w:pStyle w:val="NoteandSourceText-BarcRA"/>
        <w:numPr>
          <w:ilvl w:val="0"/>
          <w:numId w:val="0"/>
        </w:numPr>
        <w:ind w:left="720"/>
      </w:pPr>
    </w:p>
    <w:p w:rsidR="00DA356B" w:rsidRPr="00491918" w:rsidRDefault="00DA356B" w:rsidP="000D76A8">
      <w:pPr>
        <w:pStyle w:val="HeadingLevel1-BarcRA20"/>
        <w:rPr>
          <w:lang w:val="en-GB"/>
        </w:rPr>
      </w:pPr>
    </w:p>
    <w:p w:rsidR="000D1659" w:rsidRPr="00491918" w:rsidRDefault="000D76A8" w:rsidP="000D76A8">
      <w:pPr>
        <w:pStyle w:val="HeadingLevel1-BarcRA20"/>
      </w:pPr>
      <w:r w:rsidRPr="00491918">
        <w:rPr>
          <w:lang w:val="en-GB"/>
        </w:rPr>
        <w:t>Performance Management</w:t>
      </w:r>
    </w:p>
    <w:tbl>
      <w:tblPr>
        <w:tblW w:w="0" w:type="auto"/>
        <w:tblLayout w:type="fixed"/>
        <w:tblLook w:val="0000" w:firstRow="0" w:lastRow="0" w:firstColumn="0" w:lastColumn="0" w:noHBand="0" w:noVBand="0"/>
      </w:tblPr>
      <w:tblGrid>
        <w:gridCol w:w="4125"/>
        <w:gridCol w:w="900"/>
        <w:gridCol w:w="900"/>
        <w:gridCol w:w="900"/>
        <w:gridCol w:w="150"/>
        <w:gridCol w:w="900"/>
        <w:gridCol w:w="900"/>
        <w:gridCol w:w="900"/>
      </w:tblGrid>
      <w:tr w:rsidR="009E6048" w:rsidRPr="00491918" w:rsidTr="000732DD">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color w:val="000000"/>
                <w:sz w:val="16"/>
              </w:rPr>
              <w:t xml:space="preserve"> </w:t>
            </w:r>
            <w:r w:rsidRPr="00491918">
              <w:rPr>
                <w:color w:val="000000"/>
                <w:sz w:val="16"/>
                <w:vertAlign w:val="superscript"/>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Adjusted</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Statutory</w:t>
            </w:r>
            <w:r w:rsidRPr="00491918">
              <w:rPr>
                <w:b/>
                <w:color w:val="000000"/>
                <w:sz w:val="16"/>
                <w:vertAlign w:val="superscript"/>
              </w:rPr>
              <w:t xml:space="preserve"> </w:t>
            </w:r>
          </w:p>
        </w:tc>
      </w:tr>
      <w:tr w:rsidR="000D1659" w:rsidRPr="00491918">
        <w:trPr>
          <w:trHeight w:val="51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lastRenderedPageBreak/>
              <w:t xml:space="preserve"> </w:t>
            </w:r>
            <w:r w:rsidRPr="00491918">
              <w:rPr>
                <w:color w:val="000000"/>
                <w:sz w:val="16"/>
                <w:vertAlign w:val="superscript"/>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b/>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Attributable profit</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125"/>
        <w:gridCol w:w="900"/>
        <w:gridCol w:w="900"/>
        <w:gridCol w:w="900"/>
        <w:gridCol w:w="150"/>
        <w:gridCol w:w="900"/>
        <w:gridCol w:w="900"/>
        <w:gridCol w:w="900"/>
      </w:tblGrid>
      <w:tr w:rsidR="000D1659" w:rsidRPr="00491918" w:rsidTr="000732DD">
        <w:trPr>
          <w:trHeight w:val="240"/>
        </w:trPr>
        <w:tc>
          <w:tcPr>
            <w:tcW w:w="41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UK RBB</w:t>
            </w:r>
            <w:r w:rsidRPr="00491918">
              <w:rPr>
                <w:color w:val="000000"/>
                <w:sz w:val="16"/>
                <w:vertAlign w:val="superscript"/>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480 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450 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424 </w:t>
            </w:r>
            <w:r w:rsidRPr="00491918">
              <w:rPr>
                <w:color w:val="000000"/>
                <w:sz w:val="16"/>
                <w:vertAlign w:val="superscript"/>
              </w:rPr>
              <w:t xml:space="preserve">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(39)</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(219)</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197 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Europe RBB</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(522)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(156)</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(522)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(156)</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Africa RBB</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Barclaycard</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524 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482 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492 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492 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Investment Bank</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rsidP="008A3FCB">
            <w:pPr>
              <w:jc w:val="right"/>
              <w:rPr>
                <w:color w:val="000000"/>
                <w:sz w:val="16"/>
                <w:vertAlign w:val="superscript"/>
              </w:rPr>
            </w:pPr>
            <w:r w:rsidRPr="00491918">
              <w:rPr>
                <w:color w:val="000000"/>
                <w:sz w:val="16"/>
              </w:rPr>
              <w:t>1,</w:t>
            </w:r>
            <w:r w:rsidR="008A3FCB" w:rsidRPr="00491918">
              <w:rPr>
                <w:color w:val="000000"/>
                <w:sz w:val="16"/>
              </w:rPr>
              <w:t>541</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1,446 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rsidP="008A3FCB">
            <w:pPr>
              <w:jc w:val="right"/>
              <w:rPr>
                <w:color w:val="000000"/>
                <w:sz w:val="16"/>
              </w:rPr>
            </w:pPr>
            <w:r w:rsidRPr="00491918">
              <w:rPr>
                <w:color w:val="000000"/>
                <w:sz w:val="16"/>
              </w:rPr>
              <w:t>1,</w:t>
            </w:r>
            <w:r w:rsidR="008A3FCB" w:rsidRPr="00491918">
              <w:rPr>
                <w:color w:val="000000"/>
                <w:sz w:val="16"/>
              </w:rPr>
              <w:t>541</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1,446 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Corporate Banking</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27</w:t>
            </w:r>
            <w:r w:rsidR="00B862F0" w:rsidRPr="00491918">
              <w:rPr>
                <w:color w:val="000000"/>
                <w:sz w:val="16"/>
              </w:rPr>
              <w:t>7</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(180)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(186)</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Wealth and Investment Management</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70 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70 </w:t>
            </w:r>
            <w:r w:rsidRPr="00491918">
              <w:rPr>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Head Office and Other Operations</w:t>
            </w:r>
            <w:r w:rsidR="003D20E2" w:rsidRPr="00491918">
              <w:rPr>
                <w:color w:val="000000"/>
                <w:sz w:val="16"/>
                <w:vertAlign w:val="superscript"/>
              </w:rPr>
              <w:t>1</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8A3FCB">
            <w:pPr>
              <w:jc w:val="right"/>
              <w:rPr>
                <w:color w:val="000000"/>
                <w:sz w:val="16"/>
                <w:vertAlign w:val="superscript"/>
              </w:rPr>
            </w:pPr>
            <w:r w:rsidRPr="00491918">
              <w:rPr>
                <w:color w:val="000000"/>
                <w:sz w:val="16"/>
              </w:rPr>
              <w:t>(3</w:t>
            </w:r>
            <w:r w:rsidR="008A3FCB" w:rsidRPr="00491918">
              <w:rPr>
                <w:color w:val="000000"/>
                <w:sz w:val="16"/>
              </w:rPr>
              <w:t>09</w:t>
            </w: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(305)</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237 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8A3FCB">
            <w:pPr>
              <w:jc w:val="right"/>
              <w:rPr>
                <w:color w:val="000000"/>
                <w:sz w:val="16"/>
              </w:rPr>
            </w:pPr>
            <w:r w:rsidRPr="00491918">
              <w:rPr>
                <w:color w:val="000000"/>
                <w:sz w:val="16"/>
              </w:rPr>
              <w:t>(2</w:t>
            </w:r>
            <w:r w:rsidR="008A3FCB" w:rsidRPr="00491918">
              <w:rPr>
                <w:color w:val="000000"/>
                <w:sz w:val="16"/>
              </w:rPr>
              <w:t>06</w:t>
            </w: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(1,676)</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(1,786)</w:t>
            </w:r>
            <w:r w:rsidRPr="00491918">
              <w:rPr>
                <w:color w:val="000000"/>
                <w:sz w:val="16"/>
                <w:vertAlign w:val="superscript"/>
              </w:rPr>
              <w:t xml:space="preserve"> </w:t>
            </w:r>
          </w:p>
        </w:tc>
      </w:tr>
      <w:tr w:rsidR="000D1659" w:rsidRPr="00491918">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8A3FCB">
            <w:pPr>
              <w:jc w:val="right"/>
              <w:rPr>
                <w:b/>
                <w:color w:val="000000"/>
                <w:sz w:val="16"/>
                <w:vertAlign w:val="superscript"/>
              </w:rPr>
            </w:pPr>
            <w:r w:rsidRPr="00491918">
              <w:rPr>
                <w:b/>
                <w:color w:val="000000"/>
                <w:sz w:val="16"/>
              </w:rPr>
              <w:t>2,</w:t>
            </w:r>
            <w:r w:rsidR="008A3FCB" w:rsidRPr="00491918">
              <w:rPr>
                <w:b/>
                <w:color w:val="000000"/>
                <w:sz w:val="16"/>
              </w:rPr>
              <w:t>055</w:t>
            </w:r>
            <w:r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1,897 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2,738 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8A3FCB" w:rsidP="008A3FCB">
            <w:pPr>
              <w:jc w:val="right"/>
              <w:rPr>
                <w:b/>
                <w:color w:val="000000"/>
                <w:sz w:val="16"/>
              </w:rPr>
            </w:pPr>
            <w:r w:rsidRPr="00491918">
              <w:rPr>
                <w:b/>
                <w:color w:val="000000"/>
                <w:sz w:val="16"/>
              </w:rPr>
              <w:t>671 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(772)</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148 </w:t>
            </w:r>
            <w:r w:rsidRPr="00491918">
              <w:rPr>
                <w:color w:val="000000"/>
                <w:sz w:val="16"/>
                <w:vertAlign w:val="superscript"/>
              </w:rPr>
              <w:t xml:space="preserve"> </w:t>
            </w:r>
          </w:p>
        </w:tc>
      </w:tr>
      <w:tr w:rsidR="000D1659" w:rsidRPr="00491918">
        <w:trPr>
          <w:trHeight w:hRule="exac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9E6048" w:rsidRPr="00491918" w:rsidTr="000732DD">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 xml:space="preserve">Average Equity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270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Average Tangible Equity </w:t>
            </w:r>
            <w:r w:rsidRPr="00491918">
              <w:rPr>
                <w:b/>
                <w:color w:val="000000"/>
                <w:sz w:val="16"/>
                <w:vertAlign w:val="superscript"/>
              </w:rPr>
              <w:t xml:space="preserve"> </w:t>
            </w:r>
          </w:p>
        </w:tc>
      </w:tr>
      <w:tr w:rsidR="000D1659" w:rsidRPr="00491918">
        <w:trPr>
          <w:trHeight w:val="51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0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r w:rsidRPr="00491918">
              <w:rPr>
                <w:b/>
                <w:color w:val="000000"/>
                <w:sz w:val="16"/>
                <w:vertAlign w:val="superscript"/>
              </w:rPr>
              <w:t xml:space="preserve"> </w:t>
            </w:r>
          </w:p>
        </w:tc>
      </w:tr>
      <w:tr w:rsidR="000D1659" w:rsidRPr="00491918">
        <w:trPr>
          <w:trHeight w:val="255"/>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r w:rsidRPr="00491918">
              <w:rPr>
                <w:b/>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r>
    </w:tbl>
    <w:p w:rsidR="000732DD" w:rsidRPr="00491918" w:rsidRDefault="000732DD"/>
    <w:tbl>
      <w:tblPr>
        <w:tblW w:w="0" w:type="auto"/>
        <w:tblLayout w:type="fixed"/>
        <w:tblLook w:val="0000" w:firstRow="0" w:lastRow="0" w:firstColumn="0" w:lastColumn="0" w:noHBand="0" w:noVBand="0"/>
      </w:tblPr>
      <w:tblGrid>
        <w:gridCol w:w="4125"/>
        <w:gridCol w:w="900"/>
        <w:gridCol w:w="900"/>
        <w:gridCol w:w="900"/>
        <w:gridCol w:w="150"/>
        <w:gridCol w:w="900"/>
        <w:gridCol w:w="900"/>
        <w:gridCol w:w="900"/>
      </w:tblGrid>
      <w:tr w:rsidR="000D1659" w:rsidRPr="00491918" w:rsidTr="000732DD">
        <w:trPr>
          <w:trHeight w:val="240"/>
        </w:trPr>
        <w:tc>
          <w:tcPr>
            <w:tcW w:w="41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UK RBB</w:t>
            </w:r>
            <w:r w:rsidRPr="00491918">
              <w:rPr>
                <w:color w:val="000000"/>
                <w:sz w:val="16"/>
                <w:vertAlign w:val="superscript"/>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7,848 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7,297 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6,945 </w:t>
            </w:r>
            <w:r w:rsidRPr="00491918">
              <w:rPr>
                <w:color w:val="000000"/>
                <w:sz w:val="16"/>
                <w:vertAlign w:val="superscript"/>
              </w:rPr>
              <w:t xml:space="preserve">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4,470 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3,964 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3,666 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Europe RBB</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2,128 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2,081 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2,204 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1,942 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1,891 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2,022 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Africa RBB</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2,318 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2,516 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2,799 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1,012 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1,140 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1,327 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Barclaycard</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5,421 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4,962 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4,886 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4,039 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3,628 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3,617 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Investment Bank</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20,072 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20,823 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21,523 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19,377 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20,133 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20,804 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Corporate Banking</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7,840 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7,448 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8,030 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7,474 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7,087 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7,650 </w:t>
            </w:r>
            <w:r w:rsidRPr="00491918">
              <w:rPr>
                <w:color w:val="000000"/>
                <w:sz w:val="16"/>
                <w:vertAlign w:val="superscript"/>
              </w:rPr>
              <w:t xml:space="preserve"> </w:t>
            </w:r>
          </w:p>
        </w:tc>
      </w:tr>
      <w:tr w:rsidR="000D1659" w:rsidRPr="00491918">
        <w:trPr>
          <w:trHeight w:val="240"/>
        </w:trPr>
        <w:tc>
          <w:tcPr>
            <w:tcW w:w="4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Wealth and Investment Management</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2,294 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2,052 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1,911 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1,732 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1,497 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1,376 </w:t>
            </w:r>
            <w:r w:rsidRPr="00491918">
              <w:rPr>
                <w:color w:val="000000"/>
                <w:sz w:val="16"/>
                <w:vertAlign w:val="superscript"/>
              </w:rPr>
              <w:t xml:space="preserve"> </w:t>
            </w:r>
          </w:p>
        </w:tc>
      </w:tr>
      <w:tr w:rsidR="000D1659" w:rsidRPr="00491918">
        <w:trPr>
          <w:trHeight w:val="240"/>
        </w:trPr>
        <w:tc>
          <w:tcPr>
            <w:tcW w:w="4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Head Office and Other Operations</w:t>
            </w:r>
            <w:r w:rsidRPr="00491918">
              <w:rPr>
                <w:color w:val="000000"/>
                <w:sz w:val="16"/>
                <w:vertAlign w:val="superscript"/>
              </w:rPr>
              <w:t>1 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8A3FCB">
            <w:pPr>
              <w:jc w:val="right"/>
              <w:rPr>
                <w:color w:val="000000"/>
                <w:sz w:val="16"/>
                <w:vertAlign w:val="superscript"/>
              </w:rPr>
            </w:pPr>
            <w:r w:rsidRPr="00491918">
              <w:rPr>
                <w:color w:val="000000"/>
                <w:sz w:val="16"/>
              </w:rPr>
              <w:t>4,0</w:t>
            </w:r>
            <w:r w:rsidR="008A3FCB" w:rsidRPr="00491918">
              <w:rPr>
                <w:color w:val="000000"/>
                <w:sz w:val="16"/>
              </w:rPr>
              <w:t>56</w:t>
            </w:r>
            <w:r w:rsidRPr="00491918">
              <w:rPr>
                <w:color w:val="000000"/>
                <w:sz w:val="16"/>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4,194 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4,433 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4A2896" w:rsidP="004A2896">
            <w:pPr>
              <w:jc w:val="right"/>
              <w:rPr>
                <w:color w:val="000000"/>
                <w:sz w:val="16"/>
              </w:rPr>
            </w:pPr>
            <w:r w:rsidRPr="00491918">
              <w:rPr>
                <w:color w:val="000000"/>
                <w:sz w:val="16"/>
              </w:rPr>
              <w:t>4,039</w:t>
            </w:r>
            <w:r w:rsidR="000D1659" w:rsidRPr="00491918">
              <w:rPr>
                <w:color w:val="000000"/>
                <w:sz w:val="16"/>
              </w:rPr>
              <w:t>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4,191 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4,433 </w:t>
            </w:r>
            <w:r w:rsidRPr="00491918">
              <w:rPr>
                <w:color w:val="000000"/>
                <w:sz w:val="16"/>
                <w:vertAlign w:val="superscript"/>
              </w:rPr>
              <w:t xml:space="preserve"> </w:t>
            </w:r>
          </w:p>
        </w:tc>
      </w:tr>
      <w:tr w:rsidR="000D1659" w:rsidRPr="00491918">
        <w:trPr>
          <w:trHeight w:val="240"/>
        </w:trPr>
        <w:tc>
          <w:tcPr>
            <w:tcW w:w="4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w:t>
            </w:r>
            <w:r w:rsidRPr="00491918">
              <w:rPr>
                <w:b/>
                <w:color w:val="000000"/>
                <w:sz w:val="16"/>
                <w:vertAlign w:val="superscript"/>
              </w:rPr>
              <w:t>2 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51,9</w:t>
            </w:r>
            <w:r w:rsidR="008A3FCB" w:rsidRPr="00491918">
              <w:rPr>
                <w:b/>
                <w:color w:val="000000"/>
                <w:sz w:val="16"/>
              </w:rPr>
              <w:t>77</w:t>
            </w:r>
            <w:r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51,373 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52,731 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44,0</w:t>
            </w:r>
            <w:r w:rsidR="004A2896" w:rsidRPr="00491918">
              <w:rPr>
                <w:b/>
                <w:color w:val="000000"/>
                <w:sz w:val="16"/>
              </w:rPr>
              <w:t>85</w:t>
            </w:r>
            <w:r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43,531 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44,895 </w:t>
            </w:r>
            <w:r w:rsidRPr="00491918">
              <w:rPr>
                <w:b/>
                <w:color w:val="000000"/>
                <w:sz w:val="16"/>
                <w:vertAlign w:val="superscript"/>
              </w:rPr>
              <w:t xml:space="preserve"> </w:t>
            </w:r>
          </w:p>
        </w:tc>
      </w:tr>
    </w:tbl>
    <w:p w:rsidR="000D1659" w:rsidRPr="00491918" w:rsidRDefault="000D1659"/>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E9782A" w:rsidRPr="00491918" w:rsidRDefault="00E9782A"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rmal34"/>
        <w:ind w:left="284" w:hanging="284"/>
        <w:rPr>
          <w:i/>
          <w:color w:val="000000"/>
          <w:sz w:val="14"/>
        </w:rPr>
      </w:pPr>
    </w:p>
    <w:p w:rsidR="000D1659" w:rsidRPr="00491918" w:rsidRDefault="000D1659" w:rsidP="000D1659">
      <w:pPr>
        <w:pStyle w:val="NoteandSourceText-BarcRA0"/>
        <w:ind w:left="284" w:hanging="284"/>
      </w:pPr>
      <w:r w:rsidRPr="00491918">
        <w:t>Includes risk weighted assets and capital deductions in Head Office and Other Operations, plus the residual balance of average shareholders’ equity and tangible equity.</w:t>
      </w:r>
    </w:p>
    <w:p w:rsidR="000D1659" w:rsidRPr="00491918" w:rsidRDefault="000D1659" w:rsidP="000D1659">
      <w:pPr>
        <w:pStyle w:val="NoteandSourceText-BarcRA0"/>
        <w:ind w:left="284" w:hanging="284"/>
      </w:pPr>
      <w:r w:rsidRPr="00491918">
        <w:t xml:space="preserve">Group average shareholders’ equity and average shareholders’ tangible equity excludes the cumulative impact of own credit on retained earnings for the calculation of adjusted performance measures.  </w:t>
      </w:r>
    </w:p>
    <w:p w:rsidR="000D1659" w:rsidRPr="00491918" w:rsidRDefault="000D1659">
      <w:pPr>
        <w:spacing w:line="14" w:lineRule="exact"/>
      </w:pPr>
      <w:r w:rsidRPr="00491918">
        <w:br w:type="page"/>
      </w:r>
    </w:p>
    <w:p w:rsidR="000D76A8" w:rsidRPr="00491918" w:rsidRDefault="000D76A8" w:rsidP="000D76A8">
      <w:pPr>
        <w:pStyle w:val="HeadingLevel1-BarcRA20"/>
        <w:rPr>
          <w:lang w:val="en-GB"/>
        </w:rPr>
      </w:pPr>
      <w:r w:rsidRPr="00491918">
        <w:rPr>
          <w:lang w:val="en-GB"/>
        </w:rPr>
        <w:lastRenderedPageBreak/>
        <w:t>Performance Management</w:t>
      </w:r>
    </w:p>
    <w:p w:rsidR="000D1659" w:rsidRPr="00491918" w:rsidRDefault="000D1659" w:rsidP="008D6001">
      <w:pPr>
        <w:pStyle w:val="HeadingLevel1-BarcRA200"/>
        <w:outlineLvl w:val="0"/>
        <w:rPr>
          <w:lang w:val="en-GB"/>
        </w:rPr>
      </w:pPr>
      <w:r w:rsidRPr="00491918">
        <w:t xml:space="preserve">Costs to </w:t>
      </w:r>
      <w:r w:rsidRPr="00491918">
        <w:rPr>
          <w:lang w:val="en-GB"/>
        </w:rPr>
        <w:t>a</w:t>
      </w:r>
      <w:r w:rsidRPr="00491918">
        <w:t>chieve Transform</w:t>
      </w:r>
    </w:p>
    <w:p w:rsidR="000D1659" w:rsidRPr="00491918" w:rsidRDefault="000D1659" w:rsidP="00CD39D9">
      <w:pPr>
        <w:pStyle w:val="Normal35"/>
        <w:numPr>
          <w:ilvl w:val="0"/>
          <w:numId w:val="81"/>
        </w:numPr>
        <w:ind w:left="360"/>
        <w:rPr>
          <w:szCs w:val="20"/>
        </w:rPr>
      </w:pPr>
      <w:r w:rsidRPr="00491918">
        <w:rPr>
          <w:szCs w:val="20"/>
        </w:rPr>
        <w:t>On 12 February 2013 the Group announced the commencement of a strategic cost management programme targeted at reducing net operating expenditure by £1.7bn by 2015.  The programme is being executed and managed through the delivery of rightsizing, industrialisation and innovation initiatives.  Rightsizing focuses on restructuring the current cost base to match profitable sources of growth; whilst industrialisation and innovation initiatives seek to invest in technology and new ways of working to reduce future operating costs and enhance customer and client propositions</w:t>
      </w:r>
    </w:p>
    <w:p w:rsidR="000D1659" w:rsidRPr="00491918" w:rsidRDefault="000D1659" w:rsidP="000D1659">
      <w:pPr>
        <w:pStyle w:val="Normal35"/>
        <w:ind w:left="360"/>
        <w:rPr>
          <w:szCs w:val="20"/>
        </w:rPr>
      </w:pPr>
    </w:p>
    <w:p w:rsidR="000D1659" w:rsidRPr="00491918" w:rsidRDefault="000D1659" w:rsidP="00CD39D9">
      <w:pPr>
        <w:pStyle w:val="Normal35"/>
        <w:numPr>
          <w:ilvl w:val="0"/>
          <w:numId w:val="81"/>
        </w:numPr>
        <w:ind w:left="360"/>
        <w:rPr>
          <w:szCs w:val="20"/>
        </w:rPr>
      </w:pPr>
      <w:r w:rsidRPr="00491918">
        <w:rPr>
          <w:szCs w:val="20"/>
        </w:rPr>
        <w:t>In the first half of the year the Transform investment has focused primarily on rightsizing. We expect the programme to shift towards industrialisation and innovation in the second half of 2013 and in 2014. Part of the total expected £2.7bn of costs to achieve Transform is being accelerated in 2013, having recognised £640m in H113</w:t>
      </w:r>
    </w:p>
    <w:p w:rsidR="000D1659" w:rsidRPr="00491918" w:rsidRDefault="000D1659" w:rsidP="000D1659">
      <w:pPr>
        <w:pStyle w:val="Normal35"/>
        <w:ind w:left="360"/>
        <w:rPr>
          <w:szCs w:val="20"/>
        </w:rPr>
      </w:pPr>
    </w:p>
    <w:p w:rsidR="000D1659" w:rsidRPr="00491918" w:rsidRDefault="000D1659" w:rsidP="00CD39D9">
      <w:pPr>
        <w:pStyle w:val="Normal35"/>
        <w:numPr>
          <w:ilvl w:val="0"/>
          <w:numId w:val="81"/>
        </w:numPr>
        <w:ind w:left="360"/>
        <w:rPr>
          <w:szCs w:val="20"/>
        </w:rPr>
      </w:pPr>
      <w:r w:rsidRPr="00491918">
        <w:rPr>
          <w:szCs w:val="20"/>
        </w:rPr>
        <w:t>The material costs within major restructuring initiatives consist of redundancy, reflecting our immediate priorities to rightsize our Europe RBB operations and the Investment Bank’s operations in Asia and Europe</w:t>
      </w:r>
    </w:p>
    <w:p w:rsidR="000D1659" w:rsidRPr="00491918" w:rsidRDefault="000D1659">
      <w:pPr>
        <w:rPr>
          <w:szCs w:val="20"/>
        </w:rPr>
      </w:pPr>
    </w:p>
    <w:tbl>
      <w:tblPr>
        <w:tblW w:w="0" w:type="auto"/>
        <w:tblLayout w:type="fixed"/>
        <w:tblLook w:val="0000" w:firstRow="0" w:lastRow="0" w:firstColumn="0" w:lastColumn="0" w:noHBand="0" w:noVBand="0"/>
      </w:tblPr>
      <w:tblGrid>
        <w:gridCol w:w="5550"/>
        <w:gridCol w:w="1350"/>
        <w:gridCol w:w="1350"/>
        <w:gridCol w:w="1350"/>
      </w:tblGrid>
      <w:tr w:rsidR="000D1659" w:rsidRPr="00491918">
        <w:trPr>
          <w:trHeight w:hRule="exact" w:val="240"/>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szCs w:val="20"/>
              </w:rPr>
            </w:pPr>
            <w:r w:rsidRPr="00491918">
              <w:rPr>
                <w:color w:val="000000"/>
                <w:sz w:val="16"/>
                <w:szCs w:val="20"/>
              </w:rPr>
              <w:t xml:space="preserve">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13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r>
      <w:tr w:rsidR="009E6048" w:rsidRPr="00491918" w:rsidTr="000732DD">
        <w:trPr>
          <w:trHeight w:val="240"/>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4050" w:type="dxa"/>
            <w:gridSpan w:val="3"/>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color w:val="000000"/>
                <w:sz w:val="16"/>
                <w:szCs w:val="20"/>
              </w:rPr>
            </w:pPr>
            <w:r w:rsidRPr="00491918">
              <w:rPr>
                <w:b/>
                <w:color w:val="000000"/>
                <w:sz w:val="16"/>
                <w:szCs w:val="20"/>
              </w:rPr>
              <w:t>Half year ended 30.06.13</w:t>
            </w:r>
          </w:p>
        </w:tc>
      </w:tr>
      <w:tr w:rsidR="000D1659" w:rsidRPr="00491918" w:rsidTr="00EA3F9D">
        <w:trPr>
          <w:trHeight w:val="765"/>
        </w:trPr>
        <w:tc>
          <w:tcPr>
            <w:tcW w:w="5550" w:type="dxa"/>
            <w:tcBorders>
              <w:top w:val="nil"/>
              <w:left w:val="nil"/>
              <w:bottom w:val="nil"/>
              <w:right w:val="nil"/>
            </w:tcBorders>
            <w:shd w:val="clear" w:color="auto" w:fill="FFFFFF"/>
            <w:tcMar>
              <w:left w:w="36" w:type="dxa"/>
              <w:right w:w="36" w:type="dxa"/>
            </w:tcMar>
            <w:vAlign w:val="bottom"/>
          </w:tcPr>
          <w:p w:rsidR="000D1659" w:rsidRPr="00491918" w:rsidRDefault="000D1659" w:rsidP="00EA3F9D">
            <w:pPr>
              <w:rPr>
                <w:b/>
                <w:color w:val="000000"/>
                <w:sz w:val="16"/>
                <w:szCs w:val="20"/>
              </w:rPr>
            </w:pPr>
            <w:r w:rsidRPr="00491918">
              <w:rPr>
                <w:color w:val="000000"/>
                <w:sz w:val="16"/>
                <w:szCs w:val="20"/>
              </w:rPr>
              <w:t xml:space="preserve"> </w:t>
            </w:r>
            <w:r w:rsidR="00EA3F9D" w:rsidRPr="00491918">
              <w:rPr>
                <w:b/>
                <w:color w:val="000000"/>
                <w:sz w:val="18"/>
                <w:szCs w:val="18"/>
              </w:rPr>
              <w:t>Costs to achieve Transform by business</w:t>
            </w:r>
          </w:p>
        </w:tc>
        <w:tc>
          <w:tcPr>
            <w:tcW w:w="1350" w:type="dxa"/>
            <w:tcBorders>
              <w:top w:val="single" w:sz="6" w:space="0" w:color="A5A5A5"/>
              <w:left w:val="nil"/>
              <w:bottom w:val="nil"/>
              <w:right w:val="nil"/>
            </w:tcBorders>
            <w:shd w:val="clear" w:color="auto" w:fill="FFFFFF"/>
            <w:tcMar>
              <w:left w:w="36" w:type="dxa"/>
              <w:right w:w="36" w:type="dxa"/>
            </w:tcMar>
            <w:vAlign w:val="bottom"/>
          </w:tcPr>
          <w:p w:rsidR="00DE4EF3" w:rsidRPr="00491918" w:rsidRDefault="00DE4EF3" w:rsidP="00EA3F9D">
            <w:pPr>
              <w:jc w:val="right"/>
              <w:rPr>
                <w:b/>
                <w:color w:val="000000"/>
                <w:sz w:val="16"/>
                <w:szCs w:val="20"/>
              </w:rPr>
            </w:pPr>
            <w:r w:rsidRPr="00491918">
              <w:rPr>
                <w:b/>
                <w:color w:val="000000"/>
                <w:sz w:val="16"/>
                <w:szCs w:val="20"/>
              </w:rPr>
              <w:t>Major</w:t>
            </w:r>
          </w:p>
          <w:p w:rsidR="000D1659" w:rsidRPr="00491918" w:rsidRDefault="001D4113" w:rsidP="00EA3F9D">
            <w:pPr>
              <w:jc w:val="right"/>
              <w:rPr>
                <w:color w:val="000000"/>
                <w:sz w:val="16"/>
                <w:szCs w:val="20"/>
              </w:rPr>
            </w:pPr>
            <w:r w:rsidRPr="00491918">
              <w:rPr>
                <w:b/>
                <w:color w:val="000000"/>
                <w:sz w:val="16"/>
                <w:szCs w:val="20"/>
              </w:rPr>
              <w:t>r</w:t>
            </w:r>
            <w:r w:rsidR="000D1659" w:rsidRPr="00491918">
              <w:rPr>
                <w:b/>
                <w:color w:val="000000"/>
                <w:sz w:val="16"/>
                <w:szCs w:val="20"/>
              </w:rPr>
              <w:t>estructuring</w:t>
            </w:r>
            <w:r w:rsidRPr="00491918">
              <w:rPr>
                <w:b/>
                <w:color w:val="000000"/>
                <w:sz w:val="16"/>
                <w:szCs w:val="20"/>
              </w:rPr>
              <w:t xml:space="preserve"> initiatives</w:t>
            </w:r>
          </w:p>
        </w:tc>
        <w:tc>
          <w:tcPr>
            <w:tcW w:w="1350" w:type="dxa"/>
            <w:tcBorders>
              <w:top w:val="single" w:sz="6" w:space="0" w:color="A5A5A5"/>
              <w:left w:val="nil"/>
              <w:bottom w:val="nil"/>
              <w:right w:val="nil"/>
            </w:tcBorders>
            <w:shd w:val="clear" w:color="auto" w:fill="FFFFFF"/>
            <w:tcMar>
              <w:left w:w="36" w:type="dxa"/>
              <w:right w:w="36" w:type="dxa"/>
            </w:tcMar>
            <w:vAlign w:val="bottom"/>
          </w:tcPr>
          <w:p w:rsidR="000D1659" w:rsidRPr="00491918" w:rsidRDefault="000D1659" w:rsidP="00EA3F9D">
            <w:pPr>
              <w:jc w:val="right"/>
              <w:rPr>
                <w:b/>
                <w:color w:val="000000"/>
                <w:sz w:val="16"/>
                <w:szCs w:val="20"/>
              </w:rPr>
            </w:pPr>
            <w:r w:rsidRPr="00491918">
              <w:rPr>
                <w:b/>
                <w:color w:val="000000"/>
                <w:sz w:val="16"/>
                <w:szCs w:val="20"/>
              </w:rPr>
              <w:t>Other Transform costs</w:t>
            </w:r>
          </w:p>
        </w:tc>
        <w:tc>
          <w:tcPr>
            <w:tcW w:w="1350" w:type="dxa"/>
            <w:tcBorders>
              <w:top w:val="single" w:sz="6" w:space="0" w:color="A5A5A5"/>
              <w:left w:val="nil"/>
              <w:bottom w:val="nil"/>
              <w:right w:val="nil"/>
            </w:tcBorders>
            <w:shd w:val="clear" w:color="auto" w:fill="FFFFFF"/>
            <w:tcMar>
              <w:left w:w="36" w:type="dxa"/>
              <w:right w:w="36" w:type="dxa"/>
            </w:tcMar>
            <w:vAlign w:val="bottom"/>
          </w:tcPr>
          <w:p w:rsidR="000D1659" w:rsidRPr="00491918" w:rsidRDefault="000D1659" w:rsidP="00EA3F9D">
            <w:pPr>
              <w:jc w:val="right"/>
              <w:rPr>
                <w:b/>
                <w:color w:val="000000"/>
                <w:sz w:val="16"/>
                <w:szCs w:val="20"/>
              </w:rPr>
            </w:pPr>
            <w:r w:rsidRPr="00491918">
              <w:rPr>
                <w:b/>
                <w:color w:val="000000"/>
                <w:sz w:val="16"/>
                <w:szCs w:val="20"/>
              </w:rPr>
              <w:t xml:space="preserve">Total </w:t>
            </w:r>
            <w:r w:rsidR="001D4113" w:rsidRPr="00491918">
              <w:rPr>
                <w:b/>
                <w:color w:val="000000"/>
                <w:sz w:val="16"/>
                <w:szCs w:val="20"/>
              </w:rPr>
              <w:t>costs to a</w:t>
            </w:r>
            <w:r w:rsidRPr="00491918">
              <w:rPr>
                <w:b/>
                <w:color w:val="000000"/>
                <w:sz w:val="16"/>
                <w:szCs w:val="20"/>
              </w:rPr>
              <w:t xml:space="preserve">chieve </w:t>
            </w:r>
            <w:r w:rsidR="001D4113" w:rsidRPr="00491918">
              <w:rPr>
                <w:b/>
                <w:color w:val="000000"/>
                <w:sz w:val="16"/>
                <w:szCs w:val="20"/>
              </w:rPr>
              <w:t>T</w:t>
            </w:r>
            <w:r w:rsidRPr="00491918">
              <w:rPr>
                <w:b/>
                <w:color w:val="000000"/>
                <w:sz w:val="16"/>
                <w:szCs w:val="20"/>
              </w:rPr>
              <w:t>ransform</w:t>
            </w:r>
          </w:p>
        </w:tc>
      </w:tr>
      <w:tr w:rsidR="000D1659" w:rsidRPr="00491918">
        <w:trPr>
          <w:trHeight w:val="330"/>
        </w:trPr>
        <w:tc>
          <w:tcPr>
            <w:tcW w:w="55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8"/>
                <w:szCs w:val="18"/>
              </w:rPr>
            </w:pP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szCs w:val="20"/>
              </w:rPr>
            </w:pPr>
            <w:r w:rsidRPr="00491918">
              <w:rPr>
                <w:color w:val="000000"/>
                <w:sz w:val="16"/>
                <w:szCs w:val="20"/>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£m</w:t>
            </w:r>
          </w:p>
        </w:tc>
        <w:tc>
          <w:tcPr>
            <w:tcW w:w="13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£m</w:t>
            </w:r>
          </w:p>
        </w:tc>
      </w:tr>
    </w:tbl>
    <w:p w:rsidR="000732DD" w:rsidRPr="00491918" w:rsidRDefault="000732DD"/>
    <w:tbl>
      <w:tblPr>
        <w:tblW w:w="0" w:type="auto"/>
        <w:tblLayout w:type="fixed"/>
        <w:tblLook w:val="0000" w:firstRow="0" w:lastRow="0" w:firstColumn="0" w:lastColumn="0" w:noHBand="0" w:noVBand="0"/>
      </w:tblPr>
      <w:tblGrid>
        <w:gridCol w:w="5550"/>
        <w:gridCol w:w="1350"/>
        <w:gridCol w:w="1350"/>
        <w:gridCol w:w="1350"/>
      </w:tblGrid>
      <w:tr w:rsidR="000D1659" w:rsidRPr="00491918" w:rsidTr="000732DD">
        <w:trPr>
          <w:trHeight w:val="255"/>
        </w:trPr>
        <w:tc>
          <w:tcPr>
            <w:tcW w:w="555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UK RBB</w:t>
            </w:r>
          </w:p>
        </w:tc>
        <w:tc>
          <w:tcPr>
            <w:tcW w:w="1350"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 </w:t>
            </w:r>
          </w:p>
        </w:tc>
        <w:tc>
          <w:tcPr>
            <w:tcW w:w="1350"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(27)</w:t>
            </w:r>
          </w:p>
        </w:tc>
        <w:tc>
          <w:tcPr>
            <w:tcW w:w="1350"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(27)</w:t>
            </w:r>
          </w:p>
        </w:tc>
      </w:tr>
      <w:tr w:rsidR="000D1659" w:rsidRPr="00491918">
        <w:trPr>
          <w:trHeight w:val="255"/>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Europe RBB</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(356)</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 </w:t>
            </w:r>
          </w:p>
        </w:tc>
        <w:tc>
          <w:tcPr>
            <w:tcW w:w="13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(356)</w:t>
            </w:r>
          </w:p>
        </w:tc>
      </w:tr>
      <w:tr w:rsidR="000D1659" w:rsidRPr="00491918">
        <w:trPr>
          <w:trHeight w:val="255"/>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Africa RBB</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 </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(9)</w:t>
            </w:r>
          </w:p>
        </w:tc>
        <w:tc>
          <w:tcPr>
            <w:tcW w:w="13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(9)</w:t>
            </w:r>
          </w:p>
        </w:tc>
      </w:tr>
      <w:tr w:rsidR="000D1659" w:rsidRPr="00491918">
        <w:trPr>
          <w:trHeight w:val="255"/>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Barclaycard</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 </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(5)</w:t>
            </w:r>
          </w:p>
        </w:tc>
        <w:tc>
          <w:tcPr>
            <w:tcW w:w="13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(5)</w:t>
            </w:r>
          </w:p>
        </w:tc>
      </w:tr>
      <w:tr w:rsidR="000D1659" w:rsidRPr="00491918">
        <w:trPr>
          <w:trHeight w:val="240"/>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Investment Bank</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(168)</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(1)</w:t>
            </w:r>
          </w:p>
        </w:tc>
        <w:tc>
          <w:tcPr>
            <w:tcW w:w="13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(169)</w:t>
            </w:r>
          </w:p>
        </w:tc>
      </w:tr>
      <w:tr w:rsidR="000D1659" w:rsidRPr="00491918">
        <w:trPr>
          <w:trHeight w:val="240"/>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Corporate Banking</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(37)</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(4)</w:t>
            </w:r>
          </w:p>
        </w:tc>
        <w:tc>
          <w:tcPr>
            <w:tcW w:w="13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(41)</w:t>
            </w:r>
          </w:p>
        </w:tc>
      </w:tr>
      <w:tr w:rsidR="000D1659" w:rsidRPr="00491918">
        <w:trPr>
          <w:trHeight w:val="240"/>
        </w:trPr>
        <w:tc>
          <w:tcPr>
            <w:tcW w:w="55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Wealth and Investment Management</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(32)</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(1)</w:t>
            </w:r>
          </w:p>
        </w:tc>
        <w:tc>
          <w:tcPr>
            <w:tcW w:w="13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(33)</w:t>
            </w:r>
          </w:p>
        </w:tc>
      </w:tr>
      <w:tr w:rsidR="000D1659" w:rsidRPr="00491918">
        <w:trPr>
          <w:trHeight w:val="240"/>
        </w:trPr>
        <w:tc>
          <w:tcPr>
            <w:tcW w:w="55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CD39D9">
            <w:pPr>
              <w:rPr>
                <w:color w:val="000000"/>
                <w:sz w:val="16"/>
                <w:szCs w:val="20"/>
              </w:rPr>
            </w:pPr>
            <w:r w:rsidRPr="00491918">
              <w:rPr>
                <w:b/>
                <w:color w:val="000000"/>
                <w:sz w:val="16"/>
                <w:szCs w:val="20"/>
              </w:rPr>
              <w:t>Total costs to a</w:t>
            </w:r>
            <w:r w:rsidR="000D1659" w:rsidRPr="00491918">
              <w:rPr>
                <w:b/>
                <w:color w:val="000000"/>
                <w:sz w:val="16"/>
                <w:szCs w:val="20"/>
              </w:rPr>
              <w:t>chieve Transform</w:t>
            </w:r>
          </w:p>
        </w:tc>
        <w:tc>
          <w:tcPr>
            <w:tcW w:w="13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20"/>
              </w:rPr>
            </w:pPr>
            <w:r w:rsidRPr="00491918">
              <w:rPr>
                <w:b/>
                <w:color w:val="000000"/>
                <w:sz w:val="16"/>
                <w:szCs w:val="20"/>
              </w:rPr>
              <w:t>(593)</w:t>
            </w:r>
          </w:p>
        </w:tc>
        <w:tc>
          <w:tcPr>
            <w:tcW w:w="13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20"/>
              </w:rPr>
            </w:pPr>
            <w:r w:rsidRPr="00491918">
              <w:rPr>
                <w:b/>
                <w:color w:val="000000"/>
                <w:sz w:val="16"/>
                <w:szCs w:val="20"/>
              </w:rPr>
              <w:t>(47)</w:t>
            </w:r>
          </w:p>
        </w:tc>
        <w:tc>
          <w:tcPr>
            <w:tcW w:w="13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20"/>
              </w:rPr>
            </w:pPr>
            <w:r w:rsidRPr="00491918">
              <w:rPr>
                <w:b/>
                <w:color w:val="000000"/>
                <w:sz w:val="16"/>
                <w:szCs w:val="20"/>
              </w:rPr>
              <w:t>(640)</w:t>
            </w:r>
          </w:p>
        </w:tc>
      </w:tr>
      <w:tr w:rsidR="000D1659" w:rsidRPr="00491918">
        <w:trPr>
          <w:trHeight w:hRule="exact" w:val="240"/>
        </w:trPr>
        <w:tc>
          <w:tcPr>
            <w:tcW w:w="55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b/>
                <w:color w:val="000000"/>
                <w:sz w:val="16"/>
                <w:szCs w:val="20"/>
              </w:rPr>
              <w:t xml:space="preserve"> </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20"/>
              </w:rPr>
            </w:pPr>
            <w:r w:rsidRPr="00491918">
              <w:rPr>
                <w:b/>
                <w:color w:val="000000"/>
                <w:sz w:val="16"/>
                <w:szCs w:val="20"/>
              </w:rPr>
              <w:t xml:space="preserve"> </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20"/>
              </w:rPr>
            </w:pPr>
            <w:r w:rsidRPr="00491918">
              <w:rPr>
                <w:b/>
                <w:color w:val="000000"/>
                <w:sz w:val="16"/>
                <w:szCs w:val="20"/>
              </w:rPr>
              <w:t xml:space="preserve"> </w:t>
            </w:r>
          </w:p>
        </w:tc>
        <w:tc>
          <w:tcPr>
            <w:tcW w:w="13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20"/>
              </w:rPr>
            </w:pPr>
            <w:r w:rsidRPr="00491918">
              <w:rPr>
                <w:b/>
                <w:color w:val="000000"/>
                <w:sz w:val="16"/>
                <w:szCs w:val="20"/>
              </w:rPr>
              <w:t xml:space="preserve"> </w:t>
            </w:r>
          </w:p>
        </w:tc>
      </w:tr>
    </w:tbl>
    <w:p w:rsidR="000D1659" w:rsidRPr="00491918" w:rsidRDefault="000D1659">
      <w:pPr>
        <w:rPr>
          <w:szCs w:val="20"/>
        </w:rPr>
      </w:pPr>
    </w:p>
    <w:tbl>
      <w:tblPr>
        <w:tblW w:w="0" w:type="auto"/>
        <w:tblLayout w:type="fixed"/>
        <w:tblLook w:val="0000" w:firstRow="0" w:lastRow="0" w:firstColumn="0" w:lastColumn="0" w:noHBand="0" w:noVBand="0"/>
      </w:tblPr>
      <w:tblGrid>
        <w:gridCol w:w="5670"/>
        <w:gridCol w:w="1335"/>
        <w:gridCol w:w="1335"/>
        <w:gridCol w:w="1335"/>
      </w:tblGrid>
      <w:tr w:rsidR="009E6048" w:rsidRPr="00491918" w:rsidTr="001E1EAB">
        <w:trPr>
          <w:trHeight w:val="240"/>
        </w:trPr>
        <w:tc>
          <w:tcPr>
            <w:tcW w:w="9675" w:type="dxa"/>
            <w:gridSpan w:val="4"/>
            <w:tcBorders>
              <w:top w:val="nil"/>
              <w:left w:val="nil"/>
              <w:right w:val="nil"/>
            </w:tcBorders>
            <w:shd w:val="clear" w:color="auto" w:fill="FFFFFF"/>
            <w:tcMar>
              <w:left w:w="36" w:type="dxa"/>
              <w:right w:w="36" w:type="dxa"/>
            </w:tcMar>
            <w:vAlign w:val="center"/>
          </w:tcPr>
          <w:p w:rsidR="000D1659" w:rsidRPr="00491918" w:rsidRDefault="000D1659">
            <w:pPr>
              <w:rPr>
                <w:szCs w:val="20"/>
              </w:rPr>
            </w:pPr>
            <w:r w:rsidRPr="00491918">
              <w:rPr>
                <w:color w:val="000000"/>
                <w:sz w:val="16"/>
                <w:szCs w:val="20"/>
              </w:rPr>
              <w:t xml:space="preserve"> </w:t>
            </w:r>
          </w:p>
        </w:tc>
      </w:tr>
      <w:tr w:rsidR="000D1659" w:rsidRPr="00491918" w:rsidTr="00EA3F9D">
        <w:trPr>
          <w:trHeight w:val="765"/>
        </w:trPr>
        <w:tc>
          <w:tcPr>
            <w:tcW w:w="5670" w:type="dxa"/>
            <w:tcBorders>
              <w:left w:val="nil"/>
              <w:bottom w:val="nil"/>
              <w:right w:val="nil"/>
            </w:tcBorders>
            <w:shd w:val="clear" w:color="auto" w:fill="FFFFFF"/>
            <w:tcMar>
              <w:left w:w="36" w:type="dxa"/>
              <w:right w:w="36" w:type="dxa"/>
            </w:tcMar>
            <w:vAlign w:val="bottom"/>
          </w:tcPr>
          <w:p w:rsidR="000D1659" w:rsidRPr="00491918" w:rsidRDefault="000D1659" w:rsidP="00EA3F9D">
            <w:pPr>
              <w:rPr>
                <w:color w:val="000000"/>
                <w:sz w:val="18"/>
                <w:szCs w:val="18"/>
              </w:rPr>
            </w:pPr>
            <w:r w:rsidRPr="00491918">
              <w:rPr>
                <w:b/>
                <w:color w:val="000000"/>
                <w:sz w:val="18"/>
                <w:szCs w:val="18"/>
              </w:rPr>
              <w:t xml:space="preserve">Adjusted performance </w:t>
            </w:r>
            <w:r w:rsidR="00DE4EF3" w:rsidRPr="00491918">
              <w:rPr>
                <w:b/>
                <w:color w:val="000000"/>
                <w:sz w:val="18"/>
                <w:szCs w:val="18"/>
              </w:rPr>
              <w:t>measures by business excluding costs to a</w:t>
            </w:r>
            <w:r w:rsidRPr="00491918">
              <w:rPr>
                <w:b/>
                <w:color w:val="000000"/>
                <w:sz w:val="18"/>
                <w:szCs w:val="18"/>
              </w:rPr>
              <w:t>chieve Transform</w:t>
            </w:r>
          </w:p>
        </w:tc>
        <w:tc>
          <w:tcPr>
            <w:tcW w:w="1335" w:type="dxa"/>
            <w:tcBorders>
              <w:left w:val="nil"/>
              <w:bottom w:val="nil"/>
              <w:right w:val="nil"/>
            </w:tcBorders>
            <w:shd w:val="clear" w:color="auto" w:fill="FFFFFF"/>
            <w:tcMar>
              <w:left w:w="36" w:type="dxa"/>
              <w:right w:w="36" w:type="dxa"/>
            </w:tcMar>
            <w:vAlign w:val="bottom"/>
          </w:tcPr>
          <w:p w:rsidR="000D1659" w:rsidRPr="00491918" w:rsidRDefault="000D1659" w:rsidP="00EA3F9D">
            <w:pPr>
              <w:jc w:val="right"/>
              <w:rPr>
                <w:b/>
                <w:color w:val="000000"/>
                <w:sz w:val="16"/>
                <w:szCs w:val="16"/>
              </w:rPr>
            </w:pPr>
            <w:r w:rsidRPr="00491918">
              <w:rPr>
                <w:b/>
                <w:color w:val="000000"/>
                <w:sz w:val="16"/>
                <w:szCs w:val="16"/>
              </w:rPr>
              <w:t>Profit before tax</w:t>
            </w:r>
          </w:p>
        </w:tc>
        <w:tc>
          <w:tcPr>
            <w:tcW w:w="1335" w:type="dxa"/>
            <w:tcBorders>
              <w:left w:val="nil"/>
              <w:bottom w:val="nil"/>
              <w:right w:val="nil"/>
            </w:tcBorders>
            <w:shd w:val="clear" w:color="auto" w:fill="FFFFFF"/>
            <w:tcMar>
              <w:left w:w="36" w:type="dxa"/>
              <w:right w:w="36" w:type="dxa"/>
            </w:tcMar>
            <w:vAlign w:val="bottom"/>
          </w:tcPr>
          <w:p w:rsidR="000D1659" w:rsidRPr="00491918" w:rsidRDefault="000D1659" w:rsidP="00EA3F9D">
            <w:pPr>
              <w:jc w:val="right"/>
              <w:rPr>
                <w:b/>
                <w:color w:val="000000"/>
                <w:sz w:val="16"/>
                <w:szCs w:val="16"/>
              </w:rPr>
            </w:pPr>
            <w:r w:rsidRPr="00491918">
              <w:rPr>
                <w:b/>
                <w:color w:val="000000"/>
                <w:sz w:val="16"/>
                <w:szCs w:val="16"/>
              </w:rPr>
              <w:t>Return on average equity</w:t>
            </w:r>
          </w:p>
        </w:tc>
        <w:tc>
          <w:tcPr>
            <w:tcW w:w="1335" w:type="dxa"/>
            <w:tcBorders>
              <w:left w:val="nil"/>
              <w:bottom w:val="nil"/>
              <w:right w:val="nil"/>
            </w:tcBorders>
            <w:shd w:val="clear" w:color="auto" w:fill="FFFFFF"/>
            <w:tcMar>
              <w:left w:w="36" w:type="dxa"/>
              <w:right w:w="36" w:type="dxa"/>
            </w:tcMar>
            <w:vAlign w:val="bottom"/>
          </w:tcPr>
          <w:p w:rsidR="000D1659" w:rsidRPr="00491918" w:rsidRDefault="000D1659" w:rsidP="00EA3F9D">
            <w:pPr>
              <w:jc w:val="right"/>
              <w:rPr>
                <w:b/>
                <w:color w:val="000000"/>
                <w:sz w:val="16"/>
                <w:szCs w:val="16"/>
              </w:rPr>
            </w:pPr>
            <w:r w:rsidRPr="00491918">
              <w:rPr>
                <w:b/>
                <w:color w:val="000000"/>
                <w:sz w:val="16"/>
                <w:szCs w:val="16"/>
              </w:rPr>
              <w:t>Cost: income ratio</w:t>
            </w:r>
          </w:p>
        </w:tc>
      </w:tr>
      <w:tr w:rsidR="000D1659" w:rsidRPr="00491918">
        <w:trPr>
          <w:trHeight w:val="285"/>
        </w:trPr>
        <w:tc>
          <w:tcPr>
            <w:tcW w:w="56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b/>
                <w:color w:val="000000"/>
                <w:sz w:val="20"/>
                <w:szCs w:val="20"/>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20"/>
                <w:szCs w:val="20"/>
              </w:rPr>
            </w:pPr>
            <w:r w:rsidRPr="00491918">
              <w:rPr>
                <w:color w:val="000000"/>
                <w:sz w:val="16"/>
                <w:szCs w:val="20"/>
              </w:rPr>
              <w:t>£m</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w:t>
            </w:r>
          </w:p>
        </w:tc>
      </w:tr>
    </w:tbl>
    <w:p w:rsidR="000732DD" w:rsidRPr="00491918" w:rsidRDefault="000732DD"/>
    <w:tbl>
      <w:tblPr>
        <w:tblW w:w="0" w:type="auto"/>
        <w:tblLayout w:type="fixed"/>
        <w:tblLook w:val="0000" w:firstRow="0" w:lastRow="0" w:firstColumn="0" w:lastColumn="0" w:noHBand="0" w:noVBand="0"/>
      </w:tblPr>
      <w:tblGrid>
        <w:gridCol w:w="5670"/>
        <w:gridCol w:w="1335"/>
        <w:gridCol w:w="1335"/>
        <w:gridCol w:w="1335"/>
      </w:tblGrid>
      <w:tr w:rsidR="000D1659" w:rsidRPr="00491918" w:rsidTr="000732DD">
        <w:trPr>
          <w:trHeight w:val="255"/>
        </w:trPr>
        <w:tc>
          <w:tcPr>
            <w:tcW w:w="567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UK RBB</w:t>
            </w:r>
          </w:p>
        </w:tc>
        <w:tc>
          <w:tcPr>
            <w:tcW w:w="133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659 </w:t>
            </w:r>
          </w:p>
        </w:tc>
        <w:tc>
          <w:tcPr>
            <w:tcW w:w="1335" w:type="dxa"/>
            <w:tcBorders>
              <w:left w:val="nil"/>
              <w:bottom w:val="nil"/>
              <w:right w:val="nil"/>
            </w:tcBorders>
            <w:shd w:val="clear" w:color="auto" w:fill="FFFFFF"/>
            <w:tcMar>
              <w:left w:w="36" w:type="dxa"/>
              <w:right w:w="36" w:type="dxa"/>
            </w:tcMar>
            <w:vAlign w:val="bottom"/>
          </w:tcPr>
          <w:p w:rsidR="000D1659" w:rsidRPr="00491918" w:rsidRDefault="00C217C8">
            <w:pPr>
              <w:jc w:val="right"/>
              <w:rPr>
                <w:color w:val="000000"/>
                <w:sz w:val="16"/>
                <w:szCs w:val="20"/>
              </w:rPr>
            </w:pPr>
            <w:r w:rsidRPr="00491918">
              <w:rPr>
                <w:color w:val="000000"/>
                <w:sz w:val="16"/>
                <w:szCs w:val="20"/>
              </w:rPr>
              <w:t>12.7</w:t>
            </w:r>
            <w:r w:rsidR="000D1659" w:rsidRPr="00491918">
              <w:rPr>
                <w:color w:val="000000"/>
                <w:sz w:val="16"/>
                <w:szCs w:val="20"/>
              </w:rPr>
              <w:t> </w:t>
            </w:r>
          </w:p>
        </w:tc>
        <w:tc>
          <w:tcPr>
            <w:tcW w:w="1335"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20"/>
              </w:rPr>
            </w:pPr>
            <w:r w:rsidRPr="00491918">
              <w:rPr>
                <w:color w:val="000000"/>
                <w:sz w:val="16"/>
                <w:szCs w:val="20"/>
              </w:rPr>
              <w:t>63 </w:t>
            </w:r>
          </w:p>
        </w:tc>
      </w:tr>
      <w:tr w:rsidR="000D1659" w:rsidRPr="00491918">
        <w:trPr>
          <w:trHeight w:val="255"/>
        </w:trPr>
        <w:tc>
          <w:tcPr>
            <w:tcW w:w="56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Europe RBB</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(353)</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C217C8">
            <w:pPr>
              <w:jc w:val="right"/>
              <w:rPr>
                <w:color w:val="000000"/>
                <w:sz w:val="16"/>
                <w:szCs w:val="20"/>
              </w:rPr>
            </w:pPr>
            <w:r w:rsidRPr="00491918">
              <w:rPr>
                <w:color w:val="000000"/>
                <w:sz w:val="16"/>
                <w:szCs w:val="20"/>
              </w:rPr>
              <w:t>(25.6</w:t>
            </w:r>
            <w:r w:rsidR="000D1659" w:rsidRPr="00491918">
              <w:rPr>
                <w:color w:val="000000"/>
                <w:sz w:val="16"/>
                <w:szCs w:val="20"/>
              </w:rPr>
              <w:t>)</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120 </w:t>
            </w:r>
          </w:p>
        </w:tc>
      </w:tr>
      <w:tr w:rsidR="000D1659" w:rsidRPr="00491918">
        <w:trPr>
          <w:trHeight w:val="255"/>
        </w:trPr>
        <w:tc>
          <w:tcPr>
            <w:tcW w:w="56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Africa RBB</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221 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C217C8">
            <w:pPr>
              <w:jc w:val="right"/>
              <w:rPr>
                <w:color w:val="000000"/>
                <w:sz w:val="16"/>
                <w:szCs w:val="20"/>
              </w:rPr>
            </w:pPr>
            <w:r w:rsidRPr="00491918">
              <w:rPr>
                <w:color w:val="000000"/>
                <w:sz w:val="16"/>
                <w:szCs w:val="20"/>
              </w:rPr>
              <w:t>3.6</w:t>
            </w:r>
            <w:r w:rsidR="000D1659" w:rsidRPr="00491918">
              <w:rPr>
                <w:color w:val="000000"/>
                <w:sz w:val="16"/>
                <w:szCs w:val="20"/>
              </w:rPr>
              <w:t>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68 </w:t>
            </w:r>
          </w:p>
        </w:tc>
      </w:tr>
      <w:tr w:rsidR="000D1659" w:rsidRPr="00491918">
        <w:trPr>
          <w:trHeight w:val="255"/>
        </w:trPr>
        <w:tc>
          <w:tcPr>
            <w:tcW w:w="56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Barclaycard</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780 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19.5 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41 </w:t>
            </w:r>
          </w:p>
        </w:tc>
      </w:tr>
      <w:tr w:rsidR="000D1659" w:rsidRPr="00491918">
        <w:trPr>
          <w:trHeight w:val="240"/>
        </w:trPr>
        <w:tc>
          <w:tcPr>
            <w:tcW w:w="56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Investment Bank</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w:t>
            </w:r>
            <w:r w:rsidR="00016374" w:rsidRPr="00491918">
              <w:rPr>
                <w:color w:val="000000"/>
                <w:sz w:val="16"/>
                <w:szCs w:val="20"/>
              </w:rPr>
              <w:t>558</w:t>
            </w:r>
            <w:r w:rsidRPr="00491918">
              <w:rPr>
                <w:color w:val="000000"/>
                <w:sz w:val="16"/>
                <w:szCs w:val="20"/>
              </w:rPr>
              <w:t>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rsidP="008A3FCB">
            <w:pPr>
              <w:jc w:val="right"/>
              <w:rPr>
                <w:color w:val="000000"/>
                <w:sz w:val="16"/>
                <w:szCs w:val="20"/>
              </w:rPr>
            </w:pPr>
            <w:r w:rsidRPr="00491918">
              <w:rPr>
                <w:color w:val="000000"/>
                <w:sz w:val="16"/>
                <w:szCs w:val="20"/>
              </w:rPr>
              <w:t>1</w:t>
            </w:r>
            <w:r w:rsidR="008A3FCB" w:rsidRPr="00491918">
              <w:rPr>
                <w:color w:val="000000"/>
                <w:sz w:val="16"/>
                <w:szCs w:val="20"/>
              </w:rPr>
              <w:t>6</w:t>
            </w:r>
            <w:r w:rsidRPr="00491918">
              <w:rPr>
                <w:color w:val="000000"/>
                <w:sz w:val="16"/>
                <w:szCs w:val="20"/>
              </w:rPr>
              <w:t>.</w:t>
            </w:r>
            <w:r w:rsidR="008A3FCB" w:rsidRPr="00491918">
              <w:rPr>
                <w:color w:val="000000"/>
                <w:sz w:val="16"/>
                <w:szCs w:val="20"/>
              </w:rPr>
              <w:t>5</w:t>
            </w:r>
            <w:r w:rsidRPr="00491918">
              <w:rPr>
                <w:color w:val="000000"/>
                <w:sz w:val="16"/>
                <w:szCs w:val="20"/>
              </w:rPr>
              <w:t>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58 </w:t>
            </w:r>
          </w:p>
        </w:tc>
      </w:tr>
      <w:tr w:rsidR="000D1659" w:rsidRPr="00491918">
        <w:trPr>
          <w:trHeight w:val="240"/>
        </w:trPr>
        <w:tc>
          <w:tcPr>
            <w:tcW w:w="56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Corporate Banking</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443 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7.8 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55 </w:t>
            </w:r>
          </w:p>
        </w:tc>
      </w:tr>
      <w:tr w:rsidR="000D1659" w:rsidRPr="00491918">
        <w:trPr>
          <w:trHeight w:val="240"/>
        </w:trPr>
        <w:tc>
          <w:tcPr>
            <w:tcW w:w="56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Wealth and Investment Management</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80 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C217C8">
            <w:pPr>
              <w:jc w:val="right"/>
              <w:rPr>
                <w:color w:val="000000"/>
                <w:sz w:val="16"/>
                <w:szCs w:val="20"/>
              </w:rPr>
            </w:pPr>
            <w:r w:rsidRPr="00491918">
              <w:rPr>
                <w:color w:val="000000"/>
                <w:sz w:val="16"/>
                <w:szCs w:val="20"/>
              </w:rPr>
              <w:t>4.5</w:t>
            </w:r>
            <w:r w:rsidR="000D1659" w:rsidRPr="00491918">
              <w:rPr>
                <w:color w:val="000000"/>
                <w:sz w:val="16"/>
                <w:szCs w:val="20"/>
              </w:rPr>
              <w:t> </w:t>
            </w:r>
          </w:p>
        </w:tc>
        <w:tc>
          <w:tcPr>
            <w:tcW w:w="13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87 </w:t>
            </w:r>
          </w:p>
        </w:tc>
      </w:tr>
      <w:tr w:rsidR="000D1659" w:rsidRPr="00491918">
        <w:trPr>
          <w:trHeight w:val="240"/>
        </w:trPr>
        <w:tc>
          <w:tcPr>
            <w:tcW w:w="56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Head Office and Other Operations</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(157)</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1D4113">
            <w:pPr>
              <w:jc w:val="right"/>
              <w:rPr>
                <w:color w:val="000000"/>
                <w:sz w:val="16"/>
                <w:szCs w:val="20"/>
              </w:rPr>
            </w:pPr>
            <w:r w:rsidRPr="00491918">
              <w:rPr>
                <w:color w:val="000000"/>
                <w:sz w:val="16"/>
                <w:szCs w:val="20"/>
              </w:rPr>
              <w:t>(2.</w:t>
            </w:r>
            <w:r w:rsidR="008A3FCB" w:rsidRPr="00491918">
              <w:rPr>
                <w:color w:val="000000"/>
                <w:sz w:val="16"/>
                <w:szCs w:val="20"/>
              </w:rPr>
              <w:t>2</w:t>
            </w:r>
            <w:r w:rsidRPr="00491918">
              <w:rPr>
                <w:color w:val="000000"/>
                <w:sz w:val="16"/>
                <w:szCs w:val="20"/>
              </w:rPr>
              <w:t>)</w:t>
            </w:r>
          </w:p>
        </w:tc>
        <w:tc>
          <w:tcPr>
            <w:tcW w:w="13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(18)</w:t>
            </w:r>
          </w:p>
        </w:tc>
      </w:tr>
      <w:tr w:rsidR="000D1659" w:rsidRPr="00491918">
        <w:trPr>
          <w:trHeight w:val="240"/>
        </w:trPr>
        <w:tc>
          <w:tcPr>
            <w:tcW w:w="56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b/>
                <w:color w:val="000000"/>
                <w:sz w:val="16"/>
                <w:szCs w:val="20"/>
              </w:rPr>
              <w:t>Group excluding costs to achieve Transform</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4,</w:t>
            </w:r>
            <w:r w:rsidR="00016374" w:rsidRPr="00491918">
              <w:rPr>
                <w:b/>
                <w:color w:val="000000"/>
                <w:sz w:val="16"/>
                <w:szCs w:val="20"/>
              </w:rPr>
              <w:t>231</w:t>
            </w:r>
            <w:r w:rsidRPr="00491918">
              <w:rPr>
                <w:b/>
                <w:color w:val="000000"/>
                <w:sz w:val="16"/>
                <w:szCs w:val="20"/>
              </w:rPr>
              <w:t>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A3FCB" w:rsidP="008A3FCB">
            <w:pPr>
              <w:jc w:val="right"/>
              <w:rPr>
                <w:b/>
                <w:color w:val="000000"/>
                <w:sz w:val="16"/>
                <w:szCs w:val="20"/>
              </w:rPr>
            </w:pPr>
            <w:r w:rsidRPr="00491918">
              <w:rPr>
                <w:b/>
                <w:color w:val="000000"/>
                <w:sz w:val="16"/>
                <w:szCs w:val="20"/>
              </w:rPr>
              <w:t>9.5</w:t>
            </w:r>
            <w:r w:rsidR="000D1659" w:rsidRPr="00491918">
              <w:rPr>
                <w:b/>
                <w:color w:val="000000"/>
                <w:sz w:val="16"/>
                <w:szCs w:val="20"/>
              </w:rPr>
              <w:t> </w:t>
            </w:r>
          </w:p>
        </w:tc>
        <w:tc>
          <w:tcPr>
            <w:tcW w:w="13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61 </w:t>
            </w:r>
          </w:p>
        </w:tc>
      </w:tr>
    </w:tbl>
    <w:p w:rsidR="000D1659" w:rsidRPr="00491918" w:rsidRDefault="000D1659">
      <w:pPr>
        <w:rPr>
          <w:szCs w:val="20"/>
        </w:rPr>
        <w:sectPr w:rsidR="000D1659" w:rsidRPr="00491918" w:rsidSect="00751636">
          <w:headerReference w:type="default" r:id="rId25"/>
          <w:pgSz w:w="11905" w:h="16837"/>
          <w:pgMar w:top="851" w:right="1134" w:bottom="567" w:left="1134" w:header="851" w:footer="567" w:gutter="0"/>
          <w:cols w:space="708"/>
        </w:sectPr>
      </w:pPr>
    </w:p>
    <w:p w:rsidR="000D76A8" w:rsidRPr="00491918" w:rsidRDefault="000D76A8" w:rsidP="000D76A8">
      <w:pPr>
        <w:pStyle w:val="HeadingLevel1-BarcRA20"/>
        <w:rPr>
          <w:lang w:val="en-GB"/>
        </w:rPr>
      </w:pPr>
      <w:r w:rsidRPr="00491918">
        <w:rPr>
          <w:lang w:val="en-GB"/>
        </w:rPr>
        <w:lastRenderedPageBreak/>
        <w:t>Performance Management</w:t>
      </w:r>
    </w:p>
    <w:p w:rsidR="00075A30" w:rsidRPr="00491918" w:rsidRDefault="00075A30" w:rsidP="008D6001">
      <w:pPr>
        <w:pStyle w:val="HeadingLevel1-BarcRA"/>
        <w:outlineLvl w:val="0"/>
        <w:rPr>
          <w:color w:val="auto"/>
          <w:lang w:val="en-GB"/>
        </w:rPr>
      </w:pPr>
      <w:r w:rsidRPr="00491918">
        <w:rPr>
          <w:color w:val="auto"/>
          <w:lang w:val="en-GB"/>
        </w:rPr>
        <w:t>Exit Quadrant Business Units</w:t>
      </w:r>
    </w:p>
    <w:p w:rsidR="00075A30" w:rsidRPr="00491918" w:rsidRDefault="00075A30" w:rsidP="00075A30">
      <w:pPr>
        <w:pStyle w:val="BodyText-BarcRA640"/>
        <w:numPr>
          <w:ilvl w:val="0"/>
          <w:numId w:val="1"/>
        </w:numPr>
      </w:pPr>
      <w:r w:rsidRPr="00491918">
        <w:t>On 12 February 2013, the Group announced as part of its Strategic Review that, following a rigorous bottom-up analysis of each of its businesses based on the attractiveness of the market they operate in and their ability to generate sustainable returns on equity above cost of equity, it would be exiting certain businesses</w:t>
      </w:r>
    </w:p>
    <w:p w:rsidR="00075A30" w:rsidRPr="00491918" w:rsidRDefault="00075A30" w:rsidP="00075A30">
      <w:pPr>
        <w:pStyle w:val="BodyText-BarcRA640"/>
        <w:numPr>
          <w:ilvl w:val="0"/>
          <w:numId w:val="1"/>
        </w:numPr>
      </w:pPr>
      <w:r w:rsidRPr="00491918">
        <w:t>The table below presents selected financial data for these Exit Quadrant businesses</w:t>
      </w:r>
    </w:p>
    <w:p w:rsidR="00075A30" w:rsidRPr="00491918" w:rsidRDefault="00075A30" w:rsidP="00075A30"/>
    <w:tbl>
      <w:tblPr>
        <w:tblW w:w="0" w:type="auto"/>
        <w:tblLayout w:type="fixed"/>
        <w:tblLook w:val="0000" w:firstRow="0" w:lastRow="0" w:firstColumn="0" w:lastColumn="0" w:noHBand="0" w:noVBand="0"/>
      </w:tblPr>
      <w:tblGrid>
        <w:gridCol w:w="3165"/>
        <w:gridCol w:w="945"/>
        <w:gridCol w:w="735"/>
        <w:gridCol w:w="945"/>
        <w:gridCol w:w="945"/>
        <w:gridCol w:w="945"/>
        <w:gridCol w:w="945"/>
        <w:gridCol w:w="945"/>
      </w:tblGrid>
      <w:tr w:rsidR="00075A30" w:rsidRPr="00491918" w:rsidTr="00527749">
        <w:trPr>
          <w:trHeight w:val="225"/>
        </w:trPr>
        <w:tc>
          <w:tcPr>
            <w:tcW w:w="316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r w:rsidRPr="00491918">
              <w:rPr>
                <w:b/>
                <w:color w:val="000000"/>
                <w:sz w:val="16"/>
              </w:rPr>
              <w:t xml:space="preserve"> </w:t>
            </w:r>
            <w:r w:rsidRPr="00491918">
              <w:rPr>
                <w:b/>
                <w:color w:val="000000"/>
                <w:sz w:val="16"/>
                <w:vertAlign w:val="superscript"/>
              </w:rPr>
              <w:t xml:space="preserve"> </w:t>
            </w:r>
          </w:p>
        </w:tc>
        <w:tc>
          <w:tcPr>
            <w:tcW w:w="1680" w:type="dxa"/>
            <w:gridSpan w:val="2"/>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center"/>
              <w:rPr>
                <w:b/>
                <w:color w:val="000000"/>
                <w:sz w:val="16"/>
                <w:vertAlign w:val="superscript"/>
              </w:rPr>
            </w:pPr>
            <w:r w:rsidRPr="00491918">
              <w:rPr>
                <w:b/>
                <w:color w:val="000000"/>
                <w:sz w:val="16"/>
              </w:rPr>
              <w:t>CRD IV RWAs</w:t>
            </w:r>
            <w:r w:rsidRPr="00491918">
              <w:rPr>
                <w:b/>
                <w:color w:val="000000"/>
                <w:sz w:val="16"/>
                <w:vertAlign w:val="superscript"/>
              </w:rPr>
              <w:t>1 </w:t>
            </w:r>
          </w:p>
        </w:tc>
        <w:tc>
          <w:tcPr>
            <w:tcW w:w="1890" w:type="dxa"/>
            <w:gridSpan w:val="2"/>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center"/>
              <w:rPr>
                <w:b/>
                <w:color w:val="000000"/>
                <w:sz w:val="16"/>
                <w:vertAlign w:val="superscript"/>
              </w:rPr>
            </w:pPr>
            <w:r w:rsidRPr="00491918">
              <w:rPr>
                <w:b/>
                <w:color w:val="000000"/>
                <w:sz w:val="16"/>
              </w:rPr>
              <w:t>Balance Sheet</w:t>
            </w:r>
          </w:p>
        </w:tc>
        <w:tc>
          <w:tcPr>
            <w:tcW w:w="2835" w:type="dxa"/>
            <w:gridSpan w:val="3"/>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center"/>
              <w:rPr>
                <w:b/>
                <w:color w:val="000000"/>
                <w:sz w:val="16"/>
              </w:rPr>
            </w:pPr>
            <w:r w:rsidRPr="00491918">
              <w:rPr>
                <w:b/>
                <w:color w:val="000000"/>
                <w:sz w:val="16"/>
              </w:rPr>
              <w:t>Half Year Ended 30.06.13</w:t>
            </w:r>
          </w:p>
        </w:tc>
      </w:tr>
      <w:tr w:rsidR="00075A30" w:rsidRPr="00491918" w:rsidTr="005921C2">
        <w:trPr>
          <w:trHeight w:val="1020"/>
        </w:trPr>
        <w:tc>
          <w:tcPr>
            <w:tcW w:w="316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rPr>
                <w:b/>
                <w:color w:val="000000"/>
                <w:sz w:val="16"/>
              </w:rPr>
            </w:pPr>
            <w:r w:rsidRPr="00491918">
              <w:rPr>
                <w:b/>
                <w:color w:val="000000"/>
                <w:sz w:val="20"/>
              </w:rPr>
              <w:t xml:space="preserve"> </w:t>
            </w:r>
            <w:r w:rsidRPr="00491918">
              <w:rPr>
                <w:b/>
                <w:color w:val="000000"/>
                <w:sz w:val="16"/>
                <w:vertAlign w:val="superscript"/>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bottom"/>
          </w:tcPr>
          <w:p w:rsidR="00075A30" w:rsidRPr="00491918" w:rsidRDefault="00075A30" w:rsidP="005921C2">
            <w:pPr>
              <w:jc w:val="right"/>
              <w:rPr>
                <w:b/>
                <w:color w:val="000000"/>
                <w:sz w:val="16"/>
                <w:vertAlign w:val="superscript"/>
              </w:rPr>
            </w:pPr>
            <w:r w:rsidRPr="00491918">
              <w:rPr>
                <w:b/>
                <w:color w:val="000000"/>
                <w:sz w:val="16"/>
              </w:rPr>
              <w:t>As at 30.06.13</w:t>
            </w:r>
          </w:p>
        </w:tc>
        <w:tc>
          <w:tcPr>
            <w:tcW w:w="735" w:type="dxa"/>
            <w:tcBorders>
              <w:top w:val="single" w:sz="6" w:space="0" w:color="969696"/>
              <w:left w:val="nil"/>
              <w:bottom w:val="nil"/>
              <w:right w:val="nil"/>
            </w:tcBorders>
            <w:shd w:val="clear" w:color="auto" w:fill="FFFFFF"/>
            <w:tcMar>
              <w:left w:w="36" w:type="dxa"/>
              <w:right w:w="36" w:type="dxa"/>
            </w:tcMar>
            <w:vAlign w:val="bottom"/>
          </w:tcPr>
          <w:p w:rsidR="00075A30" w:rsidRPr="00491918" w:rsidRDefault="00075A30" w:rsidP="005921C2">
            <w:pPr>
              <w:jc w:val="right"/>
              <w:rPr>
                <w:b/>
                <w:color w:val="000000"/>
                <w:sz w:val="16"/>
              </w:rPr>
            </w:pPr>
            <w:r w:rsidRPr="00491918">
              <w:rPr>
                <w:b/>
                <w:color w:val="000000"/>
                <w:sz w:val="16"/>
              </w:rPr>
              <w:t>As at 31.12.12</w:t>
            </w:r>
            <w:r w:rsidRPr="00491918">
              <w:rPr>
                <w:b/>
                <w:color w:val="000000"/>
                <w:sz w:val="16"/>
                <w:vertAlign w:val="superscript"/>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bottom"/>
          </w:tcPr>
          <w:p w:rsidR="00075A30" w:rsidRPr="00491918" w:rsidRDefault="00075A30" w:rsidP="005921C2">
            <w:pPr>
              <w:jc w:val="right"/>
              <w:rPr>
                <w:b/>
                <w:color w:val="000000"/>
                <w:sz w:val="16"/>
                <w:vertAlign w:val="superscript"/>
              </w:rPr>
            </w:pPr>
            <w:r w:rsidRPr="00491918">
              <w:rPr>
                <w:b/>
                <w:color w:val="000000"/>
                <w:sz w:val="16"/>
              </w:rPr>
              <w:t>As at 30.06.13</w:t>
            </w:r>
          </w:p>
        </w:tc>
        <w:tc>
          <w:tcPr>
            <w:tcW w:w="945" w:type="dxa"/>
            <w:tcBorders>
              <w:top w:val="single" w:sz="6" w:space="0" w:color="969696"/>
              <w:left w:val="nil"/>
              <w:bottom w:val="nil"/>
              <w:right w:val="nil"/>
            </w:tcBorders>
            <w:shd w:val="clear" w:color="auto" w:fill="FFFFFF"/>
            <w:tcMar>
              <w:left w:w="36" w:type="dxa"/>
              <w:right w:w="36" w:type="dxa"/>
            </w:tcMar>
            <w:vAlign w:val="bottom"/>
          </w:tcPr>
          <w:p w:rsidR="00075A30" w:rsidRPr="00491918" w:rsidRDefault="00075A30" w:rsidP="005921C2">
            <w:pPr>
              <w:jc w:val="right"/>
              <w:rPr>
                <w:b/>
                <w:color w:val="000000"/>
                <w:sz w:val="16"/>
              </w:rPr>
            </w:pPr>
            <w:r w:rsidRPr="00491918">
              <w:rPr>
                <w:b/>
                <w:color w:val="000000"/>
                <w:sz w:val="16"/>
              </w:rPr>
              <w:t>As at 31.12.12</w:t>
            </w:r>
          </w:p>
        </w:tc>
        <w:tc>
          <w:tcPr>
            <w:tcW w:w="945" w:type="dxa"/>
            <w:tcBorders>
              <w:top w:val="single" w:sz="6" w:space="0" w:color="969696"/>
              <w:left w:val="nil"/>
              <w:bottom w:val="nil"/>
              <w:right w:val="nil"/>
            </w:tcBorders>
            <w:shd w:val="clear" w:color="auto" w:fill="FFFFFF"/>
            <w:tcMar>
              <w:left w:w="36" w:type="dxa"/>
              <w:right w:w="36" w:type="dxa"/>
            </w:tcMar>
            <w:vAlign w:val="bottom"/>
          </w:tcPr>
          <w:p w:rsidR="00075A30" w:rsidRPr="00491918" w:rsidRDefault="00075A30" w:rsidP="005921C2">
            <w:pPr>
              <w:jc w:val="right"/>
              <w:rPr>
                <w:b/>
                <w:color w:val="000000"/>
                <w:sz w:val="16"/>
              </w:rPr>
            </w:pPr>
            <w:r w:rsidRPr="00491918">
              <w:rPr>
                <w:b/>
                <w:color w:val="000000"/>
                <w:sz w:val="16"/>
              </w:rPr>
              <w:t>Income/ (Expense)</w:t>
            </w:r>
          </w:p>
        </w:tc>
        <w:tc>
          <w:tcPr>
            <w:tcW w:w="945" w:type="dxa"/>
            <w:tcBorders>
              <w:top w:val="single" w:sz="6" w:space="0" w:color="969696"/>
              <w:left w:val="nil"/>
              <w:bottom w:val="nil"/>
              <w:right w:val="nil"/>
            </w:tcBorders>
            <w:shd w:val="clear" w:color="auto" w:fill="FFFFFF"/>
            <w:tcMar>
              <w:left w:w="36" w:type="dxa"/>
              <w:right w:w="36" w:type="dxa"/>
            </w:tcMar>
            <w:vAlign w:val="bottom"/>
          </w:tcPr>
          <w:p w:rsidR="00075A30" w:rsidRPr="00491918" w:rsidRDefault="00075A30" w:rsidP="005921C2">
            <w:pPr>
              <w:jc w:val="right"/>
              <w:rPr>
                <w:b/>
                <w:color w:val="000000"/>
                <w:sz w:val="16"/>
              </w:rPr>
            </w:pPr>
            <w:r w:rsidRPr="00491918">
              <w:rPr>
                <w:b/>
                <w:color w:val="000000"/>
                <w:sz w:val="16"/>
              </w:rPr>
              <w:t>Impairment (charge)/ release</w:t>
            </w:r>
          </w:p>
        </w:tc>
        <w:tc>
          <w:tcPr>
            <w:tcW w:w="945" w:type="dxa"/>
            <w:tcBorders>
              <w:top w:val="single" w:sz="6" w:space="0" w:color="969696"/>
              <w:left w:val="nil"/>
              <w:bottom w:val="nil"/>
              <w:right w:val="nil"/>
            </w:tcBorders>
            <w:shd w:val="clear" w:color="auto" w:fill="FFFFFF"/>
            <w:tcMar>
              <w:left w:w="36" w:type="dxa"/>
              <w:right w:w="36" w:type="dxa"/>
            </w:tcMar>
            <w:vAlign w:val="bottom"/>
          </w:tcPr>
          <w:p w:rsidR="00075A30" w:rsidRPr="00491918" w:rsidRDefault="00075A30" w:rsidP="005921C2">
            <w:pPr>
              <w:jc w:val="right"/>
              <w:rPr>
                <w:b/>
                <w:color w:val="000000"/>
                <w:sz w:val="16"/>
              </w:rPr>
            </w:pPr>
            <w:r w:rsidRPr="00491918">
              <w:rPr>
                <w:b/>
                <w:color w:val="000000"/>
                <w:sz w:val="16"/>
              </w:rPr>
              <w:t>Net operating (expense)/ income</w:t>
            </w:r>
          </w:p>
        </w:tc>
      </w:tr>
      <w:tr w:rsidR="00075A30" w:rsidRPr="00491918" w:rsidTr="005921C2">
        <w:trPr>
          <w:trHeight w:val="285"/>
        </w:trPr>
        <w:tc>
          <w:tcPr>
            <w:tcW w:w="316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rPr>
                <w:b/>
                <w:color w:val="000000"/>
                <w:sz w:val="16"/>
              </w:rPr>
            </w:pPr>
            <w:r w:rsidRPr="00491918">
              <w:rPr>
                <w:b/>
                <w:color w:val="000000"/>
                <w:sz w:val="16"/>
              </w:rPr>
              <w:t>Corporate Banking</w:t>
            </w:r>
            <w:r w:rsidR="0014022B" w:rsidRPr="00491918">
              <w:rPr>
                <w:b/>
                <w:color w:val="000000"/>
                <w:sz w:val="16"/>
                <w:vertAlign w:val="superscript"/>
              </w:rPr>
              <w:t>2</w:t>
            </w:r>
            <w:r w:rsidRPr="00491918">
              <w:rPr>
                <w:color w:val="000000"/>
                <w:sz w:val="12"/>
                <w:vertAlign w:val="superscript"/>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£bn</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£bn</w:t>
            </w:r>
            <w:r w:rsidRPr="00491918">
              <w:rPr>
                <w:color w:val="000000"/>
                <w:sz w:val="16"/>
                <w:vertAlign w:val="superscript"/>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£bn</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£bn</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£m</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£m</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3165"/>
        <w:gridCol w:w="945"/>
        <w:gridCol w:w="735"/>
        <w:gridCol w:w="945"/>
        <w:gridCol w:w="945"/>
        <w:gridCol w:w="945"/>
        <w:gridCol w:w="945"/>
        <w:gridCol w:w="945"/>
      </w:tblGrid>
      <w:tr w:rsidR="00075A30" w:rsidRPr="00491918" w:rsidTr="00FF7A7C">
        <w:trPr>
          <w:trHeight w:val="255"/>
        </w:trPr>
        <w:tc>
          <w:tcPr>
            <w:tcW w:w="3165" w:type="dxa"/>
            <w:tcBorders>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European legacy assets</w:t>
            </w:r>
            <w:r w:rsidRPr="00491918">
              <w:rPr>
                <w:color w:val="000000"/>
                <w:sz w:val="16"/>
                <w:vertAlign w:val="superscript"/>
              </w:rPr>
              <w:t xml:space="preserve"> </w:t>
            </w:r>
          </w:p>
        </w:tc>
        <w:tc>
          <w:tcPr>
            <w:tcW w:w="945" w:type="dxa"/>
            <w:tcBorders>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4.1 </w:t>
            </w:r>
          </w:p>
        </w:tc>
        <w:tc>
          <w:tcPr>
            <w:tcW w:w="735" w:type="dxa"/>
            <w:tcBorders>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5.0 </w:t>
            </w:r>
            <w:r w:rsidRPr="00491918">
              <w:rPr>
                <w:color w:val="000000"/>
                <w:sz w:val="16"/>
                <w:vertAlign w:val="superscript"/>
              </w:rPr>
              <w:t xml:space="preserve"> </w:t>
            </w:r>
          </w:p>
        </w:tc>
        <w:tc>
          <w:tcPr>
            <w:tcW w:w="945" w:type="dxa"/>
            <w:tcBorders>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3.4 </w:t>
            </w:r>
          </w:p>
        </w:tc>
        <w:tc>
          <w:tcPr>
            <w:tcW w:w="945" w:type="dxa"/>
            <w:tcBorders>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3.9 </w:t>
            </w:r>
          </w:p>
        </w:tc>
        <w:tc>
          <w:tcPr>
            <w:tcW w:w="945" w:type="dxa"/>
            <w:tcBorders>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39 </w:t>
            </w:r>
          </w:p>
        </w:tc>
        <w:tc>
          <w:tcPr>
            <w:tcW w:w="945" w:type="dxa"/>
            <w:tcBorders>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(178)</w:t>
            </w:r>
          </w:p>
        </w:tc>
        <w:tc>
          <w:tcPr>
            <w:tcW w:w="945" w:type="dxa"/>
            <w:tcBorders>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rPr>
            </w:pPr>
            <w:r w:rsidRPr="00491918">
              <w:rPr>
                <w:color w:val="000000"/>
                <w:sz w:val="16"/>
              </w:rPr>
              <w:t>(139)</w:t>
            </w:r>
          </w:p>
        </w:tc>
      </w:tr>
      <w:tr w:rsidR="00075A30" w:rsidRPr="00491918" w:rsidTr="005921C2">
        <w:trPr>
          <w:trHeight w:val="285"/>
        </w:trPr>
        <w:tc>
          <w:tcPr>
            <w:tcW w:w="316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b/>
                <w:color w:val="000000"/>
                <w:sz w:val="16"/>
              </w:rPr>
              <w:t>Europe RBB</w:t>
            </w:r>
            <w:r w:rsidRPr="00491918">
              <w:rPr>
                <w:b/>
                <w:color w:val="000000"/>
                <w:sz w:val="12"/>
                <w:vertAlign w:val="superscript"/>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b/>
                <w:color w:val="000000"/>
                <w:sz w:val="16"/>
                <w:vertAlign w:val="superscript"/>
              </w:rPr>
            </w:pPr>
            <w:r w:rsidRPr="00491918">
              <w:rPr>
                <w:color w:val="000000"/>
                <w:sz w:val="16"/>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r>
      <w:tr w:rsidR="00075A30" w:rsidRPr="00491918" w:rsidTr="005921C2">
        <w:trPr>
          <w:trHeight w:val="255"/>
        </w:trPr>
        <w:tc>
          <w:tcPr>
            <w:tcW w:w="316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Legacy assets</w:t>
            </w:r>
            <w:r w:rsidRPr="00491918">
              <w:rPr>
                <w:color w:val="000000"/>
                <w:sz w:val="16"/>
                <w:vertAlign w:val="superscript"/>
              </w:rPr>
              <w:t xml:space="preserve"> </w:t>
            </w:r>
          </w:p>
        </w:tc>
        <w:tc>
          <w:tcPr>
            <w:tcW w:w="945" w:type="dxa"/>
            <w:tcBorders>
              <w:top w:val="single" w:sz="6" w:space="0" w:color="969696"/>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9.5 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9.7 </w:t>
            </w:r>
            <w:r w:rsidRPr="00491918">
              <w:rPr>
                <w:color w:val="000000"/>
                <w:sz w:val="16"/>
                <w:vertAlign w:val="superscript"/>
              </w:rPr>
              <w:t xml:space="preserve"> </w:t>
            </w:r>
          </w:p>
        </w:tc>
        <w:tc>
          <w:tcPr>
            <w:tcW w:w="945" w:type="dxa"/>
            <w:tcBorders>
              <w:top w:val="single" w:sz="6" w:space="0" w:color="969696"/>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23.0 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22.9 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56 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(110)</w:t>
            </w:r>
          </w:p>
        </w:tc>
        <w:tc>
          <w:tcPr>
            <w:tcW w:w="945" w:type="dxa"/>
            <w:tcBorders>
              <w:top w:val="single" w:sz="6" w:space="0" w:color="969696"/>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rPr>
            </w:pPr>
            <w:r w:rsidRPr="00491918">
              <w:rPr>
                <w:color w:val="000000"/>
                <w:sz w:val="16"/>
              </w:rPr>
              <w:t>(54)</w:t>
            </w:r>
          </w:p>
        </w:tc>
      </w:tr>
      <w:tr w:rsidR="00075A30" w:rsidRPr="00491918" w:rsidTr="005921C2">
        <w:trPr>
          <w:trHeight w:val="285"/>
        </w:trPr>
        <w:tc>
          <w:tcPr>
            <w:tcW w:w="316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b/>
                <w:color w:val="000000"/>
                <w:sz w:val="16"/>
              </w:rPr>
              <w:t>Investment Bank</w:t>
            </w:r>
            <w:r w:rsidRPr="00491918">
              <w:rPr>
                <w:b/>
                <w:color w:val="000000"/>
                <w:sz w:val="12"/>
                <w:vertAlign w:val="superscript"/>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27749">
            <w:pPr>
              <w:jc w:val="right"/>
              <w:rPr>
                <w:b/>
                <w:color w:val="000000"/>
                <w:sz w:val="16"/>
                <w:vertAlign w:val="superscript"/>
              </w:rPr>
            </w:pPr>
            <w:r w:rsidRPr="00491918">
              <w:rPr>
                <w:color w:val="000000"/>
                <w:sz w:val="16"/>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r>
      <w:tr w:rsidR="00075A30" w:rsidRPr="00491918" w:rsidTr="005921C2">
        <w:trPr>
          <w:trHeight w:val="255"/>
        </w:trPr>
        <w:tc>
          <w:tcPr>
            <w:tcW w:w="316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US Residential Mortgages</w:t>
            </w:r>
            <w:r w:rsidRPr="00491918">
              <w:rPr>
                <w:color w:val="000000"/>
                <w:sz w:val="16"/>
                <w:vertAlign w:val="superscript"/>
              </w:rPr>
              <w:t xml:space="preserve"> </w:t>
            </w:r>
          </w:p>
        </w:tc>
        <w:tc>
          <w:tcPr>
            <w:tcW w:w="945" w:type="dxa"/>
            <w:tcBorders>
              <w:top w:val="single" w:sz="6" w:space="0" w:color="969696"/>
              <w:left w:val="nil"/>
              <w:bottom w:val="nil"/>
              <w:right w:val="nil"/>
            </w:tcBorders>
            <w:shd w:val="clear" w:color="auto" w:fill="EAEAEA"/>
            <w:tcMar>
              <w:left w:w="36" w:type="dxa"/>
              <w:right w:w="36" w:type="dxa"/>
            </w:tcMar>
            <w:vAlign w:val="center"/>
          </w:tcPr>
          <w:p w:rsidR="00075A30" w:rsidRPr="00491918" w:rsidRDefault="00075A30" w:rsidP="00527749">
            <w:pPr>
              <w:jc w:val="right"/>
              <w:rPr>
                <w:color w:val="000000"/>
                <w:sz w:val="16"/>
                <w:vertAlign w:val="superscript"/>
              </w:rPr>
            </w:pPr>
            <w:r w:rsidRPr="00491918">
              <w:rPr>
                <w:color w:val="000000"/>
                <w:sz w:val="16"/>
              </w:rPr>
              <w:t>0.7 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5.3 </w:t>
            </w:r>
            <w:r w:rsidRPr="00491918">
              <w:rPr>
                <w:color w:val="000000"/>
                <w:sz w:val="16"/>
                <w:vertAlign w:val="superscript"/>
              </w:rPr>
              <w:t xml:space="preserve"> </w:t>
            </w:r>
          </w:p>
        </w:tc>
        <w:tc>
          <w:tcPr>
            <w:tcW w:w="945" w:type="dxa"/>
            <w:tcBorders>
              <w:top w:val="single" w:sz="6" w:space="0" w:color="969696"/>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1.1 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2.2 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375 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w:t>
            </w:r>
          </w:p>
        </w:tc>
        <w:tc>
          <w:tcPr>
            <w:tcW w:w="945" w:type="dxa"/>
            <w:tcBorders>
              <w:top w:val="single" w:sz="6" w:space="0" w:color="969696"/>
              <w:left w:val="nil"/>
              <w:bottom w:val="nil"/>
              <w:right w:val="nil"/>
            </w:tcBorders>
            <w:shd w:val="clear" w:color="auto" w:fill="EAEAEA"/>
            <w:tcMar>
              <w:left w:w="36" w:type="dxa"/>
              <w:right w:w="36" w:type="dxa"/>
            </w:tcMar>
            <w:vAlign w:val="center"/>
          </w:tcPr>
          <w:p w:rsidR="00075A30" w:rsidRPr="00491918" w:rsidRDefault="00075A30" w:rsidP="005921C2">
            <w:pPr>
              <w:jc w:val="right"/>
              <w:rPr>
                <w:color w:val="000000"/>
                <w:sz w:val="16"/>
              </w:rPr>
            </w:pPr>
            <w:r w:rsidRPr="00491918">
              <w:rPr>
                <w:color w:val="000000"/>
                <w:sz w:val="16"/>
              </w:rPr>
              <w:t>375 </w:t>
            </w:r>
          </w:p>
        </w:tc>
      </w:tr>
      <w:tr w:rsidR="00075A30" w:rsidRPr="00491918" w:rsidTr="005921C2">
        <w:trPr>
          <w:trHeight w:val="255"/>
        </w:trPr>
        <w:tc>
          <w:tcPr>
            <w:tcW w:w="316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Commercial Mortgages and Real Estate</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27749">
            <w:pPr>
              <w:jc w:val="right"/>
              <w:rPr>
                <w:color w:val="000000"/>
                <w:sz w:val="16"/>
                <w:vertAlign w:val="superscript"/>
              </w:rPr>
            </w:pPr>
            <w:r w:rsidRPr="00491918">
              <w:rPr>
                <w:color w:val="000000"/>
                <w:sz w:val="16"/>
              </w:rPr>
              <w:t>3.0 </w:t>
            </w:r>
          </w:p>
        </w:tc>
        <w:tc>
          <w:tcPr>
            <w:tcW w:w="73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3.1 </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vertAlign w:val="superscript"/>
              </w:rPr>
            </w:pPr>
            <w:r w:rsidRPr="00491918">
              <w:rPr>
                <w:color w:val="000000"/>
                <w:sz w:val="16"/>
              </w:rPr>
              <w:t>3.9 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4.0 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41 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rPr>
            </w:pPr>
            <w:r w:rsidRPr="00491918">
              <w:rPr>
                <w:color w:val="000000"/>
                <w:sz w:val="16"/>
              </w:rPr>
              <w:t>41 </w:t>
            </w:r>
          </w:p>
        </w:tc>
      </w:tr>
      <w:tr w:rsidR="00075A30" w:rsidRPr="00491918" w:rsidTr="005921C2">
        <w:trPr>
          <w:trHeight w:val="255"/>
        </w:trPr>
        <w:tc>
          <w:tcPr>
            <w:tcW w:w="316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Leveraged and Other Loans</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27749">
            <w:pPr>
              <w:jc w:val="right"/>
              <w:rPr>
                <w:color w:val="000000"/>
                <w:sz w:val="16"/>
                <w:vertAlign w:val="superscript"/>
              </w:rPr>
            </w:pPr>
            <w:r w:rsidRPr="00491918">
              <w:rPr>
                <w:color w:val="000000"/>
                <w:sz w:val="16"/>
              </w:rPr>
              <w:t>8.4 </w:t>
            </w:r>
          </w:p>
        </w:tc>
        <w:tc>
          <w:tcPr>
            <w:tcW w:w="73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10.1 </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vertAlign w:val="superscript"/>
              </w:rPr>
            </w:pPr>
            <w:r w:rsidRPr="00491918">
              <w:rPr>
                <w:color w:val="000000"/>
                <w:sz w:val="16"/>
              </w:rPr>
              <w:t>9.6 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11.5 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(65)</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2 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rPr>
            </w:pPr>
            <w:r w:rsidRPr="00491918">
              <w:rPr>
                <w:color w:val="000000"/>
                <w:sz w:val="16"/>
              </w:rPr>
              <w:t>(63)</w:t>
            </w:r>
          </w:p>
        </w:tc>
      </w:tr>
      <w:tr w:rsidR="00075A30" w:rsidRPr="00491918" w:rsidTr="005921C2">
        <w:trPr>
          <w:trHeight w:val="255"/>
        </w:trPr>
        <w:tc>
          <w:tcPr>
            <w:tcW w:w="316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CLOs and Other Insured Assets</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27749">
            <w:pPr>
              <w:jc w:val="right"/>
              <w:rPr>
                <w:color w:val="000000"/>
                <w:sz w:val="16"/>
                <w:vertAlign w:val="superscript"/>
              </w:rPr>
            </w:pPr>
            <w:r w:rsidRPr="00491918">
              <w:rPr>
                <w:color w:val="000000"/>
                <w:sz w:val="16"/>
              </w:rPr>
              <w:t>6.5 </w:t>
            </w:r>
          </w:p>
        </w:tc>
        <w:tc>
          <w:tcPr>
            <w:tcW w:w="73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5.9 </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vertAlign w:val="superscript"/>
              </w:rPr>
            </w:pPr>
            <w:r w:rsidRPr="00491918">
              <w:rPr>
                <w:color w:val="000000"/>
                <w:sz w:val="16"/>
              </w:rPr>
              <w:t>14.1 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16.3 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(286)</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rPr>
            </w:pPr>
            <w:r w:rsidRPr="00491918">
              <w:rPr>
                <w:color w:val="000000"/>
                <w:sz w:val="16"/>
              </w:rPr>
              <w:t>(286)</w:t>
            </w:r>
          </w:p>
        </w:tc>
      </w:tr>
      <w:tr w:rsidR="00075A30" w:rsidRPr="00491918" w:rsidTr="005921C2">
        <w:trPr>
          <w:trHeight w:val="255"/>
        </w:trPr>
        <w:tc>
          <w:tcPr>
            <w:tcW w:w="316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Structured Credit and other</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27749">
            <w:pPr>
              <w:jc w:val="right"/>
              <w:rPr>
                <w:color w:val="000000"/>
                <w:sz w:val="16"/>
                <w:vertAlign w:val="superscript"/>
              </w:rPr>
            </w:pPr>
            <w:r w:rsidRPr="00491918">
              <w:rPr>
                <w:color w:val="000000"/>
                <w:sz w:val="16"/>
              </w:rPr>
              <w:t>5.3 </w:t>
            </w:r>
          </w:p>
        </w:tc>
        <w:tc>
          <w:tcPr>
            <w:tcW w:w="73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9.4 </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vertAlign w:val="superscript"/>
              </w:rPr>
            </w:pPr>
            <w:r w:rsidRPr="00491918">
              <w:rPr>
                <w:color w:val="000000"/>
                <w:sz w:val="16"/>
              </w:rPr>
              <w:t>8.1 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8.6 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(40)</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rPr>
            </w:pPr>
            <w:r w:rsidRPr="00491918">
              <w:rPr>
                <w:color w:val="000000"/>
                <w:sz w:val="16"/>
              </w:rPr>
              <w:t>(40)</w:t>
            </w:r>
          </w:p>
        </w:tc>
      </w:tr>
      <w:tr w:rsidR="00075A30" w:rsidRPr="00491918" w:rsidTr="005921C2">
        <w:trPr>
          <w:trHeight w:val="255"/>
        </w:trPr>
        <w:tc>
          <w:tcPr>
            <w:tcW w:w="316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Monoline Derivatives</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27749">
            <w:pPr>
              <w:jc w:val="right"/>
              <w:rPr>
                <w:color w:val="000000"/>
                <w:sz w:val="16"/>
                <w:vertAlign w:val="superscript"/>
              </w:rPr>
            </w:pPr>
            <w:r w:rsidRPr="00491918">
              <w:rPr>
                <w:color w:val="000000"/>
                <w:sz w:val="16"/>
              </w:rPr>
              <w:t>1.8 </w:t>
            </w:r>
          </w:p>
        </w:tc>
        <w:tc>
          <w:tcPr>
            <w:tcW w:w="73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3.1 </w:t>
            </w:r>
            <w:r w:rsidRPr="00491918">
              <w:rPr>
                <w:color w:val="000000"/>
                <w:sz w:val="16"/>
                <w:vertAlign w:val="superscript"/>
              </w:rPr>
              <w:t xml:space="preserve">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vertAlign w:val="superscript"/>
              </w:rPr>
            </w:pPr>
            <w:r w:rsidRPr="00491918">
              <w:rPr>
                <w:color w:val="000000"/>
                <w:sz w:val="16"/>
              </w:rPr>
              <w:t>0.3 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0.6 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63 </w:t>
            </w:r>
          </w:p>
        </w:tc>
        <w:tc>
          <w:tcPr>
            <w:tcW w:w="945" w:type="dxa"/>
            <w:tcBorders>
              <w:top w:val="nil"/>
              <w:left w:val="nil"/>
              <w:bottom w:val="nil"/>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 </w:t>
            </w:r>
          </w:p>
        </w:tc>
        <w:tc>
          <w:tcPr>
            <w:tcW w:w="945" w:type="dxa"/>
            <w:tcBorders>
              <w:top w:val="nil"/>
              <w:left w:val="nil"/>
              <w:bottom w:val="nil"/>
              <w:right w:val="nil"/>
            </w:tcBorders>
            <w:shd w:val="clear" w:color="auto" w:fill="EAEAEA"/>
            <w:tcMar>
              <w:left w:w="36" w:type="dxa"/>
              <w:right w:w="36" w:type="dxa"/>
            </w:tcMar>
            <w:vAlign w:val="bottom"/>
          </w:tcPr>
          <w:p w:rsidR="00075A30" w:rsidRPr="00491918" w:rsidRDefault="00075A30" w:rsidP="005921C2">
            <w:pPr>
              <w:jc w:val="right"/>
              <w:rPr>
                <w:color w:val="000000"/>
                <w:sz w:val="16"/>
              </w:rPr>
            </w:pPr>
            <w:r w:rsidRPr="00491918">
              <w:rPr>
                <w:color w:val="000000"/>
                <w:sz w:val="16"/>
              </w:rPr>
              <w:t>63 </w:t>
            </w:r>
          </w:p>
        </w:tc>
      </w:tr>
      <w:tr w:rsidR="00075A30" w:rsidRPr="00491918" w:rsidTr="005921C2">
        <w:trPr>
          <w:trHeight w:val="255"/>
        </w:trPr>
        <w:tc>
          <w:tcPr>
            <w:tcW w:w="316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color w:val="000000"/>
                <w:sz w:val="16"/>
              </w:rPr>
              <w:t>Corporate Derivatives</w:t>
            </w:r>
            <w:r w:rsidRPr="00491918">
              <w:rPr>
                <w:color w:val="000000"/>
                <w:sz w:val="16"/>
                <w:vertAlign w:val="superscript"/>
              </w:rPr>
              <w:t xml:space="preserve"> </w:t>
            </w:r>
          </w:p>
        </w:tc>
        <w:tc>
          <w:tcPr>
            <w:tcW w:w="945" w:type="dxa"/>
            <w:tcBorders>
              <w:top w:val="nil"/>
              <w:left w:val="nil"/>
              <w:bottom w:val="single" w:sz="6" w:space="0" w:color="969696"/>
              <w:right w:val="nil"/>
            </w:tcBorders>
            <w:shd w:val="clear" w:color="auto" w:fill="EAEAEA"/>
            <w:tcMar>
              <w:left w:w="36" w:type="dxa"/>
              <w:right w:w="36" w:type="dxa"/>
            </w:tcMar>
            <w:vAlign w:val="bottom"/>
          </w:tcPr>
          <w:p w:rsidR="00075A30" w:rsidRPr="00491918" w:rsidRDefault="00075A30" w:rsidP="00527749">
            <w:pPr>
              <w:jc w:val="right"/>
              <w:rPr>
                <w:color w:val="000000"/>
                <w:sz w:val="16"/>
                <w:vertAlign w:val="superscript"/>
              </w:rPr>
            </w:pPr>
            <w:r w:rsidRPr="00491918">
              <w:rPr>
                <w:color w:val="000000"/>
                <w:sz w:val="16"/>
              </w:rPr>
              <w:t>3.6 </w:t>
            </w:r>
          </w:p>
        </w:tc>
        <w:tc>
          <w:tcPr>
            <w:tcW w:w="735" w:type="dxa"/>
            <w:tcBorders>
              <w:top w:val="nil"/>
              <w:left w:val="nil"/>
              <w:bottom w:val="single" w:sz="6" w:space="0" w:color="969696"/>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8.3 </w:t>
            </w:r>
            <w:r w:rsidRPr="00491918">
              <w:rPr>
                <w:color w:val="000000"/>
                <w:sz w:val="16"/>
                <w:vertAlign w:val="superscript"/>
              </w:rPr>
              <w:t xml:space="preserve"> </w:t>
            </w:r>
          </w:p>
        </w:tc>
        <w:tc>
          <w:tcPr>
            <w:tcW w:w="945" w:type="dxa"/>
            <w:tcBorders>
              <w:top w:val="nil"/>
              <w:left w:val="nil"/>
              <w:bottom w:val="single" w:sz="6" w:space="0" w:color="969696"/>
              <w:right w:val="nil"/>
            </w:tcBorders>
            <w:shd w:val="clear" w:color="auto" w:fill="EAEAEA"/>
            <w:tcMar>
              <w:left w:w="36" w:type="dxa"/>
              <w:right w:w="36" w:type="dxa"/>
            </w:tcMar>
            <w:vAlign w:val="bottom"/>
          </w:tcPr>
          <w:p w:rsidR="00075A30" w:rsidRPr="00491918" w:rsidRDefault="00075A30" w:rsidP="005921C2">
            <w:pPr>
              <w:jc w:val="right"/>
              <w:rPr>
                <w:color w:val="000000"/>
                <w:sz w:val="16"/>
                <w:vertAlign w:val="superscript"/>
              </w:rPr>
            </w:pPr>
            <w:r w:rsidRPr="00491918">
              <w:rPr>
                <w:color w:val="000000"/>
                <w:sz w:val="16"/>
              </w:rPr>
              <w:t>2.5 </w:t>
            </w:r>
          </w:p>
        </w:tc>
        <w:tc>
          <w:tcPr>
            <w:tcW w:w="945" w:type="dxa"/>
            <w:tcBorders>
              <w:top w:val="nil"/>
              <w:left w:val="nil"/>
              <w:bottom w:val="single" w:sz="6" w:space="0" w:color="969696"/>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3.6 </w:t>
            </w:r>
          </w:p>
        </w:tc>
        <w:tc>
          <w:tcPr>
            <w:tcW w:w="945" w:type="dxa"/>
            <w:tcBorders>
              <w:top w:val="nil"/>
              <w:left w:val="nil"/>
              <w:bottom w:val="single" w:sz="6" w:space="0" w:color="969696"/>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 </w:t>
            </w:r>
          </w:p>
        </w:tc>
        <w:tc>
          <w:tcPr>
            <w:tcW w:w="945" w:type="dxa"/>
            <w:tcBorders>
              <w:top w:val="nil"/>
              <w:left w:val="nil"/>
              <w:bottom w:val="single" w:sz="6" w:space="0" w:color="969696"/>
              <w:right w:val="nil"/>
            </w:tcBorders>
            <w:shd w:val="clear" w:color="auto" w:fill="FFFFFF"/>
            <w:tcMar>
              <w:left w:w="36" w:type="dxa"/>
              <w:right w:w="36" w:type="dxa"/>
            </w:tcMar>
            <w:vAlign w:val="bottom"/>
          </w:tcPr>
          <w:p w:rsidR="00075A30" w:rsidRPr="00491918" w:rsidRDefault="00075A30" w:rsidP="005921C2">
            <w:pPr>
              <w:jc w:val="right"/>
              <w:rPr>
                <w:color w:val="000000"/>
                <w:sz w:val="16"/>
              </w:rPr>
            </w:pPr>
            <w:r w:rsidRPr="00491918">
              <w:rPr>
                <w:color w:val="000000"/>
                <w:sz w:val="16"/>
              </w:rPr>
              <w:t>- </w:t>
            </w:r>
          </w:p>
        </w:tc>
        <w:tc>
          <w:tcPr>
            <w:tcW w:w="945" w:type="dxa"/>
            <w:tcBorders>
              <w:top w:val="nil"/>
              <w:left w:val="nil"/>
              <w:bottom w:val="single" w:sz="6" w:space="0" w:color="969696"/>
              <w:right w:val="nil"/>
            </w:tcBorders>
            <w:shd w:val="clear" w:color="auto" w:fill="EAEAEA"/>
            <w:tcMar>
              <w:left w:w="36" w:type="dxa"/>
              <w:right w:w="36" w:type="dxa"/>
            </w:tcMar>
            <w:vAlign w:val="bottom"/>
          </w:tcPr>
          <w:p w:rsidR="00075A30" w:rsidRPr="00491918" w:rsidRDefault="00075A30" w:rsidP="005921C2">
            <w:pPr>
              <w:jc w:val="right"/>
              <w:rPr>
                <w:color w:val="000000"/>
                <w:sz w:val="16"/>
              </w:rPr>
            </w:pPr>
            <w:r w:rsidRPr="00491918">
              <w:rPr>
                <w:color w:val="000000"/>
                <w:sz w:val="16"/>
              </w:rPr>
              <w:t>- </w:t>
            </w:r>
          </w:p>
        </w:tc>
      </w:tr>
      <w:tr w:rsidR="00075A30" w:rsidRPr="00491918" w:rsidTr="005921C2">
        <w:trPr>
          <w:trHeight w:val="255"/>
        </w:trPr>
        <w:tc>
          <w:tcPr>
            <w:tcW w:w="316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rPr>
                <w:color w:val="000000"/>
                <w:sz w:val="16"/>
              </w:rPr>
            </w:pPr>
            <w:r w:rsidRPr="00491918">
              <w:rPr>
                <w:b/>
                <w:color w:val="000000"/>
                <w:sz w:val="16"/>
              </w:rPr>
              <w:t>Portfolio Assets</w:t>
            </w:r>
            <w:r w:rsidRPr="00491918">
              <w:rPr>
                <w:b/>
                <w:color w:val="000000"/>
                <w:sz w:val="16"/>
                <w:vertAlign w:val="superscript"/>
              </w:rPr>
              <w:t xml:space="preserve"> </w:t>
            </w:r>
          </w:p>
        </w:tc>
        <w:tc>
          <w:tcPr>
            <w:tcW w:w="945" w:type="dxa"/>
            <w:tcBorders>
              <w:top w:val="single" w:sz="6" w:space="0" w:color="969696"/>
              <w:left w:val="nil"/>
              <w:bottom w:val="nil"/>
              <w:right w:val="nil"/>
            </w:tcBorders>
            <w:shd w:val="clear" w:color="auto" w:fill="EAEAEA"/>
            <w:tcMar>
              <w:left w:w="36" w:type="dxa"/>
              <w:right w:w="36" w:type="dxa"/>
            </w:tcMar>
            <w:vAlign w:val="center"/>
          </w:tcPr>
          <w:p w:rsidR="00075A30" w:rsidRPr="00491918" w:rsidRDefault="00075A30" w:rsidP="00527749">
            <w:pPr>
              <w:jc w:val="right"/>
              <w:rPr>
                <w:b/>
                <w:color w:val="000000"/>
                <w:sz w:val="16"/>
                <w:vertAlign w:val="superscript"/>
              </w:rPr>
            </w:pPr>
            <w:r w:rsidRPr="00491918">
              <w:rPr>
                <w:b/>
                <w:color w:val="000000"/>
                <w:sz w:val="16"/>
              </w:rPr>
              <w:t>29.3 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b/>
                <w:color w:val="000000"/>
                <w:sz w:val="16"/>
              </w:rPr>
            </w:pPr>
            <w:r w:rsidRPr="00491918">
              <w:rPr>
                <w:b/>
                <w:color w:val="000000"/>
                <w:sz w:val="16"/>
              </w:rPr>
              <w:t>45.2 </w:t>
            </w:r>
            <w:r w:rsidRPr="00491918">
              <w:rPr>
                <w:b/>
                <w:color w:val="000000"/>
                <w:sz w:val="16"/>
                <w:vertAlign w:val="superscript"/>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b/>
                <w:color w:val="000000"/>
                <w:sz w:val="16"/>
                <w:vertAlign w:val="superscript"/>
              </w:rPr>
            </w:pPr>
            <w:r w:rsidRPr="00491918">
              <w:rPr>
                <w:b/>
                <w:color w:val="000000"/>
                <w:sz w:val="16"/>
              </w:rPr>
              <w:t>39.6 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b/>
                <w:color w:val="000000"/>
                <w:sz w:val="16"/>
              </w:rPr>
            </w:pPr>
            <w:r w:rsidRPr="00491918">
              <w:rPr>
                <w:b/>
                <w:color w:val="000000"/>
                <w:sz w:val="16"/>
              </w:rPr>
              <w:t>46.8 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b/>
                <w:color w:val="000000"/>
                <w:sz w:val="16"/>
              </w:rPr>
            </w:pPr>
            <w:r w:rsidRPr="00491918">
              <w:rPr>
                <w:b/>
                <w:color w:val="000000"/>
                <w:sz w:val="16"/>
              </w:rPr>
              <w:t xml:space="preserve"> 88 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b/>
                <w:color w:val="000000"/>
                <w:sz w:val="16"/>
              </w:rPr>
            </w:pPr>
            <w:r w:rsidRPr="00491918">
              <w:rPr>
                <w:b/>
                <w:color w:val="000000"/>
                <w:sz w:val="16"/>
              </w:rPr>
              <w:t xml:space="preserve"> 2 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75A30" w:rsidRPr="00491918" w:rsidRDefault="00075A30" w:rsidP="005921C2">
            <w:pPr>
              <w:jc w:val="right"/>
              <w:rPr>
                <w:b/>
                <w:color w:val="000000"/>
                <w:sz w:val="16"/>
              </w:rPr>
            </w:pPr>
            <w:r w:rsidRPr="00491918">
              <w:rPr>
                <w:b/>
                <w:color w:val="000000"/>
                <w:sz w:val="16"/>
              </w:rPr>
              <w:t>90 </w:t>
            </w:r>
          </w:p>
        </w:tc>
      </w:tr>
      <w:tr w:rsidR="00075A30" w:rsidRPr="00491918" w:rsidTr="00527749">
        <w:trPr>
          <w:trHeight w:val="255"/>
        </w:trPr>
        <w:tc>
          <w:tcPr>
            <w:tcW w:w="316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921C2">
            <w:pPr>
              <w:rPr>
                <w:b/>
                <w:color w:val="000000"/>
                <w:sz w:val="16"/>
              </w:rPr>
            </w:pPr>
            <w:r w:rsidRPr="00491918">
              <w:rPr>
                <w:color w:val="000000"/>
                <w:sz w:val="16"/>
              </w:rPr>
              <w:t>Pre-CRD IV Rates Portfolio</w:t>
            </w:r>
            <w:r w:rsidRPr="00491918">
              <w:rPr>
                <w:color w:val="000000"/>
                <w:sz w:val="16"/>
                <w:vertAlign w:val="superscript"/>
              </w:rPr>
              <w:t xml:space="preserve"> </w:t>
            </w:r>
          </w:p>
        </w:tc>
        <w:tc>
          <w:tcPr>
            <w:tcW w:w="945" w:type="dxa"/>
            <w:tcBorders>
              <w:top w:val="nil"/>
              <w:left w:val="nil"/>
              <w:bottom w:val="single" w:sz="6" w:space="0" w:color="969696"/>
              <w:right w:val="nil"/>
            </w:tcBorders>
            <w:shd w:val="clear" w:color="auto" w:fill="EAEAEA"/>
            <w:tcMar>
              <w:left w:w="36" w:type="dxa"/>
              <w:right w:w="36" w:type="dxa"/>
            </w:tcMar>
            <w:vAlign w:val="center"/>
          </w:tcPr>
          <w:p w:rsidR="00075A30" w:rsidRPr="00491918" w:rsidRDefault="00075A30" w:rsidP="00527749">
            <w:pPr>
              <w:jc w:val="right"/>
              <w:rPr>
                <w:color w:val="000000"/>
                <w:sz w:val="16"/>
                <w:vertAlign w:val="superscript"/>
              </w:rPr>
            </w:pPr>
            <w:r w:rsidRPr="00491918">
              <w:rPr>
                <w:color w:val="000000"/>
                <w:sz w:val="16"/>
              </w:rPr>
              <w:t>25.5 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75A30" w:rsidRPr="00491918" w:rsidRDefault="00075A30" w:rsidP="00527749">
            <w:pPr>
              <w:jc w:val="right"/>
              <w:rPr>
                <w:color w:val="000000"/>
                <w:sz w:val="16"/>
              </w:rPr>
            </w:pPr>
            <w:r w:rsidRPr="00491918">
              <w:rPr>
                <w:color w:val="000000"/>
                <w:sz w:val="16"/>
              </w:rPr>
              <w:t>33.9 </w:t>
            </w:r>
            <w:r w:rsidRPr="00491918">
              <w:rPr>
                <w:color w:val="000000"/>
                <w:sz w:val="16"/>
                <w:vertAlign w:val="superscript"/>
              </w:rPr>
              <w:t xml:space="preserve"> </w:t>
            </w:r>
          </w:p>
        </w:tc>
        <w:tc>
          <w:tcPr>
            <w:tcW w:w="94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vertAlign w:val="superscript"/>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075A30" w:rsidRPr="00491918" w:rsidRDefault="00075A30" w:rsidP="005921C2">
            <w:pPr>
              <w:jc w:val="right"/>
              <w:rPr>
                <w:color w:val="000000"/>
                <w:sz w:val="16"/>
              </w:rPr>
            </w:pPr>
            <w:r w:rsidRPr="00491918">
              <w:rPr>
                <w:color w:val="000000"/>
                <w:sz w:val="16"/>
              </w:rPr>
              <w:t xml:space="preserve"> </w:t>
            </w:r>
          </w:p>
        </w:tc>
      </w:tr>
      <w:tr w:rsidR="00527749" w:rsidRPr="00491918" w:rsidTr="00527749">
        <w:trPr>
          <w:trHeight w:val="255"/>
        </w:trPr>
        <w:tc>
          <w:tcPr>
            <w:tcW w:w="3165" w:type="dxa"/>
            <w:tcBorders>
              <w:top w:val="nil"/>
              <w:left w:val="nil"/>
              <w:bottom w:val="single" w:sz="6" w:space="0" w:color="969696"/>
              <w:right w:val="nil"/>
            </w:tcBorders>
            <w:shd w:val="clear" w:color="auto" w:fill="FFFFFF"/>
            <w:tcMar>
              <w:left w:w="36" w:type="dxa"/>
              <w:right w:w="36" w:type="dxa"/>
            </w:tcMar>
            <w:vAlign w:val="center"/>
          </w:tcPr>
          <w:p w:rsidR="00527749" w:rsidRPr="00491918" w:rsidRDefault="00527749" w:rsidP="005921C2">
            <w:pPr>
              <w:rPr>
                <w:b/>
                <w:color w:val="000000"/>
                <w:sz w:val="16"/>
              </w:rPr>
            </w:pPr>
            <w:r w:rsidRPr="00491918">
              <w:rPr>
                <w:b/>
                <w:color w:val="000000"/>
                <w:sz w:val="16"/>
              </w:rPr>
              <w:t>Total Investment Bank</w:t>
            </w:r>
          </w:p>
        </w:tc>
        <w:tc>
          <w:tcPr>
            <w:tcW w:w="945" w:type="dxa"/>
            <w:tcBorders>
              <w:top w:val="nil"/>
              <w:left w:val="nil"/>
              <w:bottom w:val="single" w:sz="6" w:space="0" w:color="969696"/>
              <w:right w:val="nil"/>
            </w:tcBorders>
            <w:shd w:val="clear" w:color="auto" w:fill="EAEAEA"/>
            <w:tcMar>
              <w:left w:w="36" w:type="dxa"/>
              <w:right w:w="36" w:type="dxa"/>
            </w:tcMar>
            <w:vAlign w:val="center"/>
          </w:tcPr>
          <w:p w:rsidR="00527749" w:rsidRPr="00491918" w:rsidRDefault="00527749" w:rsidP="00527749">
            <w:pPr>
              <w:jc w:val="right"/>
              <w:rPr>
                <w:b/>
                <w:color w:val="000000"/>
                <w:sz w:val="16"/>
              </w:rPr>
            </w:pPr>
            <w:r w:rsidRPr="00491918">
              <w:rPr>
                <w:b/>
                <w:color w:val="000000"/>
                <w:sz w:val="16"/>
              </w:rPr>
              <w:t>54.8 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527749" w:rsidRPr="00491918" w:rsidRDefault="00527749" w:rsidP="00527749">
            <w:pPr>
              <w:jc w:val="right"/>
              <w:rPr>
                <w:b/>
                <w:color w:val="000000"/>
                <w:sz w:val="16"/>
              </w:rPr>
            </w:pPr>
            <w:r w:rsidRPr="00491918">
              <w:rPr>
                <w:b/>
                <w:color w:val="000000"/>
                <w:sz w:val="16"/>
              </w:rPr>
              <w:t>79.1 </w:t>
            </w:r>
            <w:r w:rsidRPr="00491918">
              <w:rPr>
                <w:b/>
                <w:color w:val="000000"/>
                <w:sz w:val="16"/>
                <w:vertAlign w:val="superscript"/>
              </w:rPr>
              <w:t xml:space="preserve"> </w:t>
            </w: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813593">
            <w:pPr>
              <w:jc w:val="right"/>
              <w:rPr>
                <w:color w:val="000000"/>
                <w:sz w:val="16"/>
                <w:vertAlign w:val="superscript"/>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color w:val="000000"/>
                <w:sz w:val="16"/>
              </w:rPr>
            </w:pP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color w:val="000000"/>
                <w:sz w:val="16"/>
              </w:rPr>
            </w:pP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color w:val="000000"/>
                <w:sz w:val="16"/>
              </w:rPr>
            </w:pP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color w:val="000000"/>
                <w:sz w:val="16"/>
              </w:rPr>
            </w:pPr>
          </w:p>
        </w:tc>
      </w:tr>
      <w:tr w:rsidR="00527749" w:rsidRPr="00491918" w:rsidTr="005921C2">
        <w:trPr>
          <w:trHeight w:val="285"/>
        </w:trPr>
        <w:tc>
          <w:tcPr>
            <w:tcW w:w="3165" w:type="dxa"/>
            <w:tcBorders>
              <w:top w:val="single" w:sz="6" w:space="0" w:color="A5A5A5"/>
              <w:left w:val="nil"/>
              <w:bottom w:val="nil"/>
              <w:right w:val="nil"/>
            </w:tcBorders>
            <w:shd w:val="clear" w:color="auto" w:fill="FFFFFF"/>
            <w:tcMar>
              <w:left w:w="36" w:type="dxa"/>
              <w:right w:w="36" w:type="dxa"/>
            </w:tcMar>
            <w:vAlign w:val="center"/>
          </w:tcPr>
          <w:p w:rsidR="00527749" w:rsidRPr="00491918" w:rsidRDefault="00527749" w:rsidP="005921C2">
            <w:pPr>
              <w:rPr>
                <w:color w:val="000000"/>
                <w:sz w:val="16"/>
              </w:rPr>
            </w:pPr>
            <w:r w:rsidRPr="00491918">
              <w:rPr>
                <w:b/>
                <w:color w:val="000000"/>
                <w:sz w:val="16"/>
              </w:rPr>
              <w:t xml:space="preserve">Total </w:t>
            </w:r>
            <w:r w:rsidRPr="00491918">
              <w:rPr>
                <w:b/>
                <w:color w:val="000000"/>
                <w:sz w:val="12"/>
                <w:vertAlign w:val="superscript"/>
              </w:rPr>
              <w:t xml:space="preserve"> </w:t>
            </w:r>
          </w:p>
        </w:tc>
        <w:tc>
          <w:tcPr>
            <w:tcW w:w="945" w:type="dxa"/>
            <w:tcBorders>
              <w:top w:val="single" w:sz="6" w:space="0" w:color="A5A5A5"/>
              <w:left w:val="nil"/>
              <w:bottom w:val="nil"/>
              <w:right w:val="nil"/>
            </w:tcBorders>
            <w:shd w:val="clear" w:color="auto" w:fill="EAEAEA"/>
            <w:tcMar>
              <w:left w:w="36" w:type="dxa"/>
              <w:right w:w="36" w:type="dxa"/>
            </w:tcMar>
            <w:vAlign w:val="center"/>
          </w:tcPr>
          <w:p w:rsidR="00527749" w:rsidRPr="00491918" w:rsidRDefault="00527749" w:rsidP="00527749">
            <w:pPr>
              <w:jc w:val="right"/>
              <w:rPr>
                <w:b/>
                <w:color w:val="000000"/>
                <w:sz w:val="16"/>
                <w:vertAlign w:val="superscript"/>
              </w:rPr>
            </w:pPr>
            <w:r w:rsidRPr="00491918">
              <w:rPr>
                <w:b/>
                <w:color w:val="000000"/>
                <w:sz w:val="16"/>
              </w:rPr>
              <w:t>68.4 </w:t>
            </w:r>
          </w:p>
        </w:tc>
        <w:tc>
          <w:tcPr>
            <w:tcW w:w="735" w:type="dxa"/>
            <w:tcBorders>
              <w:top w:val="single" w:sz="6" w:space="0" w:color="A5A5A5"/>
              <w:left w:val="nil"/>
              <w:bottom w:val="nil"/>
              <w:right w:val="nil"/>
            </w:tcBorders>
            <w:shd w:val="clear" w:color="auto" w:fill="FFFFFF"/>
            <w:tcMar>
              <w:left w:w="36" w:type="dxa"/>
              <w:right w:w="36" w:type="dxa"/>
            </w:tcMar>
            <w:vAlign w:val="center"/>
          </w:tcPr>
          <w:p w:rsidR="00527749" w:rsidRPr="00491918" w:rsidRDefault="00527749" w:rsidP="005921C2">
            <w:pPr>
              <w:jc w:val="right"/>
              <w:rPr>
                <w:b/>
                <w:color w:val="000000"/>
                <w:sz w:val="16"/>
              </w:rPr>
            </w:pPr>
            <w:r w:rsidRPr="00491918">
              <w:rPr>
                <w:b/>
                <w:color w:val="000000"/>
                <w:sz w:val="16"/>
              </w:rPr>
              <w:t>93.8 </w:t>
            </w:r>
            <w:r w:rsidRPr="00491918">
              <w:rPr>
                <w:b/>
                <w:color w:val="000000"/>
                <w:sz w:val="16"/>
                <w:vertAlign w:val="superscript"/>
              </w:rPr>
              <w:t xml:space="preserve"> </w:t>
            </w: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b/>
                <w:color w:val="000000"/>
                <w:sz w:val="16"/>
                <w:vertAlign w:val="superscript"/>
              </w:rPr>
            </w:pPr>
            <w:r w:rsidRPr="00491918">
              <w:rPr>
                <w:b/>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b/>
                <w:color w:val="000000"/>
                <w:sz w:val="16"/>
              </w:rPr>
            </w:pPr>
            <w:r w:rsidRPr="00491918">
              <w:rPr>
                <w:b/>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b/>
                <w:color w:val="000000"/>
                <w:sz w:val="16"/>
              </w:rPr>
            </w:pPr>
            <w:r w:rsidRPr="00491918">
              <w:rPr>
                <w:b/>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b/>
                <w:color w:val="000000"/>
                <w:sz w:val="16"/>
              </w:rPr>
            </w:pPr>
            <w:r w:rsidRPr="00491918">
              <w:rPr>
                <w:b/>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527749" w:rsidRPr="00491918" w:rsidRDefault="00527749" w:rsidP="005921C2">
            <w:pPr>
              <w:jc w:val="right"/>
              <w:rPr>
                <w:b/>
                <w:color w:val="000000"/>
                <w:sz w:val="16"/>
              </w:rPr>
            </w:pPr>
            <w:r w:rsidRPr="00491918">
              <w:rPr>
                <w:b/>
                <w:color w:val="000000"/>
                <w:sz w:val="16"/>
              </w:rPr>
              <w:t xml:space="preserve"> </w:t>
            </w:r>
          </w:p>
        </w:tc>
      </w:tr>
    </w:tbl>
    <w:p w:rsidR="00075A30" w:rsidRPr="00491918" w:rsidRDefault="00075A30" w:rsidP="00075A30"/>
    <w:p w:rsidR="00075A30" w:rsidRPr="00491918" w:rsidRDefault="00075A30" w:rsidP="00075A30">
      <w:pPr>
        <w:pStyle w:val="Normal0"/>
        <w:rPr>
          <w:szCs w:val="20"/>
        </w:rPr>
      </w:pPr>
    </w:p>
    <w:p w:rsidR="00075A30" w:rsidRPr="00491918" w:rsidRDefault="00075A30" w:rsidP="00CC41A9">
      <w:pPr>
        <w:pStyle w:val="ListParagraph"/>
        <w:numPr>
          <w:ilvl w:val="0"/>
          <w:numId w:val="239"/>
        </w:numPr>
        <w:tabs>
          <w:tab w:val="clear" w:pos="284"/>
        </w:tabs>
        <w:ind w:left="360" w:hanging="360"/>
        <w:rPr>
          <w:szCs w:val="20"/>
        </w:rPr>
      </w:pPr>
      <w:r w:rsidRPr="00491918">
        <w:rPr>
          <w:szCs w:val="20"/>
        </w:rPr>
        <w:t>The estimated CRD IV RWAs of the Exit Quadrant businesses decreased £25.4bn to £68.4bn, principally reflecting reductions in Investment Bank asset exposures, particularly in the US Residential and Structured Credit portfolios, combined with optimisation initiatives within the Monoline and Corporate Derivatives and pre-CRD IV Rates portfolio. RWAs in Corporate Banking’s Exit Quadrant portfolios decreased due to asset run down slightly offset by foreign currency movements. RWAs in Exit Quadrant portfolios in Europe RBB remained broadly flat</w:t>
      </w:r>
    </w:p>
    <w:p w:rsidR="00075A30" w:rsidRPr="00491918" w:rsidRDefault="00075A30" w:rsidP="00075A30">
      <w:pPr>
        <w:pStyle w:val="ListParagraph"/>
        <w:ind w:left="0"/>
        <w:rPr>
          <w:szCs w:val="20"/>
        </w:rPr>
      </w:pPr>
    </w:p>
    <w:p w:rsidR="00075A30" w:rsidRPr="00491918" w:rsidRDefault="00E10494" w:rsidP="00CC41A9">
      <w:pPr>
        <w:pStyle w:val="ListParagraph"/>
        <w:numPr>
          <w:ilvl w:val="0"/>
          <w:numId w:val="239"/>
        </w:numPr>
        <w:tabs>
          <w:tab w:val="clear" w:pos="284"/>
        </w:tabs>
        <w:ind w:left="360" w:hanging="360"/>
        <w:rPr>
          <w:szCs w:val="20"/>
        </w:rPr>
      </w:pPr>
      <w:r w:rsidRPr="00491918">
        <w:rPr>
          <w:szCs w:val="20"/>
        </w:rPr>
        <w:t xml:space="preserve">The </w:t>
      </w:r>
      <w:r w:rsidR="00075A30" w:rsidRPr="00491918">
        <w:rPr>
          <w:szCs w:val="20"/>
        </w:rPr>
        <w:t>Portfolio Assets</w:t>
      </w:r>
      <w:r w:rsidRPr="00491918">
        <w:rPr>
          <w:szCs w:val="20"/>
        </w:rPr>
        <w:t xml:space="preserve"> balance sheet</w:t>
      </w:r>
      <w:r w:rsidR="00075A30" w:rsidRPr="00491918">
        <w:rPr>
          <w:szCs w:val="20"/>
        </w:rPr>
        <w:t xml:space="preserve"> include</w:t>
      </w:r>
      <w:r w:rsidRPr="00491918">
        <w:rPr>
          <w:szCs w:val="20"/>
        </w:rPr>
        <w:t>s</w:t>
      </w:r>
      <w:r w:rsidR="00075A30" w:rsidRPr="00491918">
        <w:rPr>
          <w:szCs w:val="20"/>
        </w:rPr>
        <w:t xml:space="preserve"> previously reported Credit Market Exposures of £6.9bn (2012: £8.8bn), and identified loans, securities, investments and derivative exposure of £32.7bn (2012: £38.0bn) that all generate a return on equity below the cost of equity on a CRD IV basis</w:t>
      </w:r>
    </w:p>
    <w:p w:rsidR="00075A30" w:rsidRPr="00491918" w:rsidRDefault="00075A30" w:rsidP="00075A30">
      <w:pPr>
        <w:pStyle w:val="ListParagraph"/>
        <w:ind w:left="360"/>
        <w:rPr>
          <w:szCs w:val="20"/>
        </w:rPr>
      </w:pPr>
    </w:p>
    <w:p w:rsidR="00075A30" w:rsidRPr="00491918" w:rsidRDefault="00E10494" w:rsidP="00CC41A9">
      <w:pPr>
        <w:pStyle w:val="ListParagraph"/>
        <w:numPr>
          <w:ilvl w:val="0"/>
          <w:numId w:val="239"/>
        </w:numPr>
        <w:tabs>
          <w:tab w:val="clear" w:pos="284"/>
        </w:tabs>
        <w:ind w:left="360" w:hanging="360"/>
        <w:rPr>
          <w:szCs w:val="20"/>
        </w:rPr>
      </w:pPr>
      <w:r w:rsidRPr="00491918">
        <w:rPr>
          <w:szCs w:val="20"/>
        </w:rPr>
        <w:t xml:space="preserve">The </w:t>
      </w:r>
      <w:r w:rsidR="00075A30" w:rsidRPr="00491918">
        <w:rPr>
          <w:szCs w:val="20"/>
        </w:rPr>
        <w:t>Portfolio Assets balance sheet decreased £7.2bn to £39.6bn driven by net sales and paydowns and other movements of £8.9bn offset by foreign currency movements of £1.6bn and net fair value gains of £0.1bn</w:t>
      </w:r>
    </w:p>
    <w:p w:rsidR="00B32310" w:rsidRPr="00491918" w:rsidRDefault="00B32310" w:rsidP="00B32310">
      <w:pPr>
        <w:pStyle w:val="ListParagraph"/>
        <w:rPr>
          <w:szCs w:val="20"/>
        </w:rPr>
      </w:pPr>
    </w:p>
    <w:p w:rsidR="00B32310" w:rsidRPr="00491918" w:rsidRDefault="00B32310" w:rsidP="00CC41A9">
      <w:pPr>
        <w:pStyle w:val="ListParagraph"/>
        <w:numPr>
          <w:ilvl w:val="0"/>
          <w:numId w:val="239"/>
        </w:numPr>
        <w:tabs>
          <w:tab w:val="clear" w:pos="284"/>
        </w:tabs>
        <w:ind w:left="360" w:hanging="360"/>
        <w:rPr>
          <w:szCs w:val="20"/>
        </w:rPr>
      </w:pPr>
      <w:r w:rsidRPr="00491918">
        <w:rPr>
          <w:szCs w:val="20"/>
        </w:rPr>
        <w:t xml:space="preserve">Portfolio Assets income of £88m was primarily driven by realised gains on the disposal of US Residential Mortgage exposures. Income was lower than </w:t>
      </w:r>
      <w:r w:rsidR="00E10494" w:rsidRPr="00491918">
        <w:rPr>
          <w:szCs w:val="20"/>
        </w:rPr>
        <w:t xml:space="preserve">the </w:t>
      </w:r>
      <w:r w:rsidRPr="00491918">
        <w:rPr>
          <w:szCs w:val="20"/>
        </w:rPr>
        <w:t>£415m recorded in H212 largely due to fair value gains on trading assets</w:t>
      </w:r>
    </w:p>
    <w:p w:rsidR="00075A30" w:rsidRPr="00491918" w:rsidRDefault="00075A30" w:rsidP="00075A30">
      <w:pPr>
        <w:pStyle w:val="ListParagraph"/>
        <w:ind w:left="360"/>
        <w:rPr>
          <w:szCs w:val="20"/>
        </w:rPr>
      </w:pPr>
    </w:p>
    <w:p w:rsidR="00075A30" w:rsidRPr="00491918" w:rsidRDefault="00075A30" w:rsidP="00CC41A9">
      <w:pPr>
        <w:pStyle w:val="ListParagraph"/>
        <w:numPr>
          <w:ilvl w:val="0"/>
          <w:numId w:val="239"/>
        </w:numPr>
        <w:tabs>
          <w:tab w:val="clear" w:pos="284"/>
        </w:tabs>
        <w:ind w:left="360" w:hanging="360"/>
        <w:rPr>
          <w:szCs w:val="20"/>
        </w:rPr>
      </w:pPr>
      <w:r w:rsidRPr="00491918">
        <w:rPr>
          <w:szCs w:val="20"/>
        </w:rPr>
        <w:t>Pre-CRD IV Rates Portfolio balance sheet of £280.8bn (2012: £353.8bn) represents the carrying value of derivative assets as reported on the balance sheet. The derivative asset exposure would be £249.5bn (2012: £317.3bn) lower than reported under IFRS if netting were permitted for assets and liabilities with the same counterparty or for which the Group holds cash collateral. Therefore, the net exposure post counterparty netting and cash collateral would be £31.3bn (2012: £36.5bn)</w:t>
      </w:r>
    </w:p>
    <w:p w:rsidR="00075A30" w:rsidRPr="00491918" w:rsidRDefault="00075A30" w:rsidP="00075A30">
      <w:pPr>
        <w:pStyle w:val="ListParagraph"/>
        <w:rPr>
          <w:szCs w:val="20"/>
        </w:rPr>
      </w:pPr>
    </w:p>
    <w:p w:rsidR="00B32310" w:rsidRPr="00491918" w:rsidRDefault="00B32310" w:rsidP="00075A30">
      <w:pPr>
        <w:pStyle w:val="NoteandSourceText-BarcRA1"/>
        <w:numPr>
          <w:ilvl w:val="0"/>
          <w:numId w:val="0"/>
        </w:numPr>
        <w:tabs>
          <w:tab w:val="clear" w:pos="284"/>
        </w:tabs>
        <w:ind w:left="2880"/>
      </w:pPr>
    </w:p>
    <w:p w:rsidR="00B32310" w:rsidRPr="00491918" w:rsidRDefault="00B32310" w:rsidP="00075A30">
      <w:pPr>
        <w:pStyle w:val="NoteandSourceText-BarcRA1"/>
        <w:numPr>
          <w:ilvl w:val="0"/>
          <w:numId w:val="0"/>
        </w:numPr>
        <w:tabs>
          <w:tab w:val="clear" w:pos="284"/>
        </w:tabs>
        <w:ind w:left="2880"/>
      </w:pPr>
    </w:p>
    <w:p w:rsidR="00075A30" w:rsidRPr="00491918" w:rsidRDefault="00075A30" w:rsidP="00075A30">
      <w:pPr>
        <w:pStyle w:val="NoteandSourceText-BarcRA1"/>
        <w:numPr>
          <w:ilvl w:val="0"/>
          <w:numId w:val="0"/>
        </w:numPr>
        <w:tabs>
          <w:tab w:val="clear" w:pos="284"/>
        </w:tabs>
        <w:ind w:left="2880"/>
      </w:pPr>
    </w:p>
    <w:p w:rsidR="0014022B" w:rsidRPr="00491918" w:rsidRDefault="0014022B" w:rsidP="0014022B">
      <w:pPr>
        <w:pStyle w:val="NoteandSourceText-BarcRA100"/>
      </w:pPr>
      <w:r w:rsidRPr="00491918">
        <w:t xml:space="preserve">Estimated RWAs provide an indication of the potential CRD IV impact using the calculation basis set out on page </w:t>
      </w:r>
      <w:r w:rsidR="008D6001" w:rsidRPr="00491918">
        <w:t>51</w:t>
      </w:r>
      <w:r w:rsidRPr="00491918">
        <w:t>.  June reflects a refinement in allocation methodology for derivatives to better reflect CVA exemptions and the marginal RWA impact of each business.  </w:t>
      </w:r>
    </w:p>
    <w:p w:rsidR="0014022B" w:rsidRPr="00491918" w:rsidRDefault="0014022B" w:rsidP="0014022B"/>
    <w:p w:rsidR="000D76A8" w:rsidRPr="00491918" w:rsidRDefault="0014022B" w:rsidP="0014022B">
      <w:pPr>
        <w:pStyle w:val="NoteandSourceText-BarcRA100"/>
      </w:pPr>
      <w:r w:rsidRPr="00491918">
        <w:t>Corporate Banking Exit Quadrant balance sheet assets in Europe decreased £0.5bn to £3.4bn largely driven by reductions in Spain and Portuga</w:t>
      </w:r>
      <w:r w:rsidR="008B0681" w:rsidRPr="00491918">
        <w:t>l.</w:t>
      </w:r>
    </w:p>
    <w:p w:rsidR="000D76A8" w:rsidRPr="00491918" w:rsidRDefault="000D76A8" w:rsidP="000D76A8">
      <w:pPr>
        <w:pStyle w:val="ListParagraph"/>
      </w:pPr>
    </w:p>
    <w:p w:rsidR="00DA356B" w:rsidRPr="00491918" w:rsidRDefault="00DA356B" w:rsidP="000D76A8">
      <w:pPr>
        <w:pStyle w:val="HeadingLevel1-BarcRA20"/>
        <w:rPr>
          <w:lang w:val="en-GB"/>
        </w:rPr>
      </w:pPr>
    </w:p>
    <w:p w:rsidR="000D76A8" w:rsidRPr="00491918" w:rsidRDefault="000D76A8" w:rsidP="000D76A8">
      <w:pPr>
        <w:pStyle w:val="HeadingLevel1-BarcRA20"/>
        <w:rPr>
          <w:lang w:val="en-GB"/>
        </w:rPr>
      </w:pPr>
      <w:r w:rsidRPr="00491918">
        <w:rPr>
          <w:lang w:val="en-GB"/>
        </w:rPr>
        <w:t>Performance Management</w:t>
      </w:r>
    </w:p>
    <w:tbl>
      <w:tblPr>
        <w:tblW w:w="0" w:type="auto"/>
        <w:tblLayout w:type="fixed"/>
        <w:tblLook w:val="0000" w:firstRow="0" w:lastRow="0" w:firstColumn="0" w:lastColumn="0" w:noHBand="0" w:noVBand="0"/>
      </w:tblPr>
      <w:tblGrid>
        <w:gridCol w:w="6765"/>
        <w:gridCol w:w="960"/>
        <w:gridCol w:w="960"/>
        <w:gridCol w:w="960"/>
      </w:tblGrid>
      <w:tr w:rsidR="000D1659"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4"/>
              </w:rPr>
              <w:t>Margins and Balances</w:t>
            </w:r>
            <w:r w:rsidRPr="00491918">
              <w:rPr>
                <w:rFonts w:ascii="Calibri" w:eastAsia="Calibri" w:hAnsi="Calibri" w:cs="Calibri"/>
                <w:color w:val="000000"/>
                <w:sz w:val="22"/>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3518B4"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3518B4" w:rsidRPr="00491918" w:rsidRDefault="003518B4">
            <w:pPr>
              <w:rPr>
                <w:rFonts w:ascii="Calibri" w:eastAsia="Calibri" w:hAnsi="Calibri" w:cs="Calibri"/>
                <w:color w:val="000000"/>
                <w:sz w:val="22"/>
              </w:rPr>
            </w:pPr>
            <w:r w:rsidRPr="00491918">
              <w:rPr>
                <w:b/>
                <w:color w:val="000000"/>
                <w:sz w:val="24"/>
              </w:rPr>
              <w:t xml:space="preserve"> </w:t>
            </w:r>
            <w:r w:rsidRPr="00491918">
              <w:rPr>
                <w:rFonts w:ascii="Calibri" w:eastAsia="Calibri" w:hAnsi="Calibri" w:cs="Calibri"/>
                <w:color w:val="000000"/>
                <w:sz w:val="22"/>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3518B4" w:rsidRPr="00491918" w:rsidRDefault="003518B4">
            <w:pPr>
              <w:jc w:val="right"/>
              <w:rPr>
                <w:rFonts w:ascii="Calibri" w:eastAsia="Calibri" w:hAnsi="Calibri" w:cs="Calibri"/>
                <w:color w:val="000000"/>
                <w:sz w:val="22"/>
                <w:vertAlign w:val="superscript"/>
              </w:rPr>
            </w:pPr>
            <w:r w:rsidRPr="00491918">
              <w:rPr>
                <w:b/>
                <w:color w:val="000000"/>
                <w:sz w:val="16"/>
              </w:rPr>
              <w:t>Half year</w:t>
            </w:r>
          </w:p>
        </w:tc>
        <w:tc>
          <w:tcPr>
            <w:tcW w:w="960" w:type="dxa"/>
            <w:tcBorders>
              <w:top w:val="nil"/>
              <w:left w:val="nil"/>
              <w:bottom w:val="nil"/>
              <w:right w:val="nil"/>
            </w:tcBorders>
            <w:shd w:val="clear" w:color="auto" w:fill="FFFFFF"/>
            <w:tcMar>
              <w:left w:w="36" w:type="dxa"/>
              <w:right w:w="36" w:type="dxa"/>
            </w:tcMar>
            <w:vAlign w:val="center"/>
          </w:tcPr>
          <w:p w:rsidR="003518B4" w:rsidRPr="00491918" w:rsidRDefault="003518B4" w:rsidP="00EA3F9D">
            <w:pPr>
              <w:jc w:val="right"/>
              <w:rPr>
                <w:rFonts w:ascii="Calibri" w:eastAsia="Calibri" w:hAnsi="Calibri" w:cs="Calibri"/>
                <w:color w:val="000000"/>
                <w:sz w:val="22"/>
                <w:vertAlign w:val="superscript"/>
              </w:rPr>
            </w:pPr>
            <w:r w:rsidRPr="00491918">
              <w:rPr>
                <w:b/>
                <w:color w:val="000000"/>
                <w:sz w:val="16"/>
              </w:rPr>
              <w:t>Half year</w:t>
            </w:r>
          </w:p>
        </w:tc>
        <w:tc>
          <w:tcPr>
            <w:tcW w:w="960" w:type="dxa"/>
            <w:tcBorders>
              <w:top w:val="nil"/>
              <w:left w:val="nil"/>
              <w:bottom w:val="nil"/>
              <w:right w:val="nil"/>
            </w:tcBorders>
            <w:shd w:val="clear" w:color="auto" w:fill="FFFFFF"/>
            <w:tcMar>
              <w:left w:w="36" w:type="dxa"/>
              <w:right w:w="36" w:type="dxa"/>
            </w:tcMar>
            <w:vAlign w:val="center"/>
          </w:tcPr>
          <w:p w:rsidR="003518B4" w:rsidRPr="00491918" w:rsidRDefault="003518B4" w:rsidP="00EA3F9D">
            <w:pPr>
              <w:jc w:val="right"/>
              <w:rPr>
                <w:rFonts w:ascii="Calibri" w:eastAsia="Calibri" w:hAnsi="Calibri" w:cs="Calibri"/>
                <w:color w:val="000000"/>
                <w:sz w:val="22"/>
                <w:vertAlign w:val="superscript"/>
              </w:rPr>
            </w:pPr>
            <w:r w:rsidRPr="00491918">
              <w:rPr>
                <w:b/>
                <w:color w:val="000000"/>
                <w:sz w:val="16"/>
              </w:rPr>
              <w:t>Half year</w:t>
            </w:r>
          </w:p>
        </w:tc>
      </w:tr>
      <w:tr w:rsidR="003518B4" w:rsidRPr="00491918">
        <w:trPr>
          <w:trHeight w:val="240"/>
        </w:trPr>
        <w:tc>
          <w:tcPr>
            <w:tcW w:w="6765" w:type="dxa"/>
            <w:tcBorders>
              <w:top w:val="nil"/>
              <w:left w:val="nil"/>
              <w:bottom w:val="nil"/>
              <w:right w:val="nil"/>
            </w:tcBorders>
            <w:shd w:val="clear" w:color="auto" w:fill="FFFFFF"/>
            <w:tcMar>
              <w:left w:w="36" w:type="dxa"/>
              <w:right w:w="36" w:type="dxa"/>
            </w:tcMar>
            <w:vAlign w:val="bottom"/>
          </w:tcPr>
          <w:p w:rsidR="003518B4" w:rsidRPr="00491918" w:rsidRDefault="003518B4">
            <w:pPr>
              <w:rPr>
                <w:b/>
                <w:color w:val="000000"/>
                <w:sz w:val="16"/>
              </w:rPr>
            </w:pPr>
            <w:r w:rsidRPr="00491918">
              <w:rPr>
                <w:rFonts w:ascii="Calibri" w:eastAsia="Calibri" w:hAnsi="Calibri" w:cs="Calibri"/>
                <w:color w:val="000000"/>
                <w:sz w:val="22"/>
              </w:rPr>
              <w:lastRenderedPageBreak/>
              <w:t xml:space="preserve"> </w:t>
            </w:r>
            <w:r w:rsidRPr="00491918">
              <w:rPr>
                <w:b/>
                <w:color w:val="000000"/>
                <w:sz w:val="20"/>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3518B4" w:rsidRPr="00491918" w:rsidRDefault="003518B4">
            <w:pPr>
              <w:jc w:val="right"/>
              <w:rPr>
                <w:b/>
                <w:color w:val="000000"/>
                <w:sz w:val="20"/>
                <w:vertAlign w:val="superscript"/>
              </w:rPr>
            </w:pPr>
            <w:r w:rsidRPr="00491918">
              <w:rPr>
                <w:b/>
                <w:color w:val="000000"/>
                <w:sz w:val="16"/>
              </w:rPr>
              <w:t>ended</w:t>
            </w:r>
          </w:p>
        </w:tc>
        <w:tc>
          <w:tcPr>
            <w:tcW w:w="960" w:type="dxa"/>
            <w:tcBorders>
              <w:top w:val="nil"/>
              <w:left w:val="nil"/>
              <w:bottom w:val="nil"/>
              <w:right w:val="nil"/>
            </w:tcBorders>
            <w:shd w:val="clear" w:color="auto" w:fill="FFFFFF"/>
            <w:tcMar>
              <w:left w:w="36" w:type="dxa"/>
              <w:right w:w="36" w:type="dxa"/>
            </w:tcMar>
            <w:vAlign w:val="center"/>
          </w:tcPr>
          <w:p w:rsidR="003518B4" w:rsidRPr="00491918" w:rsidRDefault="003518B4" w:rsidP="00EA3F9D">
            <w:pPr>
              <w:jc w:val="right"/>
              <w:rPr>
                <w:b/>
                <w:color w:val="000000"/>
                <w:sz w:val="20"/>
                <w:vertAlign w:val="superscript"/>
              </w:rPr>
            </w:pPr>
            <w:r w:rsidRPr="00491918">
              <w:rPr>
                <w:b/>
                <w:color w:val="000000"/>
                <w:sz w:val="16"/>
              </w:rPr>
              <w:t>ended</w:t>
            </w:r>
          </w:p>
        </w:tc>
        <w:tc>
          <w:tcPr>
            <w:tcW w:w="960" w:type="dxa"/>
            <w:tcBorders>
              <w:top w:val="nil"/>
              <w:left w:val="nil"/>
              <w:bottom w:val="nil"/>
              <w:right w:val="nil"/>
            </w:tcBorders>
            <w:shd w:val="clear" w:color="auto" w:fill="FFFFFF"/>
            <w:tcMar>
              <w:left w:w="36" w:type="dxa"/>
              <w:right w:w="36" w:type="dxa"/>
            </w:tcMar>
            <w:vAlign w:val="center"/>
          </w:tcPr>
          <w:p w:rsidR="003518B4" w:rsidRPr="00491918" w:rsidRDefault="003518B4" w:rsidP="00EA3F9D">
            <w:pPr>
              <w:jc w:val="right"/>
              <w:rPr>
                <w:b/>
                <w:color w:val="000000"/>
                <w:sz w:val="20"/>
                <w:vertAlign w:val="superscript"/>
              </w:rPr>
            </w:pPr>
            <w:r w:rsidRPr="00491918">
              <w:rPr>
                <w:b/>
                <w:color w:val="000000"/>
                <w:sz w:val="16"/>
              </w:rPr>
              <w:t>ended</w:t>
            </w:r>
          </w:p>
        </w:tc>
      </w:tr>
      <w:tr w:rsidR="000D1659"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Analysis of Net Interest Income</w:t>
            </w:r>
            <w:r w:rsidRPr="00491918">
              <w:rPr>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30.06.13</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67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r w:rsidR="000D1659" w:rsidRPr="00491918">
        <w:trPr>
          <w:trHeight w:val="240"/>
        </w:trPr>
        <w:tc>
          <w:tcPr>
            <w:tcW w:w="67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6C6704">
            <w:pPr>
              <w:rPr>
                <w:color w:val="000000"/>
                <w:sz w:val="16"/>
              </w:rPr>
            </w:pPr>
            <w:r w:rsidRPr="00491918">
              <w:rPr>
                <w:b/>
                <w:color w:val="000000"/>
                <w:sz w:val="16"/>
              </w:rPr>
              <w:t>RBB, Barclaycard</w:t>
            </w:r>
            <w:r w:rsidR="000D1659" w:rsidRPr="00491918">
              <w:rPr>
                <w:b/>
                <w:color w:val="000000"/>
                <w:sz w:val="16"/>
              </w:rPr>
              <w:t>, Corporate Banking and We</w:t>
            </w:r>
            <w:r w:rsidR="001E1EAB" w:rsidRPr="00491918">
              <w:rPr>
                <w:b/>
                <w:color w:val="000000"/>
                <w:sz w:val="16"/>
              </w:rPr>
              <w:t>alth and Investment Management customer i</w:t>
            </w:r>
            <w:r w:rsidR="000D1659" w:rsidRPr="00491918">
              <w:rPr>
                <w:b/>
                <w:color w:val="000000"/>
                <w:sz w:val="16"/>
              </w:rPr>
              <w:t>ncome:</w:t>
            </w:r>
            <w:r w:rsidR="000D1659" w:rsidRPr="00491918">
              <w:rPr>
                <w:color w:val="000000"/>
                <w:sz w:val="16"/>
                <w:vertAlign w:val="superscript"/>
              </w:rPr>
              <w:t xml:space="preserve"> </w:t>
            </w:r>
          </w:p>
        </w:tc>
        <w:tc>
          <w:tcPr>
            <w:tcW w:w="960" w:type="dxa"/>
            <w:tcBorders>
              <w:top w:val="single" w:sz="6" w:space="0" w:color="7F7F7F"/>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Customer assets</w:t>
            </w:r>
            <w:r w:rsidRPr="00491918">
              <w:rPr>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3,506 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3,334 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3,320 </w:t>
            </w:r>
          </w:p>
        </w:tc>
      </w:tr>
      <w:tr w:rsidR="000D1659" w:rsidRPr="00491918">
        <w:trPr>
          <w:trHeight w:val="240"/>
        </w:trPr>
        <w:tc>
          <w:tcPr>
            <w:tcW w:w="67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Customer liabilities</w:t>
            </w:r>
            <w:r w:rsidRPr="00491918">
              <w:rPr>
                <w:color w:val="000000"/>
                <w:sz w:val="16"/>
                <w:vertAlign w:val="superscript"/>
              </w:rPr>
              <w:t xml:space="preserve"> </w:t>
            </w:r>
          </w:p>
        </w:tc>
        <w:tc>
          <w:tcPr>
            <w:tcW w:w="960" w:type="dxa"/>
            <w:tcBorders>
              <w:top w:val="nil"/>
              <w:left w:val="nil"/>
              <w:bottom w:val="single" w:sz="6" w:space="0" w:color="7F7F7F"/>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1,599 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1,614 </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1,571 </w:t>
            </w:r>
          </w:p>
        </w:tc>
      </w:tr>
      <w:tr w:rsidR="000D1659" w:rsidRPr="00491918">
        <w:trPr>
          <w:trHeight w:val="240"/>
        </w:trPr>
        <w:tc>
          <w:tcPr>
            <w:tcW w:w="67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r w:rsidRPr="00491918">
              <w:rPr>
                <w:color w:val="000000"/>
                <w:sz w:val="16"/>
                <w:vertAlign w:val="superscript"/>
              </w:rPr>
              <w:t xml:space="preserve"> </w:t>
            </w:r>
          </w:p>
        </w:tc>
        <w:tc>
          <w:tcPr>
            <w:tcW w:w="960" w:type="dxa"/>
            <w:tcBorders>
              <w:top w:val="single" w:sz="6" w:space="0" w:color="7F7F7F"/>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 xml:space="preserve"> 5,105 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4,948 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4,891 </w:t>
            </w:r>
          </w:p>
        </w:tc>
      </w:tr>
      <w:tr w:rsidR="000D1659"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0D1659" w:rsidRPr="00491918" w:rsidRDefault="006C6704">
            <w:pPr>
              <w:rPr>
                <w:b/>
                <w:color w:val="000000"/>
                <w:sz w:val="16"/>
              </w:rPr>
            </w:pPr>
            <w:r w:rsidRPr="00491918">
              <w:rPr>
                <w:b/>
                <w:color w:val="000000"/>
                <w:sz w:val="16"/>
              </w:rPr>
              <w:t>RBB, Barclaycard</w:t>
            </w:r>
            <w:r w:rsidR="000D1659" w:rsidRPr="00491918">
              <w:rPr>
                <w:b/>
                <w:color w:val="000000"/>
                <w:sz w:val="16"/>
              </w:rPr>
              <w:t>, Corporate Banking and Wealth and Inve</w:t>
            </w:r>
            <w:r w:rsidR="001E1EAB" w:rsidRPr="00491918">
              <w:rPr>
                <w:b/>
                <w:color w:val="000000"/>
                <w:sz w:val="16"/>
              </w:rPr>
              <w:t>stment Management non-customer i</w:t>
            </w:r>
            <w:r w:rsidR="000D1659" w:rsidRPr="00491918">
              <w:rPr>
                <w:b/>
                <w:color w:val="000000"/>
                <w:sz w:val="16"/>
              </w:rPr>
              <w:t>ncome:</w:t>
            </w:r>
            <w:r w:rsidR="000D1659" w:rsidRPr="00491918">
              <w:rPr>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Product structural hedge</w:t>
            </w:r>
            <w:r w:rsidRPr="00491918">
              <w:rPr>
                <w:color w:val="000000"/>
                <w:sz w:val="16"/>
                <w:vertAlign w:val="superscript"/>
              </w:rPr>
              <w:t>1 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433 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475 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487 </w:t>
            </w:r>
          </w:p>
        </w:tc>
      </w:tr>
      <w:tr w:rsidR="000D1659"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Equity structural hedge</w:t>
            </w:r>
            <w:r w:rsidRPr="00491918">
              <w:rPr>
                <w:color w:val="000000"/>
                <w:sz w:val="16"/>
                <w:vertAlign w:val="superscript"/>
              </w:rPr>
              <w:t>2 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149 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163 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154 </w:t>
            </w:r>
          </w:p>
        </w:tc>
      </w:tr>
      <w:tr w:rsidR="000D1659" w:rsidRPr="00491918">
        <w:trPr>
          <w:trHeight w:val="240"/>
        </w:trPr>
        <w:tc>
          <w:tcPr>
            <w:tcW w:w="67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Other</w:t>
            </w:r>
            <w:r w:rsidRPr="00491918">
              <w:rPr>
                <w:color w:val="000000"/>
                <w:sz w:val="16"/>
                <w:vertAlign w:val="superscript"/>
              </w:rPr>
              <w:t xml:space="preserve"> </w:t>
            </w:r>
          </w:p>
        </w:tc>
        <w:tc>
          <w:tcPr>
            <w:tcW w:w="960" w:type="dxa"/>
            <w:tcBorders>
              <w:top w:val="nil"/>
              <w:left w:val="nil"/>
              <w:bottom w:val="single" w:sz="6" w:space="0" w:color="7F7F7F"/>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(59)</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w:t>
            </w:r>
          </w:p>
        </w:tc>
      </w:tr>
      <w:tr w:rsidR="000D1659" w:rsidRPr="00491918">
        <w:trPr>
          <w:trHeight w:val="240"/>
        </w:trPr>
        <w:tc>
          <w:tcPr>
            <w:tcW w:w="67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rsidP="001E1EAB">
            <w:pPr>
              <w:rPr>
                <w:color w:val="000000"/>
                <w:sz w:val="16"/>
              </w:rPr>
            </w:pPr>
            <w:r w:rsidRPr="00491918">
              <w:rPr>
                <w:b/>
                <w:color w:val="000000"/>
                <w:sz w:val="16"/>
              </w:rPr>
              <w:t xml:space="preserve">Total </w:t>
            </w:r>
            <w:r w:rsidR="006C6704" w:rsidRPr="00491918">
              <w:rPr>
                <w:b/>
                <w:color w:val="000000"/>
                <w:sz w:val="16"/>
              </w:rPr>
              <w:t>RBB, Barclaycard</w:t>
            </w:r>
            <w:r w:rsidRPr="00491918">
              <w:rPr>
                <w:b/>
                <w:color w:val="000000"/>
                <w:sz w:val="16"/>
              </w:rPr>
              <w:t>, Corporate Banking and We</w:t>
            </w:r>
            <w:r w:rsidR="001E1EAB" w:rsidRPr="00491918">
              <w:rPr>
                <w:b/>
                <w:color w:val="000000"/>
                <w:sz w:val="16"/>
              </w:rPr>
              <w:t>alth and Investment Management net i</w:t>
            </w:r>
            <w:r w:rsidRPr="00491918">
              <w:rPr>
                <w:b/>
                <w:color w:val="000000"/>
                <w:sz w:val="16"/>
              </w:rPr>
              <w:t xml:space="preserve">nterest </w:t>
            </w:r>
            <w:r w:rsidR="001E1EAB" w:rsidRPr="00491918">
              <w:rPr>
                <w:b/>
                <w:color w:val="000000"/>
                <w:sz w:val="16"/>
              </w:rPr>
              <w:t>i</w:t>
            </w:r>
            <w:r w:rsidRPr="00491918">
              <w:rPr>
                <w:b/>
                <w:color w:val="000000"/>
                <w:sz w:val="16"/>
              </w:rPr>
              <w:t>ncome</w:t>
            </w:r>
            <w:r w:rsidRPr="00491918">
              <w:rPr>
                <w:b/>
                <w:color w:val="000000"/>
                <w:sz w:val="16"/>
                <w:vertAlign w:val="superscript"/>
              </w:rPr>
              <w:t xml:space="preserve"> </w:t>
            </w:r>
          </w:p>
        </w:tc>
        <w:tc>
          <w:tcPr>
            <w:tcW w:w="960" w:type="dxa"/>
            <w:tcBorders>
              <w:top w:val="single" w:sz="6" w:space="0" w:color="7F7F7F"/>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5,628 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5,541 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5,508 </w:t>
            </w:r>
          </w:p>
        </w:tc>
      </w:tr>
      <w:tr w:rsidR="000D1659" w:rsidRPr="00491918">
        <w:trPr>
          <w:trHeight w:val="240"/>
        </w:trPr>
        <w:tc>
          <w:tcPr>
            <w:tcW w:w="67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Investment Bank</w:t>
            </w:r>
            <w:r w:rsidRPr="00491918">
              <w:rPr>
                <w:color w:val="000000"/>
                <w:sz w:val="16"/>
                <w:vertAlign w:val="superscript"/>
              </w:rPr>
              <w:t xml:space="preserve">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86 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166 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364 </w:t>
            </w:r>
          </w:p>
        </w:tc>
      </w:tr>
      <w:tr w:rsidR="000D1659" w:rsidRPr="00491918">
        <w:trPr>
          <w:trHeight w:val="240"/>
        </w:trPr>
        <w:tc>
          <w:tcPr>
            <w:tcW w:w="67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Head Office and Other Operations</w:t>
            </w:r>
            <w:r w:rsidRPr="00491918">
              <w:rPr>
                <w:color w:val="000000"/>
                <w:sz w:val="16"/>
                <w:vertAlign w:val="superscript"/>
              </w:rPr>
              <w:t xml:space="preserve"> </w:t>
            </w:r>
          </w:p>
        </w:tc>
        <w:tc>
          <w:tcPr>
            <w:tcW w:w="960" w:type="dxa"/>
            <w:tcBorders>
              <w:top w:val="nil"/>
              <w:left w:val="nil"/>
              <w:bottom w:val="single" w:sz="6" w:space="0" w:color="7F7F7F"/>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(137)</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(182)</w:t>
            </w:r>
          </w:p>
        </w:tc>
        <w:tc>
          <w:tcPr>
            <w:tcW w:w="96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257 </w:t>
            </w:r>
          </w:p>
        </w:tc>
      </w:tr>
      <w:tr w:rsidR="000D1659" w:rsidRPr="00491918">
        <w:trPr>
          <w:trHeight w:val="240"/>
        </w:trPr>
        <w:tc>
          <w:tcPr>
            <w:tcW w:w="67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Group net interest income </w:t>
            </w:r>
            <w:r w:rsidRPr="00491918">
              <w:rPr>
                <w:b/>
                <w:color w:val="000000"/>
                <w:sz w:val="16"/>
                <w:vertAlign w:val="superscript"/>
              </w:rPr>
              <w:t xml:space="preserve"> </w:t>
            </w:r>
          </w:p>
        </w:tc>
        <w:tc>
          <w:tcPr>
            <w:tcW w:w="960" w:type="dxa"/>
            <w:tcBorders>
              <w:top w:val="single" w:sz="6" w:space="0" w:color="7F7F7F"/>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5,577 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5,525 </w:t>
            </w:r>
          </w:p>
        </w:tc>
        <w:tc>
          <w:tcPr>
            <w:tcW w:w="96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6,129 </w:t>
            </w:r>
          </w:p>
        </w:tc>
      </w:tr>
    </w:tbl>
    <w:p w:rsidR="000D1659" w:rsidRPr="00491918" w:rsidRDefault="000D1659"/>
    <w:p w:rsidR="000D1659" w:rsidRPr="00491918" w:rsidRDefault="006C6704" w:rsidP="008D6001">
      <w:pPr>
        <w:pStyle w:val="HeadingLevel2-BarcRA1"/>
        <w:outlineLvl w:val="0"/>
        <w:rPr>
          <w:lang w:val="en-GB"/>
        </w:rPr>
      </w:pPr>
      <w:r w:rsidRPr="00491918">
        <w:rPr>
          <w:lang w:val="en-GB"/>
        </w:rPr>
        <w:t>RBB, Barclaycard</w:t>
      </w:r>
      <w:r w:rsidR="000D1659" w:rsidRPr="00491918">
        <w:rPr>
          <w:lang w:val="en-GB"/>
        </w:rPr>
        <w:t xml:space="preserve">, </w:t>
      </w:r>
      <w:r w:rsidR="000D1659" w:rsidRPr="00491918">
        <w:t xml:space="preserve">Corporate </w:t>
      </w:r>
      <w:r w:rsidR="000D1659" w:rsidRPr="00491918">
        <w:rPr>
          <w:lang w:val="en-GB"/>
        </w:rPr>
        <w:t xml:space="preserve">Banking </w:t>
      </w:r>
      <w:r w:rsidR="000D1659" w:rsidRPr="00491918">
        <w:t>and Wealth</w:t>
      </w:r>
      <w:r w:rsidR="000D1659" w:rsidRPr="00491918">
        <w:rPr>
          <w:lang w:val="en-GB"/>
        </w:rPr>
        <w:t xml:space="preserve"> and Investment Management</w:t>
      </w:r>
      <w:r w:rsidR="000D1659" w:rsidRPr="00491918">
        <w:t xml:space="preserve"> </w:t>
      </w:r>
      <w:r w:rsidR="000D1659" w:rsidRPr="00491918">
        <w:rPr>
          <w:lang w:val="en-GB"/>
        </w:rPr>
        <w:t>N</w:t>
      </w:r>
      <w:r w:rsidR="000D1659" w:rsidRPr="00491918">
        <w:t xml:space="preserve">et </w:t>
      </w:r>
      <w:r w:rsidR="000D1659" w:rsidRPr="00491918">
        <w:rPr>
          <w:lang w:val="en-GB"/>
        </w:rPr>
        <w:t>I</w:t>
      </w:r>
      <w:r w:rsidR="000D1659" w:rsidRPr="00491918">
        <w:t xml:space="preserve">nterest </w:t>
      </w:r>
      <w:r w:rsidR="000D1659" w:rsidRPr="00491918">
        <w:rPr>
          <w:lang w:val="en-GB"/>
        </w:rPr>
        <w:t>I</w:t>
      </w:r>
      <w:r w:rsidR="000D1659" w:rsidRPr="00491918">
        <w:t>ncome</w:t>
      </w:r>
      <w:r w:rsidR="000D1659" w:rsidRPr="00491918">
        <w:rPr>
          <w:lang w:val="en-GB"/>
        </w:rPr>
        <w:t xml:space="preserve"> (NII)</w:t>
      </w:r>
    </w:p>
    <w:p w:rsidR="000D1659" w:rsidRPr="00491918" w:rsidRDefault="000D1659" w:rsidP="000D1659">
      <w:pPr>
        <w:pStyle w:val="BodyText-BarcRA100"/>
      </w:pPr>
      <w:r w:rsidRPr="00491918">
        <w:t>Barclays distinguishes the relative net interest contribution from customer assets and customer liabilities, and separates this from the contribution delivered by non-customer income, which principally arises from Group hedging activities.</w:t>
      </w:r>
    </w:p>
    <w:p w:rsidR="000D1659" w:rsidRPr="00491918" w:rsidRDefault="000D1659" w:rsidP="008D6001">
      <w:pPr>
        <w:pStyle w:val="BodyText-BarcRA33"/>
        <w:outlineLvl w:val="0"/>
        <w:rPr>
          <w:b/>
        </w:rPr>
      </w:pPr>
      <w:r w:rsidRPr="00491918">
        <w:rPr>
          <w:b/>
        </w:rPr>
        <w:t>Customer Interest Income</w:t>
      </w:r>
    </w:p>
    <w:p w:rsidR="000D1659" w:rsidRPr="00491918" w:rsidRDefault="000D1659" w:rsidP="000D1659">
      <w:pPr>
        <w:pStyle w:val="Level1Bullet-BarcRA3"/>
      </w:pPr>
      <w:r w:rsidRPr="00491918">
        <w:t xml:space="preserve">Customer </w:t>
      </w:r>
      <w:r w:rsidRPr="00491918">
        <w:rPr>
          <w:lang w:val="en-GB"/>
        </w:rPr>
        <w:t>NII</w:t>
      </w:r>
      <w:r w:rsidRPr="00491918">
        <w:t xml:space="preserve"> </w:t>
      </w:r>
      <w:r w:rsidRPr="00491918">
        <w:rPr>
          <w:lang w:val="en-GB"/>
        </w:rPr>
        <w:t xml:space="preserve">increased </w:t>
      </w:r>
      <w:r w:rsidRPr="00491918">
        <w:t>to £</w:t>
      </w:r>
      <w:r w:rsidRPr="00491918">
        <w:rPr>
          <w:lang w:val="en-GB"/>
        </w:rPr>
        <w:t>5,105m (2012: £4,891m)</w:t>
      </w:r>
      <w:r w:rsidRPr="00491918">
        <w:t xml:space="preserve"> driven by</w:t>
      </w:r>
      <w:r w:rsidRPr="00491918">
        <w:rPr>
          <w:lang w:val="en-GB"/>
        </w:rPr>
        <w:t xml:space="preserve"> an</w:t>
      </w:r>
      <w:r w:rsidRPr="00491918">
        <w:t xml:space="preserve"> increase</w:t>
      </w:r>
      <w:r w:rsidRPr="00491918">
        <w:rPr>
          <w:lang w:val="en-GB"/>
        </w:rPr>
        <w:t xml:space="preserve"> </w:t>
      </w:r>
      <w:r w:rsidRPr="00491918">
        <w:t>in</w:t>
      </w:r>
      <w:r w:rsidRPr="00491918">
        <w:rPr>
          <w:lang w:val="en-GB"/>
        </w:rPr>
        <w:t xml:space="preserve"> both</w:t>
      </w:r>
      <w:r w:rsidRPr="00491918">
        <w:t xml:space="preserve"> the customer </w:t>
      </w:r>
      <w:r w:rsidRPr="00491918">
        <w:rPr>
          <w:lang w:val="en-GB"/>
        </w:rPr>
        <w:t>asset</w:t>
      </w:r>
      <w:r w:rsidRPr="00491918">
        <w:t xml:space="preserve"> margin and</w:t>
      </w:r>
      <w:r w:rsidRPr="00491918">
        <w:rPr>
          <w:lang w:val="en-GB"/>
        </w:rPr>
        <w:t xml:space="preserve"> </w:t>
      </w:r>
      <w:r w:rsidRPr="00491918">
        <w:t xml:space="preserve"> growth in average customer asset</w:t>
      </w:r>
      <w:r w:rsidRPr="00491918">
        <w:rPr>
          <w:lang w:val="en-GB"/>
        </w:rPr>
        <w:t>s</w:t>
      </w:r>
      <w:r w:rsidRPr="00491918">
        <w:t xml:space="preserve">. </w:t>
      </w:r>
      <w:r w:rsidRPr="00491918">
        <w:rPr>
          <w:lang w:val="en-GB"/>
        </w:rPr>
        <w:t>Customer</w:t>
      </w:r>
      <w:r w:rsidRPr="00491918">
        <w:t xml:space="preserve"> liabilities grew due to </w:t>
      </w:r>
      <w:r w:rsidRPr="00491918">
        <w:rPr>
          <w:lang w:val="en-GB"/>
        </w:rPr>
        <w:t>increases in</w:t>
      </w:r>
      <w:r w:rsidRPr="00491918">
        <w:t xml:space="preserve"> </w:t>
      </w:r>
      <w:r w:rsidRPr="00491918">
        <w:rPr>
          <w:lang w:val="en-GB"/>
        </w:rPr>
        <w:t xml:space="preserve">retail </w:t>
      </w:r>
      <w:r w:rsidRPr="00491918">
        <w:t xml:space="preserve">savings products and corporate deposits, however, the customer liability margin declined </w:t>
      </w:r>
    </w:p>
    <w:p w:rsidR="000D1659" w:rsidRPr="00491918" w:rsidRDefault="000D1659" w:rsidP="000D1659">
      <w:pPr>
        <w:pStyle w:val="Level1Bullet-BarcRA3"/>
      </w:pPr>
      <w:r w:rsidRPr="00491918">
        <w:t xml:space="preserve">The customer asset margin </w:t>
      </w:r>
      <w:r w:rsidRPr="00491918">
        <w:rPr>
          <w:lang w:val="en-GB"/>
        </w:rPr>
        <w:t>increased</w:t>
      </w:r>
      <w:r w:rsidRPr="00491918">
        <w:t xml:space="preserve"> to </w:t>
      </w:r>
      <w:r w:rsidRPr="00491918">
        <w:rPr>
          <w:lang w:val="en-GB"/>
        </w:rPr>
        <w:t>2.16</w:t>
      </w:r>
      <w:r w:rsidRPr="00491918">
        <w:t>% (201</w:t>
      </w:r>
      <w:r w:rsidRPr="00491918">
        <w:rPr>
          <w:lang w:val="en-GB"/>
        </w:rPr>
        <w:t>2</w:t>
      </w:r>
      <w:r w:rsidRPr="00491918">
        <w:t>: 2.</w:t>
      </w:r>
      <w:r w:rsidRPr="00491918">
        <w:rPr>
          <w:lang w:val="en-GB"/>
        </w:rPr>
        <w:t>10</w:t>
      </w:r>
      <w:r w:rsidR="0076224A" w:rsidRPr="00491918">
        <w:t>%)</w:t>
      </w:r>
      <w:r w:rsidRPr="00491918">
        <w:t xml:space="preserve"> </w:t>
      </w:r>
      <w:r w:rsidRPr="00491918">
        <w:rPr>
          <w:lang w:val="en-GB"/>
        </w:rPr>
        <w:t>primarily due to an increase in margin on newly written mo</w:t>
      </w:r>
      <w:r w:rsidR="00285FBB" w:rsidRPr="00491918">
        <w:rPr>
          <w:lang w:val="en-GB"/>
        </w:rPr>
        <w:t>rtgages in UK RBB and UK</w:t>
      </w:r>
      <w:r w:rsidRPr="00491918">
        <w:rPr>
          <w:lang w:val="en-GB"/>
        </w:rPr>
        <w:t xml:space="preserve"> lending in Corporate Banking offset by a modest reduction in margin in Barclaycard</w:t>
      </w:r>
    </w:p>
    <w:p w:rsidR="000D1659" w:rsidRPr="00491918" w:rsidRDefault="000D1659" w:rsidP="000D1659">
      <w:pPr>
        <w:pStyle w:val="Level1Bullet-BarcRA3"/>
        <w:rPr>
          <w:b/>
        </w:rPr>
      </w:pPr>
      <w:r w:rsidRPr="00491918">
        <w:t xml:space="preserve">The customer liability margin </w:t>
      </w:r>
      <w:r w:rsidRPr="00491918">
        <w:rPr>
          <w:lang w:val="en-GB"/>
        </w:rPr>
        <w:t>decreased</w:t>
      </w:r>
      <w:r w:rsidRPr="00491918">
        <w:t xml:space="preserve"> to </w:t>
      </w:r>
      <w:r w:rsidRPr="00491918">
        <w:rPr>
          <w:lang w:val="en-GB"/>
        </w:rPr>
        <w:t>1.02%</w:t>
      </w:r>
      <w:r w:rsidRPr="00491918">
        <w:t xml:space="preserve"> (201</w:t>
      </w:r>
      <w:r w:rsidRPr="00491918">
        <w:rPr>
          <w:lang w:val="en-GB"/>
        </w:rPr>
        <w:t>2</w:t>
      </w:r>
      <w:r w:rsidRPr="00491918">
        <w:t xml:space="preserve">: </w:t>
      </w:r>
      <w:r w:rsidRPr="00491918">
        <w:rPr>
          <w:lang w:val="en-GB"/>
        </w:rPr>
        <w:t>1.14</w:t>
      </w:r>
      <w:r w:rsidRPr="00491918">
        <w:t xml:space="preserve">%) </w:t>
      </w:r>
      <w:r w:rsidRPr="00491918">
        <w:rPr>
          <w:lang w:val="en-GB"/>
        </w:rPr>
        <w:t xml:space="preserve">predominantly </w:t>
      </w:r>
      <w:r w:rsidRPr="00491918">
        <w:t xml:space="preserve">reflecting </w:t>
      </w:r>
      <w:r w:rsidRPr="00491918">
        <w:rPr>
          <w:lang w:val="en-GB"/>
        </w:rPr>
        <w:t>increased customer rates on deposit</w:t>
      </w:r>
      <w:r w:rsidR="00285FBB" w:rsidRPr="00491918">
        <w:rPr>
          <w:lang w:val="en-GB"/>
        </w:rPr>
        <w:t xml:space="preserve"> accounts in Corporate Banking and UK RBB</w:t>
      </w:r>
    </w:p>
    <w:p w:rsidR="000D1659" w:rsidRPr="00491918" w:rsidRDefault="000D1659" w:rsidP="008D6001">
      <w:pPr>
        <w:pStyle w:val="Level1Bullet-BarcRA3"/>
        <w:numPr>
          <w:ilvl w:val="0"/>
          <w:numId w:val="0"/>
        </w:numPr>
        <w:outlineLvl w:val="0"/>
        <w:rPr>
          <w:b/>
        </w:rPr>
      </w:pPr>
      <w:r w:rsidRPr="00491918">
        <w:rPr>
          <w:b/>
        </w:rPr>
        <w:t>Non-customer interest income</w:t>
      </w:r>
    </w:p>
    <w:p w:rsidR="000D1659" w:rsidRPr="00491918" w:rsidRDefault="000D1659" w:rsidP="000D1659">
      <w:pPr>
        <w:pStyle w:val="Level1Bullet-BarcRA3"/>
      </w:pPr>
      <w:r w:rsidRPr="00491918">
        <w:t xml:space="preserve">Non-customer </w:t>
      </w:r>
      <w:r w:rsidRPr="00491918">
        <w:rPr>
          <w:lang w:val="en-GB"/>
        </w:rPr>
        <w:t>NII</w:t>
      </w:r>
      <w:r w:rsidRPr="00491918">
        <w:t xml:space="preserve"> </w:t>
      </w:r>
      <w:r w:rsidRPr="00491918">
        <w:rPr>
          <w:lang w:val="en-GB"/>
        </w:rPr>
        <w:t>decreased</w:t>
      </w:r>
      <w:r w:rsidRPr="00491918">
        <w:t xml:space="preserve"> to £</w:t>
      </w:r>
      <w:r w:rsidRPr="00491918">
        <w:rPr>
          <w:lang w:val="en-GB"/>
        </w:rPr>
        <w:t>523m (2012: £617m)</w:t>
      </w:r>
      <w:r w:rsidRPr="00491918">
        <w:t xml:space="preserve">, reflecting </w:t>
      </w:r>
      <w:r w:rsidRPr="00491918">
        <w:rPr>
          <w:lang w:val="en-GB"/>
        </w:rPr>
        <w:t xml:space="preserve">a </w:t>
      </w:r>
      <w:r w:rsidRPr="00491918">
        <w:t>reduction i</w:t>
      </w:r>
      <w:r w:rsidRPr="00491918">
        <w:rPr>
          <w:lang w:val="en-GB"/>
        </w:rPr>
        <w:t>n the non-customer generated margin</w:t>
      </w:r>
      <w:r w:rsidRPr="00491918">
        <w:t>. Group hedging activities utilise structural interest rate hedges to mitigate the impact of the low interest rate environment on customer liabilities and the Group’s equity</w:t>
      </w:r>
    </w:p>
    <w:p w:rsidR="000D1659" w:rsidRPr="00491918" w:rsidRDefault="000D1659" w:rsidP="000D1659">
      <w:pPr>
        <w:pStyle w:val="Level1Bullet-BarcRA3"/>
      </w:pPr>
      <w:r w:rsidRPr="00491918">
        <w:t>Product structural hedges generated a lower contribution of £</w:t>
      </w:r>
      <w:r w:rsidRPr="00491918">
        <w:rPr>
          <w:lang w:val="en-GB"/>
        </w:rPr>
        <w:t>433m</w:t>
      </w:r>
      <w:r w:rsidRPr="00491918">
        <w:t xml:space="preserve"> (201</w:t>
      </w:r>
      <w:r w:rsidRPr="00491918">
        <w:rPr>
          <w:lang w:val="en-GB"/>
        </w:rPr>
        <w:t>2</w:t>
      </w:r>
      <w:r w:rsidRPr="00491918">
        <w:t>: £</w:t>
      </w:r>
      <w:r w:rsidRPr="00491918">
        <w:rPr>
          <w:lang w:val="en-GB"/>
        </w:rPr>
        <w:t>487</w:t>
      </w:r>
      <w:r w:rsidRPr="00491918">
        <w:t xml:space="preserve">m), as hedges were maintained </w:t>
      </w:r>
      <w:r w:rsidRPr="00491918">
        <w:rPr>
          <w:lang w:val="en-GB"/>
        </w:rPr>
        <w:t xml:space="preserve">in this period of continued </w:t>
      </w:r>
      <w:r w:rsidRPr="00491918">
        <w:t xml:space="preserve">low interest rates. Based on </w:t>
      </w:r>
      <w:r w:rsidRPr="00491918">
        <w:rPr>
          <w:lang w:val="en-GB"/>
        </w:rPr>
        <w:t>current interest rate curves</w:t>
      </w:r>
      <w:r w:rsidRPr="00491918">
        <w:t xml:space="preserve"> and the on-going hedging strategy, fixed rate returns on product structural hedges are expected to continue to make a significant but declining contribution in</w:t>
      </w:r>
      <w:r w:rsidRPr="00491918">
        <w:rPr>
          <w:lang w:val="en-GB"/>
        </w:rPr>
        <w:t xml:space="preserve"> H2</w:t>
      </w:r>
      <w:r w:rsidRPr="00491918">
        <w:t xml:space="preserve"> 201</w:t>
      </w:r>
      <w:r w:rsidRPr="00491918">
        <w:rPr>
          <w:lang w:val="en-GB"/>
        </w:rPr>
        <w:t>3 and 2014</w:t>
      </w:r>
    </w:p>
    <w:p w:rsidR="000D1659" w:rsidRPr="00491918" w:rsidRDefault="000D1659" w:rsidP="000D1659">
      <w:pPr>
        <w:pStyle w:val="Level1Bullet-BarcRA3"/>
      </w:pPr>
      <w:r w:rsidRPr="00491918">
        <w:t>The contribution from equity structural hedges in</w:t>
      </w:r>
      <w:r w:rsidRPr="00491918">
        <w:rPr>
          <w:lang w:val="en-GB"/>
        </w:rPr>
        <w:t xml:space="preserve"> </w:t>
      </w:r>
      <w:r w:rsidR="006C6704" w:rsidRPr="00491918">
        <w:rPr>
          <w:lang w:val="en-GB"/>
        </w:rPr>
        <w:t>RBB, Barclaycard</w:t>
      </w:r>
      <w:r w:rsidRPr="00491918">
        <w:t xml:space="preserve">, Corporate Banking and Wealth and Investment Management </w:t>
      </w:r>
      <w:r w:rsidRPr="00491918">
        <w:rPr>
          <w:lang w:val="en-GB"/>
        </w:rPr>
        <w:t>de</w:t>
      </w:r>
      <w:r w:rsidRPr="00491918">
        <w:t>creased to £</w:t>
      </w:r>
      <w:r w:rsidRPr="00491918">
        <w:rPr>
          <w:lang w:val="en-GB"/>
        </w:rPr>
        <w:t xml:space="preserve">149m </w:t>
      </w:r>
      <w:r w:rsidRPr="00491918">
        <w:t>(201</w:t>
      </w:r>
      <w:r w:rsidRPr="00491918">
        <w:rPr>
          <w:lang w:val="en-GB"/>
        </w:rPr>
        <w:t>2</w:t>
      </w:r>
      <w:r w:rsidRPr="00491918">
        <w:t>: £1</w:t>
      </w:r>
      <w:r w:rsidRPr="00491918">
        <w:rPr>
          <w:lang w:val="en-GB"/>
        </w:rPr>
        <w:t>54</w:t>
      </w:r>
      <w:r w:rsidRPr="00491918">
        <w:t>m</w:t>
      </w:r>
      <w:r w:rsidRPr="00491918">
        <w:rPr>
          <w:lang w:val="en-GB"/>
        </w:rPr>
        <w:t>) due to the continued low interest rate environment</w:t>
      </w:r>
    </w:p>
    <w:p w:rsidR="000D1659" w:rsidRPr="00491918" w:rsidRDefault="000D1659" w:rsidP="008D6001">
      <w:pPr>
        <w:pStyle w:val="BodyText-BarcRA33"/>
        <w:outlineLvl w:val="0"/>
        <w:rPr>
          <w:b/>
        </w:rPr>
      </w:pPr>
      <w:r w:rsidRPr="00491918">
        <w:rPr>
          <w:b/>
        </w:rPr>
        <w:t>Other Group Interest Income</w:t>
      </w:r>
    </w:p>
    <w:p w:rsidR="000D1659" w:rsidRPr="00491918" w:rsidRDefault="000D1659" w:rsidP="000D1659">
      <w:pPr>
        <w:pStyle w:val="Level1Bullet-BarcRA13"/>
      </w:pPr>
      <w:r w:rsidRPr="00491918">
        <w:t xml:space="preserve">Head Office NII decreased </w:t>
      </w:r>
      <w:r w:rsidR="00285FBB" w:rsidRPr="00491918">
        <w:t>£394m to a net expense of £137m</w:t>
      </w:r>
      <w:r w:rsidRPr="00491918">
        <w:t xml:space="preserve"> reflecting the cost of funding surplus liquidity due to growth in cus</w:t>
      </w:r>
      <w:r w:rsidR="007B7BA3" w:rsidRPr="00491918">
        <w:t>tomer deposits across the Group</w:t>
      </w:r>
    </w:p>
    <w:p w:rsidR="00285FBB" w:rsidRPr="00491918" w:rsidRDefault="00285FBB" w:rsidP="000D1659">
      <w:pPr>
        <w:pStyle w:val="Level1Bullet-BarcRA13"/>
        <w:numPr>
          <w:ilvl w:val="0"/>
          <w:numId w:val="0"/>
        </w:numPr>
        <w:tabs>
          <w:tab w:val="left" w:pos="720"/>
        </w:tabs>
        <w:ind w:left="284"/>
        <w:rPr>
          <w:lang w:val="en-GB"/>
        </w:rPr>
      </w:pPr>
    </w:p>
    <w:p w:rsidR="000D1659" w:rsidRPr="00491918" w:rsidRDefault="000D1659" w:rsidP="00CC41A9">
      <w:pPr>
        <w:pStyle w:val="NoteandSourceText-BarcRA100"/>
        <w:numPr>
          <w:ilvl w:val="0"/>
          <w:numId w:val="241"/>
        </w:numPr>
        <w:ind w:left="284" w:hanging="284"/>
      </w:pPr>
      <w:r w:rsidRPr="00491918">
        <w:t xml:space="preserve">Product structural hedges convert short term interest margin volatility on product balances (such as non-interest bearing current accounts and managed rate deposits) into a more stable medium term rate and are built on a monthly basis to achieve a targeted maturity profile. </w:t>
      </w:r>
    </w:p>
    <w:p w:rsidR="000D1659" w:rsidRPr="00491918" w:rsidRDefault="000D1659" w:rsidP="00CC41A9">
      <w:pPr>
        <w:pStyle w:val="NoteandSourceText-BarcRA100"/>
        <w:numPr>
          <w:ilvl w:val="0"/>
          <w:numId w:val="250"/>
        </w:numPr>
      </w:pPr>
      <w:r w:rsidRPr="00491918">
        <w:t>Equity structural hedges are in place to manage the volatility in net earnings generated by businesses on the Group’s equity, with the impact allocated to businesses in line with their economic capital usage.</w:t>
      </w:r>
    </w:p>
    <w:p w:rsidR="000D76A8" w:rsidRPr="00491918" w:rsidRDefault="000D76A8" w:rsidP="000D76A8">
      <w:pPr>
        <w:pStyle w:val="NoteandSourceText-BarcRA100"/>
        <w:numPr>
          <w:ilvl w:val="0"/>
          <w:numId w:val="0"/>
        </w:numPr>
        <w:ind w:left="284" w:hanging="284"/>
      </w:pPr>
    </w:p>
    <w:p w:rsidR="000D76A8" w:rsidRPr="00491918" w:rsidRDefault="000D76A8" w:rsidP="000D76A8">
      <w:pPr>
        <w:pStyle w:val="NoteandSourceText-BarcRA100"/>
        <w:numPr>
          <w:ilvl w:val="0"/>
          <w:numId w:val="0"/>
        </w:numPr>
        <w:ind w:left="284" w:hanging="284"/>
      </w:pPr>
    </w:p>
    <w:p w:rsidR="00DA356B" w:rsidRPr="00491918" w:rsidRDefault="00DA356B" w:rsidP="000D76A8">
      <w:pPr>
        <w:pStyle w:val="HeadingLevel1-BarcRA20"/>
        <w:rPr>
          <w:lang w:val="en-GB"/>
        </w:rPr>
      </w:pPr>
    </w:p>
    <w:p w:rsidR="000D76A8" w:rsidRPr="00491918" w:rsidRDefault="000D76A8" w:rsidP="000D76A8">
      <w:pPr>
        <w:pStyle w:val="HeadingLevel1-BarcRA20"/>
        <w:rPr>
          <w:lang w:val="en-GB"/>
        </w:rPr>
      </w:pPr>
      <w:r w:rsidRPr="00491918">
        <w:rPr>
          <w:lang w:val="en-GB"/>
        </w:rPr>
        <w:t>Performance Management</w:t>
      </w:r>
    </w:p>
    <w:p w:rsidR="000D1659" w:rsidRPr="00491918" w:rsidRDefault="000D1659" w:rsidP="000D1659">
      <w:pPr>
        <w:pStyle w:val="Level1Bullet-BarcRA13"/>
      </w:pPr>
      <w:r w:rsidRPr="00491918">
        <w:t xml:space="preserve">Investment Bank NII decreased to £86m (2012: £364m) primarily due to a reduction in interest income from Exit Quadrant assets </w:t>
      </w:r>
    </w:p>
    <w:p w:rsidR="000D1659" w:rsidRPr="00491918" w:rsidRDefault="000D1659" w:rsidP="008D6001">
      <w:pPr>
        <w:pStyle w:val="HeadingLevel2-BarcRA1"/>
        <w:outlineLvl w:val="0"/>
      </w:pPr>
      <w:r w:rsidRPr="00491918">
        <w:t>Net Interest Margin</w:t>
      </w:r>
    </w:p>
    <w:p w:rsidR="000D1659" w:rsidRPr="00491918" w:rsidRDefault="000D1659" w:rsidP="000D1659">
      <w:pPr>
        <w:pStyle w:val="Level1Bullet-BarcRA3"/>
      </w:pPr>
      <w:r w:rsidRPr="00491918">
        <w:t xml:space="preserve">The net interest margin for </w:t>
      </w:r>
      <w:r w:rsidR="006C6704" w:rsidRPr="00491918">
        <w:rPr>
          <w:lang w:val="en-GB"/>
        </w:rPr>
        <w:t>RBB, Barclaycard</w:t>
      </w:r>
      <w:r w:rsidRPr="00491918">
        <w:t>,</w:t>
      </w:r>
      <w:r w:rsidRPr="00491918">
        <w:rPr>
          <w:lang w:val="en-GB"/>
        </w:rPr>
        <w:t xml:space="preserve"> </w:t>
      </w:r>
      <w:r w:rsidRPr="00491918">
        <w:t xml:space="preserve">Corporate Banking and Wealth and Investment Management </w:t>
      </w:r>
      <w:r w:rsidRPr="00491918">
        <w:rPr>
          <w:lang w:val="en-GB"/>
        </w:rPr>
        <w:t>decreased to</w:t>
      </w:r>
      <w:r w:rsidRPr="00491918">
        <w:t xml:space="preserve"> </w:t>
      </w:r>
      <w:r w:rsidRPr="00491918">
        <w:rPr>
          <w:lang w:val="en-GB"/>
        </w:rPr>
        <w:t>1.77</w:t>
      </w:r>
      <w:r w:rsidRPr="00491918">
        <w:t>% (201</w:t>
      </w:r>
      <w:r w:rsidRPr="00491918">
        <w:rPr>
          <w:lang w:val="en-GB"/>
        </w:rPr>
        <w:t>2</w:t>
      </w:r>
      <w:r w:rsidRPr="00491918">
        <w:t>: 1.</w:t>
      </w:r>
      <w:r w:rsidRPr="00491918">
        <w:rPr>
          <w:lang w:val="en-GB"/>
        </w:rPr>
        <w:t>86</w:t>
      </w:r>
      <w:r w:rsidRPr="00491918">
        <w:t>%)</w:t>
      </w:r>
      <w:r w:rsidR="00285FBB" w:rsidRPr="00491918">
        <w:rPr>
          <w:lang w:val="en-GB"/>
        </w:rPr>
        <w:t xml:space="preserve"> </w:t>
      </w:r>
      <w:r w:rsidRPr="00491918">
        <w:rPr>
          <w:lang w:val="en-GB"/>
        </w:rPr>
        <w:t>reflecting the reduction in contribution from</w:t>
      </w:r>
      <w:r w:rsidR="00285FBB" w:rsidRPr="00491918">
        <w:rPr>
          <w:lang w:val="en-GB"/>
        </w:rPr>
        <w:t xml:space="preserve"> customer liabilities and</w:t>
      </w:r>
      <w:r w:rsidRPr="00491918">
        <w:rPr>
          <w:lang w:val="en-GB"/>
        </w:rPr>
        <w:t xml:space="preserve"> Group hedging activities</w:t>
      </w:r>
      <w:r w:rsidRPr="00491918">
        <w:t xml:space="preserve">. </w:t>
      </w:r>
      <w:r w:rsidRPr="00491918">
        <w:lastRenderedPageBreak/>
        <w:t xml:space="preserve">Consistent with prior periods the net interest margin is expressed as a percentage of the sum of average </w:t>
      </w:r>
      <w:r w:rsidR="0076224A" w:rsidRPr="00491918">
        <w:t>customer assets and liabilities</w:t>
      </w:r>
      <w:r w:rsidRPr="00491918">
        <w:t xml:space="preserve"> to reflect the impact of the margin generated on retail and commercial banking liabilities</w:t>
      </w:r>
    </w:p>
    <w:p w:rsidR="000D1659" w:rsidRPr="00491918" w:rsidRDefault="000D1659" w:rsidP="000D1659">
      <w:pPr>
        <w:pStyle w:val="Level1Bullet-BarcRA3"/>
      </w:pPr>
      <w:r w:rsidRPr="00491918">
        <w:t>The net interest margin expressed as a percentage of average custom</w:t>
      </w:r>
      <w:r w:rsidR="00285FBB" w:rsidRPr="00491918">
        <w:t>er assets only</w:t>
      </w:r>
      <w:r w:rsidRPr="00491918">
        <w:t xml:space="preserve"> declined to </w:t>
      </w:r>
      <w:r w:rsidRPr="00491918">
        <w:rPr>
          <w:lang w:val="en-GB"/>
        </w:rPr>
        <w:t>3.44</w:t>
      </w:r>
      <w:r w:rsidRPr="00491918">
        <w:t>% (2012: 3.</w:t>
      </w:r>
      <w:r w:rsidRPr="00491918">
        <w:rPr>
          <w:lang w:val="en-GB"/>
        </w:rPr>
        <w:t>88</w:t>
      </w:r>
      <w:r w:rsidRPr="00491918">
        <w:t>%)</w:t>
      </w:r>
    </w:p>
    <w:p w:rsidR="000D1659" w:rsidRPr="00491918" w:rsidRDefault="000D1659" w:rsidP="003D6023">
      <w:pPr>
        <w:pStyle w:val="Level1Bullet-BarcRA3"/>
      </w:pPr>
      <w:r w:rsidRPr="00491918">
        <w:rPr>
          <w:lang w:val="en-GB"/>
        </w:rPr>
        <w:t>Net interest margin and customer asset and liability margins reflect movements in the Group’s internal funding rates which are based on the cost to the Group of alternative funding in the wholesale market. The Group’s internal funding rate prices intra-group funding and liquidity to appropriately give credit to businesses with net surplus liquidity and to charge those businesses in need of wholesale funding at a rate that is driven by prevailing market rates and includes a term premium. The objective is to price internal funding for assets and liabilities in line with the cost of alternative funding, which ensures there is consistency between retail and wholesale sources</w:t>
      </w:r>
    </w:p>
    <w:tbl>
      <w:tblPr>
        <w:tblW w:w="0" w:type="auto"/>
        <w:tblLayout w:type="fixed"/>
        <w:tblLook w:val="0000" w:firstRow="0" w:lastRow="0" w:firstColumn="0" w:lastColumn="0" w:noHBand="0" w:noVBand="0"/>
      </w:tblPr>
      <w:tblGrid>
        <w:gridCol w:w="2910"/>
        <w:gridCol w:w="900"/>
        <w:gridCol w:w="900"/>
        <w:gridCol w:w="900"/>
        <w:gridCol w:w="1005"/>
        <w:gridCol w:w="900"/>
        <w:gridCol w:w="1065"/>
        <w:gridCol w:w="1065"/>
      </w:tblGrid>
      <w:tr w:rsidR="009E6048" w:rsidRPr="00491918" w:rsidTr="003D6023">
        <w:trPr>
          <w:trHeight w:val="259"/>
        </w:trPr>
        <w:tc>
          <w:tcPr>
            <w:tcW w:w="471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0"/>
              </w:rPr>
              <w:t>Analysis of Net Interest Margin</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0D1659" w:rsidRPr="00491918" w:rsidTr="003D6023">
        <w:trPr>
          <w:trHeight w:val="547"/>
        </w:trPr>
        <w:tc>
          <w:tcPr>
            <w:tcW w:w="291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UK RBB</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Europe RBB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Africa RBB </w:t>
            </w:r>
            <w:r w:rsidRPr="00491918">
              <w:rPr>
                <w:b/>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Barclaycard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Corporate Banking </w:t>
            </w:r>
            <w:r w:rsidRPr="00491918">
              <w:rPr>
                <w:b/>
                <w:color w:val="000000"/>
                <w:sz w:val="16"/>
                <w:vertAlign w:val="superscript"/>
              </w:rPr>
              <w:t>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Wealth and Investment Management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rsidP="00333D40">
            <w:pPr>
              <w:jc w:val="right"/>
              <w:rPr>
                <w:b/>
                <w:color w:val="000000"/>
                <w:sz w:val="16"/>
              </w:rPr>
            </w:pPr>
            <w:r w:rsidRPr="00491918">
              <w:rPr>
                <w:b/>
                <w:color w:val="000000"/>
                <w:sz w:val="16"/>
              </w:rPr>
              <w:t xml:space="preserve">Total </w:t>
            </w:r>
            <w:r w:rsidR="00333D40" w:rsidRPr="00491918">
              <w:rPr>
                <w:b/>
                <w:color w:val="000000"/>
                <w:sz w:val="16"/>
              </w:rPr>
              <w:t>RBB, Barclaycard</w:t>
            </w:r>
            <w:r w:rsidRPr="00491918">
              <w:rPr>
                <w:b/>
                <w:color w:val="000000"/>
                <w:sz w:val="16"/>
              </w:rPr>
              <w:t xml:space="preserve">, Corporate and Wealth </w:t>
            </w:r>
          </w:p>
        </w:tc>
      </w:tr>
      <w:tr w:rsidR="000D1659" w:rsidRPr="00491918">
        <w:trPr>
          <w:trHeight w:val="240"/>
        </w:trPr>
        <w:tc>
          <w:tcPr>
            <w:tcW w:w="291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Half Year Ended 30.06.13</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0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bl>
    <w:p w:rsidR="00FF7A7C" w:rsidRPr="00491918" w:rsidRDefault="00FF7A7C"/>
    <w:tbl>
      <w:tblPr>
        <w:tblW w:w="0" w:type="auto"/>
        <w:tblLayout w:type="fixed"/>
        <w:tblLook w:val="0000" w:firstRow="0" w:lastRow="0" w:firstColumn="0" w:lastColumn="0" w:noHBand="0" w:noVBand="0"/>
      </w:tblPr>
      <w:tblGrid>
        <w:gridCol w:w="2910"/>
        <w:gridCol w:w="900"/>
        <w:gridCol w:w="900"/>
        <w:gridCol w:w="900"/>
        <w:gridCol w:w="1005"/>
        <w:gridCol w:w="900"/>
        <w:gridCol w:w="1065"/>
        <w:gridCol w:w="1065"/>
      </w:tblGrid>
      <w:tr w:rsidR="000D1659" w:rsidRPr="00491918" w:rsidTr="00FF7A7C">
        <w:trPr>
          <w:trHeight w:val="240"/>
        </w:trPr>
        <w:tc>
          <w:tcPr>
            <w:tcW w:w="291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asset margin</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1.18 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0.47 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3.08 </w:t>
            </w:r>
            <w:r w:rsidRPr="00491918">
              <w:rPr>
                <w:color w:val="000000"/>
                <w:sz w:val="16"/>
                <w:vertAlign w:val="superscript"/>
              </w:rPr>
              <w:t xml:space="preserve"> </w:t>
            </w:r>
          </w:p>
        </w:tc>
        <w:tc>
          <w:tcPr>
            <w:tcW w:w="10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9.42 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1.28 </w:t>
            </w:r>
            <w:r w:rsidRPr="00491918">
              <w:rPr>
                <w:color w:val="000000"/>
                <w:sz w:val="16"/>
                <w:vertAlign w:val="superscript"/>
              </w:rPr>
              <w:t xml:space="preserve"> </w:t>
            </w:r>
          </w:p>
        </w:tc>
        <w:tc>
          <w:tcPr>
            <w:tcW w:w="10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0.81 </w:t>
            </w:r>
          </w:p>
        </w:tc>
        <w:tc>
          <w:tcPr>
            <w:tcW w:w="10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2.16 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liability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2.71 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(0.33)</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1.04 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0.99 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1.02 </w:t>
            </w:r>
          </w:p>
        </w:tc>
      </w:tr>
      <w:tr w:rsidR="000D1659" w:rsidRPr="00491918">
        <w:trPr>
          <w:trHeight w:hRule="exac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2.94 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8.61 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1.14 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0.94 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1.60 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Non-customer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0.17 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(0.25)</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0.09 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0.14 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0.17 </w:t>
            </w:r>
          </w:p>
        </w:tc>
      </w:tr>
      <w:tr w:rsidR="000D1659" w:rsidRPr="00491918">
        <w:trPr>
          <w:trHeight w:hRule="exact" w:val="195"/>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interest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3.11 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8.36 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1.08 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1.77 </w:t>
            </w:r>
          </w:p>
        </w:tc>
      </w:tr>
      <w:tr w:rsidR="000D1659" w:rsidRPr="00491918">
        <w:trPr>
          <w:trHeight w:hRule="exact" w:val="195"/>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assets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132,778 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40,129 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28,925 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35,984 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67,168 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22,145 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327,129 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liabilities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124,312 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14,124 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18,722 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3,226 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95,875 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58,436 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314,695 </w:t>
            </w:r>
          </w:p>
        </w:tc>
      </w:tr>
      <w:tr w:rsidR="000D1659" w:rsidRPr="00491918" w:rsidTr="007E73F3">
        <w:trPr>
          <w:trHeight w:hRule="exact" w:val="183"/>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Half Year Ended 31.12.12</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291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asset margin</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1.06 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0.46 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rPr>
            </w:pPr>
            <w:r w:rsidRPr="00491918">
              <w:rPr>
                <w:color w:val="000000"/>
                <w:sz w:val="16"/>
              </w:rPr>
              <w:t>3.08</w:t>
            </w:r>
            <w:r w:rsidR="000D1659" w:rsidRPr="00491918">
              <w:rPr>
                <w:color w:val="000000"/>
                <w:sz w:val="16"/>
              </w:rPr>
              <w:t> </w:t>
            </w:r>
            <w:r w:rsidR="000D1659" w:rsidRPr="00491918">
              <w:rPr>
                <w:color w:val="000000"/>
                <w:sz w:val="16"/>
                <w:vertAlign w:val="superscript"/>
              </w:rPr>
              <w:t xml:space="preserve"> </w:t>
            </w:r>
          </w:p>
        </w:tc>
        <w:tc>
          <w:tcPr>
            <w:tcW w:w="100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vertAlign w:val="superscript"/>
              </w:rPr>
            </w:pPr>
            <w:r w:rsidRPr="00491918">
              <w:rPr>
                <w:color w:val="000000"/>
                <w:sz w:val="16"/>
              </w:rPr>
              <w:t>9.42</w:t>
            </w:r>
            <w:r w:rsidR="000D1659" w:rsidRPr="00491918">
              <w:rPr>
                <w:color w:val="000000"/>
                <w:sz w:val="16"/>
              </w:rPr>
              <w:t>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1.17 </w:t>
            </w:r>
            <w:r w:rsidRPr="00491918">
              <w:rPr>
                <w:color w:val="000000"/>
                <w:sz w:val="16"/>
                <w:vertAlign w:val="superscript"/>
              </w:rPr>
              <w:t xml:space="preserve">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vertAlign w:val="superscript"/>
              </w:rPr>
            </w:pPr>
            <w:r w:rsidRPr="00491918">
              <w:rPr>
                <w:color w:val="000000"/>
                <w:sz w:val="16"/>
              </w:rPr>
              <w:t>0.66</w:t>
            </w:r>
            <w:r w:rsidR="000D1659" w:rsidRPr="00491918">
              <w:rPr>
                <w:color w:val="000000"/>
                <w:sz w:val="16"/>
              </w:rPr>
              <w:t>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rPr>
            </w:pPr>
            <w:r w:rsidRPr="00491918">
              <w:rPr>
                <w:color w:val="000000"/>
                <w:sz w:val="16"/>
              </w:rPr>
              <w:t>2.08</w:t>
            </w:r>
            <w:r w:rsidR="000D1659" w:rsidRPr="00491918">
              <w:rPr>
                <w:color w:val="000000"/>
                <w:sz w:val="16"/>
              </w:rPr>
              <w:t>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liability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0.97 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rPr>
            </w:pPr>
            <w:r w:rsidRPr="00491918">
              <w:rPr>
                <w:color w:val="000000"/>
                <w:sz w:val="16"/>
              </w:rPr>
              <w:t>2.78</w:t>
            </w:r>
            <w:r w:rsidR="000D1659" w:rsidRPr="00491918">
              <w:rPr>
                <w:color w:val="000000"/>
                <w:sz w:val="16"/>
              </w:rPr>
              <w:t> </w:t>
            </w:r>
            <w:r w:rsidR="000D1659"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1.14 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vertAlign w:val="superscript"/>
              </w:rPr>
            </w:pPr>
            <w:r w:rsidRPr="00491918">
              <w:rPr>
                <w:color w:val="000000"/>
                <w:sz w:val="16"/>
              </w:rPr>
              <w:t>1.13</w:t>
            </w:r>
            <w:r w:rsidR="000D1659" w:rsidRPr="00491918">
              <w:rPr>
                <w:color w:val="000000"/>
                <w:sz w:val="16"/>
              </w:rPr>
              <w:t>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1.13 </w:t>
            </w:r>
          </w:p>
        </w:tc>
      </w:tr>
      <w:tr w:rsidR="000D1659" w:rsidRPr="00491918">
        <w:trPr>
          <w:trHeight w:hRule="exac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rPr>
            </w:pPr>
            <w:r w:rsidRPr="00491918">
              <w:rPr>
                <w:color w:val="000000"/>
                <w:sz w:val="16"/>
              </w:rPr>
              <w:t>2.97</w:t>
            </w:r>
            <w:r w:rsidR="000D1659" w:rsidRPr="00491918">
              <w:rPr>
                <w:color w:val="000000"/>
                <w:sz w:val="16"/>
              </w:rPr>
              <w:t> </w:t>
            </w:r>
            <w:r w:rsidR="000D1659"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vertAlign w:val="superscript"/>
              </w:rPr>
            </w:pPr>
            <w:r w:rsidRPr="00491918">
              <w:rPr>
                <w:color w:val="000000"/>
                <w:sz w:val="16"/>
              </w:rPr>
              <w:t>8.88</w:t>
            </w:r>
            <w:r w:rsidR="000D1659"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1.15 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0.99 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1.63 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Non-customer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0.24 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vertAlign w:val="superscript"/>
              </w:rPr>
            </w:pPr>
            <w:r w:rsidRPr="00491918">
              <w:rPr>
                <w:color w:val="000000"/>
                <w:sz w:val="16"/>
              </w:rPr>
              <w:t>(0.36</w:t>
            </w:r>
            <w:r w:rsidR="000D1659" w:rsidRPr="00491918">
              <w:rPr>
                <w:color w:val="000000"/>
                <w:sz w:val="16"/>
              </w:rPr>
              <w:t>)</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0.07 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0.21 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0.19 </w:t>
            </w:r>
          </w:p>
        </w:tc>
      </w:tr>
      <w:tr w:rsidR="000D1659" w:rsidRPr="00491918">
        <w:trPr>
          <w:trHeight w:hRule="exact" w:val="165"/>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interest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rPr>
            </w:pPr>
            <w:r w:rsidRPr="00491918">
              <w:rPr>
                <w:color w:val="000000"/>
                <w:sz w:val="16"/>
              </w:rPr>
              <w:t>3.21</w:t>
            </w:r>
            <w:r w:rsidR="000D1659" w:rsidRPr="00491918">
              <w:rPr>
                <w:color w:val="000000"/>
                <w:sz w:val="16"/>
              </w:rPr>
              <w:t> </w:t>
            </w:r>
            <w:r w:rsidR="000D1659"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285FBB">
            <w:pPr>
              <w:jc w:val="right"/>
              <w:rPr>
                <w:color w:val="000000"/>
                <w:sz w:val="16"/>
                <w:vertAlign w:val="superscript"/>
              </w:rPr>
            </w:pPr>
            <w:r w:rsidRPr="00491918">
              <w:rPr>
                <w:color w:val="000000"/>
                <w:sz w:val="16"/>
              </w:rPr>
              <w:t>8.52</w:t>
            </w:r>
            <w:r w:rsidR="000D1659"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1.20 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1.82 </w:t>
            </w:r>
          </w:p>
        </w:tc>
      </w:tr>
      <w:tr w:rsidR="000D1659" w:rsidRPr="00491918">
        <w:trPr>
          <w:trHeight w:hRule="exac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assets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126,186 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38,798 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31,695 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34,101 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67,826 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20,180 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318,786 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liabilities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112,953 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14,132 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19,151 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1,908 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84,721 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52,037 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284,902 </w:t>
            </w:r>
          </w:p>
        </w:tc>
      </w:tr>
      <w:tr w:rsidR="000D1659" w:rsidRPr="00491918" w:rsidTr="007E73F3">
        <w:trPr>
          <w:trHeight w:hRule="exact" w:val="195"/>
        </w:trPr>
        <w:tc>
          <w:tcPr>
            <w:tcW w:w="29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rFonts w:ascii="Calibri" w:eastAsia="Calibri" w:hAnsi="Calibri" w:cs="Calibri"/>
                <w:color w:val="000000"/>
                <w:sz w:val="22"/>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0D1659" w:rsidRPr="00491918">
        <w:trPr>
          <w:trHeight w:val="240"/>
        </w:trPr>
        <w:tc>
          <w:tcPr>
            <w:tcW w:w="291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rFonts w:ascii="Calibri" w:eastAsia="Calibri" w:hAnsi="Calibri" w:cs="Calibri"/>
                <w:color w:val="000000"/>
                <w:sz w:val="22"/>
              </w:rPr>
            </w:pPr>
            <w:r w:rsidRPr="00491918">
              <w:rPr>
                <w:b/>
                <w:color w:val="000000"/>
                <w:sz w:val="16"/>
              </w:rPr>
              <w:t>Half Year Ended 30.06.12</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291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asset margin</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1.08 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0.46 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3.16 </w:t>
            </w:r>
            <w:r w:rsidRPr="00491918">
              <w:rPr>
                <w:color w:val="000000"/>
                <w:sz w:val="16"/>
                <w:vertAlign w:val="superscript"/>
              </w:rPr>
              <w:t xml:space="preserve"> </w:t>
            </w:r>
          </w:p>
        </w:tc>
        <w:tc>
          <w:tcPr>
            <w:tcW w:w="100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9.71 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1.19 </w:t>
            </w:r>
            <w:r w:rsidRPr="00491918">
              <w:rPr>
                <w:color w:val="000000"/>
                <w:sz w:val="16"/>
                <w:vertAlign w:val="superscript"/>
              </w:rPr>
              <w:t xml:space="preserve">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0.65 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2.10 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liability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0.97 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2.76 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1.12 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1.11 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1.14 </w:t>
            </w:r>
          </w:p>
        </w:tc>
      </w:tr>
      <w:tr w:rsidR="000D1659" w:rsidRPr="00491918">
        <w:trPr>
          <w:trHeight w:hRule="exac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3.01 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9.71 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1.15 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0.98 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1.66 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Non-customer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0.22 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(0.72)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0.12 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0.27 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0.20 </w:t>
            </w:r>
          </w:p>
        </w:tc>
      </w:tr>
      <w:tr w:rsidR="000D1659" w:rsidRPr="00491918">
        <w:trPr>
          <w:trHeight w:hRule="exac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interest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3.23 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8.99 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1.27 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1.25 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1.86 </w:t>
            </w:r>
          </w:p>
        </w:tc>
      </w:tr>
      <w:tr w:rsidR="000D1659" w:rsidRPr="00491918">
        <w:trPr>
          <w:trHeight w:hRule="exac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assets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122,343 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41,207 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32,386 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32,832 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69,768 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19,137 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317,673 </w:t>
            </w:r>
          </w:p>
        </w:tc>
      </w:tr>
      <w:tr w:rsidR="000D1659" w:rsidRPr="00491918" w:rsidTr="000D76A8">
        <w:trPr>
          <w:trHeight w:val="426"/>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liabilities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110,540 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15,523 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19,783 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n/m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83,357 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48,264 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277,467 </w:t>
            </w:r>
          </w:p>
        </w:tc>
      </w:tr>
    </w:tbl>
    <w:p w:rsidR="000D1659" w:rsidRPr="00491918" w:rsidRDefault="000D1659"/>
    <w:tbl>
      <w:tblPr>
        <w:tblW w:w="0" w:type="auto"/>
        <w:tblLayout w:type="fixed"/>
        <w:tblLook w:val="0000" w:firstRow="0" w:lastRow="0" w:firstColumn="0" w:lastColumn="0" w:noHBand="0" w:noVBand="0"/>
      </w:tblPr>
      <w:tblGrid>
        <w:gridCol w:w="2910"/>
        <w:gridCol w:w="900"/>
        <w:gridCol w:w="900"/>
        <w:gridCol w:w="900"/>
        <w:gridCol w:w="1005"/>
        <w:gridCol w:w="900"/>
        <w:gridCol w:w="1065"/>
        <w:gridCol w:w="1065"/>
      </w:tblGrid>
      <w:tr w:rsidR="000D76A8" w:rsidRPr="00491918" w:rsidTr="00FF7A7C">
        <w:trPr>
          <w:trHeight w:val="324"/>
        </w:trPr>
        <w:tc>
          <w:tcPr>
            <w:tcW w:w="4710" w:type="dxa"/>
            <w:gridSpan w:val="3"/>
            <w:tcBorders>
              <w:top w:val="nil"/>
              <w:left w:val="nil"/>
              <w:bottom w:val="nil"/>
              <w:right w:val="nil"/>
            </w:tcBorders>
            <w:shd w:val="clear" w:color="auto" w:fill="FFFFFF"/>
            <w:tcMar>
              <w:left w:w="36" w:type="dxa"/>
              <w:right w:w="36" w:type="dxa"/>
            </w:tcMar>
            <w:vAlign w:val="bottom"/>
          </w:tcPr>
          <w:p w:rsidR="00DA356B" w:rsidRPr="00491918" w:rsidRDefault="00DA356B" w:rsidP="000D76A8">
            <w:pPr>
              <w:pStyle w:val="HeadingLevel1-BarcRA20"/>
              <w:rPr>
                <w:lang w:val="en-GB"/>
              </w:rPr>
            </w:pPr>
          </w:p>
          <w:p w:rsidR="001E1EAB" w:rsidRPr="00491918" w:rsidRDefault="001E1EAB" w:rsidP="001E1EAB">
            <w:pPr>
              <w:pStyle w:val="BodyText-BarcRA22"/>
            </w:pPr>
          </w:p>
          <w:p w:rsidR="000D76A8" w:rsidRPr="00491918" w:rsidRDefault="000D76A8" w:rsidP="000D76A8">
            <w:pPr>
              <w:pStyle w:val="HeadingLevel1-BarcRA20"/>
              <w:rPr>
                <w:lang w:val="en-GB"/>
              </w:rPr>
            </w:pPr>
            <w:r w:rsidRPr="00491918">
              <w:rPr>
                <w:lang w:val="en-GB"/>
              </w:rPr>
              <w:t>Performance Management</w:t>
            </w:r>
          </w:p>
        </w:tc>
        <w:tc>
          <w:tcPr>
            <w:tcW w:w="900" w:type="dxa"/>
            <w:tcBorders>
              <w:top w:val="nil"/>
              <w:left w:val="nil"/>
              <w:bottom w:val="nil"/>
              <w:right w:val="nil"/>
            </w:tcBorders>
            <w:shd w:val="clear" w:color="auto" w:fill="FFFFFF"/>
            <w:tcMar>
              <w:left w:w="36" w:type="dxa"/>
              <w:right w:w="36" w:type="dxa"/>
            </w:tcMar>
            <w:vAlign w:val="bottom"/>
          </w:tcPr>
          <w:p w:rsidR="000D76A8" w:rsidRPr="00491918" w:rsidRDefault="000D76A8" w:rsidP="003D6023">
            <w:pPr>
              <w:rPr>
                <w:rFonts w:ascii="Calibri" w:eastAsia="Calibri" w:hAnsi="Calibri" w:cs="Calibri"/>
                <w:color w:val="000000"/>
                <w:sz w:val="22"/>
              </w:rPr>
            </w:pPr>
          </w:p>
        </w:tc>
        <w:tc>
          <w:tcPr>
            <w:tcW w:w="1005" w:type="dxa"/>
            <w:tcBorders>
              <w:top w:val="nil"/>
              <w:left w:val="nil"/>
              <w:bottom w:val="nil"/>
              <w:right w:val="nil"/>
            </w:tcBorders>
            <w:shd w:val="clear" w:color="auto" w:fill="FFFFFF"/>
            <w:tcMar>
              <w:left w:w="36" w:type="dxa"/>
              <w:right w:w="36" w:type="dxa"/>
            </w:tcMar>
            <w:vAlign w:val="bottom"/>
          </w:tcPr>
          <w:p w:rsidR="000D76A8" w:rsidRPr="00491918" w:rsidRDefault="000D76A8">
            <w:pPr>
              <w:rPr>
                <w:rFonts w:ascii="Calibri" w:eastAsia="Calibri" w:hAnsi="Calibri" w:cs="Calibri"/>
                <w:color w:val="000000"/>
                <w:sz w:val="22"/>
              </w:rPr>
            </w:pPr>
          </w:p>
        </w:tc>
        <w:tc>
          <w:tcPr>
            <w:tcW w:w="900" w:type="dxa"/>
            <w:tcBorders>
              <w:top w:val="nil"/>
              <w:left w:val="nil"/>
              <w:bottom w:val="nil"/>
              <w:right w:val="nil"/>
            </w:tcBorders>
            <w:shd w:val="clear" w:color="auto" w:fill="FFFFFF"/>
            <w:tcMar>
              <w:left w:w="36" w:type="dxa"/>
              <w:right w:w="36" w:type="dxa"/>
            </w:tcMar>
            <w:vAlign w:val="bottom"/>
          </w:tcPr>
          <w:p w:rsidR="000D76A8" w:rsidRPr="00491918" w:rsidRDefault="000D76A8">
            <w:pPr>
              <w:rPr>
                <w:rFonts w:ascii="Calibri" w:eastAsia="Calibri" w:hAnsi="Calibri" w:cs="Calibri"/>
                <w:color w:val="000000"/>
                <w:sz w:val="22"/>
              </w:rPr>
            </w:pPr>
          </w:p>
        </w:tc>
        <w:tc>
          <w:tcPr>
            <w:tcW w:w="1065" w:type="dxa"/>
            <w:tcBorders>
              <w:top w:val="nil"/>
              <w:left w:val="nil"/>
              <w:bottom w:val="nil"/>
              <w:right w:val="nil"/>
            </w:tcBorders>
            <w:shd w:val="clear" w:color="auto" w:fill="FFFFFF"/>
            <w:tcMar>
              <w:left w:w="36" w:type="dxa"/>
              <w:right w:w="36" w:type="dxa"/>
            </w:tcMar>
            <w:vAlign w:val="bottom"/>
          </w:tcPr>
          <w:p w:rsidR="000D76A8" w:rsidRPr="00491918" w:rsidRDefault="000D76A8">
            <w:pPr>
              <w:rPr>
                <w:rFonts w:ascii="Calibri" w:eastAsia="Calibri" w:hAnsi="Calibri" w:cs="Calibri"/>
                <w:color w:val="000000"/>
                <w:sz w:val="22"/>
              </w:rPr>
            </w:pPr>
          </w:p>
        </w:tc>
        <w:tc>
          <w:tcPr>
            <w:tcW w:w="1065" w:type="dxa"/>
            <w:tcBorders>
              <w:top w:val="nil"/>
              <w:left w:val="nil"/>
              <w:bottom w:val="nil"/>
              <w:right w:val="nil"/>
            </w:tcBorders>
            <w:shd w:val="clear" w:color="auto" w:fill="FFFFFF"/>
            <w:tcMar>
              <w:left w:w="36" w:type="dxa"/>
              <w:right w:w="36" w:type="dxa"/>
            </w:tcMar>
            <w:vAlign w:val="bottom"/>
          </w:tcPr>
          <w:p w:rsidR="000D76A8" w:rsidRPr="00491918" w:rsidRDefault="000D76A8">
            <w:pPr>
              <w:rPr>
                <w:rFonts w:ascii="Calibri" w:eastAsia="Calibri" w:hAnsi="Calibri" w:cs="Calibri"/>
                <w:color w:val="000000"/>
                <w:sz w:val="22"/>
              </w:rPr>
            </w:pPr>
          </w:p>
        </w:tc>
      </w:tr>
      <w:tr w:rsidR="009E6048" w:rsidRPr="00491918" w:rsidTr="00FF7A7C">
        <w:trPr>
          <w:trHeight w:val="324"/>
        </w:trPr>
        <w:tc>
          <w:tcPr>
            <w:tcW w:w="4710"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rsidP="003D6023">
            <w:r w:rsidRPr="00491918">
              <w:rPr>
                <w:b/>
                <w:color w:val="000000"/>
                <w:sz w:val="20"/>
              </w:rPr>
              <w:t>Analysis of Net Interest Margin-Quarterly</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rsidP="003D6023">
            <w:pPr>
              <w:rPr>
                <w:b/>
                <w:color w:val="000000"/>
                <w:sz w:val="20"/>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0D1659" w:rsidRPr="00491918" w:rsidTr="003D6023">
        <w:trPr>
          <w:trHeight w:val="477"/>
        </w:trPr>
        <w:tc>
          <w:tcPr>
            <w:tcW w:w="291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UK RBB</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Europe RBB</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Africa RBB</w:t>
            </w:r>
            <w:r w:rsidRPr="00491918">
              <w:rPr>
                <w:b/>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Barclaycard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Corporate Banking </w:t>
            </w:r>
            <w:r w:rsidRPr="00491918">
              <w:rPr>
                <w:b/>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Wealth and Investment Management </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rsidP="00333D40">
            <w:pPr>
              <w:jc w:val="right"/>
              <w:rPr>
                <w:b/>
                <w:color w:val="000000"/>
                <w:sz w:val="16"/>
              </w:rPr>
            </w:pPr>
            <w:r w:rsidRPr="00491918">
              <w:rPr>
                <w:b/>
                <w:color w:val="000000"/>
                <w:sz w:val="16"/>
              </w:rPr>
              <w:t xml:space="preserve">Total </w:t>
            </w:r>
            <w:r w:rsidR="00333D40" w:rsidRPr="00491918">
              <w:rPr>
                <w:b/>
                <w:color w:val="000000"/>
                <w:sz w:val="16"/>
              </w:rPr>
              <w:t>RBB, Barclaycard</w:t>
            </w:r>
            <w:r w:rsidRPr="00491918">
              <w:rPr>
                <w:b/>
                <w:color w:val="000000"/>
                <w:sz w:val="16"/>
              </w:rPr>
              <w:t xml:space="preserve">, Corporate and Wealth </w:t>
            </w:r>
          </w:p>
        </w:tc>
      </w:tr>
      <w:tr w:rsidR="000D1659" w:rsidRPr="00491918">
        <w:trPr>
          <w:trHeight w:val="240"/>
        </w:trPr>
        <w:tc>
          <w:tcPr>
            <w:tcW w:w="291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Quarter Ended 30.06.13</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0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bl>
    <w:p w:rsidR="00FF7A7C" w:rsidRPr="00491918" w:rsidRDefault="00FF7A7C"/>
    <w:tbl>
      <w:tblPr>
        <w:tblW w:w="0" w:type="auto"/>
        <w:tblLayout w:type="fixed"/>
        <w:tblLook w:val="0000" w:firstRow="0" w:lastRow="0" w:firstColumn="0" w:lastColumn="0" w:noHBand="0" w:noVBand="0"/>
      </w:tblPr>
      <w:tblGrid>
        <w:gridCol w:w="2910"/>
        <w:gridCol w:w="900"/>
        <w:gridCol w:w="900"/>
        <w:gridCol w:w="900"/>
        <w:gridCol w:w="1005"/>
        <w:gridCol w:w="900"/>
        <w:gridCol w:w="1065"/>
        <w:gridCol w:w="1065"/>
      </w:tblGrid>
      <w:tr w:rsidR="000D1659" w:rsidRPr="00491918" w:rsidTr="00FF7A7C">
        <w:trPr>
          <w:trHeight w:val="300"/>
        </w:trPr>
        <w:tc>
          <w:tcPr>
            <w:tcW w:w="291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asset margin</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1.25 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0.47 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3.19 </w:t>
            </w:r>
            <w:r w:rsidRPr="00491918">
              <w:rPr>
                <w:color w:val="000000"/>
                <w:sz w:val="16"/>
                <w:vertAlign w:val="superscript"/>
              </w:rPr>
              <w:t xml:space="preserve"> </w:t>
            </w:r>
          </w:p>
        </w:tc>
        <w:tc>
          <w:tcPr>
            <w:tcW w:w="10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9.34 </w:t>
            </w:r>
          </w:p>
        </w:tc>
        <w:tc>
          <w:tcPr>
            <w:tcW w:w="900" w:type="dxa"/>
            <w:tcBorders>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1.34</w:t>
            </w:r>
            <w:r w:rsidR="000D1659" w:rsidRPr="00491918">
              <w:rPr>
                <w:color w:val="000000"/>
                <w:sz w:val="16"/>
              </w:rPr>
              <w:t> </w:t>
            </w:r>
            <w:r w:rsidR="000D1659" w:rsidRPr="00491918">
              <w:rPr>
                <w:color w:val="000000"/>
                <w:sz w:val="16"/>
                <w:vertAlign w:val="superscript"/>
              </w:rPr>
              <w:t xml:space="preserve"> </w:t>
            </w:r>
          </w:p>
        </w:tc>
        <w:tc>
          <w:tcPr>
            <w:tcW w:w="10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0.75 </w:t>
            </w:r>
          </w:p>
        </w:tc>
        <w:tc>
          <w:tcPr>
            <w:tcW w:w="1065" w:type="dxa"/>
            <w:tcBorders>
              <w:left w:val="nil"/>
              <w:bottom w:val="nil"/>
              <w:right w:val="nil"/>
            </w:tcBorders>
            <w:shd w:val="clear" w:color="auto" w:fill="FFFFFF"/>
            <w:tcMar>
              <w:left w:w="36" w:type="dxa"/>
              <w:right w:w="36" w:type="dxa"/>
            </w:tcMar>
            <w:vAlign w:val="center"/>
          </w:tcPr>
          <w:p w:rsidR="000D1659" w:rsidRPr="00491918" w:rsidRDefault="000D1659" w:rsidP="00C10958">
            <w:pPr>
              <w:jc w:val="right"/>
              <w:rPr>
                <w:color w:val="000000"/>
                <w:sz w:val="16"/>
              </w:rPr>
            </w:pPr>
            <w:r w:rsidRPr="00491918">
              <w:rPr>
                <w:color w:val="000000"/>
                <w:sz w:val="16"/>
              </w:rPr>
              <w:t>2.1</w:t>
            </w:r>
            <w:r w:rsidR="00C10958" w:rsidRPr="00491918">
              <w:rPr>
                <w:color w:val="000000"/>
                <w:sz w:val="16"/>
              </w:rPr>
              <w:t>9</w:t>
            </w:r>
            <w:r w:rsidRPr="00491918">
              <w:rPr>
                <w:color w:val="000000"/>
                <w:sz w:val="16"/>
              </w:rPr>
              <w:t> </w:t>
            </w:r>
          </w:p>
        </w:tc>
      </w:tr>
      <w:tr w:rsidR="000D1659" w:rsidRPr="00491918">
        <w:trPr>
          <w:trHeigh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liability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rsidP="00CB7479">
            <w:pPr>
              <w:jc w:val="right"/>
              <w:rPr>
                <w:color w:val="000000"/>
                <w:sz w:val="16"/>
              </w:rPr>
            </w:pPr>
            <w:r w:rsidRPr="00491918">
              <w:rPr>
                <w:color w:val="000000"/>
                <w:sz w:val="16"/>
              </w:rPr>
              <w:t>0.</w:t>
            </w:r>
            <w:r w:rsidR="00CB7479" w:rsidRPr="00491918">
              <w:rPr>
                <w:color w:val="000000"/>
                <w:sz w:val="16"/>
              </w:rPr>
              <w:t>40</w:t>
            </w:r>
            <w:r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2.71 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(0.30)</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1.10</w:t>
            </w:r>
            <w:r w:rsidR="000D1659" w:rsidRPr="00491918">
              <w:rPr>
                <w:color w:val="000000"/>
                <w:sz w:val="16"/>
              </w:rPr>
              <w:t> </w:t>
            </w:r>
            <w:r w:rsidR="000D1659"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0.97 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1.00</w:t>
            </w:r>
            <w:r w:rsidR="000D1659" w:rsidRPr="00491918">
              <w:rPr>
                <w:color w:val="000000"/>
                <w:sz w:val="16"/>
              </w:rPr>
              <w:t> </w:t>
            </w:r>
          </w:p>
        </w:tc>
      </w:tr>
      <w:tr w:rsidR="000D1659" w:rsidRPr="00491918">
        <w:trPr>
          <w:trHeight w:hRule="exac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lastRenderedPageBreak/>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3.00 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8.46 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1.20</w:t>
            </w:r>
            <w:r w:rsidR="000D1659" w:rsidRPr="00491918">
              <w:rPr>
                <w:color w:val="000000"/>
                <w:sz w:val="16"/>
              </w:rPr>
              <w:t> </w:t>
            </w:r>
            <w:r w:rsidR="000D1659"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0.91 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1.60 </w:t>
            </w:r>
          </w:p>
        </w:tc>
      </w:tr>
      <w:tr w:rsidR="000D1659" w:rsidRPr="00491918">
        <w:trPr>
          <w:trHeigh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Non-customer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(0.22)</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0.07</w:t>
            </w:r>
            <w:r w:rsidR="000D1659" w:rsidRPr="00491918">
              <w:rPr>
                <w:color w:val="000000"/>
                <w:sz w:val="16"/>
              </w:rPr>
              <w:t> </w:t>
            </w:r>
            <w:r w:rsidR="000D1659"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0.15 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0.15 </w:t>
            </w:r>
          </w:p>
        </w:tc>
      </w:tr>
      <w:tr w:rsidR="000D1659" w:rsidRPr="00491918">
        <w:trPr>
          <w:trHeight w:hRule="exact" w:val="12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interest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8.24 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1.27 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1.06 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1.75 </w:t>
            </w:r>
          </w:p>
        </w:tc>
      </w:tr>
      <w:tr w:rsidR="000D1659" w:rsidRPr="00491918">
        <w:trPr>
          <w:trHeight w:hRule="exact" w:val="12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assets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134,986 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B7479">
            <w:pPr>
              <w:jc w:val="right"/>
              <w:rPr>
                <w:color w:val="000000"/>
                <w:sz w:val="16"/>
              </w:rPr>
            </w:pPr>
            <w:r w:rsidRPr="00491918">
              <w:rPr>
                <w:color w:val="000000"/>
                <w:sz w:val="16"/>
              </w:rPr>
              <w:t xml:space="preserve"> 39,767</w:t>
            </w:r>
            <w:r w:rsidR="000D1659"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27,925 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36,069 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 xml:space="preserve"> 66,869</w:t>
            </w:r>
            <w:r w:rsidR="000D1659" w:rsidRPr="00491918">
              <w:rPr>
                <w:color w:val="000000"/>
                <w:sz w:val="16"/>
              </w:rPr>
              <w:t> </w:t>
            </w:r>
            <w:r w:rsidR="000D1659"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22,351 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CB7479">
            <w:pPr>
              <w:jc w:val="right"/>
              <w:rPr>
                <w:color w:val="000000"/>
                <w:sz w:val="16"/>
              </w:rPr>
            </w:pPr>
            <w:r w:rsidRPr="00491918">
              <w:rPr>
                <w:color w:val="000000"/>
                <w:sz w:val="16"/>
              </w:rPr>
              <w:t xml:space="preserve"> 327,967</w:t>
            </w:r>
            <w:r w:rsidR="000D1659" w:rsidRPr="00491918">
              <w:rPr>
                <w:color w:val="000000"/>
                <w:sz w:val="16"/>
              </w:rPr>
              <w:t>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liabilities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129,843 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B7479" w:rsidP="00CB7479">
            <w:pPr>
              <w:jc w:val="right"/>
              <w:rPr>
                <w:color w:val="000000"/>
                <w:sz w:val="16"/>
              </w:rPr>
            </w:pPr>
            <w:r w:rsidRPr="00491918">
              <w:rPr>
                <w:color w:val="000000"/>
                <w:sz w:val="16"/>
              </w:rPr>
              <w:t xml:space="preserve"> 13</w:t>
            </w:r>
            <w:r w:rsidR="000D1659" w:rsidRPr="00491918">
              <w:rPr>
                <w:color w:val="000000"/>
                <w:sz w:val="16"/>
              </w:rPr>
              <w:t>,</w:t>
            </w:r>
            <w:r w:rsidRPr="00491918">
              <w:rPr>
                <w:color w:val="000000"/>
                <w:sz w:val="16"/>
              </w:rPr>
              <w:t>943</w:t>
            </w:r>
            <w:r w:rsidR="000D1659" w:rsidRPr="00491918">
              <w:rPr>
                <w:color w:val="000000"/>
                <w:sz w:val="16"/>
              </w:rPr>
              <w:t>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18,405 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3,629 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 xml:space="preserve"> 95,178</w:t>
            </w:r>
            <w:r w:rsidR="000D1659" w:rsidRPr="00491918">
              <w:rPr>
                <w:color w:val="000000"/>
                <w:sz w:val="16"/>
              </w:rPr>
              <w:t> </w:t>
            </w:r>
            <w:r w:rsidR="000D1659"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60,670 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CB7479">
            <w:pPr>
              <w:jc w:val="right"/>
              <w:rPr>
                <w:color w:val="000000"/>
                <w:sz w:val="16"/>
              </w:rPr>
            </w:pPr>
            <w:r w:rsidRPr="00491918">
              <w:rPr>
                <w:color w:val="000000"/>
                <w:sz w:val="16"/>
              </w:rPr>
              <w:t xml:space="preserve"> 321,668</w:t>
            </w:r>
            <w:r w:rsidR="000D1659" w:rsidRPr="00491918">
              <w:rPr>
                <w:color w:val="000000"/>
                <w:sz w:val="16"/>
              </w:rPr>
              <w:t> </w:t>
            </w:r>
          </w:p>
        </w:tc>
      </w:tr>
      <w:tr w:rsidR="000D1659" w:rsidRPr="00491918">
        <w:trPr>
          <w:trHeight w:hRule="exac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Quarter Ended 31.03.13</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6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300"/>
        </w:trPr>
        <w:tc>
          <w:tcPr>
            <w:tcW w:w="291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asset margin</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1.10 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0.45 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2.92 </w:t>
            </w:r>
            <w:r w:rsidRPr="00491918">
              <w:rPr>
                <w:color w:val="000000"/>
                <w:sz w:val="16"/>
                <w:vertAlign w:val="superscript"/>
              </w:rPr>
              <w:t xml:space="preserve"> </w:t>
            </w:r>
          </w:p>
        </w:tc>
        <w:tc>
          <w:tcPr>
            <w:tcW w:w="100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9.49 </w:t>
            </w:r>
          </w:p>
        </w:tc>
        <w:tc>
          <w:tcPr>
            <w:tcW w:w="900"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1.24</w:t>
            </w:r>
            <w:r w:rsidR="000D1659" w:rsidRPr="00491918">
              <w:rPr>
                <w:color w:val="000000"/>
                <w:sz w:val="16"/>
              </w:rPr>
              <w:t> </w:t>
            </w:r>
            <w:r w:rsidR="000D1659" w:rsidRPr="00491918">
              <w:rPr>
                <w:color w:val="000000"/>
                <w:sz w:val="16"/>
                <w:vertAlign w:val="superscript"/>
              </w:rPr>
              <w:t xml:space="preserve">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0.85 </w:t>
            </w:r>
          </w:p>
        </w:tc>
        <w:tc>
          <w:tcPr>
            <w:tcW w:w="106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2.12</w:t>
            </w:r>
            <w:r w:rsidR="000D1659" w:rsidRPr="00491918">
              <w:rPr>
                <w:color w:val="000000"/>
                <w:sz w:val="16"/>
              </w:rPr>
              <w:t> </w:t>
            </w:r>
          </w:p>
        </w:tc>
      </w:tr>
      <w:tr w:rsidR="000D1659" w:rsidRPr="00491918">
        <w:trPr>
          <w:trHeigh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liability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0.96 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2.73 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(0.35)</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1.02</w:t>
            </w:r>
            <w:r w:rsidR="000D1659" w:rsidRPr="00491918">
              <w:rPr>
                <w:color w:val="000000"/>
                <w:sz w:val="16"/>
              </w:rPr>
              <w:t> </w:t>
            </w:r>
            <w:r w:rsidR="000D1659"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1.02 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1.06</w:t>
            </w:r>
            <w:r w:rsidR="000D1659" w:rsidRPr="00491918">
              <w:rPr>
                <w:color w:val="000000"/>
                <w:sz w:val="16"/>
              </w:rPr>
              <w:t> </w:t>
            </w:r>
          </w:p>
        </w:tc>
      </w:tr>
      <w:tr w:rsidR="000D1659" w:rsidRPr="00491918">
        <w:trPr>
          <w:trHeight w:hRule="exac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8.77 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C10958">
            <w:pPr>
              <w:jc w:val="right"/>
              <w:rPr>
                <w:color w:val="000000"/>
                <w:sz w:val="16"/>
              </w:rPr>
            </w:pPr>
            <w:r w:rsidRPr="00491918">
              <w:rPr>
                <w:color w:val="000000"/>
                <w:sz w:val="16"/>
              </w:rPr>
              <w:t>1.11</w:t>
            </w:r>
            <w:r w:rsidR="000D1659" w:rsidRPr="00491918">
              <w:rPr>
                <w:color w:val="000000"/>
                <w:sz w:val="16"/>
              </w:rPr>
              <w:t> </w:t>
            </w:r>
            <w:r w:rsidR="000D1659"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0.97 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1.62 </w:t>
            </w:r>
          </w:p>
        </w:tc>
      </w:tr>
      <w:tr w:rsidR="000D1659" w:rsidRPr="00491918">
        <w:trPr>
          <w:trHeight w:val="30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Non-customer generated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0.25 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0.18 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(0.28)</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rsidP="00C10958">
            <w:pPr>
              <w:jc w:val="right"/>
              <w:rPr>
                <w:color w:val="000000"/>
                <w:sz w:val="16"/>
              </w:rPr>
            </w:pPr>
            <w:r w:rsidRPr="00491918">
              <w:rPr>
                <w:color w:val="000000"/>
                <w:sz w:val="16"/>
              </w:rPr>
              <w:t>0.1</w:t>
            </w:r>
            <w:r w:rsidR="00C10958" w:rsidRPr="00491918">
              <w:rPr>
                <w:color w:val="000000"/>
                <w:sz w:val="16"/>
              </w:rPr>
              <w:t>2</w:t>
            </w:r>
            <w:r w:rsidRPr="00491918">
              <w:rPr>
                <w:color w:val="000000"/>
                <w:sz w:val="16"/>
              </w:rPr>
              <w:t>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0.14 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0.17 </w:t>
            </w:r>
          </w:p>
        </w:tc>
      </w:tr>
      <w:tr w:rsidR="000D1659" w:rsidRPr="00491918">
        <w:trPr>
          <w:trHeight w:hRule="exact" w:val="12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Net interest margin</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0.81 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3.03 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8.49 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1.11 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1.79 </w:t>
            </w:r>
          </w:p>
        </w:tc>
      </w:tr>
      <w:tr w:rsidR="000D1659" w:rsidRPr="00491918">
        <w:trPr>
          <w:trHeight w:hRule="exact" w:val="12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assets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130,546 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40,494 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30,451 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35,887 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66,741 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22,221 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326,340 </w:t>
            </w:r>
          </w:p>
        </w:tc>
      </w:tr>
      <w:tr w:rsidR="000D1659" w:rsidRPr="00491918">
        <w:trPr>
          <w:trHeight w:val="240"/>
        </w:trPr>
        <w:tc>
          <w:tcPr>
            <w:tcW w:w="29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Average customer liabilities (£m)</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118,721 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14,307 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18,925 </w:t>
            </w:r>
            <w:r w:rsidRPr="00491918">
              <w:rPr>
                <w:color w:val="000000"/>
                <w:sz w:val="16"/>
                <w:vertAlign w:val="superscript"/>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2,822 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93,423 </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55,642 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303,840 </w:t>
            </w:r>
          </w:p>
        </w:tc>
      </w:tr>
    </w:tbl>
    <w:p w:rsidR="000D1659" w:rsidRPr="00491918" w:rsidRDefault="000D1659">
      <w:pPr>
        <w:sectPr w:rsidR="000D1659" w:rsidRPr="00491918" w:rsidSect="00751636">
          <w:pgSz w:w="11905" w:h="16837"/>
          <w:pgMar w:top="851" w:right="1134" w:bottom="567" w:left="1134" w:header="851" w:footer="567" w:gutter="0"/>
          <w:cols w:space="708"/>
        </w:sectPr>
      </w:pPr>
    </w:p>
    <w:p w:rsidR="000D76A8" w:rsidRPr="00491918" w:rsidRDefault="000D76A8" w:rsidP="000D76A8">
      <w:pPr>
        <w:pStyle w:val="HeadingLevel1-BarcRA24"/>
      </w:pPr>
      <w:r w:rsidRPr="00491918">
        <w:lastRenderedPageBreak/>
        <w:t>Risk Management</w:t>
      </w:r>
    </w:p>
    <w:p w:rsidR="000D1659" w:rsidRPr="00491918" w:rsidRDefault="000D1659" w:rsidP="008D6001">
      <w:pPr>
        <w:pStyle w:val="HeadingLevel1-BarcRA25"/>
        <w:outlineLvl w:val="0"/>
      </w:pPr>
      <w:r w:rsidRPr="00491918">
        <w:rPr>
          <w:color w:val="auto"/>
        </w:rPr>
        <w:t>Overview</w:t>
      </w:r>
    </w:p>
    <w:p w:rsidR="000D1659" w:rsidRPr="00491918" w:rsidRDefault="000D1659" w:rsidP="000D1659">
      <w:pPr>
        <w:pStyle w:val="BodyText-BarcRA29"/>
      </w:pPr>
      <w:r w:rsidRPr="00491918">
        <w:t>Barclays has clear risk management objectives, and a well-established strategy and framework for managing risk. The approach to identifying, assessing, controlling, reporting and managing risks is formalised in the Principal Risks Policy, which is implemented through relevant control frameworks. Conduct Risk and Reputation Risk have been re-categorised as Principal Risks in 2013. Further detail on how these risks are managed may be found in the 2012 Annual Report and Accounts</w:t>
      </w:r>
    </w:p>
    <w:p w:rsidR="000D1659" w:rsidRPr="00491918" w:rsidRDefault="000D1659" w:rsidP="000D1659">
      <w:pPr>
        <w:pStyle w:val="BodyText-BarcRA29"/>
      </w:pPr>
      <w:r w:rsidRPr="00491918">
        <w:t xml:space="preserve">The topics and associated specific key risks, by Principal Risk, covered in this report are described below:  </w:t>
      </w:r>
    </w:p>
    <w:tbl>
      <w:tblPr>
        <w:tblW w:w="9747" w:type="dxa"/>
        <w:tblBorders>
          <w:insideH w:val="single" w:sz="4" w:space="0" w:color="969696"/>
        </w:tblBorders>
        <w:tblLayout w:type="fixed"/>
        <w:tblLook w:val="04A0" w:firstRow="1" w:lastRow="0" w:firstColumn="1" w:lastColumn="0" w:noHBand="0" w:noVBand="1"/>
      </w:tblPr>
      <w:tblGrid>
        <w:gridCol w:w="5355"/>
        <w:gridCol w:w="236"/>
        <w:gridCol w:w="3544"/>
        <w:gridCol w:w="612"/>
      </w:tblGrid>
      <w:tr w:rsidR="000D1659" w:rsidRPr="00491918" w:rsidTr="000D1659">
        <w:trPr>
          <w:trHeight w:val="398"/>
        </w:trPr>
        <w:tc>
          <w:tcPr>
            <w:tcW w:w="5355" w:type="dxa"/>
            <w:tcBorders>
              <w:top w:val="nil"/>
              <w:left w:val="nil"/>
              <w:bottom w:val="single" w:sz="4" w:space="0" w:color="969696"/>
              <w:right w:val="nil"/>
            </w:tcBorders>
            <w:shd w:val="clear" w:color="auto" w:fill="FFFFFF"/>
            <w:vAlign w:val="center"/>
          </w:tcPr>
          <w:p w:rsidR="000D1659" w:rsidRPr="00491918" w:rsidRDefault="000D1659" w:rsidP="000D1659">
            <w:pPr>
              <w:pStyle w:val="BodyText-BarcRA290"/>
              <w:spacing w:before="15" w:after="15"/>
              <w:jc w:val="left"/>
              <w:rPr>
                <w:rFonts w:eastAsia="Expert Sans Regular" w:cs="Expert Sans Regular"/>
                <w:b/>
                <w:szCs w:val="24"/>
                <w:vertAlign w:val="superscript"/>
                <w:lang w:val="en-US"/>
              </w:rPr>
            </w:pPr>
            <w:r w:rsidRPr="00491918">
              <w:rPr>
                <w:b/>
              </w:rPr>
              <w:t>Principal Risks and Key Specific Risks</w:t>
            </w:r>
          </w:p>
        </w:tc>
        <w:tc>
          <w:tcPr>
            <w:tcW w:w="236" w:type="dxa"/>
            <w:shd w:val="clear" w:color="auto" w:fill="FFFFFF"/>
          </w:tcPr>
          <w:p w:rsidR="000D1659" w:rsidRPr="00491918" w:rsidRDefault="000D1659">
            <w:pPr>
              <w:pStyle w:val="BodyText-BarcRA290"/>
              <w:spacing w:before="15" w:after="15"/>
              <w:rPr>
                <w:b/>
              </w:rPr>
            </w:pPr>
          </w:p>
        </w:tc>
        <w:tc>
          <w:tcPr>
            <w:tcW w:w="3544" w:type="dxa"/>
            <w:tcBorders>
              <w:top w:val="nil"/>
              <w:left w:val="nil"/>
              <w:bottom w:val="single" w:sz="4" w:space="0" w:color="969696"/>
              <w:right w:val="nil"/>
            </w:tcBorders>
            <w:shd w:val="clear" w:color="auto" w:fill="FFFFFF"/>
            <w:vAlign w:val="center"/>
          </w:tcPr>
          <w:p w:rsidR="000D1659" w:rsidRPr="00491918" w:rsidRDefault="000D1659">
            <w:pPr>
              <w:pStyle w:val="BodyText-BarcRA290"/>
              <w:spacing w:before="15" w:after="15"/>
              <w:rPr>
                <w:rFonts w:eastAsia="Expert Sans Regular" w:cs="Expert Sans Regular"/>
                <w:b/>
                <w:szCs w:val="24"/>
                <w:lang w:val="en-US"/>
              </w:rPr>
            </w:pPr>
            <w:r w:rsidRPr="00491918">
              <w:rPr>
                <w:b/>
              </w:rPr>
              <w:t>Topics Covered</w:t>
            </w:r>
          </w:p>
        </w:tc>
        <w:tc>
          <w:tcPr>
            <w:tcW w:w="612" w:type="dxa"/>
            <w:tcBorders>
              <w:top w:val="nil"/>
              <w:left w:val="nil"/>
              <w:bottom w:val="single" w:sz="4" w:space="0" w:color="969696"/>
              <w:right w:val="nil"/>
            </w:tcBorders>
            <w:shd w:val="clear" w:color="auto" w:fill="FFFFFF"/>
            <w:vAlign w:val="center"/>
          </w:tcPr>
          <w:p w:rsidR="000D1659" w:rsidRPr="00491918" w:rsidRDefault="000D1659">
            <w:pPr>
              <w:pStyle w:val="BodyText-BarcRA290"/>
              <w:spacing w:before="15" w:after="15"/>
              <w:jc w:val="center"/>
              <w:rPr>
                <w:b/>
              </w:rPr>
            </w:pPr>
            <w:r w:rsidRPr="00491918">
              <w:rPr>
                <w:b/>
              </w:rPr>
              <w:t>Page</w:t>
            </w:r>
          </w:p>
        </w:tc>
      </w:tr>
      <w:tr w:rsidR="000D1659" w:rsidRPr="00491918" w:rsidTr="000D1659">
        <w:trPr>
          <w:trHeight w:val="216"/>
        </w:trPr>
        <w:tc>
          <w:tcPr>
            <w:tcW w:w="5355" w:type="dxa"/>
            <w:tcBorders>
              <w:top w:val="nil"/>
              <w:left w:val="nil"/>
              <w:bottom w:val="single" w:sz="4" w:space="0" w:color="969696"/>
              <w:right w:val="nil"/>
            </w:tcBorders>
            <w:shd w:val="clear" w:color="auto" w:fill="FFFFFF"/>
            <w:vAlign w:val="center"/>
          </w:tcPr>
          <w:p w:rsidR="000D1659" w:rsidRPr="00491918" w:rsidRDefault="000D1659">
            <w:pPr>
              <w:pStyle w:val="BodyText-BarcRA290"/>
              <w:spacing w:before="15" w:after="15"/>
              <w:jc w:val="left"/>
              <w:rPr>
                <w:b/>
              </w:rPr>
            </w:pPr>
            <w:r w:rsidRPr="00491918">
              <w:rPr>
                <w:b/>
              </w:rPr>
              <w:t>Funding Risk</w:t>
            </w:r>
          </w:p>
        </w:tc>
        <w:tc>
          <w:tcPr>
            <w:tcW w:w="236" w:type="dxa"/>
            <w:shd w:val="clear" w:color="auto" w:fill="FFFFFF"/>
          </w:tcPr>
          <w:p w:rsidR="000D1659" w:rsidRPr="00491918" w:rsidRDefault="000D1659">
            <w:pPr>
              <w:pStyle w:val="BodyText-BarcRA290"/>
              <w:spacing w:before="15" w:after="15"/>
              <w:rPr>
                <w:b/>
              </w:rPr>
            </w:pPr>
          </w:p>
        </w:tc>
        <w:tc>
          <w:tcPr>
            <w:tcW w:w="3544" w:type="dxa"/>
            <w:tcBorders>
              <w:top w:val="nil"/>
              <w:left w:val="nil"/>
              <w:bottom w:val="single" w:sz="4" w:space="0" w:color="969696"/>
              <w:right w:val="nil"/>
            </w:tcBorders>
            <w:shd w:val="clear" w:color="auto" w:fill="FFFFFF"/>
            <w:vAlign w:val="center"/>
          </w:tcPr>
          <w:p w:rsidR="000D1659" w:rsidRPr="00491918" w:rsidRDefault="000D1659">
            <w:pPr>
              <w:pStyle w:val="BodyText-BarcRA290"/>
              <w:spacing w:before="15" w:after="15"/>
              <w:rPr>
                <w:b/>
              </w:rPr>
            </w:pPr>
          </w:p>
        </w:tc>
        <w:tc>
          <w:tcPr>
            <w:tcW w:w="612" w:type="dxa"/>
            <w:tcBorders>
              <w:top w:val="nil"/>
              <w:left w:val="nil"/>
              <w:bottom w:val="single" w:sz="4" w:space="0" w:color="969696"/>
              <w:right w:val="nil"/>
            </w:tcBorders>
            <w:shd w:val="clear" w:color="auto" w:fill="FFFFFF"/>
            <w:vAlign w:val="center"/>
          </w:tcPr>
          <w:p w:rsidR="000D1659" w:rsidRPr="00491918" w:rsidRDefault="000D1659">
            <w:pPr>
              <w:pStyle w:val="BodyText-BarcRA290"/>
              <w:spacing w:before="15" w:after="15"/>
              <w:rPr>
                <w:b/>
              </w:rPr>
            </w:pPr>
          </w:p>
        </w:tc>
      </w:tr>
      <w:tr w:rsidR="000D1659" w:rsidRPr="00491918" w:rsidTr="000D1659">
        <w:trPr>
          <w:trHeight w:val="227"/>
        </w:trPr>
        <w:tc>
          <w:tcPr>
            <w:tcW w:w="5355"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Increasing capital requirements or changes to what is defined to constitute capital may constrain planned activities and increase costs and contribute to adverse impacts on earnings</w:t>
            </w:r>
          </w:p>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Maintaining capital strength. A material adverse deterioration in the Group’s financial performance can affect the Group’s capacity to support further capital deployment</w:t>
            </w:r>
          </w:p>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Changes in funding availability and costs may impact the Group’s ability to support normal business activity and meet liquidity regulatory requirements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Whilst the text for CRD IV has now been issued, significant risks remain both to its implementation and the additional finish applied to each country, e.g. early implementation of leverage ratios</w:t>
            </w:r>
          </w:p>
        </w:tc>
        <w:tc>
          <w:tcPr>
            <w:tcW w:w="236" w:type="dxa"/>
          </w:tcPr>
          <w:p w:rsidR="000D1659" w:rsidRPr="00491918" w:rsidRDefault="000D1659">
            <w:pPr>
              <w:pStyle w:val="Level1Bullet-BarcRA130"/>
              <w:tabs>
                <w:tab w:val="clear" w:pos="284"/>
                <w:tab w:val="left" w:pos="720"/>
              </w:tabs>
              <w:spacing w:before="50" w:after="0"/>
              <w:ind w:firstLine="0"/>
              <w:jc w:val="left"/>
              <w:rPr>
                <w:rFonts w:eastAsia="Expert Sans Regular" w:cs="Expert Sans Regular"/>
                <w:szCs w:val="24"/>
                <w:lang w:val="en-GB"/>
              </w:rPr>
            </w:pPr>
          </w:p>
        </w:tc>
        <w:tc>
          <w:tcPr>
            <w:tcW w:w="3544"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C</w:t>
            </w:r>
            <w:r w:rsidRPr="00491918">
              <w:t xml:space="preserve">apital </w:t>
            </w:r>
            <w:r w:rsidRPr="00491918">
              <w:rPr>
                <w:lang w:val="en-GB"/>
              </w:rPr>
              <w:t>resources</w:t>
            </w:r>
            <w:r w:rsidRPr="00491918">
              <w:t>, risk weighted assets</w:t>
            </w:r>
            <w:r w:rsidRPr="00491918">
              <w:rPr>
                <w:lang w:val="en-GB"/>
              </w:rPr>
              <w:t xml:space="preserve">, balance sheet </w:t>
            </w:r>
            <w:r w:rsidRPr="00491918">
              <w:t>leverage</w:t>
            </w:r>
            <w:r w:rsidRPr="00491918">
              <w:rPr>
                <w:lang w:val="en-GB"/>
              </w:rPr>
              <w:t xml:space="preserve"> and significant regulatory changes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rPr>
                <w:rFonts w:eastAsia="Expert Sans Regular" w:cs="Expert Sans Regular"/>
                <w:szCs w:val="24"/>
              </w:rPr>
            </w:pPr>
            <w:r w:rsidRPr="00491918">
              <w:rPr>
                <w:lang w:val="en-GB"/>
              </w:rPr>
              <w:t>Liquidity pool and funding structure</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rPr>
                <w:rFonts w:eastAsia="Expert Sans Regular" w:cs="Expert Sans Regular"/>
                <w:szCs w:val="24"/>
              </w:rPr>
            </w:pPr>
            <w:r w:rsidRPr="00491918">
              <w:rPr>
                <w:lang w:val="en-GB"/>
              </w:rPr>
              <w:t>Eurozone balance sheet redenomination risk</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rPr>
                <w:rFonts w:eastAsia="Expert Sans Regular" w:cs="Expert Sans Regular"/>
                <w:szCs w:val="24"/>
              </w:rPr>
            </w:pPr>
            <w:r w:rsidRPr="00491918">
              <w:rPr>
                <w:lang w:val="en-GB"/>
              </w:rPr>
              <w:t>Impact of CRD IV</w:t>
            </w:r>
          </w:p>
        </w:tc>
        <w:tc>
          <w:tcPr>
            <w:tcW w:w="612" w:type="dxa"/>
            <w:tcBorders>
              <w:top w:val="single" w:sz="4" w:space="0" w:color="969696"/>
              <w:left w:val="nil"/>
              <w:bottom w:val="single" w:sz="4" w:space="0" w:color="969696"/>
              <w:right w:val="nil"/>
            </w:tcBorders>
          </w:tcPr>
          <w:p w:rsidR="000D1659" w:rsidRPr="00491918" w:rsidRDefault="008D6001">
            <w:pPr>
              <w:pStyle w:val="BodyText-BarcRA290"/>
              <w:spacing w:before="30" w:after="0"/>
              <w:jc w:val="center"/>
              <w:rPr>
                <w:lang w:eastAsia="en-GB"/>
              </w:rPr>
            </w:pPr>
            <w:r w:rsidRPr="00491918">
              <w:rPr>
                <w:lang w:eastAsia="en-GB"/>
              </w:rPr>
              <w:t>46</w:t>
            </w:r>
          </w:p>
          <w:p w:rsidR="000D1659" w:rsidRPr="00491918" w:rsidRDefault="000D1659">
            <w:pPr>
              <w:pStyle w:val="BodyText-BarcRA290"/>
              <w:spacing w:before="30" w:after="0"/>
              <w:jc w:val="center"/>
              <w:rPr>
                <w:lang w:eastAsia="en-GB"/>
              </w:rPr>
            </w:pPr>
          </w:p>
          <w:p w:rsidR="008D6001" w:rsidRPr="00491918" w:rsidRDefault="008D6001">
            <w:pPr>
              <w:pStyle w:val="BodyText-BarcRA290"/>
              <w:spacing w:before="30" w:after="0"/>
              <w:jc w:val="center"/>
              <w:rPr>
                <w:lang w:eastAsia="en-GB"/>
              </w:rPr>
            </w:pPr>
          </w:p>
          <w:p w:rsidR="000D1659" w:rsidRPr="00491918" w:rsidRDefault="008D6001">
            <w:pPr>
              <w:pStyle w:val="BodyText-BarcRA290"/>
              <w:spacing w:before="30" w:after="0"/>
              <w:jc w:val="center"/>
              <w:rPr>
                <w:lang w:eastAsia="en-GB"/>
              </w:rPr>
            </w:pPr>
            <w:r w:rsidRPr="00491918">
              <w:rPr>
                <w:lang w:eastAsia="en-GB"/>
              </w:rPr>
              <w:t>56</w:t>
            </w:r>
          </w:p>
          <w:p w:rsidR="000D1659" w:rsidRPr="00491918" w:rsidRDefault="008D6001">
            <w:pPr>
              <w:pStyle w:val="BodyText-BarcRA290"/>
              <w:spacing w:before="30" w:after="0"/>
              <w:jc w:val="center"/>
              <w:rPr>
                <w:lang w:eastAsia="en-GB"/>
              </w:rPr>
            </w:pPr>
            <w:r w:rsidRPr="00491918">
              <w:rPr>
                <w:lang w:eastAsia="en-GB"/>
              </w:rPr>
              <w:t>93</w:t>
            </w:r>
          </w:p>
          <w:p w:rsidR="008D6001" w:rsidRPr="00491918" w:rsidRDefault="008D6001">
            <w:pPr>
              <w:pStyle w:val="BodyText-BarcRA290"/>
              <w:spacing w:before="30" w:after="0"/>
              <w:jc w:val="center"/>
              <w:rPr>
                <w:lang w:eastAsia="en-GB"/>
              </w:rPr>
            </w:pPr>
          </w:p>
          <w:p w:rsidR="000D1659" w:rsidRPr="00491918" w:rsidRDefault="008D6001">
            <w:pPr>
              <w:pStyle w:val="BodyText-BarcRA290"/>
              <w:spacing w:before="30" w:after="0"/>
              <w:jc w:val="center"/>
              <w:rPr>
                <w:lang w:eastAsia="en-GB"/>
              </w:rPr>
            </w:pPr>
            <w:r w:rsidRPr="00491918">
              <w:rPr>
                <w:lang w:eastAsia="en-GB"/>
              </w:rPr>
              <w:t>49</w:t>
            </w:r>
          </w:p>
        </w:tc>
      </w:tr>
      <w:tr w:rsidR="000D1659" w:rsidRPr="00491918" w:rsidTr="001E1EAB">
        <w:trPr>
          <w:trHeight w:val="153"/>
        </w:trPr>
        <w:tc>
          <w:tcPr>
            <w:tcW w:w="5355" w:type="dxa"/>
            <w:tcBorders>
              <w:top w:val="single" w:sz="4" w:space="0" w:color="969696"/>
              <w:left w:val="nil"/>
              <w:bottom w:val="single" w:sz="4" w:space="0" w:color="969696"/>
              <w:right w:val="nil"/>
            </w:tcBorders>
          </w:tcPr>
          <w:p w:rsidR="000D1659" w:rsidRPr="00491918" w:rsidRDefault="000D1659" w:rsidP="000D1659">
            <w:pPr>
              <w:pStyle w:val="BodyText-BarcRA290"/>
              <w:spacing w:before="15" w:after="15"/>
              <w:jc w:val="left"/>
              <w:rPr>
                <w:b/>
              </w:rPr>
            </w:pPr>
            <w:r w:rsidRPr="00491918">
              <w:rPr>
                <w:b/>
              </w:rPr>
              <w:t>Credit Risk</w:t>
            </w:r>
          </w:p>
        </w:tc>
        <w:tc>
          <w:tcPr>
            <w:tcW w:w="236" w:type="dxa"/>
            <w:tcBorders>
              <w:bottom w:val="single" w:sz="4" w:space="0" w:color="969696"/>
            </w:tcBorders>
          </w:tcPr>
          <w:p w:rsidR="000D1659" w:rsidRPr="00491918" w:rsidRDefault="000D1659">
            <w:pPr>
              <w:pStyle w:val="BodyText-BarcRA290"/>
              <w:spacing w:before="15" w:after="15"/>
              <w:jc w:val="left"/>
              <w:rPr>
                <w:b/>
              </w:rPr>
            </w:pPr>
          </w:p>
        </w:tc>
        <w:tc>
          <w:tcPr>
            <w:tcW w:w="3544" w:type="dxa"/>
            <w:tcBorders>
              <w:top w:val="single" w:sz="4" w:space="0" w:color="969696"/>
              <w:left w:val="nil"/>
              <w:bottom w:val="single" w:sz="4" w:space="0" w:color="969696"/>
              <w:right w:val="nil"/>
            </w:tcBorders>
            <w:vAlign w:val="center"/>
          </w:tcPr>
          <w:p w:rsidR="000D1659" w:rsidRPr="00491918" w:rsidRDefault="000D1659">
            <w:pPr>
              <w:pStyle w:val="BodyText-BarcRA290"/>
              <w:spacing w:before="15" w:after="15"/>
              <w:jc w:val="left"/>
              <w:rPr>
                <w:b/>
              </w:rPr>
            </w:pPr>
          </w:p>
        </w:tc>
        <w:tc>
          <w:tcPr>
            <w:tcW w:w="612" w:type="dxa"/>
            <w:tcBorders>
              <w:top w:val="single" w:sz="4" w:space="0" w:color="969696"/>
              <w:left w:val="nil"/>
              <w:bottom w:val="single" w:sz="4" w:space="0" w:color="969696"/>
              <w:right w:val="nil"/>
            </w:tcBorders>
          </w:tcPr>
          <w:p w:rsidR="000D1659" w:rsidRPr="00491918" w:rsidRDefault="000D1659">
            <w:pPr>
              <w:pStyle w:val="BodyText-BarcRA290"/>
              <w:spacing w:before="15" w:after="15"/>
              <w:jc w:val="center"/>
              <w:rPr>
                <w:b/>
              </w:rPr>
            </w:pPr>
          </w:p>
        </w:tc>
      </w:tr>
      <w:tr w:rsidR="000D1659" w:rsidRPr="00491918" w:rsidTr="001E1EAB">
        <w:trPr>
          <w:trHeight w:val="1697"/>
        </w:trPr>
        <w:tc>
          <w:tcPr>
            <w:tcW w:w="5355" w:type="dxa"/>
            <w:tcBorders>
              <w:top w:val="single" w:sz="4" w:space="0" w:color="969696"/>
              <w:left w:val="nil"/>
              <w:bottom w:val="single" w:sz="4" w:space="0" w:color="969696"/>
              <w:right w:val="nil"/>
            </w:tcBorders>
          </w:tcPr>
          <w:p w:rsidR="000D1659" w:rsidRPr="00491918" w:rsidRDefault="000D1659" w:rsidP="00CD39D9">
            <w:pPr>
              <w:pStyle w:val="Level1Bullet-BarcRA1300"/>
              <w:numPr>
                <w:ilvl w:val="0"/>
                <w:numId w:val="87"/>
              </w:numPr>
              <w:tabs>
                <w:tab w:val="num" w:pos="284"/>
              </w:tabs>
              <w:spacing w:before="40" w:after="0"/>
              <w:ind w:left="284" w:hanging="284"/>
              <w:jc w:val="left"/>
              <w:rPr>
                <w:lang w:val="en-GB"/>
              </w:rPr>
            </w:pPr>
            <w:r w:rsidRPr="00491918">
              <w:rPr>
                <w:lang w:val="en-GB"/>
              </w:rPr>
              <w:t>Near term economic performance across major geographies is expected to remain subdued, which may lead to material adverse impacts on the Group. The possibility of a slowing of monetary stimulus by one of more governments has increased the uncertainty</w:t>
            </w:r>
          </w:p>
          <w:p w:rsidR="000D1659" w:rsidRPr="00491918" w:rsidRDefault="000D1659" w:rsidP="00CD39D9">
            <w:pPr>
              <w:pStyle w:val="Level1Bullet-BarcRA1300"/>
              <w:numPr>
                <w:ilvl w:val="0"/>
                <w:numId w:val="88"/>
              </w:numPr>
              <w:tabs>
                <w:tab w:val="num" w:pos="284"/>
              </w:tabs>
              <w:spacing w:before="40" w:after="0"/>
              <w:ind w:left="284" w:hanging="284"/>
              <w:jc w:val="left"/>
              <w:rPr>
                <w:lang w:val="en-GB"/>
              </w:rPr>
            </w:pPr>
            <w:r w:rsidRPr="00491918">
              <w:rPr>
                <w:lang w:val="en-GB"/>
              </w:rPr>
              <w:t>The Group could be adversely impacted by deterioration in a country/region as a result of political unrest</w:t>
            </w:r>
          </w:p>
          <w:p w:rsidR="000D1659" w:rsidRPr="00491918" w:rsidRDefault="000D1659" w:rsidP="00CD39D9">
            <w:pPr>
              <w:pStyle w:val="Level1Bullet-BarcRA1300"/>
              <w:numPr>
                <w:ilvl w:val="0"/>
                <w:numId w:val="88"/>
              </w:numPr>
              <w:tabs>
                <w:tab w:val="num" w:pos="284"/>
              </w:tabs>
              <w:spacing w:before="40" w:after="0"/>
              <w:ind w:left="284" w:hanging="284"/>
              <w:jc w:val="left"/>
              <w:rPr>
                <w:lang w:val="en-GB"/>
              </w:rPr>
            </w:pPr>
            <w:r w:rsidRPr="00491918">
              <w:rPr>
                <w:lang w:val="en-GB"/>
              </w:rPr>
              <w:t>Possibility of further falls in residential property prices in the UK, South Africa and Western Europe. The UK interest only portfolio is particularly susceptible to weak property prices</w:t>
            </w:r>
          </w:p>
          <w:p w:rsidR="000D1659" w:rsidRPr="00491918" w:rsidRDefault="000D1659" w:rsidP="00CD39D9">
            <w:pPr>
              <w:pStyle w:val="Level1Bullet-BarcRA1300"/>
              <w:numPr>
                <w:ilvl w:val="0"/>
                <w:numId w:val="88"/>
              </w:numPr>
              <w:tabs>
                <w:tab w:val="num" w:pos="284"/>
              </w:tabs>
              <w:spacing w:before="40" w:after="0"/>
              <w:ind w:left="284" w:hanging="284"/>
              <w:jc w:val="left"/>
              <w:rPr>
                <w:lang w:val="en-GB"/>
              </w:rPr>
            </w:pPr>
            <w:r w:rsidRPr="00491918">
              <w:rPr>
                <w:lang w:val="en-GB"/>
              </w:rPr>
              <w:t xml:space="preserve">Risk of further draw down of unutilised limits by customers in financial difficulties in our Mortgage Current Accounts </w:t>
            </w:r>
          </w:p>
          <w:p w:rsidR="000D1659" w:rsidRPr="00491918" w:rsidRDefault="000D1659" w:rsidP="00CD39D9">
            <w:pPr>
              <w:pStyle w:val="Level1Bullet-BarcRA1300"/>
              <w:numPr>
                <w:ilvl w:val="0"/>
                <w:numId w:val="88"/>
              </w:numPr>
              <w:tabs>
                <w:tab w:val="num" w:pos="284"/>
              </w:tabs>
              <w:spacing w:before="40" w:after="0"/>
              <w:ind w:left="284" w:hanging="284"/>
              <w:jc w:val="left"/>
              <w:rPr>
                <w:lang w:val="en-GB"/>
              </w:rPr>
            </w:pPr>
            <w:r w:rsidRPr="00491918">
              <w:rPr>
                <w:lang w:val="en-GB"/>
              </w:rPr>
              <w:t>Impact of increased unemployment, rising inflation and potential interest rate rises in a number of countries in which the Group operates could adversely impact consumer debt affordability and corporate profitability</w:t>
            </w:r>
          </w:p>
          <w:p w:rsidR="000D1659" w:rsidRPr="00491918" w:rsidRDefault="000D1659" w:rsidP="00CD39D9">
            <w:pPr>
              <w:pStyle w:val="Level1Bullet-BarcRA1300"/>
              <w:numPr>
                <w:ilvl w:val="0"/>
                <w:numId w:val="88"/>
              </w:numPr>
              <w:tabs>
                <w:tab w:val="num" w:pos="284"/>
              </w:tabs>
              <w:spacing w:before="40" w:after="0"/>
              <w:ind w:left="284" w:hanging="284"/>
              <w:jc w:val="left"/>
              <w:rPr>
                <w:lang w:val="en-GB"/>
              </w:rPr>
            </w:pPr>
            <w:r w:rsidRPr="00491918">
              <w:rPr>
                <w:lang w:val="en-GB"/>
              </w:rPr>
              <w:t>The possibility of increased corporate tax receipts could reduce corporate cash flow for debt serviceability leading to weakening corporate credit quality</w:t>
            </w:r>
          </w:p>
          <w:p w:rsidR="000D1659" w:rsidRPr="00491918" w:rsidRDefault="000D1659" w:rsidP="00CD39D9">
            <w:pPr>
              <w:pStyle w:val="Level1Bullet-BarcRA1300"/>
              <w:numPr>
                <w:ilvl w:val="0"/>
                <w:numId w:val="88"/>
              </w:numPr>
              <w:tabs>
                <w:tab w:val="num" w:pos="284"/>
              </w:tabs>
              <w:spacing w:before="40" w:after="0"/>
              <w:ind w:left="284" w:hanging="284"/>
              <w:jc w:val="left"/>
              <w:rPr>
                <w:lang w:val="en-GB"/>
              </w:rPr>
            </w:pPr>
            <w:r w:rsidRPr="00491918">
              <w:rPr>
                <w:lang w:val="en-GB"/>
              </w:rPr>
              <w:t>Possibility of a Eurozone crisis remains with the risk of one or more countries reverting to a locally denominated currency. This could directly impact the Group should the value of assets and liabilities be affected differently</w:t>
            </w:r>
          </w:p>
          <w:p w:rsidR="000D1659" w:rsidRPr="00491918" w:rsidRDefault="000D1659" w:rsidP="00CD39D9">
            <w:pPr>
              <w:pStyle w:val="Level1Bullet-BarcRA1300"/>
              <w:numPr>
                <w:ilvl w:val="0"/>
                <w:numId w:val="88"/>
              </w:numPr>
              <w:tabs>
                <w:tab w:val="num" w:pos="284"/>
              </w:tabs>
              <w:spacing w:before="40" w:after="0"/>
              <w:ind w:left="284" w:hanging="284"/>
              <w:jc w:val="left"/>
              <w:rPr>
                <w:lang w:val="en-GB"/>
              </w:rPr>
            </w:pPr>
            <w:r w:rsidRPr="00491918">
              <w:rPr>
                <w:lang w:val="en-GB"/>
              </w:rPr>
              <w:t>Impact of potentially deteriorating sovereign credit quality, particularly debt servicing and refinancing capability</w:t>
            </w:r>
          </w:p>
          <w:p w:rsidR="000D1659" w:rsidRPr="00491918" w:rsidRDefault="000D1659" w:rsidP="00CD39D9">
            <w:pPr>
              <w:pStyle w:val="Level1Bullet-BarcRA1300"/>
              <w:numPr>
                <w:ilvl w:val="0"/>
                <w:numId w:val="87"/>
              </w:numPr>
              <w:tabs>
                <w:tab w:val="num" w:pos="284"/>
              </w:tabs>
              <w:spacing w:before="40" w:after="0"/>
              <w:ind w:left="284" w:hanging="284"/>
              <w:jc w:val="left"/>
              <w:rPr>
                <w:lang w:val="en-GB"/>
              </w:rPr>
            </w:pPr>
            <w:r w:rsidRPr="00491918">
              <w:rPr>
                <w:lang w:val="en-GB"/>
              </w:rPr>
              <w:t>Large single name losses and deterioration in specific sectors and geographies and deterioration in the Legacy portfolio</w:t>
            </w:r>
          </w:p>
        </w:tc>
        <w:tc>
          <w:tcPr>
            <w:tcW w:w="236" w:type="dxa"/>
            <w:tcBorders>
              <w:top w:val="single" w:sz="4" w:space="0" w:color="969696"/>
              <w:bottom w:val="single" w:sz="4" w:space="0" w:color="969696"/>
            </w:tcBorders>
          </w:tcPr>
          <w:p w:rsidR="000D1659" w:rsidRPr="00491918" w:rsidRDefault="000D1659">
            <w:pPr>
              <w:pStyle w:val="Level1Bullet-BarcRA130"/>
              <w:tabs>
                <w:tab w:val="clear" w:pos="284"/>
                <w:tab w:val="left" w:pos="720"/>
              </w:tabs>
              <w:spacing w:before="50" w:after="0"/>
              <w:ind w:firstLine="0"/>
              <w:jc w:val="left"/>
              <w:rPr>
                <w:rFonts w:eastAsia="Expert Sans Regular" w:cs="Expert Sans Regular"/>
                <w:szCs w:val="24"/>
                <w:lang w:val="en-GB"/>
              </w:rPr>
            </w:pPr>
          </w:p>
        </w:tc>
        <w:tc>
          <w:tcPr>
            <w:tcW w:w="3544"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6"/>
              </w:numPr>
              <w:tabs>
                <w:tab w:val="clear" w:pos="720"/>
                <w:tab w:val="num" w:pos="284"/>
              </w:tabs>
              <w:spacing w:before="50" w:after="0"/>
              <w:ind w:left="284" w:hanging="284"/>
              <w:jc w:val="left"/>
              <w:rPr>
                <w:lang w:val="en-GB" w:eastAsia="en-GB"/>
              </w:rPr>
            </w:pPr>
            <w:r w:rsidRPr="00491918">
              <w:rPr>
                <w:lang w:val="en-GB"/>
              </w:rPr>
              <w:t>T</w:t>
            </w:r>
            <w:r w:rsidRPr="00491918">
              <w:t>otal assets by valuation basis and underlying asset class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L</w:t>
            </w:r>
            <w:r w:rsidRPr="00491918">
              <w:t>oans and advances to customers and banks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 xml:space="preserve">Impairment, potential credit risk loans and coverage ratios </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 xml:space="preserve">Retail credit risk </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 xml:space="preserve">Wholesale credit risk </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 xml:space="preserve">Group exposures </w:t>
            </w:r>
            <w:r w:rsidRPr="00491918">
              <w:rPr>
                <w:lang w:val="en-GB"/>
              </w:rPr>
              <w:t>to</w:t>
            </w:r>
            <w:r w:rsidRPr="00491918">
              <w:t xml:space="preserve"> </w:t>
            </w:r>
            <w:r w:rsidRPr="00491918">
              <w:rPr>
                <w:lang w:val="en-GB"/>
              </w:rPr>
              <w:t xml:space="preserve">Eurozone </w:t>
            </w:r>
            <w:r w:rsidRPr="00491918">
              <w:t>countries</w:t>
            </w:r>
          </w:p>
        </w:tc>
        <w:tc>
          <w:tcPr>
            <w:tcW w:w="612" w:type="dxa"/>
            <w:tcBorders>
              <w:top w:val="single" w:sz="4" w:space="0" w:color="969696"/>
              <w:left w:val="nil"/>
              <w:bottom w:val="single" w:sz="4" w:space="0" w:color="969696"/>
              <w:right w:val="nil"/>
            </w:tcBorders>
          </w:tcPr>
          <w:p w:rsidR="000D1659" w:rsidRPr="00491918" w:rsidRDefault="008D6001" w:rsidP="008D6001">
            <w:pPr>
              <w:pStyle w:val="BodyText-BarcRA290"/>
              <w:spacing w:before="50" w:after="0"/>
              <w:jc w:val="center"/>
            </w:pPr>
            <w:r w:rsidRPr="00491918">
              <w:t>63</w:t>
            </w:r>
          </w:p>
          <w:p w:rsidR="000D1659" w:rsidRPr="00491918" w:rsidRDefault="000D1659" w:rsidP="008D6001">
            <w:pPr>
              <w:pStyle w:val="BodyText-BarcRA290"/>
              <w:spacing w:before="0" w:after="0"/>
              <w:jc w:val="center"/>
            </w:pPr>
          </w:p>
          <w:p w:rsidR="000D1659" w:rsidRPr="00491918" w:rsidRDefault="008D6001" w:rsidP="008D6001">
            <w:pPr>
              <w:pStyle w:val="BodyText-BarcRA290"/>
              <w:spacing w:before="50" w:after="0"/>
              <w:jc w:val="center"/>
            </w:pPr>
            <w:r w:rsidRPr="00491918">
              <w:t>64</w:t>
            </w:r>
          </w:p>
          <w:p w:rsidR="000D1659" w:rsidRPr="00491918" w:rsidRDefault="000D1659" w:rsidP="008D6001">
            <w:pPr>
              <w:pStyle w:val="BodyText-BarcRA290"/>
              <w:spacing w:before="0" w:after="0"/>
              <w:jc w:val="center"/>
              <w:rPr>
                <w:sz w:val="24"/>
              </w:rPr>
            </w:pPr>
          </w:p>
          <w:p w:rsidR="000D1659" w:rsidRPr="00491918" w:rsidRDefault="008D6001" w:rsidP="008D6001">
            <w:pPr>
              <w:pStyle w:val="BodyText-BarcRA290"/>
              <w:spacing w:before="50" w:after="0"/>
              <w:jc w:val="center"/>
            </w:pPr>
            <w:r w:rsidRPr="00491918">
              <w:t>66</w:t>
            </w:r>
          </w:p>
          <w:p w:rsidR="008D6001" w:rsidRPr="00491918" w:rsidRDefault="008D6001" w:rsidP="008D6001">
            <w:pPr>
              <w:pStyle w:val="BodyText-BarcRA290"/>
              <w:spacing w:before="30" w:after="0"/>
              <w:jc w:val="center"/>
            </w:pPr>
          </w:p>
          <w:p w:rsidR="000D1659" w:rsidRPr="00491918" w:rsidRDefault="008D6001" w:rsidP="008D6001">
            <w:pPr>
              <w:pStyle w:val="BodyText-BarcRA290"/>
              <w:spacing w:before="30" w:after="0"/>
              <w:jc w:val="center"/>
            </w:pPr>
            <w:r w:rsidRPr="00491918">
              <w:t>69</w:t>
            </w:r>
          </w:p>
          <w:p w:rsidR="008D6001" w:rsidRPr="00491918" w:rsidRDefault="008D6001" w:rsidP="008D6001">
            <w:pPr>
              <w:pStyle w:val="BodyText-BarcRA290"/>
              <w:spacing w:before="30" w:after="0"/>
              <w:jc w:val="center"/>
              <w:rPr>
                <w:sz w:val="4"/>
              </w:rPr>
            </w:pPr>
          </w:p>
          <w:p w:rsidR="008D6001" w:rsidRPr="00491918" w:rsidRDefault="008D6001" w:rsidP="008D6001">
            <w:pPr>
              <w:pStyle w:val="BodyText-BarcRA290"/>
              <w:spacing w:before="30" w:after="0"/>
              <w:jc w:val="center"/>
            </w:pPr>
            <w:r w:rsidRPr="00491918">
              <w:t>80</w:t>
            </w:r>
          </w:p>
          <w:p w:rsidR="000D1659" w:rsidRPr="00491918" w:rsidRDefault="008D6001" w:rsidP="008D6001">
            <w:pPr>
              <w:pStyle w:val="BodyText-BarcRA290"/>
              <w:spacing w:before="50" w:after="0"/>
              <w:jc w:val="center"/>
            </w:pPr>
            <w:r w:rsidRPr="00491918">
              <w:t>85</w:t>
            </w:r>
          </w:p>
          <w:p w:rsidR="000D1659" w:rsidRPr="00491918" w:rsidRDefault="000D1659" w:rsidP="008D6001">
            <w:pPr>
              <w:pStyle w:val="BodyText-BarcRA290"/>
              <w:spacing w:before="0" w:after="0"/>
              <w:jc w:val="center"/>
            </w:pPr>
          </w:p>
          <w:p w:rsidR="000D1659" w:rsidRPr="00491918" w:rsidRDefault="000D1659">
            <w:pPr>
              <w:pStyle w:val="BodyText-BarcRA290"/>
              <w:spacing w:before="280" w:after="0"/>
              <w:jc w:val="center"/>
            </w:pPr>
          </w:p>
        </w:tc>
      </w:tr>
    </w:tbl>
    <w:p w:rsidR="000B3F05" w:rsidRPr="00491918" w:rsidRDefault="000B3F05">
      <w:r w:rsidRPr="00491918">
        <w:br w:type="page"/>
      </w:r>
    </w:p>
    <w:p w:rsidR="000D76A8" w:rsidRPr="00491918" w:rsidRDefault="000D76A8" w:rsidP="000D76A8">
      <w:pPr>
        <w:pStyle w:val="HeadingLevel1-BarcRA24"/>
      </w:pPr>
      <w:r w:rsidRPr="00491918">
        <w:lastRenderedPageBreak/>
        <w:t>Risk Management</w:t>
      </w:r>
    </w:p>
    <w:p w:rsidR="000D76A8" w:rsidRPr="00491918" w:rsidRDefault="000D76A8"/>
    <w:tbl>
      <w:tblPr>
        <w:tblW w:w="9747" w:type="dxa"/>
        <w:tblBorders>
          <w:insideH w:val="single" w:sz="4" w:space="0" w:color="969696"/>
        </w:tblBorders>
        <w:tblLayout w:type="fixed"/>
        <w:tblLook w:val="04A0" w:firstRow="1" w:lastRow="0" w:firstColumn="1" w:lastColumn="0" w:noHBand="0" w:noVBand="1"/>
      </w:tblPr>
      <w:tblGrid>
        <w:gridCol w:w="5355"/>
        <w:gridCol w:w="236"/>
        <w:gridCol w:w="3544"/>
        <w:gridCol w:w="612"/>
      </w:tblGrid>
      <w:tr w:rsidR="000D1659" w:rsidRPr="00491918" w:rsidTr="001E1EAB">
        <w:trPr>
          <w:trHeight w:val="227"/>
        </w:trPr>
        <w:tc>
          <w:tcPr>
            <w:tcW w:w="5355" w:type="dxa"/>
            <w:tcBorders>
              <w:top w:val="single" w:sz="4" w:space="0" w:color="969696"/>
              <w:left w:val="nil"/>
              <w:bottom w:val="single" w:sz="4" w:space="0" w:color="969696"/>
              <w:right w:val="nil"/>
            </w:tcBorders>
          </w:tcPr>
          <w:p w:rsidR="000D1659" w:rsidRPr="00491918" w:rsidRDefault="000D1659" w:rsidP="000D1659">
            <w:pPr>
              <w:pStyle w:val="BodyText-BarcRA290"/>
              <w:spacing w:before="15" w:after="15"/>
              <w:jc w:val="left"/>
              <w:rPr>
                <w:b/>
              </w:rPr>
            </w:pPr>
            <w:r w:rsidRPr="00491918">
              <w:rPr>
                <w:b/>
              </w:rPr>
              <w:t>Market Risk</w:t>
            </w:r>
          </w:p>
        </w:tc>
        <w:tc>
          <w:tcPr>
            <w:tcW w:w="236" w:type="dxa"/>
            <w:tcBorders>
              <w:top w:val="single" w:sz="4" w:space="0" w:color="969696"/>
              <w:bottom w:val="single" w:sz="4" w:space="0" w:color="969696"/>
            </w:tcBorders>
          </w:tcPr>
          <w:p w:rsidR="000D1659" w:rsidRPr="00491918" w:rsidRDefault="000D1659">
            <w:pPr>
              <w:pStyle w:val="BodyText-BarcRA290"/>
              <w:spacing w:before="15" w:after="15"/>
              <w:jc w:val="left"/>
              <w:rPr>
                <w:b/>
              </w:rPr>
            </w:pPr>
          </w:p>
        </w:tc>
        <w:tc>
          <w:tcPr>
            <w:tcW w:w="3544" w:type="dxa"/>
            <w:tcBorders>
              <w:top w:val="single" w:sz="4" w:space="0" w:color="969696"/>
              <w:left w:val="nil"/>
              <w:bottom w:val="single" w:sz="4" w:space="0" w:color="969696"/>
              <w:right w:val="nil"/>
            </w:tcBorders>
            <w:vAlign w:val="center"/>
          </w:tcPr>
          <w:p w:rsidR="000D1659" w:rsidRPr="00491918" w:rsidRDefault="000D1659">
            <w:pPr>
              <w:pStyle w:val="BodyText-BarcRA290"/>
              <w:spacing w:before="15" w:after="15"/>
              <w:jc w:val="left"/>
              <w:rPr>
                <w:b/>
              </w:rPr>
            </w:pPr>
          </w:p>
        </w:tc>
        <w:tc>
          <w:tcPr>
            <w:tcW w:w="612" w:type="dxa"/>
            <w:tcBorders>
              <w:top w:val="single" w:sz="4" w:space="0" w:color="969696"/>
              <w:left w:val="nil"/>
              <w:bottom w:val="single" w:sz="4" w:space="0" w:color="969696"/>
              <w:right w:val="nil"/>
            </w:tcBorders>
          </w:tcPr>
          <w:p w:rsidR="000D1659" w:rsidRPr="00491918" w:rsidRDefault="000D1659">
            <w:pPr>
              <w:pStyle w:val="BodyText-BarcRA290"/>
              <w:spacing w:before="15" w:after="15"/>
              <w:jc w:val="center"/>
              <w:rPr>
                <w:b/>
              </w:rPr>
            </w:pPr>
          </w:p>
        </w:tc>
      </w:tr>
      <w:tr w:rsidR="000D1659" w:rsidRPr="00491918" w:rsidTr="001E1EAB">
        <w:trPr>
          <w:trHeight w:val="227"/>
        </w:trPr>
        <w:tc>
          <w:tcPr>
            <w:tcW w:w="5355"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A significant reduction in client volumes or market liquidity could result in lower fees and commission income and a longer time period between executing a client trade, closing out a hedge, or exiting a position arising from that trade</w:t>
            </w:r>
          </w:p>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Uncertain interest and exchange rate environment could adversely impact the Group, for example interest rate volatility can impact Barclays </w:t>
            </w:r>
            <w:r w:rsidRPr="00491918">
              <w:rPr>
                <w:rStyle w:val="Hyperlink0"/>
                <w:color w:val="auto"/>
                <w:u w:val="none"/>
              </w:rPr>
              <w:t>net interest margin</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rPr>
                <w:rFonts w:eastAsia="Expert Sans Regular" w:cs="Expert Sans Regular"/>
                <w:szCs w:val="24"/>
              </w:rPr>
            </w:pPr>
            <w:r w:rsidRPr="00491918">
              <w:rPr>
                <w:lang w:val="en-GB"/>
              </w:rPr>
              <w:t>Adverse movements between pension assets and liabilities for defined benefit pension schemes could contribute to a pension deficit</w:t>
            </w:r>
          </w:p>
        </w:tc>
        <w:tc>
          <w:tcPr>
            <w:tcW w:w="236" w:type="dxa"/>
            <w:tcBorders>
              <w:top w:val="single" w:sz="4" w:space="0" w:color="969696"/>
            </w:tcBorders>
          </w:tcPr>
          <w:p w:rsidR="000D1659" w:rsidRPr="00491918" w:rsidRDefault="000D1659">
            <w:pPr>
              <w:pStyle w:val="Level1Bullet-BarcRA130"/>
              <w:tabs>
                <w:tab w:val="clear" w:pos="284"/>
                <w:tab w:val="left" w:pos="720"/>
              </w:tabs>
              <w:spacing w:before="50" w:after="0"/>
              <w:ind w:firstLine="0"/>
              <w:jc w:val="left"/>
              <w:rPr>
                <w:rFonts w:eastAsia="Expert Sans Regular" w:cs="Expert Sans Regular"/>
                <w:szCs w:val="24"/>
              </w:rPr>
            </w:pPr>
          </w:p>
        </w:tc>
        <w:tc>
          <w:tcPr>
            <w:tcW w:w="3544"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 xml:space="preserve">Analysis </w:t>
            </w:r>
            <w:r w:rsidRPr="00491918">
              <w:rPr>
                <w:lang w:val="en-GB"/>
              </w:rPr>
              <w:t>Investment Bank</w:t>
            </w:r>
            <w:r w:rsidRPr="00491918">
              <w:t>’s DvaR</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Analysis of interest margins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Retirement benefit liabilities</w:t>
            </w:r>
          </w:p>
        </w:tc>
        <w:tc>
          <w:tcPr>
            <w:tcW w:w="612" w:type="dxa"/>
            <w:tcBorders>
              <w:top w:val="single" w:sz="4" w:space="0" w:color="969696"/>
              <w:left w:val="nil"/>
              <w:bottom w:val="single" w:sz="4" w:space="0" w:color="969696"/>
              <w:right w:val="nil"/>
            </w:tcBorders>
          </w:tcPr>
          <w:p w:rsidR="008D6001" w:rsidRPr="00491918" w:rsidRDefault="008D6001" w:rsidP="008D6001">
            <w:pPr>
              <w:pStyle w:val="BodyText-BarcRA290"/>
              <w:spacing w:before="50" w:after="0"/>
              <w:jc w:val="center"/>
            </w:pPr>
            <w:r w:rsidRPr="00491918">
              <w:t>94</w:t>
            </w:r>
          </w:p>
          <w:p w:rsidR="008D6001" w:rsidRPr="00491918" w:rsidRDefault="008D6001" w:rsidP="008D6001">
            <w:pPr>
              <w:pStyle w:val="BodyText-BarcRA290"/>
              <w:spacing w:before="50" w:after="0"/>
              <w:jc w:val="center"/>
            </w:pPr>
            <w:r w:rsidRPr="00491918">
              <w:t>41</w:t>
            </w:r>
          </w:p>
          <w:p w:rsidR="008D6001" w:rsidRPr="00491918" w:rsidRDefault="008D6001" w:rsidP="008D6001">
            <w:pPr>
              <w:pStyle w:val="BodyText-BarcRA290"/>
              <w:spacing w:before="50" w:after="0"/>
              <w:jc w:val="center"/>
              <w:rPr>
                <w:sz w:val="2"/>
              </w:rPr>
            </w:pPr>
          </w:p>
          <w:p w:rsidR="008D6001" w:rsidRPr="00491918" w:rsidRDefault="008D6001" w:rsidP="008D6001">
            <w:pPr>
              <w:pStyle w:val="BodyText-BarcRA290"/>
              <w:spacing w:before="50" w:after="0"/>
              <w:jc w:val="center"/>
            </w:pPr>
            <w:r w:rsidRPr="00491918">
              <w:t>119</w:t>
            </w:r>
          </w:p>
          <w:p w:rsidR="000D1659" w:rsidRPr="00491918" w:rsidRDefault="000D1659" w:rsidP="008D6001">
            <w:pPr>
              <w:pStyle w:val="BodyText-BarcRA290"/>
              <w:spacing w:before="50" w:after="0"/>
              <w:jc w:val="center"/>
            </w:pPr>
          </w:p>
        </w:tc>
      </w:tr>
      <w:tr w:rsidR="000D1659" w:rsidRPr="00491918" w:rsidTr="000D1659">
        <w:trPr>
          <w:trHeight w:val="227"/>
        </w:trPr>
        <w:tc>
          <w:tcPr>
            <w:tcW w:w="5355" w:type="dxa"/>
            <w:tcBorders>
              <w:top w:val="single" w:sz="4" w:space="0" w:color="969696"/>
              <w:left w:val="nil"/>
              <w:bottom w:val="single" w:sz="4" w:space="0" w:color="969696"/>
              <w:right w:val="nil"/>
            </w:tcBorders>
          </w:tcPr>
          <w:p w:rsidR="000D1659" w:rsidRPr="00491918" w:rsidRDefault="000D1659" w:rsidP="000D1659">
            <w:pPr>
              <w:pStyle w:val="BodyText-BarcRA290"/>
              <w:spacing w:before="15" w:after="15"/>
              <w:jc w:val="left"/>
              <w:rPr>
                <w:b/>
              </w:rPr>
            </w:pPr>
            <w:r w:rsidRPr="00491918">
              <w:rPr>
                <w:b/>
              </w:rPr>
              <w:t>Operational Risk</w:t>
            </w:r>
          </w:p>
        </w:tc>
        <w:tc>
          <w:tcPr>
            <w:tcW w:w="236" w:type="dxa"/>
          </w:tcPr>
          <w:p w:rsidR="000D1659" w:rsidRPr="00491918" w:rsidRDefault="000D1659">
            <w:pPr>
              <w:pStyle w:val="BodyText-BarcRA290"/>
              <w:spacing w:before="15" w:after="15"/>
              <w:jc w:val="left"/>
              <w:rPr>
                <w:b/>
              </w:rPr>
            </w:pPr>
          </w:p>
        </w:tc>
        <w:tc>
          <w:tcPr>
            <w:tcW w:w="3544" w:type="dxa"/>
            <w:tcBorders>
              <w:top w:val="single" w:sz="4" w:space="0" w:color="969696"/>
              <w:left w:val="nil"/>
              <w:bottom w:val="single" w:sz="4" w:space="0" w:color="969696"/>
              <w:right w:val="nil"/>
            </w:tcBorders>
            <w:vAlign w:val="center"/>
          </w:tcPr>
          <w:p w:rsidR="000D1659" w:rsidRPr="00491918" w:rsidRDefault="000D1659">
            <w:pPr>
              <w:pStyle w:val="BodyText-BarcRA290"/>
              <w:spacing w:before="15" w:after="15"/>
              <w:jc w:val="left"/>
              <w:rPr>
                <w:b/>
              </w:rPr>
            </w:pPr>
          </w:p>
        </w:tc>
        <w:tc>
          <w:tcPr>
            <w:tcW w:w="612" w:type="dxa"/>
            <w:tcBorders>
              <w:top w:val="single" w:sz="4" w:space="0" w:color="969696"/>
              <w:left w:val="nil"/>
              <w:bottom w:val="single" w:sz="4" w:space="0" w:color="969696"/>
              <w:right w:val="nil"/>
            </w:tcBorders>
          </w:tcPr>
          <w:p w:rsidR="000D1659" w:rsidRPr="00491918" w:rsidRDefault="000D1659">
            <w:pPr>
              <w:pStyle w:val="BodyText-BarcRA290"/>
              <w:spacing w:before="15" w:after="15"/>
              <w:jc w:val="center"/>
              <w:rPr>
                <w:b/>
              </w:rPr>
            </w:pPr>
          </w:p>
        </w:tc>
      </w:tr>
      <w:tr w:rsidR="000D1659" w:rsidRPr="00491918" w:rsidTr="000D1659">
        <w:trPr>
          <w:trHeight w:val="227"/>
        </w:trPr>
        <w:tc>
          <w:tcPr>
            <w:tcW w:w="5355"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The industry continues to be subject to unprecedented levels of regulatory change and scrutiny in many of the countries in which the Group operates with past business reviews and the new legislation/regulatory frameworks d</w:t>
            </w:r>
            <w:r w:rsidR="00285FBB" w:rsidRPr="00491918">
              <w:rPr>
                <w:lang w:val="en-GB"/>
              </w:rPr>
              <w:t>riving heightened risk exposure</w:t>
            </w:r>
            <w:r w:rsidRPr="00491918">
              <w:rPr>
                <w:lang w:val="en-GB"/>
              </w:rPr>
              <w:t xml:space="preserve"> </w:t>
            </w:r>
          </w:p>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The Group is subject to a comprehensive range of legal obligations and is operating in an increasingly litigious environment</w:t>
            </w:r>
          </w:p>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Increasing risk of cyber attacks to IT systems both in quantity and sophistication</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The Transform agenda is driving a period of significant strategic and organisational change, which in the short term, during implementation, may heighten operational risk exposure</w:t>
            </w:r>
          </w:p>
        </w:tc>
        <w:tc>
          <w:tcPr>
            <w:tcW w:w="236" w:type="dxa"/>
            <w:tcBorders>
              <w:bottom w:val="single" w:sz="4" w:space="0" w:color="969696"/>
            </w:tcBorders>
          </w:tcPr>
          <w:p w:rsidR="000D1659" w:rsidRPr="00491918" w:rsidRDefault="000D1659">
            <w:pPr>
              <w:pStyle w:val="Level1Bullet-BarcRA130"/>
              <w:tabs>
                <w:tab w:val="clear" w:pos="284"/>
                <w:tab w:val="left" w:pos="720"/>
              </w:tabs>
              <w:spacing w:before="50" w:after="0"/>
              <w:ind w:firstLine="0"/>
              <w:jc w:val="left"/>
              <w:rPr>
                <w:rFonts w:eastAsia="Expert Sans Regular" w:cs="Expert Sans Regular"/>
                <w:szCs w:val="24"/>
              </w:rPr>
            </w:pPr>
          </w:p>
        </w:tc>
        <w:tc>
          <w:tcPr>
            <w:tcW w:w="3544"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Significant litigation matters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 xml:space="preserve">Significant competition and </w:t>
            </w:r>
            <w:r w:rsidRPr="00491918">
              <w:t>regulatory matters</w:t>
            </w:r>
            <w:r w:rsidRPr="00491918">
              <w:rPr>
                <w:lang w:val="en-GB"/>
              </w:rPr>
              <w:t xml:space="preserve"> </w:t>
            </w:r>
          </w:p>
        </w:tc>
        <w:tc>
          <w:tcPr>
            <w:tcW w:w="612" w:type="dxa"/>
            <w:tcBorders>
              <w:top w:val="single" w:sz="4" w:space="0" w:color="969696"/>
              <w:left w:val="nil"/>
              <w:bottom w:val="single" w:sz="4" w:space="0" w:color="969696"/>
              <w:right w:val="nil"/>
            </w:tcBorders>
          </w:tcPr>
          <w:p w:rsidR="00B87EC7" w:rsidRPr="00491918" w:rsidRDefault="00B87EC7">
            <w:pPr>
              <w:pStyle w:val="BodyText-BarcRA290"/>
              <w:spacing w:before="50" w:after="0"/>
              <w:jc w:val="center"/>
              <w:rPr>
                <w:sz w:val="2"/>
                <w:szCs w:val="2"/>
              </w:rPr>
            </w:pPr>
          </w:p>
          <w:p w:rsidR="000D1659" w:rsidRPr="00491918" w:rsidRDefault="001E1EAB">
            <w:pPr>
              <w:pStyle w:val="BodyText-BarcRA290"/>
              <w:spacing w:before="50" w:after="0"/>
              <w:jc w:val="center"/>
            </w:pPr>
            <w:r w:rsidRPr="00491918">
              <w:t>122</w:t>
            </w:r>
          </w:p>
          <w:p w:rsidR="00B87EC7" w:rsidRPr="00491918" w:rsidRDefault="00B87EC7">
            <w:pPr>
              <w:pStyle w:val="Normal1100"/>
              <w:spacing w:before="50"/>
              <w:jc w:val="center"/>
              <w:rPr>
                <w:sz w:val="2"/>
              </w:rPr>
            </w:pPr>
          </w:p>
          <w:p w:rsidR="000D1659" w:rsidRPr="00491918" w:rsidRDefault="00B87EC7">
            <w:pPr>
              <w:pStyle w:val="Normal1100"/>
              <w:spacing w:before="50"/>
              <w:jc w:val="center"/>
            </w:pPr>
            <w:r w:rsidRPr="00491918">
              <w:t>126</w:t>
            </w:r>
          </w:p>
          <w:p w:rsidR="000D1659" w:rsidRPr="00491918" w:rsidRDefault="000D1659" w:rsidP="00B87EC7">
            <w:pPr>
              <w:pStyle w:val="Normal1100"/>
              <w:spacing w:before="50"/>
              <w:jc w:val="center"/>
            </w:pPr>
          </w:p>
        </w:tc>
      </w:tr>
      <w:tr w:rsidR="000D1659" w:rsidRPr="00491918" w:rsidTr="000D1659">
        <w:trPr>
          <w:trHeight w:val="227"/>
        </w:trPr>
        <w:tc>
          <w:tcPr>
            <w:tcW w:w="5355" w:type="dxa"/>
            <w:tcBorders>
              <w:top w:val="single" w:sz="4" w:space="0" w:color="969696"/>
              <w:left w:val="nil"/>
              <w:bottom w:val="single" w:sz="4" w:space="0" w:color="969696"/>
              <w:right w:val="nil"/>
            </w:tcBorders>
          </w:tcPr>
          <w:p w:rsidR="000D1659" w:rsidRPr="00491918" w:rsidRDefault="000D1659" w:rsidP="000D1659">
            <w:pPr>
              <w:pStyle w:val="Level1Bullet-BarcRA130"/>
              <w:spacing w:before="50" w:after="0"/>
              <w:jc w:val="left"/>
              <w:rPr>
                <w:b/>
                <w:lang w:val="en-GB"/>
              </w:rPr>
            </w:pPr>
            <w:r w:rsidRPr="00491918">
              <w:rPr>
                <w:b/>
                <w:lang w:val="en-GB"/>
              </w:rPr>
              <w:t>Reputation Risk</w:t>
            </w:r>
          </w:p>
        </w:tc>
        <w:tc>
          <w:tcPr>
            <w:tcW w:w="236" w:type="dxa"/>
            <w:tcBorders>
              <w:top w:val="single" w:sz="4" w:space="0" w:color="969696"/>
              <w:left w:val="nil"/>
              <w:bottom w:val="single" w:sz="4" w:space="0" w:color="969696"/>
              <w:right w:val="nil"/>
            </w:tcBorders>
          </w:tcPr>
          <w:p w:rsidR="000D1659" w:rsidRPr="00491918" w:rsidRDefault="000D1659" w:rsidP="000D1659">
            <w:pPr>
              <w:pStyle w:val="Level1Bullet-BarcRA130"/>
              <w:tabs>
                <w:tab w:val="left" w:pos="720"/>
              </w:tabs>
              <w:spacing w:before="50" w:after="0"/>
              <w:rPr>
                <w:rFonts w:eastAsia="Expert Sans Regular" w:cs="Expert Sans Regular"/>
                <w:b/>
                <w:szCs w:val="24"/>
              </w:rPr>
            </w:pPr>
          </w:p>
        </w:tc>
        <w:tc>
          <w:tcPr>
            <w:tcW w:w="3544" w:type="dxa"/>
            <w:tcBorders>
              <w:top w:val="single" w:sz="4" w:space="0" w:color="969696"/>
              <w:left w:val="nil"/>
              <w:bottom w:val="single" w:sz="4" w:space="0" w:color="969696"/>
              <w:right w:val="nil"/>
            </w:tcBorders>
          </w:tcPr>
          <w:p w:rsidR="000D1659" w:rsidRPr="00491918" w:rsidRDefault="000D1659" w:rsidP="000D1659">
            <w:pPr>
              <w:pStyle w:val="Level1Bullet-BarcRA130"/>
              <w:tabs>
                <w:tab w:val="clear" w:pos="284"/>
              </w:tabs>
              <w:spacing w:before="50" w:after="0"/>
              <w:ind w:firstLine="0"/>
              <w:jc w:val="left"/>
              <w:rPr>
                <w:b/>
              </w:rPr>
            </w:pPr>
          </w:p>
        </w:tc>
        <w:tc>
          <w:tcPr>
            <w:tcW w:w="612" w:type="dxa"/>
            <w:tcBorders>
              <w:top w:val="single" w:sz="4" w:space="0" w:color="969696"/>
              <w:left w:val="nil"/>
              <w:bottom w:val="single" w:sz="4" w:space="0" w:color="969696"/>
              <w:right w:val="nil"/>
            </w:tcBorders>
          </w:tcPr>
          <w:p w:rsidR="000D1659" w:rsidRPr="00491918" w:rsidRDefault="000D1659" w:rsidP="000D1659">
            <w:pPr>
              <w:pStyle w:val="BodyText-BarcRA290"/>
              <w:spacing w:before="50" w:after="0"/>
              <w:jc w:val="center"/>
              <w:rPr>
                <w:b/>
              </w:rPr>
            </w:pPr>
          </w:p>
        </w:tc>
      </w:tr>
      <w:tr w:rsidR="000D1659" w:rsidRPr="00491918" w:rsidTr="000D1659">
        <w:trPr>
          <w:trHeight w:val="227"/>
        </w:trPr>
        <w:tc>
          <w:tcPr>
            <w:tcW w:w="5355"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 xml:space="preserve">Impact on stakeholder trust and subsequent damage to Barclays’ reputation arising from failure or perceived failure to comply with required/stated standards or to behave in accordance with societal expectations. </w:t>
            </w:r>
          </w:p>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Cumulative adverse impact on Barclays reputation of legacy governance failures</w:t>
            </w:r>
          </w:p>
          <w:p w:rsidR="000D1659" w:rsidRPr="00491918" w:rsidRDefault="000D1659" w:rsidP="00CD39D9">
            <w:pPr>
              <w:pStyle w:val="Level1Bullet-BarcRA130"/>
              <w:numPr>
                <w:ilvl w:val="0"/>
                <w:numId w:val="85"/>
              </w:numPr>
              <w:tabs>
                <w:tab w:val="num" w:pos="284"/>
              </w:tabs>
              <w:spacing w:before="50" w:after="0"/>
              <w:ind w:left="284" w:hanging="284"/>
              <w:jc w:val="left"/>
              <w:rPr>
                <w:lang w:val="en-GB"/>
              </w:rPr>
            </w:pPr>
            <w:r w:rsidRPr="00491918">
              <w:rPr>
                <w:lang w:val="en-GB"/>
              </w:rPr>
              <w:t xml:space="preserve">Adverse impact on Barclays’ reputation and business success due to failure to identify and mitigate emerging reputational issues or events </w:t>
            </w:r>
          </w:p>
        </w:tc>
        <w:tc>
          <w:tcPr>
            <w:tcW w:w="236" w:type="dxa"/>
            <w:tcBorders>
              <w:top w:val="single" w:sz="4" w:space="0" w:color="969696"/>
              <w:left w:val="nil"/>
              <w:right w:val="nil"/>
            </w:tcBorders>
          </w:tcPr>
          <w:p w:rsidR="000D1659" w:rsidRPr="00491918" w:rsidRDefault="000D1659" w:rsidP="000D1659">
            <w:pPr>
              <w:pStyle w:val="Level1Bullet-BarcRA130"/>
              <w:tabs>
                <w:tab w:val="left" w:pos="720"/>
              </w:tabs>
              <w:spacing w:before="50" w:after="0"/>
              <w:rPr>
                <w:rFonts w:eastAsia="Expert Sans Regular" w:cs="Expert Sans Regular"/>
                <w:b/>
                <w:szCs w:val="24"/>
              </w:rPr>
            </w:pPr>
          </w:p>
        </w:tc>
        <w:tc>
          <w:tcPr>
            <w:tcW w:w="3544"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Significant litigation matters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rPr>
                <w:lang w:val="en-GB"/>
              </w:rPr>
              <w:t xml:space="preserve">Significant competition and </w:t>
            </w:r>
            <w:r w:rsidRPr="00491918">
              <w:t>regulatory matters</w:t>
            </w:r>
            <w:r w:rsidRPr="00491918">
              <w:rPr>
                <w:lang w:val="en-GB"/>
              </w:rPr>
              <w:t xml:space="preserve"> </w:t>
            </w:r>
          </w:p>
        </w:tc>
        <w:tc>
          <w:tcPr>
            <w:tcW w:w="612" w:type="dxa"/>
            <w:tcBorders>
              <w:top w:val="single" w:sz="4" w:space="0" w:color="969696"/>
              <w:left w:val="nil"/>
              <w:bottom w:val="single" w:sz="4" w:space="0" w:color="969696"/>
              <w:right w:val="nil"/>
            </w:tcBorders>
          </w:tcPr>
          <w:p w:rsidR="000D1659" w:rsidRPr="00491918" w:rsidRDefault="008D6001" w:rsidP="000D1659">
            <w:pPr>
              <w:pStyle w:val="BodyText-BarcRA290"/>
              <w:spacing w:before="50" w:after="0"/>
              <w:jc w:val="center"/>
            </w:pPr>
            <w:r w:rsidRPr="00491918">
              <w:t>122</w:t>
            </w:r>
          </w:p>
          <w:p w:rsidR="008D6001" w:rsidRPr="00491918" w:rsidRDefault="008D6001" w:rsidP="000D1659">
            <w:pPr>
              <w:pStyle w:val="Normal1100"/>
              <w:spacing w:before="50"/>
              <w:jc w:val="center"/>
              <w:rPr>
                <w:sz w:val="2"/>
                <w:szCs w:val="2"/>
              </w:rPr>
            </w:pPr>
          </w:p>
          <w:p w:rsidR="000D1659" w:rsidRPr="00491918" w:rsidRDefault="008D6001" w:rsidP="000D1659">
            <w:pPr>
              <w:pStyle w:val="Normal1100"/>
              <w:spacing w:before="50"/>
              <w:jc w:val="center"/>
            </w:pPr>
            <w:r w:rsidRPr="00491918">
              <w:t>126</w:t>
            </w:r>
          </w:p>
          <w:p w:rsidR="000D1659" w:rsidRPr="00491918" w:rsidRDefault="000D1659" w:rsidP="000D1659">
            <w:pPr>
              <w:pStyle w:val="Normal1100"/>
              <w:spacing w:before="50"/>
              <w:jc w:val="center"/>
            </w:pPr>
          </w:p>
          <w:p w:rsidR="000D1659" w:rsidRPr="00491918" w:rsidRDefault="000D1659" w:rsidP="000D1659">
            <w:pPr>
              <w:pStyle w:val="Normal1100"/>
              <w:spacing w:before="50"/>
              <w:jc w:val="center"/>
            </w:pPr>
          </w:p>
        </w:tc>
      </w:tr>
      <w:tr w:rsidR="000D1659" w:rsidRPr="00491918" w:rsidTr="000D1659">
        <w:trPr>
          <w:trHeight w:val="227"/>
        </w:trPr>
        <w:tc>
          <w:tcPr>
            <w:tcW w:w="5355" w:type="dxa"/>
            <w:tcBorders>
              <w:top w:val="single" w:sz="4" w:space="0" w:color="969696"/>
              <w:left w:val="nil"/>
              <w:bottom w:val="single" w:sz="4" w:space="0" w:color="969696"/>
              <w:right w:val="nil"/>
            </w:tcBorders>
          </w:tcPr>
          <w:p w:rsidR="000D1659" w:rsidRPr="00491918" w:rsidRDefault="000D1659" w:rsidP="000D1659">
            <w:pPr>
              <w:pStyle w:val="Level1Bullet-BarcRA130"/>
              <w:spacing w:before="50" w:after="0"/>
              <w:jc w:val="left"/>
              <w:rPr>
                <w:b/>
                <w:lang w:val="en-GB"/>
              </w:rPr>
            </w:pPr>
            <w:r w:rsidRPr="00491918">
              <w:rPr>
                <w:b/>
                <w:lang w:val="en-GB"/>
              </w:rPr>
              <w:t>Conduct Risk</w:t>
            </w:r>
          </w:p>
        </w:tc>
        <w:tc>
          <w:tcPr>
            <w:tcW w:w="236" w:type="dxa"/>
            <w:tcBorders>
              <w:top w:val="single" w:sz="4" w:space="0" w:color="969696"/>
              <w:left w:val="nil"/>
              <w:bottom w:val="single" w:sz="4" w:space="0" w:color="969696"/>
              <w:right w:val="nil"/>
            </w:tcBorders>
          </w:tcPr>
          <w:p w:rsidR="000D1659" w:rsidRPr="00491918" w:rsidRDefault="000D1659" w:rsidP="000D1659">
            <w:pPr>
              <w:pStyle w:val="Level1Bullet-BarcRA130"/>
              <w:tabs>
                <w:tab w:val="left" w:pos="720"/>
              </w:tabs>
              <w:spacing w:before="50" w:after="0"/>
              <w:rPr>
                <w:rFonts w:eastAsia="Expert Sans Regular" w:cs="Expert Sans Regular"/>
                <w:b/>
                <w:szCs w:val="24"/>
              </w:rPr>
            </w:pPr>
          </w:p>
        </w:tc>
        <w:tc>
          <w:tcPr>
            <w:tcW w:w="3544" w:type="dxa"/>
            <w:tcBorders>
              <w:top w:val="single" w:sz="4" w:space="0" w:color="969696"/>
              <w:left w:val="nil"/>
              <w:bottom w:val="single" w:sz="4" w:space="0" w:color="969696"/>
              <w:right w:val="nil"/>
            </w:tcBorders>
          </w:tcPr>
          <w:p w:rsidR="000D1659" w:rsidRPr="00491918" w:rsidRDefault="000D1659" w:rsidP="000D1659">
            <w:pPr>
              <w:pStyle w:val="Level1Bullet-BarcRA130"/>
              <w:tabs>
                <w:tab w:val="clear" w:pos="284"/>
              </w:tabs>
              <w:spacing w:before="50" w:after="0"/>
              <w:jc w:val="left"/>
              <w:rPr>
                <w:b/>
              </w:rPr>
            </w:pPr>
          </w:p>
        </w:tc>
        <w:tc>
          <w:tcPr>
            <w:tcW w:w="612" w:type="dxa"/>
            <w:tcBorders>
              <w:top w:val="single" w:sz="4" w:space="0" w:color="969696"/>
              <w:left w:val="nil"/>
              <w:bottom w:val="single" w:sz="4" w:space="0" w:color="969696"/>
              <w:right w:val="nil"/>
            </w:tcBorders>
          </w:tcPr>
          <w:p w:rsidR="000D1659" w:rsidRPr="00491918" w:rsidRDefault="000D1659" w:rsidP="000D1659">
            <w:pPr>
              <w:pStyle w:val="BodyText-BarcRA290"/>
              <w:spacing w:before="50" w:after="0"/>
              <w:jc w:val="center"/>
              <w:rPr>
                <w:b/>
              </w:rPr>
            </w:pPr>
          </w:p>
        </w:tc>
      </w:tr>
      <w:tr w:rsidR="000D1659" w:rsidRPr="00491918" w:rsidTr="000D1659">
        <w:trPr>
          <w:trHeight w:val="227"/>
        </w:trPr>
        <w:tc>
          <w:tcPr>
            <w:tcW w:w="5355"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9"/>
              </w:numPr>
              <w:tabs>
                <w:tab w:val="num" w:pos="284"/>
              </w:tabs>
              <w:spacing w:before="50" w:after="0"/>
              <w:ind w:left="284" w:hanging="284"/>
              <w:jc w:val="left"/>
              <w:rPr>
                <w:sz w:val="16"/>
                <w:szCs w:val="16"/>
              </w:rPr>
            </w:pPr>
            <w:r w:rsidRPr="00491918">
              <w:rPr>
                <w:lang w:val="en-GB"/>
              </w:rPr>
              <w:t>Detriment caused to our customers, clients or counterparties or Barclays and its employees arising from risk inherent in:</w:t>
            </w:r>
          </w:p>
          <w:p w:rsidR="000D1659" w:rsidRPr="00491918" w:rsidRDefault="000D1659" w:rsidP="00CD39D9">
            <w:pPr>
              <w:pStyle w:val="Level1Bullet-BarcRA130"/>
              <w:numPr>
                <w:ilvl w:val="1"/>
                <w:numId w:val="90"/>
              </w:numPr>
              <w:spacing w:before="50" w:after="0"/>
              <w:jc w:val="left"/>
              <w:rPr>
                <w:sz w:val="16"/>
                <w:szCs w:val="16"/>
              </w:rPr>
            </w:pPr>
            <w:r w:rsidRPr="00491918">
              <w:rPr>
                <w:lang w:val="en-GB"/>
              </w:rPr>
              <w:t>Business model and strategy</w:t>
            </w:r>
          </w:p>
          <w:p w:rsidR="000D1659" w:rsidRPr="00491918" w:rsidRDefault="000D1659" w:rsidP="00CD39D9">
            <w:pPr>
              <w:pStyle w:val="Level1Bullet-BarcRA130"/>
              <w:numPr>
                <w:ilvl w:val="1"/>
                <w:numId w:val="90"/>
              </w:numPr>
              <w:spacing w:before="50" w:after="0"/>
              <w:jc w:val="left"/>
              <w:rPr>
                <w:sz w:val="16"/>
                <w:szCs w:val="16"/>
              </w:rPr>
            </w:pPr>
            <w:r w:rsidRPr="00491918">
              <w:rPr>
                <w:lang w:val="en-GB"/>
              </w:rPr>
              <w:t>Governance and culture</w:t>
            </w:r>
          </w:p>
          <w:p w:rsidR="000D1659" w:rsidRPr="00491918" w:rsidRDefault="000D1659" w:rsidP="00CD39D9">
            <w:pPr>
              <w:pStyle w:val="Level1Bullet-BarcRA130"/>
              <w:numPr>
                <w:ilvl w:val="1"/>
                <w:numId w:val="90"/>
              </w:numPr>
              <w:spacing w:before="50" w:after="0"/>
              <w:jc w:val="left"/>
              <w:rPr>
                <w:sz w:val="16"/>
                <w:szCs w:val="16"/>
              </w:rPr>
            </w:pPr>
            <w:r w:rsidRPr="00491918">
              <w:rPr>
                <w:lang w:val="en-GB"/>
              </w:rPr>
              <w:t>Product and service design</w:t>
            </w:r>
          </w:p>
          <w:p w:rsidR="000D1659" w:rsidRPr="00491918" w:rsidRDefault="000D1659" w:rsidP="00CD39D9">
            <w:pPr>
              <w:pStyle w:val="Level1Bullet-BarcRA130"/>
              <w:numPr>
                <w:ilvl w:val="1"/>
                <w:numId w:val="90"/>
              </w:numPr>
              <w:spacing w:before="50" w:after="0"/>
              <w:jc w:val="left"/>
              <w:rPr>
                <w:sz w:val="16"/>
                <w:szCs w:val="16"/>
              </w:rPr>
            </w:pPr>
            <w:r w:rsidRPr="00491918">
              <w:rPr>
                <w:lang w:val="en-GB"/>
              </w:rPr>
              <w:t>Transaction services (suitability and sales process)</w:t>
            </w:r>
          </w:p>
          <w:p w:rsidR="000D1659" w:rsidRPr="00491918" w:rsidRDefault="000D1659" w:rsidP="00CD39D9">
            <w:pPr>
              <w:pStyle w:val="Level1Bullet-BarcRA130"/>
              <w:numPr>
                <w:ilvl w:val="1"/>
                <w:numId w:val="90"/>
              </w:numPr>
              <w:spacing w:before="50" w:after="0"/>
              <w:jc w:val="left"/>
              <w:rPr>
                <w:sz w:val="16"/>
                <w:szCs w:val="16"/>
              </w:rPr>
            </w:pPr>
            <w:r w:rsidRPr="00491918">
              <w:rPr>
                <w:lang w:val="en-GB"/>
              </w:rPr>
              <w:t>Customer servicing (post sales process)</w:t>
            </w:r>
          </w:p>
          <w:p w:rsidR="000D1659" w:rsidRPr="00491918" w:rsidRDefault="000D1659" w:rsidP="00CD39D9">
            <w:pPr>
              <w:pStyle w:val="Level1Bullet-BarcRA130"/>
              <w:numPr>
                <w:ilvl w:val="1"/>
                <w:numId w:val="90"/>
              </w:numPr>
              <w:spacing w:before="50" w:after="0"/>
              <w:jc w:val="left"/>
              <w:rPr>
                <w:sz w:val="16"/>
                <w:szCs w:val="16"/>
              </w:rPr>
            </w:pPr>
            <w:r w:rsidRPr="00491918">
              <w:rPr>
                <w:lang w:val="en-GB"/>
              </w:rPr>
              <w:t>Financial crime</w:t>
            </w:r>
          </w:p>
        </w:tc>
        <w:tc>
          <w:tcPr>
            <w:tcW w:w="236" w:type="dxa"/>
            <w:tcBorders>
              <w:top w:val="single" w:sz="4" w:space="0" w:color="969696"/>
              <w:left w:val="nil"/>
              <w:bottom w:val="single" w:sz="4" w:space="0" w:color="969696"/>
              <w:right w:val="nil"/>
            </w:tcBorders>
          </w:tcPr>
          <w:p w:rsidR="000D1659" w:rsidRPr="00491918" w:rsidRDefault="000D1659" w:rsidP="000D1659">
            <w:pPr>
              <w:pStyle w:val="Level1Bullet-BarcRA130"/>
              <w:tabs>
                <w:tab w:val="left" w:pos="720"/>
              </w:tabs>
              <w:spacing w:before="50" w:after="0"/>
              <w:rPr>
                <w:rFonts w:eastAsia="Expert Sans Regular" w:cs="Expert Sans Regular"/>
                <w:b/>
                <w:szCs w:val="24"/>
              </w:rPr>
            </w:pPr>
          </w:p>
        </w:tc>
        <w:tc>
          <w:tcPr>
            <w:tcW w:w="3544" w:type="dxa"/>
            <w:tcBorders>
              <w:top w:val="single" w:sz="4" w:space="0" w:color="969696"/>
              <w:left w:val="nil"/>
              <w:bottom w:val="single" w:sz="4" w:space="0" w:color="969696"/>
              <w:right w:val="nil"/>
            </w:tcBorders>
          </w:tcPr>
          <w:p w:rsidR="000D1659" w:rsidRPr="00491918" w:rsidRDefault="000D1659" w:rsidP="00CD39D9">
            <w:pPr>
              <w:pStyle w:val="Level1Bullet-BarcRA130"/>
              <w:numPr>
                <w:ilvl w:val="0"/>
                <w:numId w:val="86"/>
              </w:numPr>
              <w:tabs>
                <w:tab w:val="clear" w:pos="720"/>
                <w:tab w:val="num" w:pos="284"/>
              </w:tabs>
              <w:spacing w:before="50" w:after="0"/>
              <w:ind w:left="284" w:hanging="284"/>
              <w:jc w:val="left"/>
            </w:pPr>
            <w:r w:rsidRPr="00491918">
              <w:t>Significant litigation matters</w:t>
            </w:r>
          </w:p>
          <w:p w:rsidR="000D1659" w:rsidRPr="00491918" w:rsidRDefault="000D1659" w:rsidP="00CD39D9">
            <w:pPr>
              <w:pStyle w:val="Level1Bullet-BarcRA130"/>
              <w:numPr>
                <w:ilvl w:val="0"/>
                <w:numId w:val="86"/>
              </w:numPr>
              <w:tabs>
                <w:tab w:val="clear" w:pos="720"/>
                <w:tab w:val="num" w:pos="284"/>
              </w:tabs>
              <w:spacing w:before="50" w:after="0"/>
              <w:ind w:left="284" w:hanging="284"/>
              <w:jc w:val="left"/>
              <w:rPr>
                <w:b/>
              </w:rPr>
            </w:pPr>
            <w:r w:rsidRPr="00491918">
              <w:t>Significant competition and regulatory matters</w:t>
            </w:r>
          </w:p>
        </w:tc>
        <w:tc>
          <w:tcPr>
            <w:tcW w:w="612" w:type="dxa"/>
            <w:tcBorders>
              <w:top w:val="single" w:sz="4" w:space="0" w:color="969696"/>
              <w:left w:val="nil"/>
              <w:bottom w:val="single" w:sz="4" w:space="0" w:color="969696"/>
              <w:right w:val="nil"/>
            </w:tcBorders>
          </w:tcPr>
          <w:p w:rsidR="000D1659" w:rsidRPr="00491918" w:rsidRDefault="008D6001" w:rsidP="000D1659">
            <w:pPr>
              <w:pStyle w:val="BodyText-BarcRA290"/>
              <w:spacing w:before="50" w:after="0"/>
              <w:jc w:val="center"/>
            </w:pPr>
            <w:r w:rsidRPr="00491918">
              <w:t>122</w:t>
            </w:r>
          </w:p>
          <w:p w:rsidR="008D6001" w:rsidRPr="00491918" w:rsidRDefault="008D6001" w:rsidP="000D1659">
            <w:pPr>
              <w:pStyle w:val="BodyText-BarcRA290"/>
              <w:spacing w:before="50" w:after="0"/>
              <w:jc w:val="center"/>
              <w:rPr>
                <w:b/>
              </w:rPr>
            </w:pPr>
            <w:r w:rsidRPr="00491918">
              <w:t>126</w:t>
            </w:r>
          </w:p>
        </w:tc>
      </w:tr>
    </w:tbl>
    <w:p w:rsidR="000D1659" w:rsidRPr="00491918" w:rsidRDefault="000D1659" w:rsidP="000D1659">
      <w:pPr>
        <w:pStyle w:val="BodyText-BarcRA29"/>
      </w:pPr>
      <w:r w:rsidRPr="00491918">
        <w:t xml:space="preserve">The comparatives on pages </w:t>
      </w:r>
      <w:r w:rsidR="008D6001" w:rsidRPr="00491918">
        <w:t>16</w:t>
      </w:r>
      <w:r w:rsidRPr="00491918">
        <w:t xml:space="preserve"> to </w:t>
      </w:r>
      <w:r w:rsidR="008D6001" w:rsidRPr="00491918">
        <w:t>36</w:t>
      </w:r>
      <w:r w:rsidRPr="00491918">
        <w:t xml:space="preserve"> have been restated to reflect the implementation of IFRS 10 Consol</w:t>
      </w:r>
      <w:r w:rsidR="00285FBB" w:rsidRPr="00491918">
        <w:t>idated Financial Statements</w:t>
      </w:r>
      <w:r w:rsidR="0076224A" w:rsidRPr="00491918">
        <w:t>,</w:t>
      </w:r>
      <w:r w:rsidR="00285FBB" w:rsidRPr="00491918">
        <w:t xml:space="preserve"> </w:t>
      </w:r>
      <w:r w:rsidRPr="00491918">
        <w:t>IAS 19 Em</w:t>
      </w:r>
      <w:r w:rsidR="00285FBB" w:rsidRPr="00491918">
        <w:t xml:space="preserve">ployee Benefits (Revised 2011) and </w:t>
      </w:r>
      <w:r w:rsidRPr="00491918">
        <w:t>the reallocation of elements of Head Office results to businesses and portfolio restatements between businesses, as detailed in our announcement on 16 April 2013.</w:t>
      </w:r>
    </w:p>
    <w:p w:rsidR="000D76A8" w:rsidRPr="00491918" w:rsidRDefault="000D76A8" w:rsidP="000D1659">
      <w:pPr>
        <w:pStyle w:val="BodyText-BarcRA29"/>
      </w:pPr>
    </w:p>
    <w:p w:rsidR="000D76A8" w:rsidRPr="00491918" w:rsidRDefault="000D76A8" w:rsidP="000D1659">
      <w:pPr>
        <w:pStyle w:val="BodyText-BarcRA29"/>
      </w:pPr>
    </w:p>
    <w:p w:rsidR="000D76A8" w:rsidRPr="00491918" w:rsidRDefault="000D76A8" w:rsidP="000D1659">
      <w:pPr>
        <w:pStyle w:val="BodyText-BarcRA29"/>
      </w:pPr>
    </w:p>
    <w:p w:rsidR="000D1659" w:rsidRPr="00491918" w:rsidRDefault="000D1659"/>
    <w:p w:rsidR="00DA356B" w:rsidRPr="00491918" w:rsidRDefault="00DA356B" w:rsidP="000D76A8">
      <w:pPr>
        <w:pStyle w:val="HeadingLevel1-BarcRA26"/>
        <w:rPr>
          <w:lang w:val="en-GB"/>
        </w:rPr>
      </w:pPr>
    </w:p>
    <w:p w:rsidR="000D76A8" w:rsidRPr="00491918" w:rsidRDefault="000D76A8" w:rsidP="000D76A8">
      <w:pPr>
        <w:pStyle w:val="HeadingLevel1-BarcRA26"/>
        <w:rPr>
          <w:lang w:val="en-GB"/>
        </w:rPr>
      </w:pPr>
      <w:r w:rsidRPr="00491918">
        <w:rPr>
          <w:lang w:val="en-GB"/>
        </w:rPr>
        <w:t>Funding Risk</w:t>
      </w:r>
    </w:p>
    <w:tbl>
      <w:tblPr>
        <w:tblW w:w="0" w:type="auto"/>
        <w:tblLayout w:type="fixed"/>
        <w:tblLook w:val="0000" w:firstRow="0" w:lastRow="0" w:firstColumn="0" w:lastColumn="0" w:noHBand="0" w:noVBand="0"/>
      </w:tblPr>
      <w:tblGrid>
        <w:gridCol w:w="6270"/>
        <w:gridCol w:w="1125"/>
        <w:gridCol w:w="1125"/>
        <w:gridCol w:w="1125"/>
      </w:tblGrid>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r w:rsidRPr="00491918">
              <w:rPr>
                <w:b/>
                <w:color w:val="000000"/>
                <w:sz w:val="20"/>
              </w:rPr>
              <w:t>Key Capital Ratios</w:t>
            </w:r>
            <w:r w:rsidRPr="00491918">
              <w:rPr>
                <w:b/>
                <w:color w:val="000000"/>
                <w:sz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jc w:val="right"/>
              <w:rPr>
                <w:b/>
                <w:color w:val="000000"/>
                <w:sz w:val="20"/>
                <w:vertAlign w:val="superscript"/>
              </w:rPr>
            </w:pPr>
            <w:r w:rsidRPr="00491918">
              <w:rPr>
                <w:b/>
                <w:color w:val="000000"/>
                <w:sz w:val="16"/>
              </w:rPr>
              <w:t xml:space="preserve">As at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jc w:val="right"/>
              <w:rPr>
                <w:b/>
                <w:color w:val="000000"/>
                <w:sz w:val="16"/>
              </w:rPr>
            </w:pPr>
            <w:r w:rsidRPr="00491918">
              <w:rPr>
                <w:b/>
                <w:color w:val="000000"/>
                <w:sz w:val="16"/>
              </w:rPr>
              <w:t xml:space="preserve">As at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jc w:val="right"/>
              <w:rPr>
                <w:b/>
                <w:color w:val="000000"/>
                <w:sz w:val="16"/>
              </w:rPr>
            </w:pPr>
            <w:r w:rsidRPr="00491918">
              <w:rPr>
                <w:b/>
                <w:color w:val="000000"/>
                <w:sz w:val="16"/>
              </w:rPr>
              <w:t xml:space="preserve">As at </w:t>
            </w:r>
          </w:p>
        </w:tc>
      </w:tr>
      <w:tr w:rsidR="002F0500" w:rsidRPr="00491918" w:rsidTr="00E13878">
        <w:trPr>
          <w:trHeigh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2F0500" w:rsidRPr="00491918" w:rsidRDefault="002F0500" w:rsidP="00E13878">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2F0500" w:rsidRPr="00491918" w:rsidRDefault="002F0500" w:rsidP="00E13878">
            <w:pPr>
              <w:jc w:val="right"/>
              <w:rPr>
                <w:b/>
                <w:color w:val="000000"/>
                <w:sz w:val="16"/>
                <w:vertAlign w:val="superscript"/>
              </w:rPr>
            </w:pPr>
            <w:r w:rsidRPr="00491918">
              <w:rPr>
                <w:b/>
                <w:color w:val="000000"/>
                <w:sz w:val="16"/>
              </w:rPr>
              <w:t>30.06.13</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2F0500" w:rsidRPr="00491918" w:rsidRDefault="002F0500" w:rsidP="00E13878">
            <w:pPr>
              <w:jc w:val="right"/>
              <w:rPr>
                <w:b/>
                <w:color w:val="000000"/>
                <w:sz w:val="16"/>
              </w:rPr>
            </w:pPr>
            <w:r w:rsidRPr="00491918">
              <w:rPr>
                <w:b/>
                <w:color w:val="000000"/>
                <w:sz w:val="16"/>
              </w:rPr>
              <w:t>31.12.12</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2F0500" w:rsidRPr="00491918" w:rsidRDefault="002F0500" w:rsidP="00E13878">
            <w:pPr>
              <w:jc w:val="right"/>
              <w:rPr>
                <w:b/>
                <w:color w:val="000000"/>
                <w:sz w:val="16"/>
              </w:rPr>
            </w:pPr>
            <w:r w:rsidRPr="00491918">
              <w:rPr>
                <w:b/>
                <w:color w:val="000000"/>
                <w:sz w:val="16"/>
              </w:rPr>
              <w:t>30.06.12</w:t>
            </w:r>
          </w:p>
        </w:tc>
      </w:tr>
      <w:tr w:rsidR="002F0500" w:rsidRPr="00491918" w:rsidTr="00E1387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color w:val="000000"/>
                <w:sz w:val="16"/>
              </w:rPr>
              <w:t>Core Tier 1</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11.1%</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10.8%</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10.7%</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Tier 1</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13.5%</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13.2%</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13.2%</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lastRenderedPageBreak/>
              <w:t>Total capital</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17.4%</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17.0%</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16.4%</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20"/>
              </w:rPr>
              <w:t>Capital Resources</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£m</w:t>
            </w:r>
          </w:p>
        </w:tc>
      </w:tr>
      <w:tr w:rsidR="002F0500" w:rsidRPr="00491918" w:rsidTr="00E1387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Shareholders' equity (excluding non-controlling interests) per balance sheet</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2F0500" w:rsidRPr="00491918" w:rsidRDefault="002F0500" w:rsidP="00B96E19">
            <w:pPr>
              <w:jc w:val="right"/>
              <w:rPr>
                <w:color w:val="000000"/>
                <w:sz w:val="16"/>
                <w:vertAlign w:val="superscript"/>
              </w:rPr>
            </w:pPr>
            <w:r w:rsidRPr="00491918">
              <w:rPr>
                <w:b/>
                <w:color w:val="000000"/>
                <w:sz w:val="16"/>
              </w:rPr>
              <w:t xml:space="preserve"> 51,</w:t>
            </w:r>
            <w:r w:rsidR="00B96E19" w:rsidRPr="00491918">
              <w:rPr>
                <w:b/>
                <w:color w:val="000000"/>
                <w:sz w:val="16"/>
              </w:rPr>
              <w:t>083 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50,615 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50,935 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color w:val="000000"/>
                <w:sz w:val="16"/>
              </w:rPr>
              <w:t>Own credit cumulative loss/(gain)</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593 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804 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(492)</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Unrealised (gains)/losses on available for sale debt securities</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(293)</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(417)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288 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Unrealised gains on available for sale equity (recognised as tier 2 capital)</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(137)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(110)</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(95)</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Cash flow hedging reserve</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(1,019)</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(2,099)</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(1,676)</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 xml:space="preserve">Non-controlling interests per balance sheet </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9,054 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9,371 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9,485 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Less: Other Tier 1 capital - preference shares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(6,171)</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(6,203)</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(6,225)</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Less: Non-controlling Tier 2 capital</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(486)</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(547)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(564)</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Other regulatory adjustments to non-controlling interests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(116)</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(171)</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(171)</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Other regulatory adjustments and deductions:</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Defined benefit pension adjustment</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12 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49 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207 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Goodwill and intangible assets</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(7,583)</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(7,622)</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(7,574)</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excess of expected losses over impairment</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(812)</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(648)</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(500)</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of securitisation positions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(759)</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(997)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(1,286)</w:t>
            </w:r>
          </w:p>
        </w:tc>
      </w:tr>
      <w:tr w:rsidR="002F0500" w:rsidRPr="00491918" w:rsidTr="00E1387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Other regulatory adjustments</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(423)</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(303)</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(426)</w:t>
            </w:r>
          </w:p>
        </w:tc>
      </w:tr>
      <w:tr w:rsidR="002F0500" w:rsidRPr="00491918" w:rsidTr="00E1387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Core Tier 1 capital</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2F0500" w:rsidRPr="00491918" w:rsidRDefault="002F0500" w:rsidP="00B96E19">
            <w:pPr>
              <w:jc w:val="right"/>
              <w:rPr>
                <w:color w:val="000000"/>
                <w:sz w:val="16"/>
                <w:vertAlign w:val="superscript"/>
              </w:rPr>
            </w:pPr>
            <w:r w:rsidRPr="00491918">
              <w:rPr>
                <w:b/>
                <w:color w:val="000000"/>
                <w:sz w:val="16"/>
              </w:rPr>
              <w:t xml:space="preserve"> 4</w:t>
            </w:r>
            <w:r w:rsidR="00B96E19" w:rsidRPr="00491918">
              <w:rPr>
                <w:b/>
                <w:color w:val="000000"/>
                <w:sz w:val="16"/>
              </w:rPr>
              <w:t>2,943</w:t>
            </w:r>
            <w:r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41,722 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41,906 </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b/>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Other Tier 1 capital:</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Preference shares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6,171 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6,203 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6,225 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Tier 1 notes</w:t>
            </w:r>
            <w:r w:rsidRPr="00491918">
              <w:rPr>
                <w:color w:val="000000"/>
                <w:sz w:val="16"/>
                <w:vertAlign w:val="superscript"/>
              </w:rPr>
              <w:t>2 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538 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509 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521 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Reserve Capital Instruments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2,902 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2,866 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2,874 </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Regulatory adjustments and deductions:</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of material holdings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(475)</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(241)</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(285)</w:t>
            </w:r>
          </w:p>
        </w:tc>
      </w:tr>
      <w:tr w:rsidR="002F0500" w:rsidRPr="00491918" w:rsidTr="00E1387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of the tax on excess of expected losses over impairment</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27 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176 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100 </w:t>
            </w:r>
          </w:p>
        </w:tc>
      </w:tr>
      <w:tr w:rsidR="002F0500" w:rsidRPr="00491918" w:rsidTr="00E1387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Total Tier 1 capital</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b/>
                <w:color w:val="000000"/>
                <w:sz w:val="16"/>
              </w:rPr>
              <w:t xml:space="preserve"> 52,</w:t>
            </w:r>
            <w:r w:rsidR="00B96E19" w:rsidRPr="00491918">
              <w:rPr>
                <w:b/>
                <w:color w:val="000000"/>
                <w:sz w:val="16"/>
              </w:rPr>
              <w:t>106</w:t>
            </w:r>
            <w:r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51,235 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51,341 </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Tier 2 capital:</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Undated subordinated liabilities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1,558 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1,625 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1,648 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Dated subordinated liabilities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14,500 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14,066 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12,488 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Non-controlling Tier 2 capital</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486 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547 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564 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Reserves arising on revaluation of property</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39 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21 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Unrealised gains on available for sale equity</w:t>
            </w:r>
            <w:r w:rsidRPr="00491918">
              <w:rPr>
                <w:color w:val="000000"/>
                <w:sz w:val="16"/>
                <w:vertAlign w:val="superscript"/>
              </w:rPr>
              <w:t>1 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139 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110 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95 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Collectively assessed impairment allowances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2,024 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2,002 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1,783 </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Tier 2 deductions:</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of material holdings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(475)</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(241)</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(285)</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excess of expected losses over impairment (gross of tax)</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(839)</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(824)</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(600)</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of securitisation positions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(759)</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(997)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(1,286)</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Total capital regulatory adjustments and deductions:</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Investments that are not material holdings or qualifying holdings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(1,084)</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(1,139)</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(1,209)</w:t>
            </w:r>
          </w:p>
        </w:tc>
      </w:tr>
      <w:tr w:rsidR="002F0500" w:rsidRPr="00491918" w:rsidTr="00E1387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Other deductions from total capital</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(326)</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(550)</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(565)</w:t>
            </w:r>
          </w:p>
        </w:tc>
      </w:tr>
      <w:tr w:rsidR="002F0500" w:rsidRPr="00491918" w:rsidTr="00E1387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 xml:space="preserve">Total regulatory capital </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2F0500" w:rsidRPr="00491918" w:rsidRDefault="002F0500" w:rsidP="00E13878">
            <w:pPr>
              <w:jc w:val="right"/>
              <w:rPr>
                <w:color w:val="000000"/>
                <w:sz w:val="16"/>
                <w:vertAlign w:val="superscript"/>
              </w:rPr>
            </w:pPr>
            <w:r w:rsidRPr="00491918">
              <w:rPr>
                <w:b/>
                <w:color w:val="000000"/>
                <w:sz w:val="16"/>
              </w:rPr>
              <w:t xml:space="preserve"> 67,</w:t>
            </w:r>
            <w:r w:rsidR="00B96E19" w:rsidRPr="00491918">
              <w:rPr>
                <w:b/>
                <w:color w:val="000000"/>
                <w:sz w:val="16"/>
              </w:rPr>
              <w:t>349</w:t>
            </w:r>
            <w:r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65,873 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63,995 </w:t>
            </w:r>
          </w:p>
        </w:tc>
      </w:tr>
      <w:tr w:rsidR="000B3F05" w:rsidRPr="00491918" w:rsidTr="00E13878">
        <w:trPr>
          <w:trHeight w:hRule="exact" w:val="255"/>
        </w:trPr>
        <w:tc>
          <w:tcPr>
            <w:tcW w:w="6270" w:type="dxa"/>
            <w:tcBorders>
              <w:top w:val="nil"/>
              <w:left w:val="nil"/>
              <w:bottom w:val="nil"/>
              <w:right w:val="nil"/>
            </w:tcBorders>
            <w:shd w:val="clear" w:color="auto" w:fill="FFFFFF"/>
            <w:tcMar>
              <w:left w:w="36" w:type="dxa"/>
              <w:right w:w="36" w:type="dxa"/>
            </w:tcMar>
            <w:vAlign w:val="bottom"/>
          </w:tcPr>
          <w:p w:rsidR="000B3F05" w:rsidRPr="00491918" w:rsidRDefault="000B3F05" w:rsidP="00E13878">
            <w:pPr>
              <w:rPr>
                <w:color w:val="000000"/>
                <w:sz w:val="16"/>
              </w:rPr>
            </w:pP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E13878">
            <w:pPr>
              <w:rPr>
                <w:color w:val="000000"/>
                <w:sz w:val="16"/>
              </w:rPr>
            </w:pP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E13878">
            <w:pPr>
              <w:rPr>
                <w:color w:val="000000"/>
                <w:sz w:val="16"/>
              </w:rPr>
            </w:pP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E13878">
            <w:pPr>
              <w:rPr>
                <w:color w:val="000000"/>
                <w:sz w:val="16"/>
              </w:rPr>
            </w:pPr>
          </w:p>
        </w:tc>
      </w:tr>
      <w:tr w:rsidR="002F0500" w:rsidRPr="00491918" w:rsidTr="00E13878">
        <w:trPr>
          <w:trHeight w:hRule="exact" w:val="255"/>
        </w:trPr>
        <w:tc>
          <w:tcPr>
            <w:tcW w:w="6270"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vertAlign w:val="superscript"/>
              </w:rPr>
            </w:pPr>
            <w:r w:rsidRPr="00491918">
              <w:rPr>
                <w:color w:val="000000"/>
                <w:sz w:val="16"/>
              </w:rPr>
              <w:t xml:space="preserve"> </w:t>
            </w:r>
            <w:r w:rsidRPr="00491918">
              <w:rPr>
                <w:color w:val="000000"/>
                <w:sz w:val="16"/>
                <w:vertAlign w:val="superscript"/>
              </w:rPr>
              <w:t xml:space="preserve"> </w:t>
            </w:r>
          </w:p>
          <w:p w:rsidR="000B3F05" w:rsidRPr="00491918" w:rsidRDefault="000B3F05" w:rsidP="00E13878">
            <w:pPr>
              <w:rPr>
                <w:b/>
                <w:color w:val="000000"/>
                <w:sz w:val="16"/>
              </w:rPr>
            </w:pPr>
          </w:p>
          <w:p w:rsidR="000B3F05" w:rsidRPr="00491918" w:rsidRDefault="000B3F05" w:rsidP="00E13878">
            <w:pPr>
              <w:rPr>
                <w:b/>
                <w:color w:val="000000"/>
                <w:sz w:val="16"/>
              </w:rPr>
            </w:pPr>
          </w:p>
          <w:p w:rsidR="000B3F05" w:rsidRPr="00491918" w:rsidRDefault="000B3F05" w:rsidP="00E13878">
            <w:pPr>
              <w:rPr>
                <w:b/>
                <w:color w:val="000000"/>
                <w:sz w:val="16"/>
              </w:rPr>
            </w:pP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rPr>
            </w:pPr>
            <w:r w:rsidRPr="00491918">
              <w:rPr>
                <w:color w:val="000000"/>
                <w:sz w:val="16"/>
              </w:rPr>
              <w:t xml:space="preserve"> </w:t>
            </w:r>
          </w:p>
        </w:tc>
      </w:tr>
      <w:tr w:rsidR="002F0500" w:rsidRPr="00491918" w:rsidTr="00E13878">
        <w:trPr>
          <w:trHeight w:hRule="exact" w:val="90"/>
        </w:trPr>
        <w:tc>
          <w:tcPr>
            <w:tcW w:w="6270"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color w:val="000000"/>
                <w:sz w:val="16"/>
              </w:rPr>
            </w:pPr>
            <w:r w:rsidRPr="00491918">
              <w:rPr>
                <w:color w:val="000000"/>
                <w:sz w:val="16"/>
              </w:rPr>
              <w:t xml:space="preserve"> </w:t>
            </w:r>
          </w:p>
        </w:tc>
      </w:tr>
      <w:tr w:rsidR="002F0500" w:rsidRPr="00491918" w:rsidTr="000D76A8">
        <w:trPr>
          <w:trHeight w:val="240"/>
        </w:trPr>
        <w:tc>
          <w:tcPr>
            <w:tcW w:w="9645" w:type="dxa"/>
            <w:gridSpan w:val="4"/>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i/>
                <w:color w:val="000000"/>
                <w:sz w:val="14"/>
              </w:rPr>
            </w:pPr>
            <w:r w:rsidRPr="00491918">
              <w:rPr>
                <w:i/>
                <w:color w:val="000000"/>
                <w:sz w:val="14"/>
              </w:rPr>
              <w:t>1    The capital impacts of these items are net of tax</w:t>
            </w:r>
          </w:p>
        </w:tc>
      </w:tr>
      <w:tr w:rsidR="002F0500" w:rsidRPr="00491918" w:rsidTr="000D76A8">
        <w:trPr>
          <w:trHeight w:val="240"/>
        </w:trPr>
        <w:tc>
          <w:tcPr>
            <w:tcW w:w="9645" w:type="dxa"/>
            <w:gridSpan w:val="4"/>
            <w:tcBorders>
              <w:top w:val="nil"/>
              <w:left w:val="nil"/>
              <w:bottom w:val="nil"/>
              <w:right w:val="nil"/>
            </w:tcBorders>
            <w:shd w:val="clear" w:color="auto" w:fill="FFFFFF"/>
            <w:tcMar>
              <w:left w:w="36" w:type="dxa"/>
              <w:right w:w="36" w:type="dxa"/>
            </w:tcMar>
            <w:vAlign w:val="bottom"/>
          </w:tcPr>
          <w:p w:rsidR="002F0500" w:rsidRPr="00491918" w:rsidRDefault="002F0500" w:rsidP="00E13878">
            <w:pPr>
              <w:rPr>
                <w:i/>
                <w:color w:val="000000"/>
                <w:sz w:val="14"/>
              </w:rPr>
            </w:pPr>
            <w:r w:rsidRPr="00491918">
              <w:rPr>
                <w:i/>
                <w:color w:val="000000"/>
                <w:sz w:val="14"/>
              </w:rPr>
              <w:t>2    Tier 1 notes are included in subordinated liabilities in the consolidated balance sheet.</w:t>
            </w:r>
          </w:p>
        </w:tc>
      </w:tr>
      <w:tr w:rsidR="000D76A8" w:rsidRPr="00491918" w:rsidTr="000D76A8">
        <w:trPr>
          <w:trHeight w:val="240"/>
        </w:trPr>
        <w:tc>
          <w:tcPr>
            <w:tcW w:w="9645" w:type="dxa"/>
            <w:gridSpan w:val="4"/>
            <w:tcBorders>
              <w:top w:val="nil"/>
              <w:left w:val="nil"/>
              <w:bottom w:val="nil"/>
              <w:right w:val="nil"/>
            </w:tcBorders>
            <w:shd w:val="clear" w:color="auto" w:fill="FFFFFF"/>
            <w:tcMar>
              <w:left w:w="36" w:type="dxa"/>
              <w:right w:w="36" w:type="dxa"/>
            </w:tcMar>
            <w:vAlign w:val="bottom"/>
          </w:tcPr>
          <w:p w:rsidR="00DA356B" w:rsidRPr="00491918" w:rsidRDefault="00DA356B" w:rsidP="000D76A8">
            <w:pPr>
              <w:pStyle w:val="HeadingLevel1-BarcRA26"/>
              <w:rPr>
                <w:lang w:val="en-GB"/>
              </w:rPr>
            </w:pPr>
          </w:p>
          <w:p w:rsidR="00DA356B" w:rsidRPr="00491918" w:rsidRDefault="00DA356B" w:rsidP="000D76A8">
            <w:pPr>
              <w:pStyle w:val="HeadingLevel1-BarcRA26"/>
              <w:rPr>
                <w:lang w:val="en-GB"/>
              </w:rPr>
            </w:pPr>
          </w:p>
          <w:p w:rsidR="000D76A8" w:rsidRPr="00491918" w:rsidRDefault="000D76A8" w:rsidP="000D76A8">
            <w:pPr>
              <w:pStyle w:val="HeadingLevel1-BarcRA26"/>
              <w:rPr>
                <w:lang w:val="en-GB"/>
              </w:rPr>
            </w:pPr>
            <w:r w:rsidRPr="00491918">
              <w:rPr>
                <w:lang w:val="en-GB"/>
              </w:rPr>
              <w:t>Funding Risk</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0D1659" w:rsidP="00E13878">
            <w:r w:rsidRPr="00491918">
              <w:br w:type="page"/>
            </w:r>
            <w:r w:rsidR="002F0500" w:rsidRPr="00491918">
              <w:rPr>
                <w:b/>
                <w:color w:val="000000"/>
                <w:sz w:val="20"/>
              </w:rPr>
              <w:t>Half Year Movement in Core Tier 1 Capital</w:t>
            </w:r>
            <w:r w:rsidR="002F0500" w:rsidRPr="00491918">
              <w:rPr>
                <w:b/>
                <w:color w:val="000000"/>
                <w:sz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20"/>
                <w:vertAlign w:val="superscript"/>
              </w:rPr>
            </w:pPr>
            <w:r w:rsidRPr="00491918">
              <w:rPr>
                <w:b/>
                <w:color w:val="000000"/>
                <w:sz w:val="16"/>
              </w:rPr>
              <w:t>Half Year</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Half Year</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Half Year</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b/>
                <w:color w:val="000000"/>
                <w:sz w:val="20"/>
              </w:rPr>
              <w:t xml:space="preserve"> </w:t>
            </w:r>
            <w:r w:rsidRPr="00491918">
              <w:rPr>
                <w:b/>
                <w:color w:val="000000"/>
                <w:sz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20"/>
                <w:vertAlign w:val="superscript"/>
              </w:rPr>
            </w:pPr>
            <w:r w:rsidRPr="00491918">
              <w:rPr>
                <w:b/>
                <w:color w:val="000000"/>
                <w:sz w:val="16"/>
              </w:rPr>
              <w:t>Ended</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Ended</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Ended</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b/>
                <w:color w:val="000000"/>
                <w:sz w:val="20"/>
              </w:rPr>
              <w:t xml:space="preserve"> </w:t>
            </w:r>
            <w:r w:rsidRPr="00491918">
              <w:rPr>
                <w:b/>
                <w:color w:val="000000"/>
                <w:sz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20"/>
                <w:vertAlign w:val="superscript"/>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30.06.12</w:t>
            </w:r>
          </w:p>
        </w:tc>
      </w:tr>
      <w:tr w:rsidR="002F0500" w:rsidRPr="00491918" w:rsidTr="00E13878">
        <w:trPr>
          <w:trHeight w:val="240"/>
        </w:trPr>
        <w:tc>
          <w:tcPr>
            <w:tcW w:w="6270" w:type="dxa"/>
            <w:tcBorders>
              <w:top w:val="nil"/>
              <w:left w:val="nil"/>
              <w:bottom w:val="single" w:sz="6" w:space="0" w:color="7F7F7F"/>
              <w:right w:val="nil"/>
            </w:tcBorders>
            <w:shd w:val="clear" w:color="auto" w:fill="FFFFFF"/>
            <w:tcMar>
              <w:left w:w="36" w:type="dxa"/>
              <w:right w:w="36" w:type="dxa"/>
            </w:tcMar>
            <w:vAlign w:val="bottom"/>
          </w:tcPr>
          <w:p w:rsidR="002F0500" w:rsidRPr="00491918" w:rsidRDefault="002F0500" w:rsidP="00E13878">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£m</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£m</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£m</w:t>
            </w:r>
          </w:p>
        </w:tc>
      </w:tr>
      <w:tr w:rsidR="002F0500" w:rsidRPr="00491918" w:rsidTr="00E13878">
        <w:trPr>
          <w:trHeight w:val="240"/>
        </w:trPr>
        <w:tc>
          <w:tcPr>
            <w:tcW w:w="6270"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lastRenderedPageBreak/>
              <w:t>Opening Core Tier 1 capital</w:t>
            </w:r>
            <w:r w:rsidRPr="00491918">
              <w:rPr>
                <w:b/>
                <w:color w:val="000000"/>
                <w:sz w:val="16"/>
                <w:vertAlign w:val="superscript"/>
              </w:rPr>
              <w:t xml:space="preserve"> </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2F0500" w:rsidRPr="00491918" w:rsidRDefault="002F0500" w:rsidP="00E13878">
            <w:pPr>
              <w:jc w:val="right"/>
              <w:rPr>
                <w:b/>
                <w:color w:val="000000"/>
                <w:sz w:val="16"/>
                <w:vertAlign w:val="superscript"/>
              </w:rPr>
            </w:pPr>
            <w:r w:rsidRPr="00491918">
              <w:rPr>
                <w:b/>
                <w:color w:val="000000"/>
                <w:sz w:val="16"/>
              </w:rPr>
              <w:t>41,722 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41,906 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42,093 </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vertAlign w:val="superscript"/>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Profit/(Loss) for the period</w:t>
            </w:r>
            <w:r w:rsidRPr="00491918">
              <w:rPr>
                <w:color w:val="000000"/>
                <w:sz w:val="16"/>
                <w:vertAlign w:val="superscript"/>
              </w:rPr>
              <w:t xml:space="preserve">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B96E19">
            <w:pPr>
              <w:jc w:val="right"/>
              <w:rPr>
                <w:color w:val="000000"/>
                <w:sz w:val="16"/>
                <w:vertAlign w:val="superscript"/>
              </w:rPr>
            </w:pPr>
            <w:r w:rsidRPr="00491918">
              <w:rPr>
                <w:color w:val="000000"/>
                <w:sz w:val="16"/>
              </w:rPr>
              <w:t>1,</w:t>
            </w:r>
            <w:r w:rsidR="00B96E19" w:rsidRPr="00491918">
              <w:rPr>
                <w:color w:val="000000"/>
                <w:sz w:val="16"/>
              </w:rPr>
              <w:t>083 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(377)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558 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Removal of own credit</w:t>
            </w:r>
            <w:r w:rsidRPr="00491918">
              <w:rPr>
                <w:color w:val="000000"/>
                <w:sz w:val="16"/>
                <w:vertAlign w:val="superscript"/>
              </w:rPr>
              <w:t>1 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(211)</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1,296 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2,188 </w:t>
            </w:r>
          </w:p>
        </w:tc>
      </w:tr>
      <w:tr w:rsidR="002F0500" w:rsidRPr="00491918" w:rsidTr="00E13878">
        <w:trPr>
          <w:trHeight w:val="240"/>
        </w:trPr>
        <w:tc>
          <w:tcPr>
            <w:tcW w:w="6270"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Dividends paid</w:t>
            </w:r>
            <w:r w:rsidRPr="00491918">
              <w:rPr>
                <w:color w:val="000000"/>
                <w:sz w:val="16"/>
                <w:vertAlign w:val="superscript"/>
              </w:rPr>
              <w:t xml:space="preserve"> </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(893)</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(575)</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(852)</w:t>
            </w:r>
          </w:p>
        </w:tc>
      </w:tr>
      <w:tr w:rsidR="002F0500" w:rsidRPr="00491918" w:rsidTr="00E13878">
        <w:trPr>
          <w:trHeight w:val="240"/>
        </w:trPr>
        <w:tc>
          <w:tcPr>
            <w:tcW w:w="6270"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Retained capital generated from earnings</w:t>
            </w:r>
            <w:r w:rsidRPr="00491918">
              <w:rPr>
                <w:b/>
                <w:color w:val="000000"/>
                <w:sz w:val="16"/>
                <w:vertAlign w:val="superscript"/>
              </w:rPr>
              <w:t xml:space="preserve"> </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2F0500" w:rsidRPr="00491918" w:rsidRDefault="00B96E19" w:rsidP="00E13878">
            <w:pPr>
              <w:jc w:val="right"/>
              <w:rPr>
                <w:b/>
                <w:color w:val="000000"/>
                <w:sz w:val="16"/>
                <w:vertAlign w:val="superscript"/>
              </w:rPr>
            </w:pPr>
            <w:r w:rsidRPr="00491918">
              <w:rPr>
                <w:b/>
                <w:color w:val="000000"/>
                <w:sz w:val="16"/>
              </w:rPr>
              <w:t>(21)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344 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1,894 </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Movement in reserves - impact of ordinary shares and share schemes</w:t>
            </w:r>
            <w:r w:rsidRPr="00491918">
              <w:rPr>
                <w:color w:val="000000"/>
                <w:sz w:val="16"/>
                <w:vertAlign w:val="superscript"/>
              </w:rPr>
              <w:t xml:space="preserve">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799 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339 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(504)</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Movement in currency translation reserves</w:t>
            </w:r>
            <w:r w:rsidRPr="00491918">
              <w:rPr>
                <w:color w:val="000000"/>
                <w:sz w:val="16"/>
                <w:vertAlign w:val="superscript"/>
              </w:rPr>
              <w:t xml:space="preserve">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511 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(946)</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(602)</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Movement in pension reserves</w:t>
            </w:r>
            <w:r w:rsidRPr="00491918">
              <w:rPr>
                <w:color w:val="000000"/>
                <w:sz w:val="16"/>
                <w:vertAlign w:val="superscript"/>
              </w:rPr>
              <w:t xml:space="preserve">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(37)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0A77B6" w:rsidP="00E13878">
            <w:pPr>
              <w:jc w:val="right"/>
              <w:rPr>
                <w:color w:val="000000"/>
                <w:sz w:val="16"/>
              </w:rPr>
            </w:pPr>
            <w:r w:rsidRPr="00491918">
              <w:rPr>
                <w:color w:val="000000"/>
                <w:sz w:val="16"/>
              </w:rPr>
              <w:t>(55</w:t>
            </w:r>
            <w:r w:rsidR="002F0500" w:rsidRPr="00491918">
              <w:rPr>
                <w:color w:val="000000"/>
                <w:sz w:val="16"/>
              </w:rPr>
              <w:t>)</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(1,180)</w:t>
            </w:r>
          </w:p>
        </w:tc>
      </w:tr>
      <w:tr w:rsidR="002F0500" w:rsidRPr="00491918" w:rsidTr="00E13878">
        <w:trPr>
          <w:trHeight w:val="240"/>
        </w:trPr>
        <w:tc>
          <w:tcPr>
            <w:tcW w:w="6270"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Other reserves movements</w:t>
            </w:r>
            <w:r w:rsidRPr="00491918">
              <w:rPr>
                <w:color w:val="000000"/>
                <w:sz w:val="16"/>
                <w:vertAlign w:val="superscript"/>
              </w:rPr>
              <w:t xml:space="preserve"> </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12 </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0A77B6" w:rsidP="00E13878">
            <w:pPr>
              <w:jc w:val="right"/>
              <w:rPr>
                <w:color w:val="000000"/>
                <w:sz w:val="16"/>
              </w:rPr>
            </w:pPr>
            <w:r w:rsidRPr="00491918">
              <w:rPr>
                <w:color w:val="000000"/>
                <w:sz w:val="16"/>
              </w:rPr>
              <w:t>76</w:t>
            </w:r>
            <w:r w:rsidR="002F0500" w:rsidRPr="00491918">
              <w:rPr>
                <w:color w:val="000000"/>
                <w:sz w:val="16"/>
              </w:rPr>
              <w:t> </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(43)</w:t>
            </w:r>
          </w:p>
        </w:tc>
      </w:tr>
      <w:tr w:rsidR="002F0500" w:rsidRPr="00491918" w:rsidTr="00E13878">
        <w:trPr>
          <w:trHeight w:val="240"/>
        </w:trPr>
        <w:tc>
          <w:tcPr>
            <w:tcW w:w="6270"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Movement in other qualifying reserves</w:t>
            </w:r>
            <w:r w:rsidRPr="00491918">
              <w:rPr>
                <w:b/>
                <w:color w:val="000000"/>
                <w:sz w:val="16"/>
                <w:vertAlign w:val="superscript"/>
              </w:rPr>
              <w:t xml:space="preserve"> </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2F0500" w:rsidRPr="00491918" w:rsidRDefault="002F0500" w:rsidP="00E13878">
            <w:pPr>
              <w:jc w:val="right"/>
              <w:rPr>
                <w:b/>
                <w:color w:val="000000"/>
                <w:sz w:val="16"/>
                <w:vertAlign w:val="superscript"/>
              </w:rPr>
            </w:pPr>
            <w:r w:rsidRPr="00491918">
              <w:rPr>
                <w:b/>
                <w:color w:val="000000"/>
                <w:sz w:val="16"/>
              </w:rPr>
              <w:t>1,285 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(586)</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(2,329)</w:t>
            </w:r>
          </w:p>
        </w:tc>
      </w:tr>
      <w:tr w:rsidR="002F0500" w:rsidRPr="00491918" w:rsidTr="00E1387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vertAlign w:val="superscript"/>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Movement in regulatory adjustments and deductions:</w:t>
            </w:r>
            <w:r w:rsidRPr="00491918">
              <w:rPr>
                <w:b/>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vertAlign w:val="superscript"/>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 xml:space="preserve">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Defined benefit pension adjustment</w:t>
            </w:r>
            <w:r w:rsidRPr="00491918">
              <w:rPr>
                <w:color w:val="000000"/>
                <w:sz w:val="16"/>
                <w:vertAlign w:val="superscript"/>
              </w:rPr>
              <w:t>1 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(37)</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(158)</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211 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Goodwill and intangible asset balances</w:t>
            </w:r>
            <w:r w:rsidRPr="00491918">
              <w:rPr>
                <w:color w:val="000000"/>
                <w:sz w:val="16"/>
                <w:vertAlign w:val="superscript"/>
              </w:rPr>
              <w:t>1 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39 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(48)</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(14)</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excess of expected losses over impairment</w:t>
            </w:r>
            <w:r w:rsidRPr="00491918">
              <w:rPr>
                <w:color w:val="000000"/>
                <w:sz w:val="16"/>
                <w:vertAlign w:val="superscript"/>
              </w:rPr>
              <w:t>1 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(164)</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(148)</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6 </w:t>
            </w:r>
          </w:p>
        </w:tc>
      </w:tr>
      <w:tr w:rsidR="002F0500" w:rsidRPr="00491918" w:rsidTr="00E13878">
        <w:trPr>
          <w:trHeight w:val="240"/>
        </w:trPr>
        <w:tc>
          <w:tcPr>
            <w:tcW w:w="6270"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50% of securitisation positions</w:t>
            </w:r>
            <w:r w:rsidRPr="00491918">
              <w:rPr>
                <w:color w:val="000000"/>
                <w:sz w:val="16"/>
                <w:vertAlign w:val="superscript"/>
              </w:rPr>
              <w:t xml:space="preserve"> </w:t>
            </w:r>
          </w:p>
        </w:tc>
        <w:tc>
          <w:tcPr>
            <w:tcW w:w="1125" w:type="dxa"/>
            <w:tcBorders>
              <w:top w:val="nil"/>
              <w:left w:val="nil"/>
              <w:bottom w:val="nil"/>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238 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289 </w:t>
            </w:r>
          </w:p>
        </w:tc>
        <w:tc>
          <w:tcPr>
            <w:tcW w:w="1125" w:type="dxa"/>
            <w:tcBorders>
              <w:top w:val="nil"/>
              <w:left w:val="nil"/>
              <w:bottom w:val="nil"/>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31 </w:t>
            </w:r>
          </w:p>
        </w:tc>
      </w:tr>
      <w:tr w:rsidR="002F0500" w:rsidRPr="00491918" w:rsidTr="00E13878">
        <w:trPr>
          <w:trHeight w:val="240"/>
        </w:trPr>
        <w:tc>
          <w:tcPr>
            <w:tcW w:w="6270"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color w:val="000000"/>
                <w:sz w:val="16"/>
              </w:rPr>
              <w:t>Other regulatory adjustments</w:t>
            </w:r>
            <w:r w:rsidRPr="00491918">
              <w:rPr>
                <w:color w:val="000000"/>
                <w:sz w:val="16"/>
                <w:vertAlign w:val="superscript"/>
              </w:rPr>
              <w:t xml:space="preserve"> </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2F0500" w:rsidRPr="00491918" w:rsidRDefault="002F0500" w:rsidP="00E13878">
            <w:pPr>
              <w:jc w:val="right"/>
              <w:rPr>
                <w:color w:val="000000"/>
                <w:sz w:val="16"/>
                <w:vertAlign w:val="superscript"/>
              </w:rPr>
            </w:pPr>
            <w:r w:rsidRPr="00491918">
              <w:rPr>
                <w:color w:val="000000"/>
                <w:sz w:val="16"/>
              </w:rPr>
              <w:t>(119)</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123 </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color w:val="000000"/>
                <w:sz w:val="16"/>
              </w:rPr>
            </w:pPr>
            <w:r w:rsidRPr="00491918">
              <w:rPr>
                <w:color w:val="000000"/>
                <w:sz w:val="16"/>
              </w:rPr>
              <w:t>14 </w:t>
            </w:r>
          </w:p>
        </w:tc>
      </w:tr>
      <w:tr w:rsidR="002F0500" w:rsidRPr="00491918" w:rsidTr="00E13878">
        <w:trPr>
          <w:trHeight w:val="240"/>
        </w:trPr>
        <w:tc>
          <w:tcPr>
            <w:tcW w:w="6270" w:type="dxa"/>
            <w:tcBorders>
              <w:top w:val="single" w:sz="6" w:space="0" w:color="7F7F7F"/>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rPr>
                <w:color w:val="000000"/>
                <w:sz w:val="16"/>
              </w:rPr>
            </w:pPr>
            <w:r w:rsidRPr="00491918">
              <w:rPr>
                <w:b/>
                <w:color w:val="000000"/>
                <w:sz w:val="16"/>
              </w:rPr>
              <w:t>Closing Core Tier 1 capital</w:t>
            </w:r>
            <w:r w:rsidRPr="00491918">
              <w:rPr>
                <w:b/>
                <w:color w:val="000000"/>
                <w:sz w:val="16"/>
                <w:vertAlign w:val="superscript"/>
              </w:rPr>
              <w:t xml:space="preserve"> </w:t>
            </w:r>
          </w:p>
        </w:tc>
        <w:tc>
          <w:tcPr>
            <w:tcW w:w="1125" w:type="dxa"/>
            <w:tcBorders>
              <w:top w:val="single" w:sz="6" w:space="0" w:color="7F7F7F"/>
              <w:left w:val="nil"/>
              <w:bottom w:val="single" w:sz="6" w:space="0" w:color="7F7F7F"/>
              <w:right w:val="nil"/>
            </w:tcBorders>
            <w:shd w:val="clear" w:color="auto" w:fill="F2F2F2"/>
            <w:tcMar>
              <w:left w:w="36" w:type="dxa"/>
              <w:right w:w="36" w:type="dxa"/>
            </w:tcMar>
            <w:vAlign w:val="center"/>
          </w:tcPr>
          <w:p w:rsidR="002F0500" w:rsidRPr="00491918" w:rsidRDefault="00B96E19" w:rsidP="00E13878">
            <w:pPr>
              <w:jc w:val="right"/>
              <w:rPr>
                <w:b/>
                <w:color w:val="000000"/>
                <w:sz w:val="16"/>
                <w:vertAlign w:val="superscript"/>
              </w:rPr>
            </w:pPr>
            <w:r w:rsidRPr="00491918">
              <w:rPr>
                <w:b/>
                <w:color w:val="000000"/>
                <w:sz w:val="16"/>
              </w:rPr>
              <w:t>42,943</w:t>
            </w:r>
            <w:r w:rsidR="002F0500" w:rsidRPr="00491918">
              <w:rPr>
                <w:b/>
                <w:color w:val="000000"/>
                <w:sz w:val="16"/>
              </w:rPr>
              <w:t> </w:t>
            </w:r>
          </w:p>
        </w:tc>
        <w:tc>
          <w:tcPr>
            <w:tcW w:w="1125" w:type="dxa"/>
            <w:tcBorders>
              <w:top w:val="single" w:sz="6" w:space="0" w:color="7F7F7F"/>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41,722 </w:t>
            </w:r>
          </w:p>
        </w:tc>
        <w:tc>
          <w:tcPr>
            <w:tcW w:w="1125" w:type="dxa"/>
            <w:tcBorders>
              <w:top w:val="single" w:sz="6" w:space="0" w:color="7F7F7F"/>
              <w:left w:val="nil"/>
              <w:bottom w:val="single" w:sz="6" w:space="0" w:color="7F7F7F"/>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41,906 </w:t>
            </w:r>
          </w:p>
        </w:tc>
      </w:tr>
      <w:tr w:rsidR="002F0500" w:rsidRPr="00491918" w:rsidTr="00E13878">
        <w:trPr>
          <w:trHeight w:hRule="exact" w:val="240"/>
        </w:trPr>
        <w:tc>
          <w:tcPr>
            <w:tcW w:w="6270"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vertAlign w:val="superscript"/>
              </w:rPr>
            </w:pPr>
            <w:r w:rsidRPr="00491918">
              <w:rPr>
                <w:b/>
                <w:color w:val="000000"/>
                <w:sz w:val="16"/>
              </w:rPr>
              <w:t xml:space="preserve">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2F0500" w:rsidRPr="00491918" w:rsidRDefault="002F0500" w:rsidP="00E13878">
            <w:pPr>
              <w:jc w:val="right"/>
              <w:rPr>
                <w:b/>
                <w:color w:val="000000"/>
                <w:sz w:val="16"/>
              </w:rPr>
            </w:pPr>
            <w:r w:rsidRPr="00491918">
              <w:rPr>
                <w:b/>
                <w:color w:val="000000"/>
                <w:sz w:val="16"/>
              </w:rPr>
              <w:t xml:space="preserve"> </w:t>
            </w:r>
          </w:p>
        </w:tc>
      </w:tr>
    </w:tbl>
    <w:p w:rsidR="000D1659" w:rsidRPr="00491918" w:rsidRDefault="000D1659"/>
    <w:p w:rsidR="002F0500" w:rsidRPr="00491918" w:rsidRDefault="002F0500" w:rsidP="00CC41A9">
      <w:pPr>
        <w:pStyle w:val="Level1Bullet-BarcRA"/>
        <w:numPr>
          <w:ilvl w:val="0"/>
          <w:numId w:val="233"/>
        </w:numPr>
        <w:tabs>
          <w:tab w:val="num" w:pos="284"/>
        </w:tabs>
        <w:ind w:left="284" w:hanging="284"/>
      </w:pPr>
      <w:r w:rsidRPr="00491918">
        <w:t>The Core Tier 1 ratio increased to 11.1% (2012: 10.8%) reflecting an increase in Core Tier 1 capital of £1.</w:t>
      </w:r>
      <w:r w:rsidR="00B96E19" w:rsidRPr="00491918">
        <w:rPr>
          <w:lang w:val="en-GB"/>
        </w:rPr>
        <w:t>2</w:t>
      </w:r>
      <w:r w:rsidR="00B96E19" w:rsidRPr="00491918">
        <w:t xml:space="preserve">bn </w:t>
      </w:r>
      <w:r w:rsidRPr="00491918">
        <w:t>to £4</w:t>
      </w:r>
      <w:r w:rsidR="00B96E19" w:rsidRPr="00491918">
        <w:rPr>
          <w:lang w:val="en-GB"/>
        </w:rPr>
        <w:t>2.9</w:t>
      </w:r>
      <w:r w:rsidRPr="00491918">
        <w:t>bn</w:t>
      </w:r>
      <w:r w:rsidR="00B96E19" w:rsidRPr="00491918">
        <w:rPr>
          <w:lang w:val="en-GB"/>
        </w:rPr>
        <w:t xml:space="preserve"> reflecting:</w:t>
      </w:r>
    </w:p>
    <w:p w:rsidR="00B96E19" w:rsidRPr="00491918" w:rsidRDefault="00B96E19" w:rsidP="00755796">
      <w:pPr>
        <w:pStyle w:val="Level2Bullet-BarcRA01"/>
        <w:numPr>
          <w:ilvl w:val="2"/>
          <w:numId w:val="75"/>
        </w:numPr>
        <w:tabs>
          <w:tab w:val="num" w:pos="567"/>
        </w:tabs>
        <w:ind w:left="567" w:hanging="283"/>
      </w:pPr>
      <w:r w:rsidRPr="00491918">
        <w:t>Capital generated from earnings absorbed the impact of dividends paid</w:t>
      </w:r>
    </w:p>
    <w:p w:rsidR="002F0500" w:rsidRPr="00491918" w:rsidRDefault="002F0500" w:rsidP="00755796">
      <w:pPr>
        <w:pStyle w:val="Level2Bullet-BarcRA01"/>
        <w:numPr>
          <w:ilvl w:val="2"/>
          <w:numId w:val="75"/>
        </w:numPr>
        <w:tabs>
          <w:tab w:val="num" w:pos="567"/>
        </w:tabs>
        <w:ind w:left="567" w:hanging="283"/>
      </w:pPr>
      <w:r w:rsidRPr="00491918">
        <w:t>£0.8bn increase in share capital and share premium due to warrants exercised</w:t>
      </w:r>
    </w:p>
    <w:p w:rsidR="002F0500" w:rsidRPr="00491918" w:rsidRDefault="002F0500" w:rsidP="00755796">
      <w:pPr>
        <w:pStyle w:val="Level2Bullet-BarcRA01"/>
        <w:numPr>
          <w:ilvl w:val="2"/>
          <w:numId w:val="75"/>
        </w:numPr>
        <w:tabs>
          <w:tab w:val="num" w:pos="567"/>
        </w:tabs>
        <w:ind w:left="567" w:hanging="283"/>
      </w:pPr>
      <w:r w:rsidRPr="00491918">
        <w:t>£0.5bn increase due to foreign currency movements, prim</w:t>
      </w:r>
      <w:r w:rsidR="00285FBB" w:rsidRPr="00491918">
        <w:t>arily due to app</w:t>
      </w:r>
      <w:r w:rsidR="000A77B6" w:rsidRPr="00491918">
        <w:t>reciation of Euro and US Dollar against Sterling</w:t>
      </w:r>
      <w:r w:rsidRPr="00491918">
        <w:t xml:space="preserve"> </w:t>
      </w:r>
    </w:p>
    <w:p w:rsidR="002F0500" w:rsidRPr="00491918" w:rsidRDefault="002F0500" w:rsidP="00CC41A9">
      <w:pPr>
        <w:pStyle w:val="Level1Bullet-BarcRA"/>
        <w:numPr>
          <w:ilvl w:val="0"/>
          <w:numId w:val="233"/>
        </w:numPr>
        <w:tabs>
          <w:tab w:val="num" w:pos="284"/>
        </w:tabs>
        <w:ind w:left="284" w:hanging="284"/>
      </w:pPr>
      <w:r w:rsidRPr="00491918">
        <w:t xml:space="preserve">Total </w:t>
      </w:r>
      <w:r w:rsidRPr="00491918">
        <w:rPr>
          <w:lang w:val="en-GB"/>
        </w:rPr>
        <w:t>c</w:t>
      </w:r>
      <w:r w:rsidRPr="00491918">
        <w:t xml:space="preserve">apital </w:t>
      </w:r>
      <w:r w:rsidRPr="00491918">
        <w:rPr>
          <w:lang w:val="en-GB"/>
        </w:rPr>
        <w:t>r</w:t>
      </w:r>
      <w:r w:rsidRPr="00491918">
        <w:t xml:space="preserve">esources increased </w:t>
      </w:r>
      <w:r w:rsidRPr="00491918">
        <w:rPr>
          <w:lang w:val="en-GB"/>
        </w:rPr>
        <w:t>by £1.</w:t>
      </w:r>
      <w:r w:rsidR="00B96E19" w:rsidRPr="00491918">
        <w:rPr>
          <w:lang w:val="en-GB"/>
        </w:rPr>
        <w:t>5</w:t>
      </w:r>
      <w:r w:rsidRPr="00491918">
        <w:rPr>
          <w:lang w:val="en-GB"/>
        </w:rPr>
        <w:t>bn to</w:t>
      </w:r>
      <w:r w:rsidRPr="00491918">
        <w:t xml:space="preserve"> £</w:t>
      </w:r>
      <w:r w:rsidRPr="00491918">
        <w:rPr>
          <w:lang w:val="en-GB"/>
        </w:rPr>
        <w:t>67.</w:t>
      </w:r>
      <w:r w:rsidR="00B96E19" w:rsidRPr="00491918">
        <w:rPr>
          <w:lang w:val="en-GB"/>
        </w:rPr>
        <w:t>3</w:t>
      </w:r>
      <w:r w:rsidRPr="00491918">
        <w:t>bn.  In addition to the increases in Core Tier 1 capital there was a $1</w:t>
      </w:r>
      <w:r w:rsidRPr="00491918">
        <w:rPr>
          <w:lang w:val="en-GB"/>
        </w:rPr>
        <w:t>.0</w:t>
      </w:r>
      <w:r w:rsidRPr="00491918">
        <w:t>bn issuance of Tier 2 Contingent Capital Notes and a £0.6bn increase</w:t>
      </w:r>
      <w:r w:rsidRPr="00491918">
        <w:rPr>
          <w:lang w:val="en-GB"/>
        </w:rPr>
        <w:t xml:space="preserve"> due to foreign exchange movements, partially</w:t>
      </w:r>
      <w:r w:rsidRPr="00491918">
        <w:t xml:space="preserve"> offset by £1.2bn of redemptions of dated subordinated liabilities</w:t>
      </w:r>
    </w:p>
    <w:p w:rsidR="000D1659" w:rsidRPr="00491918" w:rsidRDefault="000D1659" w:rsidP="000D1659">
      <w:pPr>
        <w:pStyle w:val="BodyText-BarcRA300"/>
      </w:pPr>
    </w:p>
    <w:p w:rsidR="000D1659" w:rsidRPr="00491918" w:rsidRDefault="000D1659" w:rsidP="000D1659">
      <w:pPr>
        <w:pStyle w:val="BodyText-BarcRA300"/>
      </w:pPr>
    </w:p>
    <w:p w:rsidR="000D1659" w:rsidRPr="00491918" w:rsidRDefault="000D1659" w:rsidP="000D1659">
      <w:pPr>
        <w:pStyle w:val="BodyText-BarcRA300"/>
      </w:pPr>
    </w:p>
    <w:p w:rsidR="000D1659" w:rsidRPr="00491918" w:rsidRDefault="000D1659" w:rsidP="000D1659">
      <w:pPr>
        <w:pStyle w:val="BodyText-BarcRA300"/>
      </w:pPr>
    </w:p>
    <w:p w:rsidR="000D1659" w:rsidRPr="00491918" w:rsidRDefault="000D1659" w:rsidP="000D1659">
      <w:pPr>
        <w:pStyle w:val="BodyText-BarcRA300"/>
      </w:pPr>
    </w:p>
    <w:p w:rsidR="000D1659" w:rsidRPr="00491918" w:rsidRDefault="000D1659" w:rsidP="000D1659">
      <w:pPr>
        <w:pStyle w:val="BodyText-BarcRA300"/>
      </w:pPr>
    </w:p>
    <w:p w:rsidR="000D1659" w:rsidRPr="00491918" w:rsidRDefault="000D1659" w:rsidP="000D1659">
      <w:pPr>
        <w:pStyle w:val="BodyText-BarcRA300"/>
      </w:pPr>
    </w:p>
    <w:p w:rsidR="000D1659" w:rsidRPr="00491918" w:rsidRDefault="000D1659" w:rsidP="000D1659">
      <w:pPr>
        <w:pStyle w:val="BodyText-BarcRA300"/>
      </w:pPr>
    </w:p>
    <w:p w:rsidR="000D1659" w:rsidRPr="00491918" w:rsidRDefault="000D1659" w:rsidP="000D1659">
      <w:pPr>
        <w:pStyle w:val="BodyText-BarcRA300"/>
      </w:pPr>
    </w:p>
    <w:p w:rsidR="007E73F3" w:rsidRPr="00491918" w:rsidRDefault="007E73F3" w:rsidP="000D1659">
      <w:pPr>
        <w:pStyle w:val="BodyText-BarcRA300"/>
      </w:pPr>
    </w:p>
    <w:p w:rsidR="000D1659" w:rsidRPr="00491918" w:rsidRDefault="000D1659" w:rsidP="000D1659">
      <w:pPr>
        <w:pStyle w:val="BodyText-BarcRA300"/>
      </w:pPr>
    </w:p>
    <w:p w:rsidR="000D1659" w:rsidRPr="00491918" w:rsidRDefault="000D1659" w:rsidP="000D1659">
      <w:pPr>
        <w:pStyle w:val="NoteandSourceText-BarcRA2"/>
      </w:pPr>
      <w:r w:rsidRPr="00491918">
        <w:t xml:space="preserve"> The capital impacts of these items are net of tax.</w:t>
      </w:r>
    </w:p>
    <w:p w:rsidR="000D1659" w:rsidRPr="00491918" w:rsidRDefault="000D1659">
      <w:pPr>
        <w:spacing w:line="14" w:lineRule="exact"/>
      </w:pPr>
      <w:r w:rsidRPr="00491918">
        <w:br w:type="page"/>
      </w:r>
    </w:p>
    <w:p w:rsidR="000D76A8" w:rsidRPr="00491918" w:rsidRDefault="000D76A8" w:rsidP="000D76A8">
      <w:pPr>
        <w:pStyle w:val="HeadingLevel1-BarcRA26"/>
        <w:rPr>
          <w:lang w:val="en-GB"/>
        </w:rPr>
      </w:pPr>
      <w:r w:rsidRPr="00491918">
        <w:rPr>
          <w:lang w:val="en-GB"/>
        </w:rPr>
        <w:lastRenderedPageBreak/>
        <w:t>Funding Risk</w:t>
      </w:r>
    </w:p>
    <w:p w:rsidR="000D76A8" w:rsidRPr="00491918" w:rsidRDefault="000D76A8">
      <w:pPr>
        <w:spacing w:line="14" w:lineRule="exact"/>
      </w:pPr>
    </w:p>
    <w:tbl>
      <w:tblPr>
        <w:tblW w:w="9959" w:type="dxa"/>
        <w:tblLayout w:type="fixed"/>
        <w:tblLook w:val="0000" w:firstRow="0" w:lastRow="0" w:firstColumn="0" w:lastColumn="0" w:noHBand="0" w:noVBand="0"/>
      </w:tblPr>
      <w:tblGrid>
        <w:gridCol w:w="1800"/>
        <w:gridCol w:w="735"/>
        <w:gridCol w:w="735"/>
        <w:gridCol w:w="720"/>
        <w:gridCol w:w="720"/>
        <w:gridCol w:w="750"/>
        <w:gridCol w:w="720"/>
        <w:gridCol w:w="750"/>
        <w:gridCol w:w="885"/>
        <w:gridCol w:w="15"/>
        <w:gridCol w:w="945"/>
        <w:gridCol w:w="1184"/>
      </w:tblGrid>
      <w:tr w:rsidR="009E6048" w:rsidRPr="00491918" w:rsidTr="00993AA4">
        <w:trPr>
          <w:trHeight w:val="255"/>
        </w:trPr>
        <w:tc>
          <w:tcPr>
            <w:tcW w:w="9959" w:type="dxa"/>
            <w:gridSpan w:val="12"/>
            <w:tcBorders>
              <w:top w:val="nil"/>
              <w:left w:val="nil"/>
              <w:right w:val="nil"/>
            </w:tcBorders>
            <w:shd w:val="clear" w:color="auto" w:fill="FFFFFF"/>
            <w:tcMar>
              <w:left w:w="36" w:type="dxa"/>
              <w:right w:w="36" w:type="dxa"/>
            </w:tcMar>
            <w:vAlign w:val="bottom"/>
          </w:tcPr>
          <w:p w:rsidR="000D1659" w:rsidRPr="00491918" w:rsidRDefault="000D1659">
            <w:r w:rsidRPr="00491918">
              <w:rPr>
                <w:b/>
                <w:color w:val="000000"/>
                <w:sz w:val="20"/>
              </w:rPr>
              <w:t>Risk Weighted Assets by Risk Type and Business</w:t>
            </w:r>
          </w:p>
        </w:tc>
      </w:tr>
      <w:tr w:rsidR="009E6048" w:rsidRPr="00491918" w:rsidTr="00993AA4">
        <w:trPr>
          <w:trHeight w:val="255"/>
        </w:trPr>
        <w:tc>
          <w:tcPr>
            <w:tcW w:w="1800" w:type="dxa"/>
            <w:tcBorders>
              <w:top w:val="nil"/>
              <w:left w:val="nil"/>
            </w:tcBorders>
            <w:shd w:val="clear" w:color="auto" w:fill="FFFFFF"/>
            <w:tcMar>
              <w:left w:w="36" w:type="dxa"/>
              <w:right w:w="36" w:type="dxa"/>
            </w:tcMar>
            <w:vAlign w:val="bottom"/>
          </w:tcPr>
          <w:p w:rsidR="000D1659" w:rsidRPr="00491918" w:rsidRDefault="000D1659">
            <w:pPr>
              <w:jc w:val="center"/>
              <w:rPr>
                <w:b/>
                <w:color w:val="000000"/>
                <w:sz w:val="20"/>
              </w:rPr>
            </w:pPr>
            <w:r w:rsidRPr="00491918">
              <w:rPr>
                <w:color w:val="000000"/>
                <w:sz w:val="16"/>
              </w:rPr>
              <w:t xml:space="preserve"> </w:t>
            </w:r>
            <w:r w:rsidRPr="00491918">
              <w:rPr>
                <w:color w:val="000000"/>
                <w:sz w:val="16"/>
                <w:vertAlign w:val="superscript"/>
              </w:rPr>
              <w:t xml:space="preserve"> </w:t>
            </w:r>
          </w:p>
        </w:tc>
        <w:tc>
          <w:tcPr>
            <w:tcW w:w="2190" w:type="dxa"/>
            <w:gridSpan w:val="3"/>
            <w:vMerge w:val="restart"/>
            <w:tcBorders>
              <w:top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Credit Risk</w:t>
            </w:r>
          </w:p>
        </w:tc>
        <w:tc>
          <w:tcPr>
            <w:tcW w:w="1470" w:type="dxa"/>
            <w:gridSpan w:val="2"/>
            <w:tcBorders>
              <w:top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Counterparty</w:t>
            </w:r>
          </w:p>
        </w:tc>
        <w:tc>
          <w:tcPr>
            <w:tcW w:w="2370" w:type="dxa"/>
            <w:gridSpan w:val="4"/>
            <w:vMerge w:val="restart"/>
            <w:tcBorders>
              <w:top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Market Risk</w:t>
            </w:r>
          </w:p>
        </w:tc>
        <w:tc>
          <w:tcPr>
            <w:tcW w:w="945" w:type="dxa"/>
            <w:tcBorders>
              <w:top w:val="nil"/>
            </w:tcBorders>
            <w:shd w:val="clear" w:color="auto" w:fill="FFFFFF"/>
            <w:tcMar>
              <w:left w:w="36" w:type="dxa"/>
              <w:right w:w="36" w:type="dxa"/>
            </w:tcMar>
            <w:vAlign w:val="bottom"/>
          </w:tcPr>
          <w:p w:rsidR="000D1659" w:rsidRPr="00491918" w:rsidRDefault="000D1659" w:rsidP="00755796">
            <w:pPr>
              <w:jc w:val="right"/>
              <w:rPr>
                <w:b/>
                <w:color w:val="000000"/>
                <w:sz w:val="16"/>
              </w:rPr>
            </w:pPr>
            <w:r w:rsidRPr="00491918">
              <w:rPr>
                <w:b/>
                <w:color w:val="000000"/>
                <w:sz w:val="16"/>
              </w:rPr>
              <w:t>Operational</w:t>
            </w:r>
          </w:p>
        </w:tc>
        <w:tc>
          <w:tcPr>
            <w:tcW w:w="1184" w:type="dxa"/>
            <w:tcBorders>
              <w:top w:val="nil"/>
              <w:right w:val="nil"/>
            </w:tcBorders>
            <w:shd w:val="clear" w:color="auto" w:fill="FFFFFF"/>
            <w:tcMar>
              <w:left w:w="36" w:type="dxa"/>
              <w:right w:w="36" w:type="dxa"/>
            </w:tcMar>
            <w:vAlign w:val="bottom"/>
          </w:tcPr>
          <w:p w:rsidR="000D1659" w:rsidRPr="00491918" w:rsidRDefault="000D1659" w:rsidP="00755796">
            <w:pPr>
              <w:jc w:val="right"/>
              <w:rPr>
                <w:b/>
                <w:color w:val="000000"/>
                <w:sz w:val="16"/>
              </w:rPr>
            </w:pPr>
            <w:r w:rsidRPr="00491918">
              <w:rPr>
                <w:b/>
                <w:color w:val="000000"/>
                <w:sz w:val="16"/>
              </w:rPr>
              <w:t xml:space="preserve">Total </w:t>
            </w:r>
          </w:p>
        </w:tc>
      </w:tr>
      <w:tr w:rsidR="009E6048" w:rsidRPr="00491918" w:rsidTr="00993AA4">
        <w:trPr>
          <w:trHeight w:val="255"/>
        </w:trPr>
        <w:tc>
          <w:tcPr>
            <w:tcW w:w="1800" w:type="dxa"/>
            <w:tcBorders>
              <w:top w:val="nil"/>
              <w:lef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2190" w:type="dxa"/>
            <w:gridSpan w:val="3"/>
            <w:vMerge/>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vertAlign w:val="superscript"/>
              </w:rPr>
            </w:pPr>
          </w:p>
        </w:tc>
        <w:tc>
          <w:tcPr>
            <w:tcW w:w="1470" w:type="dxa"/>
            <w:gridSpan w:val="2"/>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b/>
                <w:color w:val="000000"/>
                <w:sz w:val="16"/>
              </w:rPr>
              <w:t>Credit Risk</w:t>
            </w:r>
          </w:p>
        </w:tc>
        <w:tc>
          <w:tcPr>
            <w:tcW w:w="2370" w:type="dxa"/>
            <w:gridSpan w:val="4"/>
            <w:vMerge/>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b/>
                <w:color w:val="000000"/>
                <w:sz w:val="16"/>
              </w:rPr>
            </w:pPr>
          </w:p>
        </w:tc>
        <w:tc>
          <w:tcPr>
            <w:tcW w:w="945" w:type="dxa"/>
            <w:tcBorders>
              <w:top w:val="nil"/>
              <w:bottom w:val="single" w:sz="4" w:space="0" w:color="C0C0C0"/>
            </w:tcBorders>
            <w:shd w:val="clear" w:color="auto" w:fill="FFFFFF"/>
            <w:tcMar>
              <w:left w:w="36" w:type="dxa"/>
              <w:right w:w="36" w:type="dxa"/>
            </w:tcMar>
            <w:vAlign w:val="bottom"/>
          </w:tcPr>
          <w:p w:rsidR="000D1659" w:rsidRPr="00491918" w:rsidRDefault="000D1659" w:rsidP="00755796">
            <w:pPr>
              <w:jc w:val="right"/>
              <w:rPr>
                <w:b/>
                <w:color w:val="000000"/>
                <w:sz w:val="16"/>
              </w:rPr>
            </w:pPr>
            <w:r w:rsidRPr="00491918">
              <w:rPr>
                <w:b/>
                <w:color w:val="000000"/>
                <w:sz w:val="16"/>
              </w:rPr>
              <w:t>Risk</w:t>
            </w:r>
          </w:p>
        </w:tc>
        <w:tc>
          <w:tcPr>
            <w:tcW w:w="1184" w:type="dxa"/>
            <w:tcBorders>
              <w:top w:val="nil"/>
              <w:bottom w:val="single" w:sz="4" w:space="0" w:color="C0C0C0"/>
              <w:right w:val="nil"/>
            </w:tcBorders>
            <w:shd w:val="clear" w:color="auto" w:fill="FFFFFF"/>
            <w:tcMar>
              <w:left w:w="36" w:type="dxa"/>
              <w:right w:w="36" w:type="dxa"/>
            </w:tcMar>
            <w:vAlign w:val="bottom"/>
          </w:tcPr>
          <w:p w:rsidR="000D1659" w:rsidRPr="00491918" w:rsidRDefault="000D1659" w:rsidP="00755796">
            <w:pPr>
              <w:jc w:val="right"/>
              <w:rPr>
                <w:b/>
                <w:color w:val="000000"/>
                <w:sz w:val="16"/>
              </w:rPr>
            </w:pPr>
            <w:r w:rsidRPr="00491918">
              <w:rPr>
                <w:b/>
                <w:color w:val="000000"/>
                <w:sz w:val="16"/>
              </w:rPr>
              <w:t>RWAs</w:t>
            </w:r>
          </w:p>
        </w:tc>
      </w:tr>
      <w:tr w:rsidR="000D1659" w:rsidRPr="00491918" w:rsidTr="00993AA4">
        <w:trPr>
          <w:trHeight w:val="255"/>
        </w:trPr>
        <w:tc>
          <w:tcPr>
            <w:tcW w:w="1800" w:type="dxa"/>
            <w:tcBorders>
              <w:left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735"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b/>
                <w:color w:val="000000"/>
                <w:sz w:val="16"/>
              </w:rPr>
              <w:t xml:space="preserve"> </w:t>
            </w:r>
          </w:p>
        </w:tc>
        <w:tc>
          <w:tcPr>
            <w:tcW w:w="735"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900" w:type="dxa"/>
            <w:gridSpan w:val="2"/>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Charges</w:t>
            </w:r>
          </w:p>
        </w:tc>
        <w:tc>
          <w:tcPr>
            <w:tcW w:w="945" w:type="dxa"/>
            <w:tcBorders>
              <w:top w:val="single" w:sz="4" w:space="0" w:color="C0C0C0"/>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rFonts w:ascii="Calibri" w:eastAsia="Calibri" w:hAnsi="Calibri" w:cs="Calibri"/>
                <w:color w:val="000000"/>
                <w:sz w:val="22"/>
              </w:rPr>
              <w:t xml:space="preserve"> </w:t>
            </w:r>
          </w:p>
        </w:tc>
        <w:tc>
          <w:tcPr>
            <w:tcW w:w="1184" w:type="dxa"/>
            <w:tcBorders>
              <w:top w:val="single" w:sz="4" w:space="0" w:color="C0C0C0"/>
              <w:bottom w:val="nil"/>
              <w:right w:val="nil"/>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b/>
                <w:color w:val="000000"/>
                <w:sz w:val="16"/>
              </w:rPr>
              <w:t xml:space="preserve">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color w:val="000000"/>
                <w:sz w:val="16"/>
              </w:rPr>
              <w:t xml:space="preserve"> </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b/>
                <w:color w:val="000000"/>
                <w:sz w:val="16"/>
              </w:rPr>
              <w:t xml:space="preserve"> </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900" w:type="dxa"/>
            <w:gridSpan w:val="2"/>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Add-on</w:t>
            </w:r>
          </w:p>
        </w:tc>
        <w:tc>
          <w:tcPr>
            <w:tcW w:w="94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rFonts w:ascii="Calibri" w:eastAsia="Calibri" w:hAnsi="Calibri" w:cs="Calibri"/>
                <w:color w:val="000000"/>
                <w:sz w:val="22"/>
              </w:rPr>
              <w:t xml:space="preserve"> </w:t>
            </w:r>
          </w:p>
        </w:tc>
        <w:tc>
          <w:tcPr>
            <w:tcW w:w="1184" w:type="dxa"/>
            <w:tcBorders>
              <w:top w:val="nil"/>
              <w:bottom w:val="nil"/>
              <w:right w:val="nil"/>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color w:val="000000"/>
                <w:sz w:val="16"/>
              </w:rPr>
              <w:t xml:space="preserve"> </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b/>
                <w:color w:val="000000"/>
                <w:sz w:val="16"/>
              </w:rPr>
              <w:t xml:space="preserve"> </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Non</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900" w:type="dxa"/>
            <w:gridSpan w:val="2"/>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and Non-</w:t>
            </w:r>
          </w:p>
        </w:tc>
        <w:tc>
          <w:tcPr>
            <w:tcW w:w="94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rFonts w:ascii="Calibri" w:eastAsia="Calibri" w:hAnsi="Calibri" w:cs="Calibri"/>
                <w:color w:val="000000"/>
                <w:sz w:val="22"/>
              </w:rPr>
              <w:t xml:space="preserve"> </w:t>
            </w:r>
          </w:p>
        </w:tc>
        <w:tc>
          <w:tcPr>
            <w:tcW w:w="1184" w:type="dxa"/>
            <w:tcBorders>
              <w:top w:val="nil"/>
              <w:bottom w:val="nil"/>
              <w:right w:val="nil"/>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color w:val="000000"/>
                <w:sz w:val="16"/>
              </w:rPr>
              <w:t xml:space="preserve"> </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b/>
                <w:color w:val="000000"/>
                <w:sz w:val="16"/>
              </w:rPr>
              <w:t xml:space="preserve"> </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Model</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Modelled</w:t>
            </w:r>
          </w:p>
        </w:tc>
        <w:tc>
          <w:tcPr>
            <w:tcW w:w="900" w:type="dxa"/>
            <w:gridSpan w:val="2"/>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VaR</w:t>
            </w:r>
          </w:p>
        </w:tc>
        <w:tc>
          <w:tcPr>
            <w:tcW w:w="94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rFonts w:ascii="Calibri" w:eastAsia="Calibri" w:hAnsi="Calibri" w:cs="Calibri"/>
                <w:color w:val="000000"/>
                <w:sz w:val="22"/>
              </w:rPr>
              <w:t xml:space="preserve"> </w:t>
            </w:r>
          </w:p>
        </w:tc>
        <w:tc>
          <w:tcPr>
            <w:tcW w:w="1184" w:type="dxa"/>
            <w:tcBorders>
              <w:top w:val="nil"/>
              <w:bottom w:val="nil"/>
              <w:right w:val="nil"/>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vAlign w:val="bottom"/>
          </w:tcPr>
          <w:p w:rsidR="000D1659" w:rsidRPr="00491918" w:rsidRDefault="0076224A">
            <w:pPr>
              <w:rPr>
                <w:rFonts w:ascii="Calibri" w:eastAsia="Calibri" w:hAnsi="Calibri" w:cs="Calibri"/>
                <w:color w:val="000000"/>
                <w:sz w:val="22"/>
              </w:rPr>
            </w:pPr>
            <w:r w:rsidRPr="00491918">
              <w:rPr>
                <w:b/>
                <w:color w:val="000000"/>
                <w:sz w:val="16"/>
              </w:rPr>
              <w:t>As at 30.06.</w:t>
            </w:r>
            <w:r w:rsidR="000D1659" w:rsidRPr="00491918">
              <w:rPr>
                <w:b/>
                <w:color w:val="000000"/>
                <w:sz w:val="16"/>
              </w:rPr>
              <w:t>13</w:t>
            </w:r>
            <w:r w:rsidR="000D1659"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b/>
                <w:color w:val="000000"/>
                <w:sz w:val="16"/>
              </w:rPr>
              <w:t>STD</w:t>
            </w:r>
          </w:p>
        </w:tc>
        <w:tc>
          <w:tcPr>
            <w:tcW w:w="73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F-IRB</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A-IRB</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IMM</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Method</w:t>
            </w:r>
          </w:p>
        </w:tc>
        <w:tc>
          <w:tcPr>
            <w:tcW w:w="72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STD</w:t>
            </w:r>
          </w:p>
        </w:tc>
        <w:tc>
          <w:tcPr>
            <w:tcW w:w="750"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 VaR</w:t>
            </w:r>
          </w:p>
        </w:tc>
        <w:tc>
          <w:tcPr>
            <w:tcW w:w="900" w:type="dxa"/>
            <w:gridSpan w:val="2"/>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Modelled</w:t>
            </w:r>
          </w:p>
        </w:tc>
        <w:tc>
          <w:tcPr>
            <w:tcW w:w="945" w:type="dxa"/>
            <w:tcBorders>
              <w:top w:val="nil"/>
              <w:bottom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rFonts w:ascii="Calibri" w:eastAsia="Calibri" w:hAnsi="Calibri" w:cs="Calibri"/>
                <w:color w:val="000000"/>
                <w:sz w:val="22"/>
              </w:rPr>
              <w:t xml:space="preserve"> </w:t>
            </w:r>
          </w:p>
        </w:tc>
        <w:tc>
          <w:tcPr>
            <w:tcW w:w="1184" w:type="dxa"/>
            <w:tcBorders>
              <w:top w:val="nil"/>
              <w:bottom w:val="nil"/>
              <w:right w:val="nil"/>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rFonts w:ascii="Calibri" w:eastAsia="Calibri" w:hAnsi="Calibri" w:cs="Calibri"/>
                <w:color w:val="000000"/>
                <w:sz w:val="22"/>
              </w:rPr>
              <w:t xml:space="preserve"> </w:t>
            </w:r>
          </w:p>
        </w:tc>
      </w:tr>
      <w:tr w:rsidR="000D1659" w:rsidRPr="00491918" w:rsidTr="00993AA4">
        <w:trPr>
          <w:trHeight w:val="255"/>
        </w:trPr>
        <w:tc>
          <w:tcPr>
            <w:tcW w:w="1800" w:type="dxa"/>
            <w:tcBorders>
              <w:top w:val="nil"/>
              <w:left w:val="nil"/>
              <w:bottom w:val="single" w:sz="4" w:space="0" w:color="C0C0C0"/>
            </w:tcBorders>
            <w:shd w:val="clear" w:color="auto" w:fill="FFFFFF"/>
            <w:tcMar>
              <w:left w:w="36" w:type="dxa"/>
              <w:right w:w="36" w:type="dxa"/>
            </w:tcMar>
            <w:vAlign w:val="bottom"/>
          </w:tcPr>
          <w:p w:rsidR="000D1659" w:rsidRPr="00491918" w:rsidRDefault="000D1659">
            <w:pPr>
              <w:jc w:val="center"/>
              <w:rPr>
                <w:rFonts w:ascii="Calibri" w:eastAsia="Calibri" w:hAnsi="Calibri" w:cs="Calibri"/>
                <w:color w:val="000000"/>
                <w:sz w:val="22"/>
              </w:rPr>
            </w:pPr>
            <w:r w:rsidRPr="00491918">
              <w:rPr>
                <w:color w:val="000000"/>
                <w:sz w:val="16"/>
              </w:rPr>
              <w:t xml:space="preserve"> </w:t>
            </w:r>
            <w:r w:rsidRPr="00491918">
              <w:rPr>
                <w:color w:val="000000"/>
                <w:sz w:val="16"/>
                <w:vertAlign w:val="superscript"/>
              </w:rPr>
              <w:t xml:space="preserve"> </w:t>
            </w:r>
          </w:p>
        </w:tc>
        <w:tc>
          <w:tcPr>
            <w:tcW w:w="735"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color w:val="000000"/>
                <w:sz w:val="16"/>
              </w:rPr>
              <w:t>£m</w:t>
            </w:r>
          </w:p>
        </w:tc>
        <w:tc>
          <w:tcPr>
            <w:tcW w:w="735"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720"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720"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750"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720"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750"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900" w:type="dxa"/>
            <w:gridSpan w:val="2"/>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945" w:type="dxa"/>
            <w:tcBorders>
              <w:top w:val="nil"/>
              <w:bottom w:val="single" w:sz="4" w:space="0" w:color="C0C0C0"/>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c>
          <w:tcPr>
            <w:tcW w:w="1184" w:type="dxa"/>
            <w:tcBorders>
              <w:top w:val="nil"/>
              <w:bottom w:val="single" w:sz="4" w:space="0" w:color="C0C0C0"/>
              <w:right w:val="nil"/>
            </w:tcBorders>
            <w:shd w:val="clear" w:color="auto" w:fill="FFFFFF"/>
            <w:tcMar>
              <w:left w:w="36" w:type="dxa"/>
              <w:right w:w="36" w:type="dxa"/>
            </w:tcMar>
            <w:vAlign w:val="bottom"/>
          </w:tcPr>
          <w:p w:rsidR="000D1659" w:rsidRPr="00491918" w:rsidRDefault="000D1659">
            <w:pPr>
              <w:jc w:val="center"/>
              <w:rPr>
                <w:color w:val="000000"/>
                <w:sz w:val="16"/>
              </w:rPr>
            </w:pPr>
            <w:r w:rsidRPr="00491918">
              <w:rPr>
                <w:color w:val="000000"/>
                <w:sz w:val="16"/>
              </w:rPr>
              <w:t>£m</w:t>
            </w:r>
          </w:p>
        </w:tc>
      </w:tr>
      <w:tr w:rsidR="000D1659" w:rsidRPr="00491918" w:rsidTr="00993AA4">
        <w:trPr>
          <w:trHeight w:val="255"/>
        </w:trPr>
        <w:tc>
          <w:tcPr>
            <w:tcW w:w="1800" w:type="dxa"/>
            <w:tcBorders>
              <w:top w:val="single" w:sz="4" w:space="0" w:color="C0C0C0"/>
              <w:left w:val="nil"/>
              <w:bottom w:val="nil"/>
            </w:tcBorders>
            <w:shd w:val="clear" w:color="auto" w:fill="FFFFFF"/>
            <w:tcMar>
              <w:left w:w="36" w:type="dxa"/>
              <w:right w:w="36" w:type="dxa"/>
            </w:tcMar>
          </w:tcPr>
          <w:p w:rsidR="000D1659" w:rsidRPr="00491918" w:rsidRDefault="000D1659">
            <w:pPr>
              <w:rPr>
                <w:color w:val="000000"/>
                <w:sz w:val="16"/>
              </w:rPr>
            </w:pPr>
            <w:r w:rsidRPr="00491918">
              <w:rPr>
                <w:color w:val="000000"/>
                <w:sz w:val="16"/>
              </w:rPr>
              <w:t>UK RBB</w:t>
            </w:r>
            <w:r w:rsidRPr="00491918">
              <w:rPr>
                <w:color w:val="000000"/>
                <w:sz w:val="16"/>
                <w:vertAlign w:val="superscript"/>
              </w:rPr>
              <w:t xml:space="preserve"> </w:t>
            </w:r>
          </w:p>
        </w:tc>
        <w:tc>
          <w:tcPr>
            <w:tcW w:w="735"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3,057 </w:t>
            </w:r>
          </w:p>
        </w:tc>
        <w:tc>
          <w:tcPr>
            <w:tcW w:w="735"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33,872 </w:t>
            </w:r>
          </w:p>
        </w:tc>
        <w:tc>
          <w:tcPr>
            <w:tcW w:w="720"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single" w:sz="4" w:space="0" w:color="C0C0C0"/>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6,680 </w:t>
            </w:r>
          </w:p>
        </w:tc>
        <w:tc>
          <w:tcPr>
            <w:tcW w:w="1184" w:type="dxa"/>
            <w:tcBorders>
              <w:top w:val="single" w:sz="4" w:space="0" w:color="C0C0C0"/>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43,609 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Europe RBB</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4,944 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9,656 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2,128 </w:t>
            </w:r>
          </w:p>
        </w:tc>
        <w:tc>
          <w:tcPr>
            <w:tcW w:w="1184" w:type="dxa"/>
            <w:tcBorders>
              <w:top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16,733 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Africa RBB</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6,196 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5,538 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9,790 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3,965 </w:t>
            </w:r>
          </w:p>
        </w:tc>
        <w:tc>
          <w:tcPr>
            <w:tcW w:w="1184" w:type="dxa"/>
            <w:tcBorders>
              <w:top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25,492 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Barclaycard</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17,761 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14,446 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6,594 </w:t>
            </w:r>
          </w:p>
        </w:tc>
        <w:tc>
          <w:tcPr>
            <w:tcW w:w="1184" w:type="dxa"/>
            <w:tcBorders>
              <w:top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38,801 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Investment Bank</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8,862 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3,687 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48,002 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24,871 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6,378 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22,764 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18,935 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10,536 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24,807 </w:t>
            </w:r>
          </w:p>
        </w:tc>
        <w:tc>
          <w:tcPr>
            <w:tcW w:w="1184" w:type="dxa"/>
            <w:tcBorders>
              <w:top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168,842 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Corporate Banking</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25,990 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2,555 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37,174 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684 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6,717 </w:t>
            </w:r>
          </w:p>
        </w:tc>
        <w:tc>
          <w:tcPr>
            <w:tcW w:w="1184" w:type="dxa"/>
            <w:tcBorders>
              <w:top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73,120 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Wealth and Investment Management</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11,668 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228 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1,440 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382 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3,261 </w:t>
            </w:r>
          </w:p>
        </w:tc>
        <w:tc>
          <w:tcPr>
            <w:tcW w:w="1184" w:type="dxa"/>
            <w:tcBorders>
              <w:top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16,979 </w:t>
            </w:r>
          </w:p>
        </w:tc>
      </w:tr>
      <w:tr w:rsidR="000D1659" w:rsidRPr="00491918" w:rsidTr="00993AA4">
        <w:trPr>
          <w:trHeight w:val="255"/>
        </w:trPr>
        <w:tc>
          <w:tcPr>
            <w:tcW w:w="1800" w:type="dxa"/>
            <w:tcBorders>
              <w:top w:val="nil"/>
              <w:left w:val="nil"/>
              <w:bottom w:val="single" w:sz="4" w:space="0" w:color="C0C0C0"/>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Head Office Functions and Other Operations</w:t>
            </w:r>
            <w:r w:rsidRPr="00491918">
              <w:rPr>
                <w:color w:val="000000"/>
                <w:sz w:val="16"/>
                <w:vertAlign w:val="superscript"/>
              </w:rPr>
              <w:t xml:space="preserve"> </w:t>
            </w:r>
          </w:p>
        </w:tc>
        <w:tc>
          <w:tcPr>
            <w:tcW w:w="735"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117 </w:t>
            </w:r>
          </w:p>
        </w:tc>
        <w:tc>
          <w:tcPr>
            <w:tcW w:w="735"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411 </w:t>
            </w:r>
          </w:p>
        </w:tc>
        <w:tc>
          <w:tcPr>
            <w:tcW w:w="72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2,965 </w:t>
            </w:r>
          </w:p>
        </w:tc>
        <w:tc>
          <w:tcPr>
            <w:tcW w:w="72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161 </w:t>
            </w:r>
          </w:p>
        </w:tc>
        <w:tc>
          <w:tcPr>
            <w:tcW w:w="1184" w:type="dxa"/>
            <w:tcBorders>
              <w:top w:val="nil"/>
              <w:bottom w:val="single" w:sz="4" w:space="0" w:color="C0C0C0"/>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3,654 </w:t>
            </w:r>
          </w:p>
        </w:tc>
      </w:tr>
      <w:tr w:rsidR="000D1659" w:rsidRPr="00491918" w:rsidTr="00993AA4">
        <w:trPr>
          <w:trHeight w:val="255"/>
        </w:trPr>
        <w:tc>
          <w:tcPr>
            <w:tcW w:w="1800" w:type="dxa"/>
            <w:tcBorders>
              <w:top w:val="single" w:sz="4" w:space="0" w:color="C0C0C0"/>
              <w:left w:val="nil"/>
            </w:tcBorders>
            <w:shd w:val="clear" w:color="auto" w:fill="FFFFFF"/>
            <w:tcMar>
              <w:left w:w="36" w:type="dxa"/>
              <w:right w:w="36" w:type="dxa"/>
            </w:tcMar>
          </w:tcPr>
          <w:p w:rsidR="000D1659" w:rsidRPr="00491918" w:rsidRDefault="000D1659">
            <w:pPr>
              <w:rPr>
                <w:b/>
                <w:color w:val="000000"/>
                <w:sz w:val="16"/>
              </w:rPr>
            </w:pPr>
            <w:r w:rsidRPr="00491918">
              <w:rPr>
                <w:b/>
                <w:color w:val="000000"/>
                <w:sz w:val="16"/>
              </w:rPr>
              <w:t xml:space="preserve">Total RWAs </w:t>
            </w:r>
            <w:r w:rsidRPr="00491918">
              <w:rPr>
                <w:b/>
                <w:color w:val="000000"/>
                <w:sz w:val="16"/>
                <w:vertAlign w:val="superscript"/>
              </w:rPr>
              <w:t xml:space="preserve"> </w:t>
            </w:r>
          </w:p>
        </w:tc>
        <w:tc>
          <w:tcPr>
            <w:tcW w:w="735" w:type="dxa"/>
            <w:tcBorders>
              <w:top w:val="single" w:sz="4" w:space="0" w:color="C0C0C0"/>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color w:val="000000"/>
                <w:sz w:val="16"/>
              </w:rPr>
              <w:t>78,595 </w:t>
            </w:r>
          </w:p>
        </w:tc>
        <w:tc>
          <w:tcPr>
            <w:tcW w:w="735"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12,419 </w:t>
            </w:r>
          </w:p>
        </w:tc>
        <w:tc>
          <w:tcPr>
            <w:tcW w:w="72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157,345 </w:t>
            </w:r>
          </w:p>
        </w:tc>
        <w:tc>
          <w:tcPr>
            <w:tcW w:w="72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25,555 </w:t>
            </w:r>
          </w:p>
        </w:tc>
        <w:tc>
          <w:tcPr>
            <w:tcW w:w="75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6,768 </w:t>
            </w:r>
          </w:p>
        </w:tc>
        <w:tc>
          <w:tcPr>
            <w:tcW w:w="72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22,764 </w:t>
            </w:r>
          </w:p>
        </w:tc>
        <w:tc>
          <w:tcPr>
            <w:tcW w:w="75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18,935 </w:t>
            </w:r>
          </w:p>
        </w:tc>
        <w:tc>
          <w:tcPr>
            <w:tcW w:w="900" w:type="dxa"/>
            <w:gridSpan w:val="2"/>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10,536 </w:t>
            </w:r>
          </w:p>
        </w:tc>
        <w:tc>
          <w:tcPr>
            <w:tcW w:w="945"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54,313 </w:t>
            </w:r>
          </w:p>
        </w:tc>
        <w:tc>
          <w:tcPr>
            <w:tcW w:w="1184" w:type="dxa"/>
            <w:tcBorders>
              <w:top w:val="single" w:sz="4" w:space="0" w:color="C0C0C0"/>
              <w:right w:val="nil"/>
            </w:tcBorders>
            <w:shd w:val="clear" w:color="auto" w:fill="EAEAEA"/>
            <w:tcMar>
              <w:left w:w="36" w:type="dxa"/>
              <w:right w:w="36" w:type="dxa"/>
            </w:tcMar>
          </w:tcPr>
          <w:p w:rsidR="000D1659" w:rsidRPr="00491918" w:rsidRDefault="000D1659">
            <w:pPr>
              <w:jc w:val="right"/>
              <w:rPr>
                <w:color w:val="000000"/>
                <w:sz w:val="16"/>
              </w:rPr>
            </w:pPr>
            <w:r w:rsidRPr="00491918">
              <w:rPr>
                <w:b/>
                <w:color w:val="000000"/>
                <w:sz w:val="16"/>
              </w:rPr>
              <w:t>387,230 </w:t>
            </w:r>
          </w:p>
        </w:tc>
      </w:tr>
      <w:tr w:rsidR="000D1659" w:rsidRPr="00491918" w:rsidTr="00993AA4">
        <w:trPr>
          <w:trHeight w:hRule="exact" w:val="255"/>
        </w:trPr>
        <w:tc>
          <w:tcPr>
            <w:tcW w:w="1800" w:type="dxa"/>
            <w:tcBorders>
              <w:left w:val="nil"/>
              <w:bottom w:val="nil"/>
            </w:tcBorders>
            <w:shd w:val="clear" w:color="auto" w:fill="FFFFFF"/>
            <w:tcMar>
              <w:left w:w="36" w:type="dxa"/>
              <w:right w:w="36" w:type="dxa"/>
            </w:tcMa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735" w:type="dxa"/>
            <w:tcBorders>
              <w:bottom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p>
        </w:tc>
        <w:tc>
          <w:tcPr>
            <w:tcW w:w="735" w:type="dxa"/>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720" w:type="dxa"/>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720" w:type="dxa"/>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750" w:type="dxa"/>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720" w:type="dxa"/>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750" w:type="dxa"/>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900" w:type="dxa"/>
            <w:gridSpan w:val="2"/>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945" w:type="dxa"/>
            <w:tcBorders>
              <w:bottom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84" w:type="dxa"/>
            <w:tcBorders>
              <w:bottom w:val="nil"/>
              <w:right w:val="nil"/>
            </w:tcBorders>
            <w:shd w:val="clear" w:color="auto" w:fill="auto"/>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r>
      <w:tr w:rsidR="000D1659" w:rsidRPr="00491918" w:rsidTr="00993AA4">
        <w:trPr>
          <w:trHeight w:val="225"/>
        </w:trPr>
        <w:tc>
          <w:tcPr>
            <w:tcW w:w="1800" w:type="dxa"/>
            <w:tcBorders>
              <w:top w:val="nil"/>
              <w:left w:val="nil"/>
              <w:bottom w:val="single" w:sz="4" w:space="0" w:color="C0C0C0"/>
            </w:tcBorders>
            <w:shd w:val="clear" w:color="auto" w:fill="FFFFFF"/>
            <w:tcMar>
              <w:left w:w="36" w:type="dxa"/>
              <w:right w:w="36" w:type="dxa"/>
            </w:tcMar>
          </w:tcPr>
          <w:p w:rsidR="000D1659" w:rsidRPr="00491918" w:rsidRDefault="0076224A">
            <w:pPr>
              <w:rPr>
                <w:b/>
                <w:color w:val="000000"/>
                <w:sz w:val="16"/>
              </w:rPr>
            </w:pPr>
            <w:r w:rsidRPr="00491918">
              <w:rPr>
                <w:b/>
                <w:color w:val="000000"/>
                <w:sz w:val="16"/>
              </w:rPr>
              <w:t>As at 31.12.</w:t>
            </w:r>
            <w:r w:rsidR="000D1659" w:rsidRPr="00491918">
              <w:rPr>
                <w:b/>
                <w:color w:val="000000"/>
                <w:sz w:val="16"/>
              </w:rPr>
              <w:t>12</w:t>
            </w:r>
            <w:r w:rsidR="000D1659" w:rsidRPr="00491918">
              <w:rPr>
                <w:color w:val="FFFFFF"/>
                <w:sz w:val="16"/>
                <w:vertAlign w:val="superscript"/>
              </w:rPr>
              <w:t xml:space="preserve"> </w:t>
            </w:r>
          </w:p>
        </w:tc>
        <w:tc>
          <w:tcPr>
            <w:tcW w:w="735"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color w:val="FFFFFF"/>
                <w:sz w:val="16"/>
                <w:vertAlign w:val="superscript"/>
              </w:rPr>
            </w:pPr>
            <w:r w:rsidRPr="00491918">
              <w:rPr>
                <w:b/>
                <w:color w:val="FFFFFF"/>
                <w:sz w:val="16"/>
              </w:rPr>
              <w:t xml:space="preserve"> </w:t>
            </w:r>
          </w:p>
        </w:tc>
        <w:tc>
          <w:tcPr>
            <w:tcW w:w="735"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720"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720"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750"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720"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750"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900" w:type="dxa"/>
            <w:gridSpan w:val="2"/>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945" w:type="dxa"/>
            <w:tcBorders>
              <w:top w:val="nil"/>
              <w:bottom w:val="single" w:sz="4" w:space="0" w:color="C0C0C0"/>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c>
          <w:tcPr>
            <w:tcW w:w="1184" w:type="dxa"/>
            <w:tcBorders>
              <w:top w:val="nil"/>
              <w:bottom w:val="single" w:sz="4" w:space="0" w:color="C0C0C0"/>
              <w:right w:val="nil"/>
            </w:tcBorders>
            <w:shd w:val="clear" w:color="auto" w:fill="FFFFFF"/>
            <w:tcMar>
              <w:left w:w="36" w:type="dxa"/>
              <w:right w:w="36" w:type="dxa"/>
            </w:tcMar>
            <w:vAlign w:val="bottom"/>
          </w:tcPr>
          <w:p w:rsidR="000D1659" w:rsidRPr="00491918" w:rsidRDefault="000D1659">
            <w:pPr>
              <w:jc w:val="right"/>
              <w:rPr>
                <w:b/>
                <w:color w:val="FFFFFF"/>
                <w:sz w:val="16"/>
              </w:rPr>
            </w:pPr>
            <w:r w:rsidRPr="00491918">
              <w:rPr>
                <w:b/>
                <w:color w:val="FFFFFF"/>
                <w:sz w:val="16"/>
              </w:rPr>
              <w:t xml:space="preserve"> </w:t>
            </w:r>
          </w:p>
        </w:tc>
      </w:tr>
      <w:tr w:rsidR="00D53836" w:rsidRPr="00491918" w:rsidTr="00993AA4">
        <w:trPr>
          <w:trHeight w:val="15"/>
        </w:trPr>
        <w:tc>
          <w:tcPr>
            <w:tcW w:w="1800" w:type="dxa"/>
            <w:tcBorders>
              <w:top w:val="single" w:sz="4" w:space="0" w:color="C0C0C0"/>
              <w:left w:val="nil"/>
              <w:bottom w:val="nil"/>
            </w:tcBorders>
            <w:shd w:val="clear" w:color="auto" w:fill="FFFFFF"/>
            <w:tcMar>
              <w:left w:w="36" w:type="dxa"/>
              <w:right w:w="36" w:type="dxa"/>
            </w:tcMar>
          </w:tcPr>
          <w:p w:rsidR="00D53836" w:rsidRPr="00491918" w:rsidRDefault="00D53836" w:rsidP="00D53836">
            <w:pPr>
              <w:rPr>
                <w:b/>
                <w:color w:val="000000"/>
                <w:sz w:val="16"/>
              </w:rPr>
            </w:pPr>
          </w:p>
        </w:tc>
        <w:tc>
          <w:tcPr>
            <w:tcW w:w="735"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735"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720"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720"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750"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720"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750"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900" w:type="dxa"/>
            <w:gridSpan w:val="2"/>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945" w:type="dxa"/>
            <w:tcBorders>
              <w:top w:val="single" w:sz="4" w:space="0" w:color="C0C0C0"/>
              <w:bottom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c>
          <w:tcPr>
            <w:tcW w:w="1184" w:type="dxa"/>
            <w:tcBorders>
              <w:top w:val="single" w:sz="4" w:space="0" w:color="C0C0C0"/>
              <w:bottom w:val="nil"/>
              <w:right w:val="nil"/>
            </w:tcBorders>
            <w:shd w:val="clear" w:color="auto" w:fill="FFFFFF"/>
            <w:tcMar>
              <w:left w:w="36" w:type="dxa"/>
              <w:right w:w="36" w:type="dxa"/>
            </w:tcMar>
            <w:vAlign w:val="bottom"/>
          </w:tcPr>
          <w:p w:rsidR="00D53836" w:rsidRPr="00491918" w:rsidRDefault="00D53836" w:rsidP="00D53836">
            <w:pPr>
              <w:jc w:val="right"/>
              <w:rPr>
                <w:b/>
                <w:color w:val="FFFFFF"/>
                <w:sz w:val="16"/>
              </w:rPr>
            </w:pP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FFFFFF"/>
                <w:sz w:val="16"/>
              </w:rPr>
            </w:pPr>
            <w:r w:rsidRPr="00491918">
              <w:rPr>
                <w:color w:val="000000"/>
                <w:sz w:val="16"/>
              </w:rPr>
              <w:t>UK RBB</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1,163 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31,401 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6,524 </w:t>
            </w:r>
          </w:p>
        </w:tc>
        <w:tc>
          <w:tcPr>
            <w:tcW w:w="1184" w:type="dxa"/>
            <w:tcBorders>
              <w:top w:val="nil"/>
              <w:bottom w:val="nil"/>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39,088 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Europe RBB</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5,051 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8,786 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1,955 </w:t>
            </w:r>
          </w:p>
        </w:tc>
        <w:tc>
          <w:tcPr>
            <w:tcW w:w="1184" w:type="dxa"/>
            <w:tcBorders>
              <w:top w:val="nil"/>
              <w:bottom w:val="nil"/>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15,795 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Africa RBB</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3,801 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5,778 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10,602 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7 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4,344 </w:t>
            </w:r>
          </w:p>
        </w:tc>
        <w:tc>
          <w:tcPr>
            <w:tcW w:w="1184" w:type="dxa"/>
            <w:tcBorders>
              <w:top w:val="nil"/>
              <w:bottom w:val="nil"/>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24,532 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Barclaycard</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17,326 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13,957 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6,553 </w:t>
            </w:r>
          </w:p>
        </w:tc>
        <w:tc>
          <w:tcPr>
            <w:tcW w:w="1184" w:type="dxa"/>
            <w:tcBorders>
              <w:top w:val="nil"/>
              <w:bottom w:val="nil"/>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37,836 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Investment Bank</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9,386 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3,055 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48,000 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25,127 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4,264 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25,396 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22,497 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15,429 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24,730 </w:t>
            </w:r>
          </w:p>
        </w:tc>
        <w:tc>
          <w:tcPr>
            <w:tcW w:w="1184" w:type="dxa"/>
            <w:tcBorders>
              <w:top w:val="nil"/>
              <w:bottom w:val="nil"/>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177,884 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Corporate Banking</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28,295 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3,430 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31,897 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500 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6,736 </w:t>
            </w:r>
          </w:p>
        </w:tc>
        <w:tc>
          <w:tcPr>
            <w:tcW w:w="1184" w:type="dxa"/>
            <w:tcBorders>
              <w:top w:val="nil"/>
              <w:bottom w:val="nil"/>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70,858 </w:t>
            </w:r>
          </w:p>
        </w:tc>
      </w:tr>
      <w:tr w:rsidR="000D1659" w:rsidRPr="00491918" w:rsidTr="00993AA4">
        <w:trPr>
          <w:trHeight w:val="255"/>
        </w:trPr>
        <w:tc>
          <w:tcPr>
            <w:tcW w:w="1800" w:type="dxa"/>
            <w:tcBorders>
              <w:top w:val="nil"/>
              <w:left w:val="nil"/>
              <w:bottom w:val="nil"/>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Wealth and Investment Management</w:t>
            </w:r>
            <w:r w:rsidRPr="00491918">
              <w:rPr>
                <w:color w:val="000000"/>
                <w:sz w:val="16"/>
                <w:vertAlign w:val="superscript"/>
              </w:rPr>
              <w:t xml:space="preserve">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11,647 </w:t>
            </w:r>
          </w:p>
        </w:tc>
        <w:tc>
          <w:tcPr>
            <w:tcW w:w="73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317 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707 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199 </w:t>
            </w:r>
          </w:p>
        </w:tc>
        <w:tc>
          <w:tcPr>
            <w:tcW w:w="72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3,184 </w:t>
            </w:r>
          </w:p>
        </w:tc>
        <w:tc>
          <w:tcPr>
            <w:tcW w:w="1184" w:type="dxa"/>
            <w:tcBorders>
              <w:top w:val="nil"/>
              <w:bottom w:val="nil"/>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16,054 </w:t>
            </w:r>
          </w:p>
        </w:tc>
      </w:tr>
      <w:tr w:rsidR="000D1659" w:rsidRPr="00491918" w:rsidTr="00993AA4">
        <w:trPr>
          <w:trHeight w:val="255"/>
        </w:trPr>
        <w:tc>
          <w:tcPr>
            <w:tcW w:w="1800" w:type="dxa"/>
            <w:tcBorders>
              <w:top w:val="nil"/>
              <w:left w:val="nil"/>
              <w:bottom w:val="single" w:sz="4" w:space="0" w:color="C0C0C0"/>
            </w:tcBorders>
            <w:shd w:val="clear" w:color="auto" w:fill="FFFFFF"/>
            <w:tcMar>
              <w:left w:w="36" w:type="dxa"/>
              <w:right w:w="36" w:type="dxa"/>
            </w:tcMar>
          </w:tcPr>
          <w:p w:rsidR="000D1659" w:rsidRPr="00491918" w:rsidRDefault="000D1659">
            <w:pPr>
              <w:rPr>
                <w:b/>
                <w:color w:val="000000"/>
                <w:sz w:val="16"/>
              </w:rPr>
            </w:pPr>
            <w:r w:rsidRPr="00491918">
              <w:rPr>
                <w:color w:val="000000"/>
                <w:sz w:val="16"/>
              </w:rPr>
              <w:t>Head Office Functions and Other Operations</w:t>
            </w:r>
            <w:r w:rsidRPr="00491918">
              <w:rPr>
                <w:color w:val="000000"/>
                <w:sz w:val="16"/>
                <w:vertAlign w:val="superscript"/>
              </w:rPr>
              <w:t xml:space="preserve"> </w:t>
            </w:r>
          </w:p>
        </w:tc>
        <w:tc>
          <w:tcPr>
            <w:tcW w:w="735"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205 </w:t>
            </w:r>
          </w:p>
        </w:tc>
        <w:tc>
          <w:tcPr>
            <w:tcW w:w="735"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4,961 </w:t>
            </w:r>
          </w:p>
        </w:tc>
        <w:tc>
          <w:tcPr>
            <w:tcW w:w="72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2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750"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00" w:type="dxa"/>
            <w:gridSpan w:val="2"/>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c>
          <w:tcPr>
            <w:tcW w:w="945" w:type="dxa"/>
            <w:tcBorders>
              <w:top w:val="nil"/>
              <w:bottom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160 </w:t>
            </w:r>
          </w:p>
        </w:tc>
        <w:tc>
          <w:tcPr>
            <w:tcW w:w="1184" w:type="dxa"/>
            <w:tcBorders>
              <w:top w:val="nil"/>
              <w:bottom w:val="single" w:sz="4" w:space="0" w:color="C0C0C0"/>
              <w:right w:val="nil"/>
            </w:tcBorders>
            <w:shd w:val="clear" w:color="auto" w:fill="auto"/>
            <w:tcMar>
              <w:left w:w="36" w:type="dxa"/>
              <w:right w:w="36" w:type="dxa"/>
            </w:tcMar>
          </w:tcPr>
          <w:p w:rsidR="000D1659" w:rsidRPr="00491918" w:rsidRDefault="000D1659">
            <w:pPr>
              <w:jc w:val="right"/>
              <w:rPr>
                <w:color w:val="000000"/>
                <w:sz w:val="16"/>
              </w:rPr>
            </w:pPr>
            <w:r w:rsidRPr="00491918">
              <w:rPr>
                <w:b/>
                <w:color w:val="000000"/>
                <w:sz w:val="16"/>
              </w:rPr>
              <w:t>5,326 </w:t>
            </w:r>
          </w:p>
        </w:tc>
      </w:tr>
      <w:tr w:rsidR="000D1659" w:rsidRPr="00491918" w:rsidTr="00993AA4">
        <w:trPr>
          <w:trHeight w:val="255"/>
        </w:trPr>
        <w:tc>
          <w:tcPr>
            <w:tcW w:w="1800" w:type="dxa"/>
            <w:tcBorders>
              <w:top w:val="single" w:sz="4" w:space="0" w:color="C0C0C0"/>
              <w:left w:val="nil"/>
            </w:tcBorders>
            <w:shd w:val="clear" w:color="auto" w:fill="FFFFFF"/>
            <w:tcMar>
              <w:left w:w="36" w:type="dxa"/>
              <w:right w:w="36" w:type="dxa"/>
            </w:tcMar>
          </w:tcPr>
          <w:p w:rsidR="000D1659" w:rsidRPr="00491918" w:rsidRDefault="000D1659">
            <w:pPr>
              <w:rPr>
                <w:b/>
                <w:color w:val="000000"/>
                <w:sz w:val="16"/>
              </w:rPr>
            </w:pPr>
            <w:r w:rsidRPr="00491918">
              <w:rPr>
                <w:b/>
                <w:color w:val="000000"/>
                <w:sz w:val="16"/>
              </w:rPr>
              <w:t xml:space="preserve">Total RWAs </w:t>
            </w:r>
            <w:r w:rsidRPr="00491918">
              <w:rPr>
                <w:b/>
                <w:color w:val="000000"/>
                <w:sz w:val="16"/>
                <w:vertAlign w:val="superscript"/>
              </w:rPr>
              <w:t xml:space="preserve"> </w:t>
            </w:r>
          </w:p>
        </w:tc>
        <w:tc>
          <w:tcPr>
            <w:tcW w:w="735" w:type="dxa"/>
            <w:tcBorders>
              <w:top w:val="single" w:sz="4" w:space="0" w:color="C0C0C0"/>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color w:val="000000"/>
                <w:sz w:val="16"/>
              </w:rPr>
              <w:t>76,874 </w:t>
            </w:r>
          </w:p>
        </w:tc>
        <w:tc>
          <w:tcPr>
            <w:tcW w:w="735"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12,580 </w:t>
            </w:r>
          </w:p>
        </w:tc>
        <w:tc>
          <w:tcPr>
            <w:tcW w:w="72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150,311 </w:t>
            </w:r>
          </w:p>
        </w:tc>
        <w:tc>
          <w:tcPr>
            <w:tcW w:w="72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25,627 </w:t>
            </w:r>
          </w:p>
        </w:tc>
        <w:tc>
          <w:tcPr>
            <w:tcW w:w="75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4,473 </w:t>
            </w:r>
          </w:p>
        </w:tc>
        <w:tc>
          <w:tcPr>
            <w:tcW w:w="72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25,396 </w:t>
            </w:r>
          </w:p>
        </w:tc>
        <w:tc>
          <w:tcPr>
            <w:tcW w:w="750"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22,497 </w:t>
            </w:r>
          </w:p>
        </w:tc>
        <w:tc>
          <w:tcPr>
            <w:tcW w:w="900" w:type="dxa"/>
            <w:gridSpan w:val="2"/>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15,429 </w:t>
            </w:r>
          </w:p>
        </w:tc>
        <w:tc>
          <w:tcPr>
            <w:tcW w:w="945" w:type="dxa"/>
            <w:tcBorders>
              <w:top w:val="single" w:sz="4" w:space="0" w:color="C0C0C0"/>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54,186 </w:t>
            </w:r>
          </w:p>
        </w:tc>
        <w:tc>
          <w:tcPr>
            <w:tcW w:w="1184" w:type="dxa"/>
            <w:tcBorders>
              <w:top w:val="single" w:sz="4" w:space="0" w:color="C0C0C0"/>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387,373 </w:t>
            </w:r>
          </w:p>
        </w:tc>
      </w:tr>
      <w:tr w:rsidR="009E6048" w:rsidRPr="00491918" w:rsidTr="00993AA4">
        <w:trPr>
          <w:trHeight w:hRule="exact" w:val="93"/>
        </w:trPr>
        <w:tc>
          <w:tcPr>
            <w:tcW w:w="9959" w:type="dxa"/>
            <w:gridSpan w:val="12"/>
            <w:tcBorders>
              <w:top w:val="nil"/>
              <w:left w:val="nil"/>
              <w:bottom w:val="nil"/>
              <w:right w:val="nil"/>
            </w:tcBorders>
            <w:shd w:val="clear" w:color="auto" w:fill="FFFFFF"/>
            <w:tcMar>
              <w:left w:w="36" w:type="dxa"/>
              <w:right w:w="36" w:type="dxa"/>
            </w:tcMar>
            <w:vAlign w:val="center"/>
          </w:tcPr>
          <w:p w:rsidR="000D1659" w:rsidRPr="00491918" w:rsidRDefault="000D1659"/>
        </w:tc>
      </w:tr>
      <w:tr w:rsidR="000D1659" w:rsidRPr="00491918" w:rsidTr="00993AA4">
        <w:trPr>
          <w:trHeight w:val="255"/>
        </w:trPr>
        <w:tc>
          <w:tcPr>
            <w:tcW w:w="7815" w:type="dxa"/>
            <w:gridSpan w:val="9"/>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16"/>
              </w:rPr>
              <w:t>Movement in RWAs</w:t>
            </w:r>
          </w:p>
        </w:tc>
        <w:tc>
          <w:tcPr>
            <w:tcW w:w="2144"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rsidTr="00993AA4">
        <w:trPr>
          <w:trHeight w:val="255"/>
        </w:trPr>
        <w:tc>
          <w:tcPr>
            <w:tcW w:w="7815" w:type="dxa"/>
            <w:gridSpan w:val="9"/>
            <w:tcBorders>
              <w:top w:val="nil"/>
              <w:left w:val="nil"/>
              <w:bottom w:val="single" w:sz="4" w:space="0" w:color="C0C0C0"/>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2144" w:type="dxa"/>
            <w:gridSpan w:val="3"/>
            <w:tcBorders>
              <w:top w:val="nil"/>
              <w:left w:val="nil"/>
              <w:bottom w:val="single" w:sz="4"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£bn</w:t>
            </w:r>
          </w:p>
        </w:tc>
      </w:tr>
      <w:tr w:rsidR="000D1659" w:rsidRPr="00491918" w:rsidTr="00993AA4">
        <w:trPr>
          <w:trHeight w:val="255"/>
        </w:trPr>
        <w:tc>
          <w:tcPr>
            <w:tcW w:w="7815" w:type="dxa"/>
            <w:gridSpan w:val="9"/>
            <w:tcBorders>
              <w:top w:val="single" w:sz="4" w:space="0" w:color="C0C0C0"/>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As at 1 January 2013</w:t>
            </w:r>
          </w:p>
        </w:tc>
        <w:tc>
          <w:tcPr>
            <w:tcW w:w="2144" w:type="dxa"/>
            <w:gridSpan w:val="3"/>
            <w:tcBorders>
              <w:top w:val="single" w:sz="4" w:space="0" w:color="C0C0C0"/>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b/>
                <w:color w:val="000000"/>
                <w:sz w:val="16"/>
              </w:rPr>
              <w:t>387.4 </w:t>
            </w:r>
          </w:p>
        </w:tc>
      </w:tr>
      <w:tr w:rsidR="000D1659" w:rsidRPr="00491918" w:rsidTr="00993AA4">
        <w:trPr>
          <w:trHeight w:val="255"/>
        </w:trPr>
        <w:tc>
          <w:tcPr>
            <w:tcW w:w="7815" w:type="dxa"/>
            <w:gridSpan w:val="9"/>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Business activity</w:t>
            </w:r>
            <w:r w:rsidR="000A77B6" w:rsidRPr="00491918">
              <w:rPr>
                <w:color w:val="000000"/>
                <w:sz w:val="16"/>
              </w:rPr>
              <w:t xml:space="preserve"> risk reduction</w:t>
            </w:r>
            <w:r w:rsidR="0076224A" w:rsidRPr="00491918">
              <w:rPr>
                <w:color w:val="000000"/>
                <w:sz w:val="16"/>
              </w:rPr>
              <w:t>s</w:t>
            </w:r>
          </w:p>
        </w:tc>
        <w:tc>
          <w:tcPr>
            <w:tcW w:w="2144" w:type="dxa"/>
            <w:gridSpan w:val="3"/>
            <w:tcBorders>
              <w:top w:val="nil"/>
              <w:left w:val="nil"/>
              <w:bottom w:val="nil"/>
              <w:right w:val="nil"/>
            </w:tcBorders>
            <w:shd w:val="clear" w:color="auto" w:fill="F2F2F2"/>
            <w:tcMar>
              <w:left w:w="36" w:type="dxa"/>
              <w:right w:w="36" w:type="dxa"/>
            </w:tcMar>
            <w:vAlign w:val="center"/>
          </w:tcPr>
          <w:p w:rsidR="000D1659" w:rsidRPr="00491918" w:rsidRDefault="00285FBB">
            <w:pPr>
              <w:jc w:val="right"/>
              <w:rPr>
                <w:color w:val="000000"/>
                <w:sz w:val="16"/>
              </w:rPr>
            </w:pPr>
            <w:r w:rsidRPr="00491918">
              <w:rPr>
                <w:b/>
                <w:color w:val="000000"/>
                <w:sz w:val="16"/>
              </w:rPr>
              <w:t>(11.0</w:t>
            </w:r>
            <w:r w:rsidR="000D1659" w:rsidRPr="00491918">
              <w:rPr>
                <w:b/>
                <w:color w:val="000000"/>
                <w:sz w:val="16"/>
              </w:rPr>
              <w:t>)</w:t>
            </w:r>
          </w:p>
        </w:tc>
      </w:tr>
      <w:tr w:rsidR="000D1659" w:rsidRPr="00491918" w:rsidTr="00993AA4">
        <w:trPr>
          <w:trHeight w:val="255"/>
        </w:trPr>
        <w:tc>
          <w:tcPr>
            <w:tcW w:w="7815" w:type="dxa"/>
            <w:gridSpan w:val="9"/>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Change in risk parameters</w:t>
            </w:r>
          </w:p>
        </w:tc>
        <w:tc>
          <w:tcPr>
            <w:tcW w:w="2144" w:type="dxa"/>
            <w:gridSpan w:val="3"/>
            <w:tcBorders>
              <w:top w:val="nil"/>
              <w:left w:val="nil"/>
              <w:bottom w:val="nil"/>
              <w:right w:val="nil"/>
            </w:tcBorders>
            <w:shd w:val="clear" w:color="auto" w:fill="F2F2F2"/>
            <w:tcMar>
              <w:left w:w="36" w:type="dxa"/>
              <w:right w:w="36" w:type="dxa"/>
            </w:tcMar>
            <w:vAlign w:val="center"/>
          </w:tcPr>
          <w:p w:rsidR="000D1659" w:rsidRPr="00491918" w:rsidRDefault="00285FBB">
            <w:pPr>
              <w:jc w:val="right"/>
              <w:rPr>
                <w:color w:val="000000"/>
                <w:sz w:val="16"/>
              </w:rPr>
            </w:pPr>
            <w:r w:rsidRPr="00491918">
              <w:rPr>
                <w:b/>
                <w:color w:val="000000"/>
                <w:sz w:val="16"/>
              </w:rPr>
              <w:t>(0.5</w:t>
            </w:r>
            <w:r w:rsidR="000D1659" w:rsidRPr="00491918">
              <w:rPr>
                <w:b/>
                <w:color w:val="000000"/>
                <w:sz w:val="16"/>
              </w:rPr>
              <w:t>)</w:t>
            </w:r>
          </w:p>
        </w:tc>
      </w:tr>
      <w:tr w:rsidR="000D1659" w:rsidRPr="00491918" w:rsidTr="00993AA4">
        <w:trPr>
          <w:trHeight w:val="255"/>
        </w:trPr>
        <w:tc>
          <w:tcPr>
            <w:tcW w:w="7815" w:type="dxa"/>
            <w:gridSpan w:val="9"/>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Foreign Exchange</w:t>
            </w:r>
          </w:p>
        </w:tc>
        <w:tc>
          <w:tcPr>
            <w:tcW w:w="2144" w:type="dxa"/>
            <w:gridSpan w:val="3"/>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b/>
                <w:color w:val="000000"/>
                <w:sz w:val="16"/>
              </w:rPr>
              <w:t>7.1 </w:t>
            </w:r>
          </w:p>
        </w:tc>
      </w:tr>
      <w:tr w:rsidR="000D1659" w:rsidRPr="00491918" w:rsidTr="00993AA4">
        <w:trPr>
          <w:trHeight w:val="255"/>
        </w:trPr>
        <w:tc>
          <w:tcPr>
            <w:tcW w:w="7815" w:type="dxa"/>
            <w:gridSpan w:val="9"/>
            <w:tcBorders>
              <w:top w:val="nil"/>
              <w:left w:val="nil"/>
              <w:bottom w:val="single" w:sz="4" w:space="0" w:color="C0C0C0"/>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Methodology and model changes</w:t>
            </w:r>
          </w:p>
        </w:tc>
        <w:tc>
          <w:tcPr>
            <w:tcW w:w="2144" w:type="dxa"/>
            <w:gridSpan w:val="3"/>
            <w:tcBorders>
              <w:top w:val="nil"/>
              <w:left w:val="nil"/>
              <w:bottom w:val="single" w:sz="4" w:space="0" w:color="C0C0C0"/>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b/>
                <w:color w:val="000000"/>
                <w:sz w:val="16"/>
              </w:rPr>
              <w:t>4.2 </w:t>
            </w:r>
          </w:p>
        </w:tc>
      </w:tr>
      <w:tr w:rsidR="000D1659" w:rsidRPr="00491918" w:rsidTr="00993AA4">
        <w:trPr>
          <w:trHeight w:val="255"/>
        </w:trPr>
        <w:tc>
          <w:tcPr>
            <w:tcW w:w="7815" w:type="dxa"/>
            <w:gridSpan w:val="9"/>
            <w:tcBorders>
              <w:top w:val="single" w:sz="4" w:space="0" w:color="C0C0C0"/>
              <w:left w:val="nil"/>
              <w:bottom w:val="single" w:sz="4" w:space="0" w:color="C0C0C0"/>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As at 30 June 2013</w:t>
            </w:r>
          </w:p>
        </w:tc>
        <w:tc>
          <w:tcPr>
            <w:tcW w:w="2144" w:type="dxa"/>
            <w:gridSpan w:val="3"/>
            <w:tcBorders>
              <w:top w:val="single" w:sz="4" w:space="0" w:color="C0C0C0"/>
              <w:left w:val="nil"/>
              <w:bottom w:val="single" w:sz="4" w:space="0" w:color="C0C0C0"/>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387.2 </w:t>
            </w:r>
          </w:p>
        </w:tc>
      </w:tr>
    </w:tbl>
    <w:p w:rsidR="000D1659" w:rsidRPr="00491918" w:rsidRDefault="000D1659">
      <w:pPr>
        <w:spacing w:line="14" w:lineRule="exact"/>
      </w:pPr>
    </w:p>
    <w:p w:rsidR="000D1659" w:rsidRPr="00491918" w:rsidRDefault="000D1659" w:rsidP="000D1659">
      <w:pPr>
        <w:pStyle w:val="Normal40"/>
        <w:spacing w:line="14" w:lineRule="exact"/>
      </w:pPr>
    </w:p>
    <w:p w:rsidR="000D1659" w:rsidRPr="00491918" w:rsidRDefault="000D1659" w:rsidP="000D1659">
      <w:pPr>
        <w:pStyle w:val="Normal40"/>
        <w:spacing w:line="14" w:lineRule="exact"/>
      </w:pPr>
    </w:p>
    <w:p w:rsidR="00751636" w:rsidRPr="00491918" w:rsidRDefault="00751636" w:rsidP="000D1659">
      <w:pPr>
        <w:pStyle w:val="Default0"/>
        <w:widowControl/>
        <w:rPr>
          <w:rFonts w:ascii="Expert Sans Regular" w:hAnsi="Expert Sans Regular" w:cs="Expert Sans"/>
          <w:sz w:val="18"/>
          <w:szCs w:val="18"/>
        </w:rPr>
      </w:pPr>
    </w:p>
    <w:p w:rsidR="000D1659" w:rsidRPr="00491918" w:rsidRDefault="000D1659" w:rsidP="000D1659">
      <w:pPr>
        <w:pStyle w:val="Default0"/>
        <w:widowControl/>
        <w:rPr>
          <w:rFonts w:ascii="Expert Sans Regular" w:hAnsi="Expert Sans Regular" w:cs="Expert Sans"/>
          <w:sz w:val="18"/>
          <w:szCs w:val="18"/>
        </w:rPr>
      </w:pPr>
      <w:r w:rsidRPr="00491918">
        <w:rPr>
          <w:rFonts w:ascii="Expert Sans Regular" w:hAnsi="Expert Sans Regular" w:cs="Expert Sans"/>
          <w:sz w:val="18"/>
          <w:szCs w:val="18"/>
        </w:rPr>
        <w:t xml:space="preserve">RWAs remained broadly flat at £387.2bn, reflecting: </w:t>
      </w:r>
    </w:p>
    <w:p w:rsidR="000D1659" w:rsidRPr="00491918" w:rsidRDefault="000D1659" w:rsidP="000D1659">
      <w:pPr>
        <w:pStyle w:val="Default0"/>
        <w:widowControl/>
        <w:ind w:left="360"/>
        <w:rPr>
          <w:rFonts w:ascii="Expert Sans Regular" w:hAnsi="Expert Sans Regular" w:cs="Expert Sans"/>
          <w:sz w:val="18"/>
          <w:szCs w:val="18"/>
        </w:rPr>
      </w:pPr>
    </w:p>
    <w:p w:rsidR="000D1659" w:rsidRPr="00491918" w:rsidRDefault="000D1659" w:rsidP="00CD39D9">
      <w:pPr>
        <w:pStyle w:val="ListParagraph0"/>
        <w:numPr>
          <w:ilvl w:val="0"/>
          <w:numId w:val="94"/>
        </w:numPr>
        <w:rPr>
          <w:rFonts w:cs="Candara"/>
          <w:szCs w:val="18"/>
        </w:rPr>
      </w:pPr>
      <w:r w:rsidRPr="00491918">
        <w:rPr>
          <w:rFonts w:cs="Expert Sans"/>
          <w:szCs w:val="18"/>
        </w:rPr>
        <w:t>Business activity</w:t>
      </w:r>
      <w:r w:rsidR="000A77B6" w:rsidRPr="00491918">
        <w:rPr>
          <w:rFonts w:cs="Expert Sans"/>
          <w:szCs w:val="18"/>
        </w:rPr>
        <w:t xml:space="preserve"> risk reductions</w:t>
      </w:r>
      <w:r w:rsidRPr="00491918">
        <w:rPr>
          <w:rFonts w:cs="Expert Sans"/>
          <w:szCs w:val="18"/>
        </w:rPr>
        <w:t xml:space="preserve"> leading to a decrease of £11.0bn, </w:t>
      </w:r>
      <w:r w:rsidRPr="00491918">
        <w:rPr>
          <w:szCs w:val="18"/>
        </w:rPr>
        <w:t xml:space="preserve">due to </w:t>
      </w:r>
      <w:r w:rsidRPr="00491918">
        <w:rPr>
          <w:szCs w:val="18"/>
          <w:lang w:val="en-ZA"/>
        </w:rPr>
        <w:t xml:space="preserve">a reduction of sovereign exposures in the trading book and Exit Quadrant RWAs </w:t>
      </w:r>
    </w:p>
    <w:p w:rsidR="000D1659" w:rsidRPr="00491918" w:rsidRDefault="000D1659" w:rsidP="000D1659">
      <w:pPr>
        <w:pStyle w:val="ListParagraph0"/>
        <w:ind w:left="360"/>
        <w:rPr>
          <w:rFonts w:cs="Candara"/>
          <w:szCs w:val="18"/>
        </w:rPr>
      </w:pPr>
    </w:p>
    <w:p w:rsidR="000D1659" w:rsidRPr="00491918" w:rsidRDefault="000D1659" w:rsidP="00CD39D9">
      <w:pPr>
        <w:pStyle w:val="Default0"/>
        <w:widowControl/>
        <w:numPr>
          <w:ilvl w:val="0"/>
          <w:numId w:val="95"/>
        </w:numPr>
        <w:rPr>
          <w:rFonts w:ascii="Expert Sans Regular" w:hAnsi="Expert Sans Regular" w:cs="Expert Sans"/>
          <w:sz w:val="18"/>
          <w:szCs w:val="18"/>
          <w:lang w:val="en-ZA"/>
        </w:rPr>
      </w:pPr>
      <w:r w:rsidRPr="00491918">
        <w:rPr>
          <w:rFonts w:ascii="Expert Sans Regular" w:hAnsi="Expert Sans Regular" w:cs="Expert Sans"/>
          <w:sz w:val="18"/>
          <w:szCs w:val="18"/>
        </w:rPr>
        <w:t xml:space="preserve">Change in risk parameters leading to a decrease of £0.5bn, </w:t>
      </w:r>
      <w:r w:rsidRPr="00491918">
        <w:rPr>
          <w:rFonts w:ascii="Expert Sans Regular" w:hAnsi="Expert Sans Regular"/>
          <w:sz w:val="18"/>
          <w:szCs w:val="18"/>
          <w:lang w:val="en-ZA"/>
        </w:rPr>
        <w:t>driven by overall improvements in risk profile and market conditions</w:t>
      </w:r>
    </w:p>
    <w:p w:rsidR="000D1659" w:rsidRPr="00491918" w:rsidRDefault="000D1659" w:rsidP="000D1659">
      <w:pPr>
        <w:pStyle w:val="Default0"/>
        <w:widowControl/>
        <w:ind w:left="360"/>
        <w:rPr>
          <w:rFonts w:ascii="Expert Sans Regular" w:hAnsi="Expert Sans Regular" w:cs="Expert Sans"/>
          <w:sz w:val="18"/>
          <w:szCs w:val="18"/>
          <w:lang w:val="en-ZA"/>
        </w:rPr>
      </w:pPr>
    </w:p>
    <w:p w:rsidR="000D1659" w:rsidRPr="00491918" w:rsidRDefault="000D1659" w:rsidP="000D1659">
      <w:pPr>
        <w:pStyle w:val="ListParagraph0"/>
        <w:rPr>
          <w:rFonts w:cs="Expert Sans"/>
          <w:sz w:val="2"/>
          <w:szCs w:val="18"/>
          <w:lang w:val="en-ZA"/>
        </w:rPr>
      </w:pPr>
    </w:p>
    <w:p w:rsidR="000D1659" w:rsidRPr="00491918" w:rsidRDefault="000D1659" w:rsidP="00CD39D9">
      <w:pPr>
        <w:pStyle w:val="Default0"/>
        <w:widowControl/>
        <w:numPr>
          <w:ilvl w:val="0"/>
          <w:numId w:val="95"/>
        </w:numPr>
        <w:spacing w:after="256"/>
        <w:rPr>
          <w:rFonts w:ascii="Expert Sans Regular" w:hAnsi="Expert Sans Regular" w:cs="Expert Sans"/>
          <w:sz w:val="18"/>
          <w:szCs w:val="18"/>
        </w:rPr>
      </w:pPr>
      <w:r w:rsidRPr="00491918">
        <w:rPr>
          <w:rFonts w:ascii="Expert Sans Regular" w:hAnsi="Expert Sans Regular" w:cs="Expert Sans"/>
          <w:sz w:val="18"/>
          <w:szCs w:val="18"/>
          <w:lang w:val="en-ZA"/>
        </w:rPr>
        <w:t>Foreign exchange mo</w:t>
      </w:r>
      <w:r w:rsidRPr="00491918">
        <w:rPr>
          <w:rFonts w:ascii="Expert Sans Regular" w:hAnsi="Expert Sans Regular" w:cs="Candara"/>
          <w:sz w:val="18"/>
          <w:szCs w:val="18"/>
        </w:rPr>
        <w:t>v</w:t>
      </w:r>
      <w:r w:rsidRPr="00491918">
        <w:rPr>
          <w:rFonts w:ascii="Expert Sans Regular" w:hAnsi="Expert Sans Regular" w:cs="Expert Sans"/>
          <w:sz w:val="18"/>
          <w:szCs w:val="18"/>
        </w:rPr>
        <w:t xml:space="preserve">ements increase of £7.1bn, primarily driven by the appreciation of Euro and US Dollar against </w:t>
      </w:r>
      <w:r w:rsidR="007E73F3" w:rsidRPr="00491918">
        <w:rPr>
          <w:rFonts w:ascii="Expert Sans Regular" w:hAnsi="Expert Sans Regular" w:cs="Expert Sans"/>
          <w:sz w:val="18"/>
          <w:szCs w:val="18"/>
        </w:rPr>
        <w:t>GBP</w:t>
      </w:r>
      <w:r w:rsidRPr="00491918">
        <w:rPr>
          <w:rFonts w:ascii="Expert Sans Regular" w:hAnsi="Expert Sans Regular" w:cs="Expert Sans"/>
          <w:sz w:val="18"/>
          <w:szCs w:val="18"/>
        </w:rPr>
        <w:t xml:space="preserve">, partly offset by the depreciation of </w:t>
      </w:r>
      <w:r w:rsidR="007E73F3" w:rsidRPr="00491918">
        <w:rPr>
          <w:rFonts w:ascii="Expert Sans Regular" w:hAnsi="Expert Sans Regular" w:cs="Expert Sans"/>
          <w:sz w:val="18"/>
          <w:szCs w:val="18"/>
        </w:rPr>
        <w:t>ZAR</w:t>
      </w:r>
    </w:p>
    <w:p w:rsidR="000D1659" w:rsidRPr="00491918" w:rsidRDefault="000D1659" w:rsidP="00CD39D9">
      <w:pPr>
        <w:pStyle w:val="Default0"/>
        <w:widowControl/>
        <w:numPr>
          <w:ilvl w:val="0"/>
          <w:numId w:val="95"/>
        </w:numPr>
        <w:spacing w:after="256"/>
        <w:rPr>
          <w:rFonts w:ascii="Expert Sans Regular" w:hAnsi="Expert Sans Regular" w:cs="Expert Sans"/>
          <w:sz w:val="18"/>
          <w:szCs w:val="18"/>
        </w:rPr>
      </w:pPr>
      <w:r w:rsidRPr="00491918">
        <w:rPr>
          <w:rFonts w:ascii="Expert Sans Regular" w:hAnsi="Expert Sans Regular" w:cs="Expert Sans"/>
          <w:sz w:val="18"/>
          <w:szCs w:val="18"/>
        </w:rPr>
        <w:t>Methodology and model changes leading to an increase of £4.2bn reflecting loss given default recalibration and change of regulatory treatment for commercial real estate exposures</w:t>
      </w:r>
    </w:p>
    <w:p w:rsidR="000D1659" w:rsidRPr="00491918" w:rsidRDefault="000D1659">
      <w:pPr>
        <w:spacing w:line="14" w:lineRule="exact"/>
        <w:rPr>
          <w:rFonts w:cs="Expert Sans"/>
          <w:sz w:val="18"/>
          <w:szCs w:val="18"/>
        </w:rPr>
      </w:pPr>
      <w:r w:rsidRPr="00491918">
        <w:rPr>
          <w:rFonts w:cs="Expert Sans"/>
          <w:sz w:val="18"/>
          <w:szCs w:val="18"/>
        </w:rPr>
        <w:br w:type="page"/>
      </w:r>
    </w:p>
    <w:p w:rsidR="000D76A8" w:rsidRPr="00491918" w:rsidRDefault="000D76A8" w:rsidP="000D76A8">
      <w:pPr>
        <w:pStyle w:val="HeadingLevel1-BarcRA26"/>
        <w:rPr>
          <w:lang w:val="en-GB"/>
        </w:rPr>
      </w:pPr>
      <w:r w:rsidRPr="00491918">
        <w:rPr>
          <w:lang w:val="en-GB"/>
        </w:rPr>
        <w:lastRenderedPageBreak/>
        <w:t>Funding Risk</w:t>
      </w:r>
    </w:p>
    <w:p w:rsidR="000D1659" w:rsidRPr="00491918" w:rsidRDefault="00337CAB" w:rsidP="008D6001">
      <w:pPr>
        <w:pStyle w:val="HeadingLevel1-AR"/>
        <w:outlineLvl w:val="0"/>
      </w:pPr>
      <w:r w:rsidRPr="00491918">
        <w:t>Impact of CRD IV</w:t>
      </w:r>
    </w:p>
    <w:p w:rsidR="000D1659" w:rsidRPr="00491918" w:rsidRDefault="000D1659" w:rsidP="000D1659">
      <w:pPr>
        <w:pStyle w:val="HeadingLevel1-AR"/>
      </w:pPr>
    </w:p>
    <w:p w:rsidR="000D1659" w:rsidRPr="00491918" w:rsidRDefault="000D1659" w:rsidP="000D1659">
      <w:pPr>
        <w:pStyle w:val="Level1Bullet-BarcRA00"/>
        <w:numPr>
          <w:ilvl w:val="0"/>
          <w:numId w:val="0"/>
        </w:numPr>
        <w:tabs>
          <w:tab w:val="left" w:pos="720"/>
        </w:tabs>
        <w:spacing w:before="0"/>
        <w:rPr>
          <w:lang w:val="en-GB"/>
        </w:rPr>
      </w:pPr>
      <w:r w:rsidRPr="00491918">
        <w:t>The new capital requirements regulation and capital requirements directive that implement Basel 3 proposals within the EU (</w:t>
      </w:r>
      <w:r w:rsidR="00B95045" w:rsidRPr="00491918">
        <w:t xml:space="preserve">collectively known as CRD IV) </w:t>
      </w:r>
      <w:r w:rsidR="00B95045" w:rsidRPr="00491918">
        <w:rPr>
          <w:lang w:val="en-GB"/>
        </w:rPr>
        <w:t>were</w:t>
      </w:r>
      <w:r w:rsidRPr="00491918">
        <w:t xml:space="preserve"> finalised </w:t>
      </w:r>
      <w:r w:rsidRPr="00491918">
        <w:rPr>
          <w:lang w:val="en-US"/>
        </w:rPr>
        <w:t xml:space="preserve">and published in the Official Journal of the EU in June 2013 </w:t>
      </w:r>
      <w:r w:rsidRPr="00491918">
        <w:t xml:space="preserve">and will be implemented from 1 January 2014. The actual impact of CRD IV on capital ratios may be materially different </w:t>
      </w:r>
      <w:r w:rsidRPr="00491918">
        <w:rPr>
          <w:lang w:val="en-GB"/>
        </w:rPr>
        <w:t xml:space="preserve">to the estimates disclosed </w:t>
      </w:r>
      <w:r w:rsidRPr="00491918">
        <w:t>as there are interpretative issues outstanding and related technical standards have not yet been finalised</w:t>
      </w:r>
      <w:r w:rsidRPr="00491918">
        <w:rPr>
          <w:lang w:val="en-GB"/>
        </w:rPr>
        <w:t>.</w:t>
      </w:r>
      <w:r w:rsidRPr="00491918">
        <w:t xml:space="preserve"> </w:t>
      </w:r>
      <w:r w:rsidRPr="00491918">
        <w:rPr>
          <w:lang w:val="en-GB"/>
        </w:rPr>
        <w:t>This would impact, f</w:t>
      </w:r>
      <w:r w:rsidRPr="00491918">
        <w:t>or example</w:t>
      </w:r>
      <w:r w:rsidRPr="00491918">
        <w:rPr>
          <w:lang w:val="en-GB"/>
        </w:rPr>
        <w:t>,</w:t>
      </w:r>
      <w:r w:rsidRPr="00491918">
        <w:t xml:space="preserve"> provisions relating to the scope of application of the CVA volatility charge</w:t>
      </w:r>
      <w:r w:rsidRPr="00491918">
        <w:rPr>
          <w:lang w:val="en-GB"/>
        </w:rPr>
        <w:t>, the treatment of minority interest</w:t>
      </w:r>
      <w:r w:rsidRPr="00491918">
        <w:t xml:space="preserve"> and restrictions on short hedges relating to </w:t>
      </w:r>
      <w:r w:rsidRPr="00491918">
        <w:rPr>
          <w:lang w:val="en-GB"/>
        </w:rPr>
        <w:t>non-significant</w:t>
      </w:r>
      <w:r w:rsidRPr="00491918">
        <w:t xml:space="preserve"> financial holdings. The actual impact will also be dependent on required regulatory approvals and the extent to which further management action is taken prior to implementation</w:t>
      </w:r>
    </w:p>
    <w:p w:rsidR="000D1659" w:rsidRPr="00491918" w:rsidRDefault="000D1659" w:rsidP="000D1659">
      <w:pPr>
        <w:pStyle w:val="Level1Bullet-BarcRA00"/>
      </w:pPr>
      <w:r w:rsidRPr="00491918">
        <w:t xml:space="preserve">CRD IV includes the requirement for a minimum Common Equity Tier 1 (CET1) ratio of 4.5%, a minimum Tier 1 ratio of 6% and a minimum total capital ratio of 8%. There is an additional requirement for a Capital Conservation Buffer (CCB) of 2.5% and Counter-Cyclical Capital Buffer (CCCB) of up to 2.5% to be applied when macroeconomic conditions indicate areas of the economy are over-heating. </w:t>
      </w:r>
      <w:r w:rsidRPr="00491918">
        <w:rPr>
          <w:lang w:val="en-GB"/>
        </w:rPr>
        <w:t>Barclays</w:t>
      </w:r>
      <w:r w:rsidRPr="00491918">
        <w:t xml:space="preserve"> working assumption is that the CCCB would be zero if implemented today</w:t>
      </w:r>
    </w:p>
    <w:p w:rsidR="000D1659" w:rsidRPr="00491918" w:rsidRDefault="000D1659" w:rsidP="000D1659">
      <w:pPr>
        <w:pStyle w:val="Level1Bullet-BarcRA00"/>
      </w:pPr>
      <w:r w:rsidRPr="00491918">
        <w:t>CRD IV also introduces a</w:t>
      </w:r>
      <w:r w:rsidR="004A2896" w:rsidRPr="00491918">
        <w:rPr>
          <w:lang w:val="en-GB"/>
        </w:rPr>
        <w:t>n</w:t>
      </w:r>
      <w:r w:rsidR="00B96E19" w:rsidRPr="00491918">
        <w:rPr>
          <w:lang w:val="en-GB"/>
        </w:rPr>
        <w:t xml:space="preserve"> additional</w:t>
      </w:r>
      <w:r w:rsidRPr="00491918">
        <w:t xml:space="preserve"> buffer of up to 2% for Other Systemically Important Institutions (O-SII) that are designated as systemically important at the national level.</w:t>
      </w:r>
      <w:r w:rsidR="00B96E19" w:rsidRPr="00491918">
        <w:rPr>
          <w:lang w:val="en-GB"/>
        </w:rPr>
        <w:t xml:space="preserve"> </w:t>
      </w:r>
      <w:r w:rsidR="00B96E19" w:rsidRPr="00491918">
        <w:t>Globally Systemically Important Institutions (G-SII) are expected to hold a buffer of up to 2.5%, possibly higher. Where a firm is designated both an O-SII and a G-SII the higher buffer will apply. Based on the designation by the Financial Stability Board in November 2012, Barclays expects a G-SII buffer of 2%, resulting in a regulatory target CET1 ratio of 9% including the capital conservation buffer. The G-SII capital buffer will phase in between 2016 and 2019</w:t>
      </w:r>
    </w:p>
    <w:p w:rsidR="000D1659" w:rsidRPr="00491918" w:rsidRDefault="000D1659" w:rsidP="000D1659">
      <w:pPr>
        <w:pStyle w:val="Level1Bullet-BarcRA00"/>
      </w:pPr>
      <w:r w:rsidRPr="00491918">
        <w:t xml:space="preserve">CRD IV also includes the potential for a systemic risk buffer. </w:t>
      </w:r>
      <w:r w:rsidRPr="00491918">
        <w:rPr>
          <w:lang w:val="en-GB"/>
        </w:rPr>
        <w:t>T</w:t>
      </w:r>
      <w:r w:rsidRPr="00491918">
        <w:t xml:space="preserve">his buffer could be applied at the Group level or at a subset of the institution, such as a particular portfolio in a given country. If required this buffer would be </w:t>
      </w:r>
      <w:r w:rsidRPr="00491918">
        <w:rPr>
          <w:lang w:val="en-GB"/>
        </w:rPr>
        <w:t>phased in</w:t>
      </w:r>
      <w:r w:rsidRPr="00491918">
        <w:t>, providing lead time for the institution to meet the requirements. At the moment, no systemic buffer has been communicated to Barclays</w:t>
      </w:r>
    </w:p>
    <w:p w:rsidR="000D1659" w:rsidRPr="00491918" w:rsidRDefault="000D1659" w:rsidP="000D1659">
      <w:pPr>
        <w:pStyle w:val="Level1Bullet-BarcRA00"/>
      </w:pPr>
      <w:r w:rsidRPr="00491918">
        <w:t>Given the phasing of both capital requirements</w:t>
      </w:r>
      <w:r w:rsidRPr="00491918">
        <w:rPr>
          <w:lang w:val="en-GB"/>
        </w:rPr>
        <w:t>, transitional provisions</w:t>
      </w:r>
      <w:r w:rsidRPr="00491918">
        <w:t xml:space="preserve"> and target levels in advance of needing to comply with the end state requirements, Barclays will have the opportunity to continue to generate additional capital from earnings and take management actions to mitigate the impact of CRD IV </w:t>
      </w:r>
    </w:p>
    <w:p w:rsidR="008D6001" w:rsidRPr="00491918" w:rsidRDefault="000D1659" w:rsidP="002F0500">
      <w:pPr>
        <w:pStyle w:val="Level1Bullet-BarcRA00"/>
      </w:pPr>
      <w:r w:rsidRPr="00491918">
        <w:t>To provide an indication of the potential impact Barclays ha</w:t>
      </w:r>
      <w:r w:rsidRPr="00491918">
        <w:rPr>
          <w:lang w:val="en-GB"/>
        </w:rPr>
        <w:t>s</w:t>
      </w:r>
      <w:r w:rsidRPr="00491918">
        <w:t xml:space="preserve"> estimated RWAs and CET1 ratio </w:t>
      </w:r>
      <w:r w:rsidR="00334755" w:rsidRPr="00491918">
        <w:t>on both a transitional and full</w:t>
      </w:r>
      <w:r w:rsidR="00854CB7" w:rsidRPr="00491918">
        <w:rPr>
          <w:lang w:val="en-GB"/>
        </w:rPr>
        <w:t xml:space="preserve">y loaded </w:t>
      </w:r>
      <w:r w:rsidRPr="00491918">
        <w:t xml:space="preserve">basis, reflecting current interpretation of the rules and assuming </w:t>
      </w:r>
      <w:r w:rsidRPr="00491918">
        <w:rPr>
          <w:lang w:val="en-GB"/>
        </w:rPr>
        <w:t>2013</w:t>
      </w:r>
      <w:r w:rsidRPr="00491918">
        <w:t xml:space="preserve"> is year 1 of the transitional period. As at </w:t>
      </w:r>
      <w:r w:rsidR="0076224A" w:rsidRPr="00491918">
        <w:rPr>
          <w:lang w:val="en-GB"/>
        </w:rPr>
        <w:t>30 June 2013</w:t>
      </w:r>
      <w:r w:rsidRPr="00491918">
        <w:t>, Barclays estimated RWAs on a CRD IV basis are approximately £4</w:t>
      </w:r>
      <w:r w:rsidRPr="00491918">
        <w:rPr>
          <w:lang w:val="en-GB"/>
        </w:rPr>
        <w:t>72</w:t>
      </w:r>
      <w:r w:rsidRPr="00491918">
        <w:t>bn with a resultant transitional CET1 ratio of approximately 10</w:t>
      </w:r>
      <w:r w:rsidRPr="00491918">
        <w:rPr>
          <w:lang w:val="en-GB"/>
        </w:rPr>
        <w:t>.</w:t>
      </w:r>
      <w:r w:rsidR="00B96E19" w:rsidRPr="00491918">
        <w:rPr>
          <w:lang w:val="en-GB"/>
        </w:rPr>
        <w:t>0</w:t>
      </w:r>
      <w:r w:rsidRPr="00491918">
        <w:t>% and a fully loaded CET1 ratio of approximately 8.</w:t>
      </w:r>
      <w:r w:rsidRPr="00491918">
        <w:rPr>
          <w:lang w:val="en-GB"/>
        </w:rPr>
        <w:t>1</w:t>
      </w:r>
      <w:r w:rsidRPr="00491918">
        <w:t xml:space="preserve">%. Further analysis of the impacts are set out on page </w:t>
      </w:r>
      <w:r w:rsidR="008D6001" w:rsidRPr="00491918">
        <w:rPr>
          <w:lang w:val="en-GB"/>
        </w:rPr>
        <w:t>50</w:t>
      </w:r>
    </w:p>
    <w:p w:rsidR="002F0500" w:rsidRPr="00491918" w:rsidRDefault="002F0500" w:rsidP="002F0500">
      <w:pPr>
        <w:pStyle w:val="Level1Bullet-BarcRA00"/>
      </w:pPr>
      <w:r w:rsidRPr="00491918">
        <w:t>The</w:t>
      </w:r>
      <w:r w:rsidRPr="00491918">
        <w:rPr>
          <w:lang w:val="en-GB"/>
        </w:rPr>
        <w:t xml:space="preserve"> CRD IV rules</w:t>
      </w:r>
      <w:r w:rsidRPr="00491918">
        <w:t xml:space="preserve"> include a proposed leverage metric to be implemented by national supervisors initially under a parallel run</w:t>
      </w:r>
      <w:r w:rsidRPr="00491918">
        <w:rPr>
          <w:lang w:val="en-GB"/>
        </w:rPr>
        <w:t xml:space="preserve"> until 2017 with</w:t>
      </w:r>
      <w:r w:rsidRPr="00491918">
        <w:t xml:space="preserve"> disclosure</w:t>
      </w:r>
      <w:r w:rsidRPr="00491918">
        <w:rPr>
          <w:lang w:val="en-GB"/>
        </w:rPr>
        <w:t xml:space="preserve"> from 2015</w:t>
      </w:r>
      <w:r w:rsidRPr="00491918">
        <w:t>. Based on</w:t>
      </w:r>
      <w:r w:rsidRPr="00491918">
        <w:rPr>
          <w:lang w:val="en-GB"/>
        </w:rPr>
        <w:t xml:space="preserve"> Barclays</w:t>
      </w:r>
      <w:r w:rsidRPr="00491918">
        <w:t xml:space="preserve"> interpretation of the final CRD IV text, the Group’s leverage ratio as at 30 June 2013 would be</w:t>
      </w:r>
      <w:r w:rsidRPr="00491918">
        <w:rPr>
          <w:lang w:val="en-GB"/>
        </w:rPr>
        <w:t xml:space="preserve"> above 3%</w:t>
      </w:r>
      <w:r w:rsidRPr="00491918">
        <w:t>, allowing for transitional relief to Tier 1 capit</w:t>
      </w:r>
      <w:r w:rsidRPr="00491918">
        <w:rPr>
          <w:lang w:val="en-GB"/>
        </w:rPr>
        <w:t>a</w:t>
      </w:r>
      <w:r w:rsidR="00337CAB" w:rsidRPr="00491918">
        <w:rPr>
          <w:lang w:val="en-GB"/>
        </w:rPr>
        <w:t xml:space="preserve">l. </w:t>
      </w:r>
      <w:r w:rsidRPr="00491918">
        <w:rPr>
          <w:lang w:val="en-GB"/>
        </w:rPr>
        <w:t>On a full</w:t>
      </w:r>
      <w:r w:rsidR="00854CB7" w:rsidRPr="00491918">
        <w:rPr>
          <w:lang w:val="en-GB"/>
        </w:rPr>
        <w:t>y loaded basis</w:t>
      </w:r>
      <w:r w:rsidR="000A77B6" w:rsidRPr="00491918">
        <w:rPr>
          <w:lang w:val="en-GB"/>
        </w:rPr>
        <w:t>, leverage would be 2.5</w:t>
      </w:r>
      <w:r w:rsidRPr="00491918">
        <w:rPr>
          <w:lang w:val="en-GB"/>
        </w:rPr>
        <w:t>%. Based on the Basel 3 2010 text the full</w:t>
      </w:r>
      <w:r w:rsidR="00854CB7" w:rsidRPr="00491918">
        <w:rPr>
          <w:lang w:val="en-GB"/>
        </w:rPr>
        <w:t xml:space="preserve">y loaded </w:t>
      </w:r>
      <w:r w:rsidR="000A77B6" w:rsidRPr="00491918">
        <w:rPr>
          <w:lang w:val="en-GB"/>
        </w:rPr>
        <w:t>leverage ratio would be 2.3</w:t>
      </w:r>
      <w:r w:rsidRPr="00491918">
        <w:rPr>
          <w:lang w:val="en-GB"/>
        </w:rPr>
        <w:t>%</w:t>
      </w:r>
    </w:p>
    <w:p w:rsidR="00755796" w:rsidRPr="00491918" w:rsidRDefault="00755796" w:rsidP="00755796">
      <w:pPr>
        <w:pStyle w:val="Level1Bullet-BarcRA00"/>
      </w:pPr>
      <w:r w:rsidRPr="00491918">
        <w:t>The PRA has communicated its expectation that Barclays meets an adjusted 7% fully loaded CET1 ratio by December 2013 and a 3% leverage ratio by June 201</w:t>
      </w:r>
      <w:r w:rsidR="00161467" w:rsidRPr="00491918">
        <w:rPr>
          <w:lang w:val="en-GB"/>
        </w:rPr>
        <w:t>4</w:t>
      </w:r>
      <w:r w:rsidRPr="00491918">
        <w:t>.  The PRA leverage ratio is calculated on a PRA-adjusted CET1 capital base and using a CRD IV leverage exposure measure</w:t>
      </w:r>
    </w:p>
    <w:p w:rsidR="00755796" w:rsidRPr="00491918" w:rsidRDefault="00755796" w:rsidP="00755796">
      <w:pPr>
        <w:pStyle w:val="Level1Bullet-BarcRA00"/>
      </w:pPr>
      <w:r w:rsidRPr="00491918">
        <w:t>Barclays expects to meet the leverage requirements communicated by the PRA and to continue to be in excess of minimum capital ratios on both a transitional and fully loaded basis</w:t>
      </w:r>
    </w:p>
    <w:p w:rsidR="000A77B6" w:rsidRPr="00491918" w:rsidRDefault="000A77B6" w:rsidP="000A77B6">
      <w:pPr>
        <w:pStyle w:val="Level1Bullet-BarcRA00"/>
        <w:numPr>
          <w:ilvl w:val="0"/>
          <w:numId w:val="0"/>
        </w:numPr>
        <w:ind w:left="284" w:hanging="284"/>
        <w:rPr>
          <w:lang w:val="en-GB"/>
        </w:rPr>
      </w:pPr>
    </w:p>
    <w:p w:rsidR="00755796" w:rsidRPr="00491918" w:rsidRDefault="00755796" w:rsidP="000A77B6">
      <w:pPr>
        <w:pStyle w:val="Level1Bullet-BarcRA00"/>
        <w:numPr>
          <w:ilvl w:val="0"/>
          <w:numId w:val="0"/>
        </w:numPr>
        <w:ind w:left="284" w:hanging="284"/>
        <w:rPr>
          <w:lang w:val="en-GB"/>
        </w:rPr>
      </w:pPr>
    </w:p>
    <w:p w:rsidR="00755796" w:rsidRPr="00491918" w:rsidRDefault="00755796" w:rsidP="000A77B6">
      <w:pPr>
        <w:pStyle w:val="Level1Bullet-BarcRA00"/>
        <w:numPr>
          <w:ilvl w:val="0"/>
          <w:numId w:val="0"/>
        </w:numPr>
        <w:ind w:left="284" w:hanging="284"/>
        <w:rPr>
          <w:lang w:val="en-GB"/>
        </w:rPr>
      </w:pPr>
    </w:p>
    <w:p w:rsidR="000A77B6" w:rsidRPr="00491918" w:rsidRDefault="000A77B6" w:rsidP="000A77B6">
      <w:pPr>
        <w:pStyle w:val="Level1Bullet-BarcRA00"/>
        <w:numPr>
          <w:ilvl w:val="0"/>
          <w:numId w:val="0"/>
        </w:numPr>
        <w:ind w:left="284" w:hanging="284"/>
        <w:rPr>
          <w:lang w:val="en-GB"/>
        </w:rPr>
      </w:pPr>
    </w:p>
    <w:p w:rsidR="000A77B6" w:rsidRPr="00491918" w:rsidRDefault="000A77B6" w:rsidP="000A77B6">
      <w:pPr>
        <w:pStyle w:val="Level1Bullet-BarcRA00"/>
        <w:numPr>
          <w:ilvl w:val="0"/>
          <w:numId w:val="0"/>
        </w:numPr>
        <w:ind w:left="284" w:hanging="284"/>
        <w:rPr>
          <w:lang w:val="en-GB"/>
        </w:rPr>
      </w:pPr>
    </w:p>
    <w:p w:rsidR="000A77B6" w:rsidRPr="00491918" w:rsidRDefault="000A77B6" w:rsidP="000A77B6">
      <w:pPr>
        <w:pStyle w:val="Level1Bullet-BarcRA00"/>
        <w:numPr>
          <w:ilvl w:val="0"/>
          <w:numId w:val="0"/>
        </w:numPr>
        <w:ind w:left="284" w:hanging="284"/>
        <w:rPr>
          <w:lang w:val="en-GB"/>
        </w:rPr>
      </w:pPr>
    </w:p>
    <w:p w:rsidR="000D76A8" w:rsidRPr="00491918" w:rsidRDefault="000D76A8" w:rsidP="000A77B6">
      <w:pPr>
        <w:pStyle w:val="Level1Bullet-BarcRA00"/>
        <w:numPr>
          <w:ilvl w:val="0"/>
          <w:numId w:val="0"/>
        </w:numPr>
        <w:ind w:left="284" w:hanging="284"/>
        <w:rPr>
          <w:lang w:val="en-GB"/>
        </w:rPr>
      </w:pPr>
    </w:p>
    <w:p w:rsidR="000D76A8" w:rsidRPr="00491918" w:rsidRDefault="000D76A8" w:rsidP="000A77B6">
      <w:pPr>
        <w:pStyle w:val="Level1Bullet-BarcRA00"/>
        <w:numPr>
          <w:ilvl w:val="0"/>
          <w:numId w:val="0"/>
        </w:numPr>
        <w:ind w:left="284" w:hanging="284"/>
        <w:rPr>
          <w:lang w:val="en-GB"/>
        </w:rPr>
      </w:pPr>
    </w:p>
    <w:p w:rsidR="00DA356B" w:rsidRPr="00491918" w:rsidRDefault="00DA356B" w:rsidP="000A77B6">
      <w:pPr>
        <w:pStyle w:val="Level1Bullet-BarcRA00"/>
        <w:numPr>
          <w:ilvl w:val="0"/>
          <w:numId w:val="0"/>
        </w:numPr>
        <w:ind w:left="284" w:hanging="284"/>
        <w:rPr>
          <w:lang w:val="en-GB"/>
        </w:rPr>
      </w:pPr>
    </w:p>
    <w:p w:rsidR="000D76A8" w:rsidRPr="00491918" w:rsidRDefault="000D76A8" w:rsidP="000D76A8">
      <w:pPr>
        <w:pStyle w:val="HeadingLevel1-BarcRA26"/>
        <w:rPr>
          <w:lang w:val="en-GB"/>
        </w:rPr>
      </w:pPr>
      <w:r w:rsidRPr="00491918">
        <w:rPr>
          <w:lang w:val="en-GB"/>
        </w:rPr>
        <w:t>Funding Risk</w:t>
      </w:r>
    </w:p>
    <w:tbl>
      <w:tblPr>
        <w:tblW w:w="0" w:type="auto"/>
        <w:tblLayout w:type="fixed"/>
        <w:tblLook w:val="0000" w:firstRow="0" w:lastRow="0" w:firstColumn="0" w:lastColumn="0" w:noHBand="0" w:noVBand="0"/>
      </w:tblPr>
      <w:tblGrid>
        <w:gridCol w:w="7395"/>
        <w:gridCol w:w="1125"/>
        <w:gridCol w:w="1125"/>
      </w:tblGrid>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751636">
            <w:r w:rsidRPr="00491918">
              <w:br w:type="page"/>
            </w:r>
            <w:r w:rsidR="000D1659" w:rsidRPr="00491918">
              <w:rPr>
                <w:b/>
                <w:color w:val="000000"/>
                <w:sz w:val="20"/>
              </w:rPr>
              <w:t>Estimated impact of CRD IV</w:t>
            </w:r>
            <w:r w:rsidR="0039794C" w:rsidRPr="00491918">
              <w:rPr>
                <w:b/>
                <w:color w:val="000000"/>
                <w:sz w:val="20"/>
              </w:rPr>
              <w:t xml:space="preserve"> - Capital</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rPr>
            </w:pPr>
            <w:r w:rsidRPr="00491918">
              <w:rPr>
                <w:b/>
                <w:color w:val="000000"/>
                <w:sz w:val="16"/>
              </w:rPr>
              <w:t>CET1</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CET1</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20"/>
              </w:rPr>
            </w:pPr>
            <w:r w:rsidRPr="00491918">
              <w:rPr>
                <w:b/>
                <w:color w:val="000000"/>
                <w:sz w:val="16"/>
              </w:rPr>
              <w:t>Transitional</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Fully-loaded</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20"/>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7DF2">
            <w:pPr>
              <w:jc w:val="right"/>
              <w:rPr>
                <w:b/>
                <w:color w:val="000000"/>
                <w:sz w:val="20"/>
              </w:rPr>
            </w:pPr>
            <w:r w:rsidRPr="00491918">
              <w:rPr>
                <w:b/>
                <w:color w:val="000000"/>
                <w:sz w:val="16"/>
              </w:rPr>
              <w:t>30.06.</w:t>
            </w:r>
            <w:r w:rsidR="000D1659" w:rsidRPr="00491918">
              <w:rPr>
                <w:b/>
                <w:color w:val="000000"/>
                <w:sz w:val="16"/>
              </w:rPr>
              <w:t>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7DF2">
            <w:pPr>
              <w:jc w:val="right"/>
              <w:rPr>
                <w:b/>
                <w:color w:val="000000"/>
                <w:sz w:val="16"/>
              </w:rPr>
            </w:pPr>
            <w:r w:rsidRPr="00491918">
              <w:rPr>
                <w:b/>
                <w:color w:val="000000"/>
                <w:sz w:val="16"/>
              </w:rPr>
              <w:t>30.06.</w:t>
            </w:r>
            <w:r w:rsidR="000D1659" w:rsidRPr="00491918">
              <w:rPr>
                <w:b/>
                <w:color w:val="000000"/>
                <w:sz w:val="16"/>
              </w:rPr>
              <w:t>13</w:t>
            </w:r>
          </w:p>
        </w:tc>
      </w:tr>
      <w:tr w:rsidR="000D1659" w:rsidRPr="00491918">
        <w:trPr>
          <w:trHeight w:val="240"/>
        </w:trPr>
        <w:tc>
          <w:tcPr>
            <w:tcW w:w="739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£bn</w:t>
            </w:r>
          </w:p>
        </w:tc>
        <w:tc>
          <w:tcPr>
            <w:tcW w:w="112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£bn</w:t>
            </w:r>
          </w:p>
        </w:tc>
      </w:tr>
      <w:tr w:rsidR="000D1659" w:rsidRPr="00491918">
        <w:trPr>
          <w:trHeight w:val="240"/>
        </w:trPr>
        <w:tc>
          <w:tcPr>
            <w:tcW w:w="739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Core Tier 1 capital (FSA 2009 definition)</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w:t>
            </w:r>
            <w:r w:rsidR="00B96E19" w:rsidRPr="00491918">
              <w:rPr>
                <w:b/>
                <w:color w:val="000000"/>
                <w:sz w:val="16"/>
              </w:rPr>
              <w:t>2</w:t>
            </w:r>
            <w:r w:rsidRPr="00491918">
              <w:rPr>
                <w:b/>
                <w:color w:val="000000"/>
                <w:sz w:val="16"/>
              </w:rPr>
              <w:t>.</w:t>
            </w:r>
            <w:r w:rsidR="00B96E19" w:rsidRPr="00491918">
              <w:rPr>
                <w:b/>
                <w:color w:val="000000"/>
                <w:sz w:val="16"/>
              </w:rPr>
              <w:t>9</w:t>
            </w:r>
            <w:r w:rsidRPr="00491918">
              <w:rPr>
                <w:b/>
                <w:color w:val="000000"/>
                <w:sz w:val="16"/>
              </w:rPr>
              <w:t> </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w:t>
            </w:r>
            <w:r w:rsidR="00B96E19" w:rsidRPr="00491918">
              <w:rPr>
                <w:b/>
                <w:color w:val="000000"/>
                <w:sz w:val="16"/>
              </w:rPr>
              <w:t>2</w:t>
            </w:r>
            <w:r w:rsidRPr="00491918">
              <w:rPr>
                <w:b/>
                <w:color w:val="000000"/>
                <w:sz w:val="16"/>
              </w:rPr>
              <w:t>.</w:t>
            </w:r>
            <w:r w:rsidR="00B96E19" w:rsidRPr="00491918">
              <w:rPr>
                <w:b/>
                <w:color w:val="000000"/>
                <w:sz w:val="16"/>
              </w:rPr>
              <w:t>9</w:t>
            </w:r>
            <w:r w:rsidRPr="00491918">
              <w:rPr>
                <w:b/>
                <w:color w:val="000000"/>
                <w:sz w:val="16"/>
              </w:rPr>
              <w:t>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lastRenderedPageBreak/>
              <w:t>Risk Weighted Assets (RWA) (current Basel 2.5 rules)</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387.2 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387.2 </w:t>
            </w:r>
          </w:p>
        </w:tc>
      </w:tr>
      <w:tr w:rsidR="000D1659" w:rsidRPr="00491918">
        <w:trPr>
          <w:trHeight w:hRule="exac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Core Tier 1 ratio (Basel 2.5)</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color w:val="000000"/>
                <w:sz w:val="16"/>
              </w:rPr>
              <w:t>11.1%</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11.1%</w:t>
            </w:r>
          </w:p>
        </w:tc>
      </w:tr>
      <w:tr w:rsidR="000D1659" w:rsidRPr="00491918">
        <w:trPr>
          <w:trHeight w:hRule="exac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CRD IV impact on Core Tier 1 capital:</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Adjustments not impacted by transitional provisions</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Conversion from securitisation deductions to RWAs</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0.8 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0.8 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Prudential Valuation Adjustment (PVA)</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(2.1)</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(2.1)</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(0.2)</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(0.2)</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Adjustments impacted by transitional provisions</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Goodwill and intangibles</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6.1 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Expected losses over impairment</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0.4 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(1.0)</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Deferred tax assets deduction</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(0.4)</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(1.9)</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Excess minority interest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(0.2)</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(0.6)</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Debit Valuation Adjustment (DVA)</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(0.1)</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(0.3)</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Gains on available for sale equity and debt</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0.5 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Non-significant holdings in Financial Institutions</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(0.5)</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(2.5)</w:t>
            </w:r>
          </w:p>
        </w:tc>
      </w:tr>
      <w:tr w:rsidR="000D1659" w:rsidRPr="00491918">
        <w:trPr>
          <w:trHeight w:val="240"/>
        </w:trPr>
        <w:tc>
          <w:tcPr>
            <w:tcW w:w="73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Mitigation of non-significant holdings in Financial Institutions</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0.5 </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2.5 </w:t>
            </w:r>
          </w:p>
        </w:tc>
      </w:tr>
      <w:tr w:rsidR="000D1659" w:rsidRPr="00491918">
        <w:trPr>
          <w:trHeight w:val="240"/>
        </w:trPr>
        <w:tc>
          <w:tcPr>
            <w:tcW w:w="739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CET1 capital</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47.</w:t>
            </w:r>
            <w:r w:rsidR="00B96E19" w:rsidRPr="00491918">
              <w:rPr>
                <w:b/>
                <w:color w:val="000000"/>
                <w:sz w:val="16"/>
              </w:rPr>
              <w:t>2</w:t>
            </w:r>
            <w:r w:rsidRPr="00491918">
              <w:rPr>
                <w:b/>
                <w:color w:val="000000"/>
                <w:sz w:val="16"/>
              </w:rPr>
              <w:t> </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38.</w:t>
            </w:r>
            <w:r w:rsidR="00B96E19" w:rsidRPr="00491918">
              <w:rPr>
                <w:b/>
                <w:color w:val="000000"/>
                <w:sz w:val="16"/>
              </w:rPr>
              <w:t>1</w:t>
            </w:r>
            <w:r w:rsidRPr="00491918">
              <w:rPr>
                <w:b/>
                <w:color w:val="000000"/>
                <w:sz w:val="16"/>
              </w:rPr>
              <w:t> </w:t>
            </w:r>
          </w:p>
        </w:tc>
      </w:tr>
      <w:tr w:rsidR="000D1659" w:rsidRPr="00491918">
        <w:trPr>
          <w:trHeight w:hRule="exac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CRD IV impact to RWAs:</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Credit Valuation Adjustment (CVA)</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32.2 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32.2 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Securitisation</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A77B6">
            <w:pPr>
              <w:jc w:val="right"/>
              <w:rPr>
                <w:color w:val="000000"/>
                <w:sz w:val="16"/>
              </w:rPr>
            </w:pPr>
            <w:r w:rsidRPr="00491918">
              <w:rPr>
                <w:color w:val="000000"/>
                <w:sz w:val="16"/>
              </w:rPr>
              <w:t>19.0</w:t>
            </w:r>
            <w:r w:rsidR="000D1659" w:rsidRPr="00491918">
              <w:rPr>
                <w:color w:val="000000"/>
                <w:sz w:val="16"/>
              </w:rPr>
              <w:t>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A77B6">
            <w:pPr>
              <w:jc w:val="right"/>
              <w:rPr>
                <w:color w:val="000000"/>
                <w:sz w:val="16"/>
              </w:rPr>
            </w:pPr>
            <w:r w:rsidRPr="00491918">
              <w:rPr>
                <w:color w:val="000000"/>
                <w:sz w:val="16"/>
              </w:rPr>
              <w:t>19.0</w:t>
            </w:r>
            <w:r w:rsidR="000D1659" w:rsidRPr="00491918">
              <w:rPr>
                <w:color w:val="000000"/>
                <w:sz w:val="16"/>
              </w:rPr>
              <w:t>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Central Counterparty Clearing</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21.7 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21.7 </w:t>
            </w:r>
          </w:p>
        </w:tc>
      </w:tr>
      <w:tr w:rsidR="000D1659" w:rsidRPr="00491918">
        <w:trPr>
          <w:trHeight w:val="240"/>
        </w:trPr>
        <w:tc>
          <w:tcPr>
            <w:tcW w:w="73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11.4 </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11.4 </w:t>
            </w:r>
          </w:p>
        </w:tc>
      </w:tr>
      <w:tr w:rsidR="000D1659" w:rsidRPr="00491918">
        <w:trPr>
          <w:trHeight w:val="240"/>
        </w:trPr>
        <w:tc>
          <w:tcPr>
            <w:tcW w:w="739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Gross Impact</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0D1659" w:rsidRPr="00491918" w:rsidRDefault="000A77B6">
            <w:pPr>
              <w:jc w:val="right"/>
              <w:rPr>
                <w:b/>
                <w:color w:val="000000"/>
                <w:sz w:val="16"/>
              </w:rPr>
            </w:pPr>
            <w:r w:rsidRPr="00491918">
              <w:rPr>
                <w:b/>
                <w:color w:val="000000"/>
                <w:sz w:val="16"/>
              </w:rPr>
              <w:t>84.3</w:t>
            </w:r>
            <w:r w:rsidR="000D1659" w:rsidRPr="00491918">
              <w:rPr>
                <w:b/>
                <w:color w:val="000000"/>
                <w:sz w:val="16"/>
              </w:rPr>
              <w:t> </w:t>
            </w:r>
          </w:p>
        </w:tc>
        <w:tc>
          <w:tcPr>
            <w:tcW w:w="1125" w:type="dxa"/>
            <w:tcBorders>
              <w:top w:val="single" w:sz="6" w:space="0" w:color="7F7F7F"/>
              <w:left w:val="nil"/>
              <w:bottom w:val="nil"/>
              <w:right w:val="nil"/>
            </w:tcBorders>
            <w:shd w:val="clear" w:color="auto" w:fill="F2F2F2"/>
            <w:tcMar>
              <w:left w:w="36" w:type="dxa"/>
              <w:right w:w="36" w:type="dxa"/>
            </w:tcMar>
            <w:vAlign w:val="center"/>
          </w:tcPr>
          <w:p w:rsidR="000D1659" w:rsidRPr="00491918" w:rsidRDefault="000A77B6">
            <w:pPr>
              <w:jc w:val="right"/>
              <w:rPr>
                <w:b/>
                <w:color w:val="000000"/>
                <w:sz w:val="16"/>
              </w:rPr>
            </w:pPr>
            <w:r w:rsidRPr="00491918">
              <w:rPr>
                <w:b/>
                <w:color w:val="000000"/>
                <w:sz w:val="16"/>
              </w:rPr>
              <w:t>84.3</w:t>
            </w:r>
            <w:r w:rsidR="000D1659" w:rsidRPr="00491918">
              <w:rPr>
                <w:b/>
                <w:color w:val="000000"/>
                <w:sz w:val="16"/>
              </w:rPr>
              <w:t> </w:t>
            </w:r>
          </w:p>
        </w:tc>
      </w:tr>
      <w:tr w:rsidR="000D1659" w:rsidRPr="00491918">
        <w:trPr>
          <w:trHeight w:hRule="exac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rsidP="0076224A">
            <w:pPr>
              <w:rPr>
                <w:color w:val="000000"/>
                <w:sz w:val="16"/>
              </w:rPr>
            </w:pPr>
            <w:r w:rsidRPr="00491918">
              <w:rPr>
                <w:b/>
                <w:color w:val="000000"/>
                <w:sz w:val="16"/>
              </w:rPr>
              <w:t>RWAs (CRD IV)</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471.5 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471.5 </w:t>
            </w:r>
          </w:p>
        </w:tc>
      </w:tr>
      <w:tr w:rsidR="000D1659" w:rsidRPr="00491918">
        <w:trPr>
          <w:trHeight w:hRule="exac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2F2F2"/>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73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CET1 ratio</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10.</w:t>
            </w:r>
            <w:r w:rsidR="00B96E19" w:rsidRPr="00491918">
              <w:rPr>
                <w:b/>
                <w:color w:val="000000"/>
                <w:sz w:val="16"/>
              </w:rPr>
              <w:t>0</w:t>
            </w:r>
            <w:r w:rsidRPr="00491918">
              <w:rPr>
                <w:b/>
                <w:color w:val="000000"/>
                <w:sz w:val="16"/>
              </w:rPr>
              <w:t>%</w:t>
            </w:r>
          </w:p>
        </w:tc>
        <w:tc>
          <w:tcPr>
            <w:tcW w:w="1125" w:type="dxa"/>
            <w:tcBorders>
              <w:top w:val="nil"/>
              <w:left w:val="nil"/>
              <w:bottom w:val="single" w:sz="6" w:space="0" w:color="7F7F7F"/>
              <w:right w:val="nil"/>
            </w:tcBorders>
            <w:shd w:val="clear" w:color="auto" w:fill="F2F2F2"/>
            <w:tcMar>
              <w:left w:w="36" w:type="dxa"/>
              <w:right w:w="36" w:type="dxa"/>
            </w:tcMar>
            <w:vAlign w:val="center"/>
          </w:tcPr>
          <w:p w:rsidR="000D1659" w:rsidRPr="00491918" w:rsidRDefault="000D1659">
            <w:pPr>
              <w:jc w:val="right"/>
              <w:rPr>
                <w:b/>
                <w:color w:val="000000"/>
                <w:sz w:val="16"/>
              </w:rPr>
            </w:pPr>
            <w:r w:rsidRPr="00491918">
              <w:rPr>
                <w:b/>
                <w:color w:val="000000"/>
                <w:sz w:val="16"/>
              </w:rPr>
              <w:t>8.1%</w:t>
            </w:r>
          </w:p>
        </w:tc>
      </w:tr>
      <w:tr w:rsidR="000D1659" w:rsidRPr="00491918">
        <w:trPr>
          <w:trHeight w:hRule="exact" w:val="240"/>
        </w:trPr>
        <w:tc>
          <w:tcPr>
            <w:tcW w:w="739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125" w:type="dxa"/>
            <w:tcBorders>
              <w:top w:val="single" w:sz="6" w:space="0" w:color="7F7F7F"/>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rsidP="008D6001">
            <w:pPr>
              <w:rPr>
                <w:b/>
                <w:color w:val="000000"/>
                <w:sz w:val="16"/>
              </w:rPr>
            </w:pPr>
            <w:r w:rsidRPr="00491918">
              <w:rPr>
                <w:color w:val="000000"/>
                <w:sz w:val="16"/>
              </w:rPr>
              <w:t xml:space="preserve">For </w:t>
            </w:r>
            <w:r w:rsidR="0076224A" w:rsidRPr="00491918">
              <w:rPr>
                <w:color w:val="000000"/>
                <w:sz w:val="16"/>
              </w:rPr>
              <w:t>f</w:t>
            </w:r>
            <w:r w:rsidRPr="00491918">
              <w:rPr>
                <w:color w:val="000000"/>
                <w:sz w:val="16"/>
              </w:rPr>
              <w:t xml:space="preserve">urther detail, see page </w:t>
            </w:r>
            <w:r w:rsidR="008D6001" w:rsidRPr="00491918">
              <w:rPr>
                <w:color w:val="000000"/>
                <w:sz w:val="16"/>
              </w:rPr>
              <w:t>131</w:t>
            </w:r>
            <w:r w:rsidRPr="00491918">
              <w:rPr>
                <w:color w:val="000000"/>
                <w:sz w:val="16"/>
              </w:rPr>
              <w:t>, CRD IV transitional own funds disclosure</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hRule="exact" w:val="240"/>
        </w:trPr>
        <w:tc>
          <w:tcPr>
            <w:tcW w:w="73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bl>
    <w:p w:rsidR="000D1659" w:rsidRPr="00491918" w:rsidRDefault="000D1659">
      <w:pPr>
        <w:spacing w:line="14" w:lineRule="exact"/>
      </w:pPr>
      <w:r w:rsidRPr="00491918">
        <w:br w:type="page"/>
      </w:r>
    </w:p>
    <w:p w:rsidR="000D76A8" w:rsidRPr="00491918" w:rsidRDefault="000D76A8" w:rsidP="000D76A8"/>
    <w:p w:rsidR="000D76A8" w:rsidRPr="00491918" w:rsidRDefault="000D76A8" w:rsidP="000D76A8">
      <w:pPr>
        <w:pStyle w:val="HeadingLevel1-BarcRA26"/>
        <w:rPr>
          <w:lang w:val="en-GB"/>
        </w:rPr>
      </w:pPr>
      <w:r w:rsidRPr="00491918">
        <w:rPr>
          <w:lang w:val="en-GB"/>
        </w:rPr>
        <w:t>Funding Risk</w:t>
      </w:r>
    </w:p>
    <w:p w:rsidR="000D1659" w:rsidRPr="00491918" w:rsidRDefault="000D1659" w:rsidP="008D6001">
      <w:pPr>
        <w:pStyle w:val="HeadingLevel1-AR"/>
        <w:outlineLvl w:val="0"/>
      </w:pPr>
      <w:r w:rsidRPr="00491918">
        <w:t>Basis of calculation of the impact of CRD IV</w:t>
      </w:r>
    </w:p>
    <w:p w:rsidR="002F0500" w:rsidRPr="00491918" w:rsidRDefault="002F0500" w:rsidP="002F0500">
      <w:pPr>
        <w:pStyle w:val="HeadingLevel1-AR"/>
      </w:pPr>
    </w:p>
    <w:p w:rsidR="000D1659" w:rsidRPr="00491918" w:rsidRDefault="000D1659" w:rsidP="008D6001">
      <w:pPr>
        <w:pStyle w:val="HeadingLevel1-AR"/>
        <w:outlineLvl w:val="0"/>
      </w:pPr>
      <w:r w:rsidRPr="00491918">
        <w:t>CRD IV, models and waivers</w:t>
      </w:r>
    </w:p>
    <w:p w:rsidR="000D1659" w:rsidRPr="00491918" w:rsidRDefault="00334755" w:rsidP="000D1659">
      <w:pPr>
        <w:pStyle w:val="HeadingLevel2-BarcRA2"/>
        <w:rPr>
          <w:b w:val="0"/>
          <w:sz w:val="18"/>
          <w:szCs w:val="18"/>
          <w:lang w:val="en-GB"/>
        </w:rPr>
      </w:pPr>
      <w:r w:rsidRPr="00491918">
        <w:rPr>
          <w:b w:val="0"/>
          <w:sz w:val="18"/>
          <w:szCs w:val="18"/>
          <w:lang w:val="en-GB"/>
        </w:rPr>
        <w:t>W</w:t>
      </w:r>
      <w:r w:rsidR="000D1659" w:rsidRPr="00491918">
        <w:rPr>
          <w:b w:val="0"/>
          <w:sz w:val="18"/>
          <w:szCs w:val="18"/>
          <w:lang w:val="en-GB"/>
        </w:rPr>
        <w:t xml:space="preserve">e have estimated our CRD IV CET1 ratio, capital resources and RWAs based on the final </w:t>
      </w:r>
      <w:r w:rsidRPr="00491918">
        <w:rPr>
          <w:b w:val="0"/>
          <w:sz w:val="18"/>
          <w:szCs w:val="18"/>
          <w:lang w:val="en-GB"/>
        </w:rPr>
        <w:t>CRD IV</w:t>
      </w:r>
      <w:r w:rsidR="000D1659" w:rsidRPr="00491918">
        <w:rPr>
          <w:b w:val="0"/>
          <w:sz w:val="18"/>
          <w:szCs w:val="18"/>
          <w:lang w:val="en-GB"/>
        </w:rPr>
        <w:t xml:space="preserve"> text assuming the rules applied as at 30 June 2013 on both a transitional and fully loaded basis. The final impact of CRD IV is dependent on technical standards to be finalised by the European Banking Authority (EBA) and on the final UK implementation of the rules. </w:t>
      </w:r>
    </w:p>
    <w:p w:rsidR="000D1659" w:rsidRPr="00491918" w:rsidRDefault="000D1659" w:rsidP="000D1659">
      <w:pPr>
        <w:pStyle w:val="HeadingLevel2-BarcRA2"/>
        <w:rPr>
          <w:b w:val="0"/>
          <w:sz w:val="18"/>
          <w:szCs w:val="18"/>
          <w:lang w:val="en-GB"/>
        </w:rPr>
      </w:pPr>
      <w:r w:rsidRPr="00491918">
        <w:rPr>
          <w:b w:val="0"/>
          <w:sz w:val="18"/>
          <w:szCs w:val="18"/>
          <w:lang w:val="en-GB"/>
        </w:rPr>
        <w:t xml:space="preserve">The impacts assume that all </w:t>
      </w:r>
      <w:r w:rsidR="00334755" w:rsidRPr="00491918">
        <w:rPr>
          <w:b w:val="0"/>
          <w:sz w:val="18"/>
          <w:szCs w:val="18"/>
          <w:lang w:val="en-GB"/>
        </w:rPr>
        <w:t xml:space="preserve">material </w:t>
      </w:r>
      <w:r w:rsidRPr="00491918">
        <w:rPr>
          <w:b w:val="0"/>
          <w:sz w:val="18"/>
          <w:szCs w:val="18"/>
          <w:lang w:val="en-GB"/>
        </w:rPr>
        <w:t xml:space="preserve">items in the Internal Model Method application to the PRA are approved and existing waivers, where such discretion is available under CRD IV, will continue. </w:t>
      </w:r>
    </w:p>
    <w:p w:rsidR="000D1659" w:rsidRPr="00491918" w:rsidRDefault="000D1659" w:rsidP="000D1659">
      <w:pPr>
        <w:pStyle w:val="Level1Bullet-BarcRA10"/>
      </w:pPr>
      <w:r w:rsidRPr="00491918">
        <w:t xml:space="preserve">Transitional </w:t>
      </w:r>
      <w:r w:rsidRPr="00491918">
        <w:rPr>
          <w:lang w:val="en-GB"/>
        </w:rPr>
        <w:t>CET1</w:t>
      </w:r>
      <w:r w:rsidRPr="00491918">
        <w:t xml:space="preserve"> capital is based on application of the CRD IV transitional provisions and </w:t>
      </w:r>
      <w:r w:rsidRPr="00491918">
        <w:rPr>
          <w:lang w:val="en-GB"/>
        </w:rPr>
        <w:t xml:space="preserve">the PRA (formerly the </w:t>
      </w:r>
      <w:r w:rsidRPr="00491918">
        <w:t>FSA</w:t>
      </w:r>
      <w:r w:rsidRPr="00491918">
        <w:rPr>
          <w:lang w:val="en-GB"/>
        </w:rPr>
        <w:t>)</w:t>
      </w:r>
      <w:r w:rsidRPr="00491918">
        <w:t xml:space="preserve"> guidance </w:t>
      </w:r>
      <w:r w:rsidRPr="00491918">
        <w:rPr>
          <w:lang w:val="en-GB"/>
        </w:rPr>
        <w:t>on their application</w:t>
      </w:r>
      <w:r w:rsidRPr="00491918">
        <w:t xml:space="preserve">. </w:t>
      </w:r>
      <w:r w:rsidRPr="00491918">
        <w:rPr>
          <w:lang w:val="en-GB"/>
        </w:rPr>
        <w:t>In line with this guidance, adjustments for own shares and interim losses are assumed to transition in at 100%. Other</w:t>
      </w:r>
      <w:r w:rsidRPr="00491918">
        <w:t xml:space="preserve"> deductions (including goodwill and intangibles, expected losses over impairment and DVA) transition in at 20% in</w:t>
      </w:r>
      <w:r w:rsidRPr="00491918">
        <w:rPr>
          <w:lang w:val="en-GB"/>
        </w:rPr>
        <w:t xml:space="preserve"> year 1 (except for AFS debt and equity gains which are 0% in the first year)</w:t>
      </w:r>
      <w:r w:rsidRPr="00491918">
        <w:t xml:space="preserve">, 40% in </w:t>
      </w:r>
      <w:r w:rsidRPr="00491918">
        <w:rPr>
          <w:lang w:val="en-GB"/>
        </w:rPr>
        <w:t>year 2, 60% in year 3, 80% in year 4 with the full impact in subsequent years.  For the purpose of 30 June 2013 disclosures, the PRA have requested that banks assume 2013 is year 1 of transition.  However, our disclosures of CRD IV impacts in previous announcements have reflected 2014 as the first year of application in line with the ac</w:t>
      </w:r>
      <w:r w:rsidR="000D7DF2" w:rsidRPr="00491918">
        <w:rPr>
          <w:lang w:val="en-GB"/>
        </w:rPr>
        <w:t>tual CRD IV implementation date</w:t>
      </w:r>
    </w:p>
    <w:p w:rsidR="000D1659" w:rsidRPr="00491918" w:rsidRDefault="000D1659" w:rsidP="000D1659">
      <w:pPr>
        <w:pStyle w:val="Level1Bullet-BarcRA10"/>
      </w:pPr>
      <w:r w:rsidRPr="00491918">
        <w:rPr>
          <w:lang w:val="en-GB"/>
        </w:rPr>
        <w:t xml:space="preserve">The PVA deduction is shown as fully deducted from CET1 upon adoption of CRD IV. </w:t>
      </w:r>
      <w:r w:rsidRPr="00491918">
        <w:t xml:space="preserve">PVA is subject to </w:t>
      </w:r>
      <w:r w:rsidRPr="00491918">
        <w:rPr>
          <w:lang w:val="en-GB"/>
        </w:rPr>
        <w:t>a technical standard being drafted</w:t>
      </w:r>
      <w:r w:rsidRPr="00491918">
        <w:t xml:space="preserve"> by the EBA and </w:t>
      </w:r>
      <w:r w:rsidRPr="00491918">
        <w:rPr>
          <w:lang w:val="en-GB"/>
        </w:rPr>
        <w:t xml:space="preserve">therefore </w:t>
      </w:r>
      <w:r w:rsidRPr="00491918">
        <w:t xml:space="preserve">the impact is currently based on methodology agreed with the </w:t>
      </w:r>
      <w:r w:rsidRPr="00491918">
        <w:rPr>
          <w:lang w:val="en-GB"/>
        </w:rPr>
        <w:t>PRA.  The PVA deduction as at 30 June 2013 is £2.1bn gross of tax (December 2012: £1.5bn gross of tax, £1.2bn net of tax), with the increase principally reflecting methodology changes during 2013</w:t>
      </w:r>
    </w:p>
    <w:p w:rsidR="000D1659" w:rsidRPr="00491918" w:rsidRDefault="000D1659" w:rsidP="000D1659">
      <w:pPr>
        <w:pStyle w:val="Level1Bullet-BarcRA10"/>
      </w:pPr>
      <w:r w:rsidRPr="00491918">
        <w:rPr>
          <w:lang w:val="en-GB"/>
        </w:rPr>
        <w:t>As at 30 June 2013, net long non-significant holdings in financial entities were £9.3bn. This exceeds 10% of CET1 capital resources, which would result in a deduction from CET1 of £2.5bn in the absence of identified management actions to eliminate this deduction.  The EBA consultation on Technical Standards for Own funds – Part III identifies potential changes to the calculation that are not reflected in the estimate, including the treatment of tranche positions as indirect holdings, the use of notional values for synthetic exposures and the widening of the scope of eligible entities to include Barclays defined pension benefit fund</w:t>
      </w:r>
      <w:r w:rsidR="000A77B6" w:rsidRPr="00491918">
        <w:rPr>
          <w:lang w:val="en-GB"/>
        </w:rPr>
        <w:t>s</w:t>
      </w:r>
      <w:r w:rsidRPr="00491918">
        <w:rPr>
          <w:lang w:val="en-GB"/>
        </w:rPr>
        <w:t xml:space="preserve">. Depending on the final implementation and further clarification on the </w:t>
      </w:r>
      <w:r w:rsidR="000A77B6" w:rsidRPr="00491918">
        <w:rPr>
          <w:lang w:val="en-GB"/>
        </w:rPr>
        <w:t>application of the proposals, t</w:t>
      </w:r>
      <w:r w:rsidRPr="00491918">
        <w:rPr>
          <w:lang w:val="en-GB"/>
        </w:rPr>
        <w:t>hese changes would potentially have a material impact on the calculation of the non-significant holdings deduction</w:t>
      </w:r>
    </w:p>
    <w:p w:rsidR="000D1659" w:rsidRPr="00491918" w:rsidRDefault="000D1659" w:rsidP="000D1659">
      <w:pPr>
        <w:pStyle w:val="Level1Bullet-BarcRA10"/>
        <w:tabs>
          <w:tab w:val="left" w:pos="720"/>
        </w:tabs>
      </w:pPr>
      <w:r w:rsidRPr="00491918">
        <w:t xml:space="preserve">The impact of changes in the calculation of allowable minority interest may be different pending the finalisation of the EBA’s technical standards on own funds, particularly regarding the treatment of non-financial holding companies and the equivalence of overseas regulatory regimes. The estimated CRD IV numbers calculate the full impact and transitional capital base on the assumption that the Group’s holding companies will be deemed eligible and their surplus capital due to minority interests consolidated in accordance with CRD IV rules. Our estimated CRD IV </w:t>
      </w:r>
      <w:r w:rsidR="00854CB7" w:rsidRPr="00491918">
        <w:t>fully loaded</w:t>
      </w:r>
      <w:r w:rsidRPr="00491918">
        <w:t xml:space="preserve"> CET1 capital base includes £1.7bn of minor</w:t>
      </w:r>
      <w:r w:rsidR="000D7DF2" w:rsidRPr="00491918">
        <w:t>ity interests relating to Absa</w:t>
      </w:r>
    </w:p>
    <w:p w:rsidR="000D1659" w:rsidRPr="00491918" w:rsidRDefault="000D1659" w:rsidP="008D6001">
      <w:pPr>
        <w:pStyle w:val="HeadingLevel2-BarcRA2"/>
        <w:outlineLvl w:val="0"/>
        <w:rPr>
          <w:sz w:val="18"/>
          <w:szCs w:val="18"/>
        </w:rPr>
      </w:pPr>
      <w:r w:rsidRPr="00491918">
        <w:rPr>
          <w:sz w:val="18"/>
          <w:szCs w:val="18"/>
        </w:rPr>
        <w:t xml:space="preserve">RWAs </w:t>
      </w:r>
    </w:p>
    <w:p w:rsidR="000D1659" w:rsidRPr="00491918" w:rsidRDefault="000D1659" w:rsidP="000D1659">
      <w:pPr>
        <w:pStyle w:val="Level1Bullet-BarcRA10"/>
      </w:pPr>
      <w:r w:rsidRPr="00491918">
        <w:t xml:space="preserve">It is assumed that corporates, pension funds and sovereigns </w:t>
      </w:r>
      <w:r w:rsidRPr="00491918">
        <w:rPr>
          <w:lang w:val="en-GB"/>
        </w:rPr>
        <w:t xml:space="preserve">that meet the eligibility conditions </w:t>
      </w:r>
      <w:r w:rsidRPr="00491918">
        <w:t>are exempt from CVA volatility charge</w:t>
      </w:r>
      <w:r w:rsidRPr="00491918">
        <w:rPr>
          <w:lang w:val="en-GB"/>
        </w:rPr>
        <w:t>s</w:t>
      </w:r>
    </w:p>
    <w:p w:rsidR="000D1659" w:rsidRPr="00491918" w:rsidRDefault="000D1659" w:rsidP="000D1659">
      <w:pPr>
        <w:pStyle w:val="Level1Bullet-BarcRA10"/>
      </w:pPr>
      <w:r w:rsidRPr="00491918">
        <w:t xml:space="preserve">It is assumed all </w:t>
      </w:r>
      <w:r w:rsidRPr="00491918">
        <w:rPr>
          <w:lang w:val="en-GB"/>
        </w:rPr>
        <w:t>Central Clearing Counterparties (</w:t>
      </w:r>
      <w:r w:rsidRPr="00491918">
        <w:t>CCPs</w:t>
      </w:r>
      <w:r w:rsidRPr="00491918">
        <w:rPr>
          <w:lang w:val="en-GB"/>
        </w:rPr>
        <w:t>)</w:t>
      </w:r>
      <w:r w:rsidRPr="00491918">
        <w:t xml:space="preserve"> will be deemed to be ‘Qualifying’. The final determination of Qualifying status will be made by the </w:t>
      </w:r>
      <w:r w:rsidRPr="00491918">
        <w:rPr>
          <w:lang w:val="en-GB"/>
        </w:rPr>
        <w:t>European Securities and Markets Authority (ESMA)</w:t>
      </w:r>
    </w:p>
    <w:p w:rsidR="000D1659" w:rsidRPr="00491918" w:rsidRDefault="000D1659" w:rsidP="000D1659">
      <w:pPr>
        <w:pStyle w:val="Level1Bullet-BarcRA10"/>
      </w:pPr>
      <w:r w:rsidRPr="00491918">
        <w:t xml:space="preserve">The </w:t>
      </w:r>
      <w:r w:rsidRPr="00491918">
        <w:rPr>
          <w:lang w:val="en-GB"/>
        </w:rPr>
        <w:t>estimated</w:t>
      </w:r>
      <w:r w:rsidRPr="00491918">
        <w:t xml:space="preserve"> RWA increase from </w:t>
      </w:r>
      <w:r w:rsidRPr="00491918">
        <w:rPr>
          <w:lang w:val="en-GB"/>
        </w:rPr>
        <w:t>CRD IV</w:t>
      </w:r>
      <w:r w:rsidRPr="00491918">
        <w:t xml:space="preserve"> includes 1250% risk weighting of securitisation positions while </w:t>
      </w:r>
      <w:r w:rsidRPr="00491918">
        <w:rPr>
          <w:lang w:val="en-GB"/>
        </w:rPr>
        <w:t>estimated</w:t>
      </w:r>
      <w:r w:rsidRPr="00491918">
        <w:t xml:space="preserve"> capital includes </w:t>
      </w:r>
      <w:r w:rsidRPr="00491918">
        <w:rPr>
          <w:lang w:val="en-GB"/>
        </w:rPr>
        <w:t xml:space="preserve">an </w:t>
      </w:r>
      <w:r w:rsidRPr="00491918">
        <w:t xml:space="preserve">add back of 50/50 </w:t>
      </w:r>
      <w:r w:rsidRPr="00491918">
        <w:rPr>
          <w:lang w:val="en-GB"/>
        </w:rPr>
        <w:t>securitisations</w:t>
      </w:r>
      <w:r w:rsidRPr="00491918">
        <w:t xml:space="preserve"> </w:t>
      </w:r>
      <w:r w:rsidRPr="00491918">
        <w:rPr>
          <w:lang w:val="en-GB"/>
        </w:rPr>
        <w:t>deducted under the current rules</w:t>
      </w:r>
    </w:p>
    <w:p w:rsidR="000D1659" w:rsidRPr="00491918" w:rsidRDefault="000D1659" w:rsidP="000D1659">
      <w:pPr>
        <w:pStyle w:val="Level1Bullet-BarcRA10"/>
      </w:pPr>
      <w:r w:rsidRPr="00491918">
        <w:rPr>
          <w:lang w:val="en-GB"/>
        </w:rPr>
        <w:t>Estimated</w:t>
      </w:r>
      <w:r w:rsidRPr="00491918">
        <w:t xml:space="preserve"> RWAs for definition of default assume that national discretion over 180 days definition of default remains for UK retail mortgages</w:t>
      </w:r>
    </w:p>
    <w:p w:rsidR="000D1659" w:rsidRPr="00491918" w:rsidRDefault="000D1659" w:rsidP="000D1659">
      <w:pPr>
        <w:pStyle w:val="Level1Bullet-BarcRA10"/>
      </w:pPr>
      <w:r w:rsidRPr="00491918">
        <w:t>‘Other’ CRD IV impact</w:t>
      </w:r>
      <w:r w:rsidRPr="00491918">
        <w:rPr>
          <w:lang w:val="en-GB"/>
        </w:rPr>
        <w:t>s</w:t>
      </w:r>
      <w:r w:rsidRPr="00491918">
        <w:t xml:space="preserve"> to RWAs include adjustments for withdrawal of national discretion of definition of default relating to non UK mortgage retail portfolios, Deferred Tax Assets, </w:t>
      </w:r>
      <w:r w:rsidRPr="00491918">
        <w:rPr>
          <w:lang w:val="en-GB"/>
        </w:rPr>
        <w:t>Significant Holdings in financial institutions</w:t>
      </w:r>
      <w:r w:rsidRPr="00491918">
        <w:t>, other counterparty credit risk and other items</w:t>
      </w:r>
    </w:p>
    <w:p w:rsidR="000D1659" w:rsidRPr="00491918" w:rsidRDefault="000D1659" w:rsidP="000D1659">
      <w:pPr>
        <w:pStyle w:val="Level1Bullet-BarcRA10"/>
      </w:pPr>
      <w:r w:rsidRPr="00491918">
        <w:t xml:space="preserve">RWAs are sensitive to market conditions. </w:t>
      </w:r>
      <w:r w:rsidRPr="00491918">
        <w:rPr>
          <w:lang w:val="en-GB"/>
        </w:rPr>
        <w:t>The estimated</w:t>
      </w:r>
      <w:r w:rsidRPr="00491918">
        <w:t xml:space="preserve"> impact on RWAs for all periods reflects market conditions as at </w:t>
      </w:r>
      <w:r w:rsidRPr="00491918">
        <w:rPr>
          <w:lang w:val="en-GB"/>
        </w:rPr>
        <w:t>30 June 2013</w:t>
      </w:r>
    </w:p>
    <w:p w:rsidR="000D1659" w:rsidRPr="00491918" w:rsidRDefault="000D1659">
      <w:pPr>
        <w:spacing w:line="14" w:lineRule="exact"/>
      </w:pPr>
      <w:r w:rsidRPr="00491918">
        <w:br w:type="page"/>
      </w:r>
    </w:p>
    <w:p w:rsidR="000D76A8" w:rsidRPr="00491918" w:rsidRDefault="000D76A8" w:rsidP="000D76A8">
      <w:pPr>
        <w:pStyle w:val="HeadingLevel1-BarcRA26"/>
        <w:rPr>
          <w:lang w:val="en-GB"/>
        </w:rPr>
      </w:pPr>
      <w:r w:rsidRPr="00491918">
        <w:rPr>
          <w:lang w:val="en-GB"/>
        </w:rPr>
        <w:lastRenderedPageBreak/>
        <w:t>Funding Risk</w:t>
      </w:r>
    </w:p>
    <w:p w:rsidR="00606655" w:rsidRPr="00491918" w:rsidRDefault="00606655" w:rsidP="008D6001">
      <w:pPr>
        <w:pStyle w:val="HeadingLevel1-AR"/>
        <w:outlineLvl w:val="0"/>
      </w:pPr>
      <w:r w:rsidRPr="00491918">
        <w:t xml:space="preserve">Implementation of CRD IV – </w:t>
      </w:r>
      <w:r w:rsidR="007D257D" w:rsidRPr="00491918">
        <w:t>L</w:t>
      </w:r>
      <w:r w:rsidRPr="00491918">
        <w:t>everage impacts</w:t>
      </w:r>
    </w:p>
    <w:p w:rsidR="00606655" w:rsidRPr="00491918" w:rsidRDefault="00606655" w:rsidP="00606655">
      <w:pPr>
        <w:pStyle w:val="BodyText-BarcRA310"/>
      </w:pPr>
      <w:r w:rsidRPr="00491918">
        <w:t xml:space="preserve">Barclays already measures and reports adjusted gross leverage as an internal measure of balance sheet leverage based on adjusted tangible assets divided by qualifying regulatory Tier 1 capital. As at 30 June 2013, the Group’s adjusted gross leverage was 20x (see page </w:t>
      </w:r>
      <w:r w:rsidR="008D6001" w:rsidRPr="00491918">
        <w:t>54</w:t>
      </w:r>
      <w:r w:rsidRPr="00491918">
        <w:t>).</w:t>
      </w:r>
    </w:p>
    <w:p w:rsidR="00606655" w:rsidRPr="00491918" w:rsidRDefault="00606655" w:rsidP="00606655">
      <w:pPr>
        <w:pStyle w:val="BodyText-BarcRA310"/>
      </w:pPr>
      <w:r w:rsidRPr="00491918">
        <w:t xml:space="preserve">CRD IV introduces a non-risk based leverage ratio that is intended to supplement the risk based capital requirements, calculated as CRD IV Tier 1 capital divided by CRD IV leverage exposure. Under CRD IV, until a legislative proposal is finalised, following the Commission’s report in 2016, supervisors will monitor leverage ratio levels. From 2015 banks are required to publish their leverage ratios in their Pillar 3 disclosures. </w:t>
      </w:r>
      <w:r w:rsidR="002A5B40" w:rsidRPr="00491918">
        <w:t>A binding limit is due to be established under CRD IV by 2017, prior to which the basis of calculation is expected to be refined and the required limits will be calibrated.</w:t>
      </w:r>
    </w:p>
    <w:p w:rsidR="00606655" w:rsidRPr="00491918" w:rsidRDefault="00606655" w:rsidP="008D6001">
      <w:pPr>
        <w:pStyle w:val="HeadingLevel2-BarcRA00"/>
        <w:outlineLvl w:val="0"/>
      </w:pPr>
      <w:r w:rsidRPr="00491918">
        <w:t>Leverage ratio calculation</w:t>
      </w:r>
    </w:p>
    <w:p w:rsidR="00606655" w:rsidRPr="00491918" w:rsidRDefault="00606655" w:rsidP="00606655">
      <w:pPr>
        <w:pStyle w:val="BodyText-BarcRA310"/>
      </w:pPr>
      <w:r w:rsidRPr="00491918">
        <w:t xml:space="preserve">The CRD IV leverage ratios are higher than the adjusted gross leverage ratio, primarily due to the CRD IV ratio excluding netting of settlement balances and </w:t>
      </w:r>
      <w:r w:rsidR="00BF7F6E" w:rsidRPr="00491918">
        <w:t xml:space="preserve">of </w:t>
      </w:r>
      <w:r w:rsidRPr="00491918">
        <w:t xml:space="preserve">cash collateral against derivatives and including off balance sheet potential future exposures and undrawn commitments, which the adjusted gross leverage ratio (consistent with many other banks’ treatment) does not. The key adjustments to total assets under the CRD IV leverage ratio are as follows: </w:t>
      </w:r>
    </w:p>
    <w:p w:rsidR="0084238A" w:rsidRPr="00491918" w:rsidRDefault="0084238A" w:rsidP="0084238A">
      <w:pPr>
        <w:pStyle w:val="Level1Bullet-BarcRA21"/>
        <w:rPr>
          <w:lang w:val="en-GB"/>
        </w:rPr>
      </w:pPr>
      <w:r w:rsidRPr="00491918">
        <w:rPr>
          <w:lang w:val="en-GB"/>
        </w:rPr>
        <w:t>Derivatives netting adjustment: regulatory netting applied across asset and liability mark-to-market derivative positions, pursuant to legally enforceable bilateral netting agreements and otherwise meeting the requirements set out in CRD IV</w:t>
      </w:r>
    </w:p>
    <w:p w:rsidR="00722D3A" w:rsidRPr="00491918" w:rsidRDefault="00722D3A" w:rsidP="00722D3A">
      <w:pPr>
        <w:pStyle w:val="Level1Bullet-BarcRA21"/>
        <w:rPr>
          <w:lang w:val="en-GB"/>
        </w:rPr>
      </w:pPr>
      <w:r w:rsidRPr="00491918">
        <w:rPr>
          <w:lang w:val="en-GB"/>
        </w:rPr>
        <w:t>Potential future exposure (PFE) add-on: regulatory add-on for potential future credit exposure on derivative contracts, calculated by assigning a standardised percentage (based on underlying risk category and residual trade maturity) to the gross notional value of each contract. PFE measure recognises some netting benefits, but these are floored at 40% of gross PFE by netting set, regardless of whether a positive or negative mark-to market exists at the individual trade level. Following clarification in the final CRD IV text, exchange traded and cleared OTC derivative exposures are now included in the calculation on a gross basis</w:t>
      </w:r>
    </w:p>
    <w:p w:rsidR="00722D3A" w:rsidRPr="00491918" w:rsidRDefault="00722D3A" w:rsidP="00722D3A">
      <w:pPr>
        <w:pStyle w:val="Level1Bullet-BarcRA21"/>
        <w:rPr>
          <w:lang w:val="en-GB"/>
        </w:rPr>
      </w:pPr>
      <w:r w:rsidRPr="00491918">
        <w:rPr>
          <w:lang w:val="en-GB"/>
        </w:rPr>
        <w:t>Securities Financing Transactions (SFT) adjustments:  under CRD IV the IFRS exposure measure for SFTs (eg repo/reverse repo) is replaced with the Financial Collateral Comprehensive Method (FCCM) measure. FCCM is calculated as exposure less collateral, taking into account legally enforceable master netting agreements, with standardised adjustments to both sides of the trade for volatility and currency mismatches. Under Basel 3, SFTs are measured by applying the regulatory netting rules per the Basel 2 framework</w:t>
      </w:r>
    </w:p>
    <w:p w:rsidR="0084238A" w:rsidRPr="00491918" w:rsidRDefault="0084238A" w:rsidP="0084238A">
      <w:pPr>
        <w:pStyle w:val="Level1Bullet-BarcRA21"/>
        <w:rPr>
          <w:lang w:val="en-GB"/>
        </w:rPr>
      </w:pPr>
      <w:r w:rsidRPr="00491918">
        <w:t xml:space="preserve">Undrawn Commitments: regulatory add on relating to off balance sheet undrawn </w:t>
      </w:r>
      <w:r w:rsidRPr="00491918">
        <w:rPr>
          <w:lang w:val="en-GB"/>
        </w:rPr>
        <w:t>commitmen</w:t>
      </w:r>
      <w:r w:rsidRPr="00491918">
        <w:t>ts based on a cr</w:t>
      </w:r>
      <w:r w:rsidRPr="00491918">
        <w:rPr>
          <w:lang w:val="en-GB"/>
        </w:rPr>
        <w:t xml:space="preserve">edit conversion factor </w:t>
      </w:r>
      <w:r w:rsidRPr="00491918">
        <w:t>of 10% for unconditionally cancellable commitments and 100% for other commitmen</w:t>
      </w:r>
      <w:r w:rsidRPr="00491918">
        <w:rPr>
          <w:lang w:val="en-GB"/>
        </w:rPr>
        <w:t>t</w:t>
      </w:r>
      <w:r w:rsidRPr="00491918">
        <w:t>s</w:t>
      </w:r>
      <w:r w:rsidRPr="00491918">
        <w:rPr>
          <w:lang w:val="en-GB"/>
        </w:rPr>
        <w:t>. The ru</w:t>
      </w:r>
      <w:r w:rsidRPr="00491918">
        <w:t>les specify additional relief to be applied to trade finance</w:t>
      </w:r>
      <w:r w:rsidRPr="00491918">
        <w:rPr>
          <w:lang w:val="en-GB"/>
        </w:rPr>
        <w:t xml:space="preserve"> related undrawn com</w:t>
      </w:r>
      <w:r w:rsidRPr="00491918">
        <w:t>mitments which are medium</w:t>
      </w:r>
      <w:r w:rsidRPr="00491918">
        <w:rPr>
          <w:lang w:val="en-GB"/>
        </w:rPr>
        <w:t xml:space="preserve">/low risk (20%) and medium risk (50%). For Barclays, this relief is not estimated to be material </w:t>
      </w:r>
    </w:p>
    <w:p w:rsidR="0084238A" w:rsidRPr="00491918" w:rsidRDefault="0084238A" w:rsidP="0084238A">
      <w:pPr>
        <w:pStyle w:val="Level1Bullet-BarcRA21"/>
      </w:pPr>
      <w:r w:rsidRPr="00491918">
        <w:rPr>
          <w:lang w:val="en-GB"/>
        </w:rPr>
        <w:t xml:space="preserve">Regulatory deductions: items (comprising goodwill and intangibles, deferred tax asset losses, own paper, cash flow hedge reserve, pension assets and PVA) that are deducted from the capital measure are also </w:t>
      </w:r>
      <w:r w:rsidRPr="00491918">
        <w:t>deducted from total leverage exposure to ensure consistency between the numerator and denominator</w:t>
      </w:r>
    </w:p>
    <w:p w:rsidR="00606655" w:rsidRPr="00491918" w:rsidRDefault="00606655" w:rsidP="00606655">
      <w:pPr>
        <w:pStyle w:val="Level1Bullet-BarcRA21"/>
      </w:pPr>
      <w:r w:rsidRPr="00491918">
        <w:t xml:space="preserve">Other adjustments: includes adjustments required to change from an IFRS scope of consolidation to a regulatory scope of consolidation, adjustments for significant investments in financial sector entities that are consolidated for accounting purposes but not for regulatory purposes, </w:t>
      </w:r>
      <w:r w:rsidRPr="00491918">
        <w:rPr>
          <w:lang w:val="en-GB"/>
        </w:rPr>
        <w:t xml:space="preserve">and </w:t>
      </w:r>
      <w:r w:rsidRPr="00491918">
        <w:t xml:space="preserve">the removal of IFRS </w:t>
      </w:r>
      <w:r w:rsidRPr="00491918">
        <w:rPr>
          <w:lang w:val="en-GB"/>
        </w:rPr>
        <w:t>netting for other assets</w:t>
      </w:r>
    </w:p>
    <w:p w:rsidR="00606655" w:rsidRPr="00491918" w:rsidRDefault="00606655" w:rsidP="00606655">
      <w:pPr>
        <w:pStyle w:val="BodyText-BarcRA310"/>
      </w:pPr>
      <w:r w:rsidRPr="00491918">
        <w:t xml:space="preserve">To provide an indication of the potential impact on Barclays, we have estimated our CRD IV leverage ratio as at 30 June 2013. </w:t>
      </w:r>
    </w:p>
    <w:p w:rsidR="00606655" w:rsidRPr="00491918" w:rsidRDefault="00606655" w:rsidP="00606655">
      <w:pPr>
        <w:pStyle w:val="BodyText-BarcRA310"/>
      </w:pPr>
      <w:r w:rsidRPr="00491918">
        <w:t xml:space="preserve">At the PRA’s request, in addition to the CRD IV leverage ratio, Barclays has estimated the </w:t>
      </w:r>
      <w:r w:rsidR="00854CB7" w:rsidRPr="00491918">
        <w:t>fully loaded</w:t>
      </w:r>
      <w:r w:rsidRPr="00491918">
        <w:t xml:space="preserve"> leverage ratio using the Basel 3 (December 2010) measure of leverage exposure, with additional guidance provided in the July 2012 instructions for the Quantitative Impact Study.  The key difference to the CRD IV basis of preparation is the measurement of SFTs.  Under Basel 3, SFT leverage exposure is calculated as the IFRS measure of exposure after applying regulatory netting rules based on the Basel 2 Framework.  In accordance with the PRA’s request, the capital measure remains as CRD IV Tier 1 capital.</w:t>
      </w:r>
    </w:p>
    <w:p w:rsidR="000D76A8" w:rsidRPr="00491918" w:rsidRDefault="000D76A8" w:rsidP="00606655">
      <w:pPr>
        <w:pStyle w:val="BodyText-BarcRA310"/>
      </w:pPr>
    </w:p>
    <w:p w:rsidR="000D76A8" w:rsidRPr="00491918" w:rsidRDefault="000D76A8" w:rsidP="00606655">
      <w:pPr>
        <w:pStyle w:val="BodyText-BarcRA310"/>
      </w:pPr>
    </w:p>
    <w:p w:rsidR="00DA356B" w:rsidRPr="00491918" w:rsidRDefault="00DA356B" w:rsidP="000D76A8">
      <w:pPr>
        <w:pStyle w:val="HeadingLevel1-BarcRA26"/>
        <w:rPr>
          <w:lang w:val="en-GB"/>
        </w:rPr>
      </w:pPr>
    </w:p>
    <w:p w:rsidR="00DA356B" w:rsidRPr="00491918" w:rsidRDefault="00DA356B" w:rsidP="000D76A8">
      <w:pPr>
        <w:pStyle w:val="HeadingLevel1-BarcRA26"/>
        <w:rPr>
          <w:lang w:val="en-GB"/>
        </w:rPr>
      </w:pPr>
    </w:p>
    <w:p w:rsidR="00E24786" w:rsidRPr="00491918" w:rsidRDefault="00E24786" w:rsidP="00E24786">
      <w:pPr>
        <w:pStyle w:val="BodyText-BarcRA28"/>
      </w:pPr>
    </w:p>
    <w:p w:rsidR="000D76A8" w:rsidRPr="00491918" w:rsidRDefault="000D76A8" w:rsidP="000D76A8">
      <w:pPr>
        <w:pStyle w:val="HeadingLevel1-BarcRA26"/>
        <w:rPr>
          <w:lang w:val="en-GB"/>
        </w:rPr>
      </w:pPr>
      <w:r w:rsidRPr="00491918">
        <w:rPr>
          <w:lang w:val="en-GB"/>
        </w:rPr>
        <w:t>Funding Risk</w:t>
      </w:r>
    </w:p>
    <w:p w:rsidR="000D1659" w:rsidRPr="00491918" w:rsidRDefault="000D1659">
      <w:pPr>
        <w:spacing w:line="14" w:lineRule="exact"/>
      </w:pPr>
    </w:p>
    <w:p w:rsidR="000D1659" w:rsidRPr="00491918" w:rsidRDefault="000D1659"/>
    <w:tbl>
      <w:tblPr>
        <w:tblW w:w="0" w:type="auto"/>
        <w:tblLayout w:type="fixed"/>
        <w:tblLook w:val="0000" w:firstRow="0" w:lastRow="0" w:firstColumn="0" w:lastColumn="0" w:noHBand="0" w:noVBand="0"/>
      </w:tblPr>
      <w:tblGrid>
        <w:gridCol w:w="4714"/>
        <w:gridCol w:w="1635"/>
        <w:gridCol w:w="1635"/>
        <w:gridCol w:w="1635"/>
      </w:tblGrid>
      <w:tr w:rsidR="00606655" w:rsidRPr="00491918" w:rsidTr="0039794C">
        <w:trPr>
          <w:trHeight w:val="240"/>
        </w:trPr>
        <w:tc>
          <w:tcPr>
            <w:tcW w:w="4714" w:type="dxa"/>
            <w:tcBorders>
              <w:top w:val="nil"/>
              <w:left w:val="nil"/>
              <w:right w:val="nil"/>
            </w:tcBorders>
            <w:shd w:val="clear" w:color="auto" w:fill="FFFFFF"/>
            <w:tcMar>
              <w:left w:w="36" w:type="dxa"/>
              <w:right w:w="36" w:type="dxa"/>
            </w:tcMar>
          </w:tcPr>
          <w:p w:rsidR="00606655" w:rsidRPr="00491918" w:rsidRDefault="0039794C" w:rsidP="0039794C">
            <w:pPr>
              <w:rPr>
                <w:rFonts w:ascii="Calibri" w:eastAsia="Calibri" w:hAnsi="Calibri" w:cs="Calibri"/>
                <w:color w:val="000000"/>
                <w:sz w:val="20"/>
                <w:szCs w:val="20"/>
              </w:rPr>
            </w:pPr>
            <w:r w:rsidRPr="00491918">
              <w:rPr>
                <w:b/>
                <w:color w:val="000000"/>
                <w:sz w:val="20"/>
                <w:szCs w:val="20"/>
              </w:rPr>
              <w:t>Estimated impact of CRD IV - Leverage</w:t>
            </w:r>
          </w:p>
        </w:tc>
        <w:tc>
          <w:tcPr>
            <w:tcW w:w="1635" w:type="dxa"/>
            <w:tcBorders>
              <w:top w:val="nil"/>
              <w:left w:val="nil"/>
              <w:right w:val="nil"/>
            </w:tcBorders>
            <w:shd w:val="clear" w:color="auto" w:fill="FFFFFF"/>
          </w:tcPr>
          <w:p w:rsidR="00606655" w:rsidRPr="00491918" w:rsidRDefault="00606655" w:rsidP="002A3C92">
            <w:pPr>
              <w:jc w:val="right"/>
              <w:rPr>
                <w:b/>
                <w:color w:val="000000"/>
                <w:sz w:val="16"/>
              </w:rPr>
            </w:pPr>
          </w:p>
        </w:tc>
        <w:tc>
          <w:tcPr>
            <w:tcW w:w="1635" w:type="dxa"/>
            <w:tcBorders>
              <w:top w:val="nil"/>
              <w:left w:val="nil"/>
              <w:right w:val="nil"/>
            </w:tcBorders>
            <w:shd w:val="clear" w:color="auto" w:fill="FFFFFF"/>
            <w:tcMar>
              <w:left w:w="36" w:type="dxa"/>
              <w:right w:w="36" w:type="dxa"/>
            </w:tcMar>
            <w:vAlign w:val="center"/>
          </w:tcPr>
          <w:p w:rsidR="00606655" w:rsidRPr="00491918" w:rsidRDefault="00606655" w:rsidP="002A3C92">
            <w:pPr>
              <w:jc w:val="right"/>
              <w:rPr>
                <w:b/>
                <w:color w:val="000000"/>
                <w:sz w:val="16"/>
              </w:rPr>
            </w:pPr>
            <w:r w:rsidRPr="00491918">
              <w:rPr>
                <w:b/>
                <w:color w:val="000000"/>
                <w:sz w:val="16"/>
              </w:rPr>
              <w:t xml:space="preserve">Basel 3 </w:t>
            </w:r>
          </w:p>
          <w:p w:rsidR="00606655" w:rsidRPr="00491918" w:rsidRDefault="00606655" w:rsidP="002A5B40">
            <w:pPr>
              <w:jc w:val="right"/>
              <w:rPr>
                <w:b/>
                <w:color w:val="000000"/>
                <w:sz w:val="24"/>
                <w:vertAlign w:val="superscript"/>
              </w:rPr>
            </w:pPr>
            <w:r w:rsidRPr="00491918">
              <w:rPr>
                <w:b/>
                <w:color w:val="000000"/>
                <w:sz w:val="16"/>
              </w:rPr>
              <w:t xml:space="preserve">2010 text basis </w:t>
            </w:r>
          </w:p>
        </w:tc>
        <w:tc>
          <w:tcPr>
            <w:tcW w:w="1635" w:type="dxa"/>
            <w:tcBorders>
              <w:top w:val="nil"/>
              <w:left w:val="nil"/>
              <w:right w:val="nil"/>
            </w:tcBorders>
            <w:shd w:val="clear" w:color="auto" w:fill="FFFFFF"/>
            <w:tcMar>
              <w:left w:w="36" w:type="dxa"/>
              <w:right w:w="36" w:type="dxa"/>
            </w:tcMar>
            <w:vAlign w:val="center"/>
          </w:tcPr>
          <w:p w:rsidR="00606655" w:rsidRPr="00491918" w:rsidRDefault="00606655" w:rsidP="002A3C92">
            <w:pPr>
              <w:jc w:val="right"/>
              <w:rPr>
                <w:b/>
                <w:color w:val="000000"/>
                <w:sz w:val="16"/>
              </w:rPr>
            </w:pPr>
            <w:r w:rsidRPr="00491918">
              <w:rPr>
                <w:b/>
                <w:color w:val="000000"/>
                <w:sz w:val="16"/>
              </w:rPr>
              <w:t>Final CRD IV</w:t>
            </w:r>
          </w:p>
          <w:p w:rsidR="00606655" w:rsidRPr="00491918" w:rsidRDefault="00606655" w:rsidP="002A5B40">
            <w:pPr>
              <w:jc w:val="right"/>
              <w:rPr>
                <w:b/>
                <w:color w:val="000000"/>
                <w:sz w:val="24"/>
                <w:vertAlign w:val="superscript"/>
              </w:rPr>
            </w:pPr>
            <w:r w:rsidRPr="00491918">
              <w:rPr>
                <w:b/>
                <w:color w:val="000000"/>
                <w:sz w:val="16"/>
              </w:rPr>
              <w:t>text basis</w:t>
            </w:r>
          </w:p>
        </w:tc>
      </w:tr>
      <w:tr w:rsidR="00606655" w:rsidRPr="00491918" w:rsidTr="002A5B40">
        <w:trPr>
          <w:trHeight w:val="240"/>
        </w:trPr>
        <w:tc>
          <w:tcPr>
            <w:tcW w:w="4714" w:type="dxa"/>
            <w:tcBorders>
              <w:top w:val="nil"/>
              <w:left w:val="nil"/>
              <w:bottom w:val="single" w:sz="4" w:space="0" w:color="auto"/>
              <w:right w:val="nil"/>
            </w:tcBorders>
            <w:shd w:val="clear" w:color="auto" w:fill="FFFFFF"/>
            <w:tcMar>
              <w:left w:w="36" w:type="dxa"/>
              <w:right w:w="36" w:type="dxa"/>
            </w:tcMar>
            <w:vAlign w:val="bottom"/>
          </w:tcPr>
          <w:p w:rsidR="00606655" w:rsidRPr="00491918" w:rsidRDefault="00606655" w:rsidP="0039794C">
            <w:pPr>
              <w:rPr>
                <w:b/>
                <w:color w:val="000000"/>
                <w:sz w:val="16"/>
              </w:rPr>
            </w:pPr>
            <w:r w:rsidRPr="00491918">
              <w:rPr>
                <w:rFonts w:ascii="Calibri" w:eastAsia="Calibri" w:hAnsi="Calibri" w:cs="Calibri"/>
                <w:b/>
                <w:color w:val="000000"/>
                <w:sz w:val="22"/>
              </w:rPr>
              <w:t xml:space="preserve"> </w:t>
            </w:r>
          </w:p>
        </w:tc>
        <w:tc>
          <w:tcPr>
            <w:tcW w:w="1635" w:type="dxa"/>
            <w:tcBorders>
              <w:top w:val="nil"/>
              <w:left w:val="nil"/>
              <w:bottom w:val="single" w:sz="4" w:space="0" w:color="auto"/>
              <w:right w:val="nil"/>
            </w:tcBorders>
            <w:shd w:val="clear" w:color="auto" w:fill="FFFFFF"/>
          </w:tcPr>
          <w:p w:rsidR="00606655" w:rsidRPr="00491918" w:rsidRDefault="00606655" w:rsidP="002A3C92">
            <w:pPr>
              <w:jc w:val="right"/>
              <w:rPr>
                <w:b/>
                <w:color w:val="000000"/>
                <w:sz w:val="16"/>
              </w:rPr>
            </w:pPr>
          </w:p>
        </w:tc>
        <w:tc>
          <w:tcPr>
            <w:tcW w:w="1635" w:type="dxa"/>
            <w:tcBorders>
              <w:top w:val="nil"/>
              <w:left w:val="nil"/>
              <w:bottom w:val="single" w:sz="4" w:space="0" w:color="auto"/>
              <w:right w:val="nil"/>
            </w:tcBorders>
            <w:shd w:val="clear" w:color="auto" w:fill="FFFFFF"/>
            <w:tcMar>
              <w:left w:w="36" w:type="dxa"/>
              <w:right w:w="36" w:type="dxa"/>
            </w:tcMar>
            <w:vAlign w:val="bottom"/>
          </w:tcPr>
          <w:p w:rsidR="00606655" w:rsidRPr="00491918" w:rsidRDefault="002A5B40" w:rsidP="002A3C92">
            <w:pPr>
              <w:jc w:val="right"/>
              <w:rPr>
                <w:rFonts w:ascii="Calibri" w:eastAsia="Calibri" w:hAnsi="Calibri" w:cs="Calibri"/>
                <w:b/>
                <w:color w:val="000000"/>
                <w:sz w:val="22"/>
                <w:vertAlign w:val="superscript"/>
              </w:rPr>
            </w:pPr>
            <w:r w:rsidRPr="00491918">
              <w:rPr>
                <w:b/>
                <w:color w:val="000000"/>
                <w:sz w:val="16"/>
              </w:rPr>
              <w:t xml:space="preserve"> As at </w:t>
            </w:r>
            <w:r w:rsidR="00606655" w:rsidRPr="00491918">
              <w:rPr>
                <w:b/>
                <w:color w:val="000000"/>
                <w:sz w:val="16"/>
              </w:rPr>
              <w:t>30.06.13</w:t>
            </w:r>
            <w:r w:rsidR="00606655" w:rsidRPr="00491918">
              <w:rPr>
                <w:rFonts w:ascii="Calibri" w:eastAsia="Calibri" w:hAnsi="Calibri" w:cs="Calibri"/>
                <w:b/>
                <w:color w:val="000000"/>
                <w:sz w:val="22"/>
                <w:vertAlign w:val="superscript"/>
              </w:rPr>
              <w:t xml:space="preserve"> </w:t>
            </w:r>
          </w:p>
        </w:tc>
        <w:tc>
          <w:tcPr>
            <w:tcW w:w="1635" w:type="dxa"/>
            <w:tcBorders>
              <w:top w:val="nil"/>
              <w:left w:val="nil"/>
              <w:bottom w:val="single" w:sz="4" w:space="0" w:color="auto"/>
              <w:right w:val="nil"/>
            </w:tcBorders>
            <w:shd w:val="clear" w:color="auto" w:fill="FFFFFF"/>
            <w:tcMar>
              <w:left w:w="36" w:type="dxa"/>
              <w:right w:w="36" w:type="dxa"/>
            </w:tcMar>
            <w:vAlign w:val="bottom"/>
          </w:tcPr>
          <w:p w:rsidR="00606655" w:rsidRPr="00491918" w:rsidRDefault="002A5B40" w:rsidP="002A3C92">
            <w:pPr>
              <w:jc w:val="right"/>
              <w:rPr>
                <w:rFonts w:ascii="Calibri" w:eastAsia="Calibri" w:hAnsi="Calibri" w:cs="Calibri"/>
                <w:b/>
                <w:color w:val="000000"/>
                <w:sz w:val="22"/>
                <w:vertAlign w:val="superscript"/>
              </w:rPr>
            </w:pPr>
            <w:r w:rsidRPr="00491918">
              <w:rPr>
                <w:b/>
                <w:color w:val="000000"/>
                <w:sz w:val="16"/>
              </w:rPr>
              <w:t xml:space="preserve">As at </w:t>
            </w:r>
            <w:r w:rsidR="00606655" w:rsidRPr="00491918">
              <w:rPr>
                <w:b/>
                <w:color w:val="000000"/>
                <w:sz w:val="16"/>
              </w:rPr>
              <w:t>30.06.13</w:t>
            </w:r>
          </w:p>
        </w:tc>
      </w:tr>
      <w:tr w:rsidR="00606655" w:rsidRPr="00491918" w:rsidTr="002A5B40">
        <w:trPr>
          <w:trHeight w:val="300"/>
        </w:trPr>
        <w:tc>
          <w:tcPr>
            <w:tcW w:w="4714" w:type="dxa"/>
            <w:tcBorders>
              <w:top w:val="single" w:sz="4" w:space="0" w:color="auto"/>
              <w:left w:val="nil"/>
              <w:bottom w:val="single" w:sz="6" w:space="0" w:color="969696"/>
              <w:right w:val="nil"/>
            </w:tcBorders>
            <w:shd w:val="clear" w:color="auto" w:fill="FFFFFF"/>
            <w:tcMar>
              <w:left w:w="36" w:type="dxa"/>
              <w:right w:w="36" w:type="dxa"/>
            </w:tcMar>
            <w:vAlign w:val="center"/>
          </w:tcPr>
          <w:p w:rsidR="00606655" w:rsidRPr="00491918" w:rsidRDefault="00606655" w:rsidP="002A3C92">
            <w:pPr>
              <w:rPr>
                <w:b/>
                <w:color w:val="000000"/>
                <w:sz w:val="16"/>
              </w:rPr>
            </w:pPr>
            <w:r w:rsidRPr="00491918">
              <w:rPr>
                <w:b/>
                <w:color w:val="000000"/>
                <w:sz w:val="16"/>
              </w:rPr>
              <w:t>Leverage exposure</w:t>
            </w:r>
            <w:r w:rsidRPr="00491918">
              <w:rPr>
                <w:b/>
                <w:color w:val="000000"/>
                <w:sz w:val="16"/>
                <w:vertAlign w:val="superscript"/>
              </w:rPr>
              <w:t xml:space="preserve"> </w:t>
            </w:r>
          </w:p>
        </w:tc>
        <w:tc>
          <w:tcPr>
            <w:tcW w:w="1635" w:type="dxa"/>
            <w:tcBorders>
              <w:top w:val="single" w:sz="4" w:space="0" w:color="auto"/>
              <w:left w:val="nil"/>
              <w:bottom w:val="single" w:sz="6" w:space="0" w:color="969696"/>
              <w:right w:val="nil"/>
            </w:tcBorders>
            <w:shd w:val="clear" w:color="auto" w:fill="FFFFFF"/>
          </w:tcPr>
          <w:p w:rsidR="00606655" w:rsidRPr="00491918" w:rsidRDefault="00606655" w:rsidP="002A3C92">
            <w:pPr>
              <w:jc w:val="right"/>
              <w:rPr>
                <w:color w:val="000000"/>
                <w:sz w:val="16"/>
              </w:rPr>
            </w:pPr>
          </w:p>
        </w:tc>
        <w:tc>
          <w:tcPr>
            <w:tcW w:w="1635" w:type="dxa"/>
            <w:tcBorders>
              <w:top w:val="single" w:sz="4" w:space="0" w:color="auto"/>
              <w:left w:val="nil"/>
              <w:bottom w:val="single" w:sz="6" w:space="0" w:color="969696"/>
              <w:right w:val="nil"/>
            </w:tcBorders>
            <w:shd w:val="clear" w:color="auto" w:fill="FFFFFF"/>
            <w:tcMar>
              <w:left w:w="36" w:type="dxa"/>
              <w:right w:w="36" w:type="dxa"/>
            </w:tcMar>
            <w:vAlign w:val="bottom"/>
          </w:tcPr>
          <w:p w:rsidR="00606655" w:rsidRPr="00491918" w:rsidRDefault="00606655" w:rsidP="002A3C92">
            <w:pPr>
              <w:jc w:val="right"/>
              <w:rPr>
                <w:b/>
                <w:color w:val="000000"/>
                <w:sz w:val="16"/>
                <w:vertAlign w:val="superscript"/>
              </w:rPr>
            </w:pPr>
            <w:r w:rsidRPr="00491918">
              <w:rPr>
                <w:color w:val="000000"/>
                <w:sz w:val="16"/>
              </w:rPr>
              <w:t>£bn</w:t>
            </w:r>
            <w:r w:rsidRPr="00491918">
              <w:rPr>
                <w:color w:val="000000"/>
                <w:sz w:val="16"/>
                <w:vertAlign w:val="superscript"/>
              </w:rPr>
              <w:t xml:space="preserve"> </w:t>
            </w:r>
          </w:p>
        </w:tc>
        <w:tc>
          <w:tcPr>
            <w:tcW w:w="1635" w:type="dxa"/>
            <w:tcBorders>
              <w:top w:val="single" w:sz="4" w:space="0" w:color="auto"/>
              <w:left w:val="nil"/>
              <w:bottom w:val="single" w:sz="6" w:space="0" w:color="969696"/>
              <w:right w:val="nil"/>
            </w:tcBorders>
            <w:shd w:val="clear" w:color="auto" w:fill="FFFFFF"/>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£bn</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lastRenderedPageBreak/>
              <w:t>Derivative financial instruments</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 xml:space="preserve"> 403 </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403 </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Reverse repurchase agreements and other similar secured lending</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 xml:space="preserve"> 223 </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223 </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Loans and Advances and other assets</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907 </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6D6380">
            <w:pPr>
              <w:jc w:val="right"/>
              <w:rPr>
                <w:rFonts w:ascii="Calibri" w:eastAsia="Calibri" w:hAnsi="Calibri" w:cs="Calibri"/>
                <w:color w:val="000000"/>
                <w:sz w:val="22"/>
                <w:vertAlign w:val="superscript"/>
              </w:rPr>
            </w:pPr>
            <w:r w:rsidRPr="00491918">
              <w:rPr>
                <w:color w:val="000000"/>
                <w:sz w:val="16"/>
              </w:rPr>
              <w:t xml:space="preserve">   907</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b/>
                <w:color w:val="000000"/>
                <w:sz w:val="16"/>
              </w:rPr>
            </w:pPr>
            <w:r w:rsidRPr="00491918">
              <w:rPr>
                <w:b/>
                <w:color w:val="000000"/>
                <w:sz w:val="16"/>
              </w:rPr>
              <w:t>Total assets</w:t>
            </w:r>
            <w:r w:rsidRPr="00491918">
              <w:rPr>
                <w:b/>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b/>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b/>
                <w:color w:val="000000"/>
                <w:sz w:val="16"/>
                <w:vertAlign w:val="superscript"/>
              </w:rPr>
            </w:pPr>
            <w:r w:rsidRPr="00491918">
              <w:rPr>
                <w:b/>
                <w:color w:val="000000"/>
                <w:sz w:val="16"/>
              </w:rPr>
              <w:t xml:space="preserve"> 1,533</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b/>
                <w:color w:val="000000"/>
                <w:sz w:val="16"/>
              </w:rPr>
              <w:t xml:space="preserve"> 1,533</w:t>
            </w:r>
          </w:p>
        </w:tc>
      </w:tr>
      <w:tr w:rsidR="00606655" w:rsidRPr="00491918" w:rsidTr="00751636">
        <w:trPr>
          <w:trHeight w:hRule="exac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color w:val="000000"/>
                <w:sz w:val="16"/>
              </w:rPr>
            </w:pP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color w:val="000000"/>
                <w:sz w:val="16"/>
              </w:rPr>
            </w:pPr>
          </w:p>
        </w:tc>
      </w:tr>
      <w:tr w:rsidR="00606655" w:rsidRPr="00491918" w:rsidTr="00751636">
        <w:trPr>
          <w:trHeight w:hRule="exac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b/>
                <w:color w:val="000000"/>
                <w:sz w:val="16"/>
              </w:rPr>
            </w:pPr>
            <w:r w:rsidRPr="00491918">
              <w:rPr>
                <w:b/>
                <w:color w:val="000000"/>
                <w:sz w:val="16"/>
              </w:rPr>
              <w:t>CRD IV exposure measure adjustments</w:t>
            </w:r>
          </w:p>
        </w:tc>
        <w:tc>
          <w:tcPr>
            <w:tcW w:w="1635" w:type="dxa"/>
            <w:tcBorders>
              <w:top w:val="nil"/>
              <w:left w:val="nil"/>
              <w:bottom w:val="nil"/>
            </w:tcBorders>
            <w:shd w:val="clear" w:color="auto" w:fill="FFFFFF"/>
          </w:tcPr>
          <w:p w:rsidR="00606655" w:rsidRPr="00491918" w:rsidRDefault="00606655" w:rsidP="002A3C92">
            <w:pPr>
              <w:jc w:val="right"/>
              <w:rPr>
                <w:b/>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b/>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b/>
                <w:color w:val="000000"/>
                <w:sz w:val="16"/>
              </w:rPr>
            </w:pPr>
          </w:p>
        </w:tc>
      </w:tr>
      <w:tr w:rsidR="00606655" w:rsidRPr="00491918" w:rsidTr="00751636">
        <w:trPr>
          <w:trHeight w:hRule="exac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b/>
                <w:color w:val="000000"/>
                <w:sz w:val="16"/>
              </w:rPr>
            </w:pP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color w:val="000000"/>
                <w:sz w:val="16"/>
              </w:rPr>
            </w:pPr>
          </w:p>
        </w:tc>
      </w:tr>
      <w:tr w:rsidR="00606655" w:rsidRPr="00491918" w:rsidTr="00751636">
        <w:trPr>
          <w:trHeight w:hRule="exac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b/>
                <w:color w:val="000000"/>
                <w:sz w:val="16"/>
              </w:rPr>
            </w:pPr>
            <w:r w:rsidRPr="00491918">
              <w:rPr>
                <w:b/>
                <w:color w:val="000000"/>
                <w:sz w:val="16"/>
              </w:rPr>
              <w:t>Derivatives</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 xml:space="preserve"> </w:t>
            </w:r>
            <w:r w:rsidRPr="00491918">
              <w:rPr>
                <w:rFonts w:ascii="Calibri" w:eastAsia="Calibri" w:hAnsi="Calibri" w:cs="Calibri"/>
                <w:color w:val="000000"/>
                <w:sz w:val="22"/>
                <w:vertAlign w:val="superscript"/>
              </w:rPr>
              <w:t xml:space="preserve"> </w:t>
            </w:r>
          </w:p>
        </w:tc>
        <w:tc>
          <w:tcPr>
            <w:tcW w:w="1635" w:type="dxa"/>
            <w:shd w:val="clear" w:color="auto" w:fill="FFFFFF"/>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Netting adjustments for derivatives</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(324)</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(324)</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Potential Future Exposure on derivatives</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r w:rsidRPr="00491918">
              <w:rPr>
                <w:color w:val="000000"/>
                <w:sz w:val="16"/>
              </w:rPr>
              <w:t>308</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r w:rsidRPr="00491918">
              <w:rPr>
                <w:color w:val="000000"/>
                <w:sz w:val="16"/>
              </w:rPr>
              <w:t>308</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b/>
                <w:color w:val="000000"/>
                <w:sz w:val="16"/>
              </w:rPr>
            </w:pPr>
            <w:r w:rsidRPr="00491918">
              <w:rPr>
                <w:b/>
                <w:color w:val="000000"/>
                <w:sz w:val="16"/>
              </w:rPr>
              <w:t>SFTs</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Remove net IFRS SFTs</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(223)</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(223)</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Add leverage exposure measure for SFTs</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2A5B40" w:rsidP="002A3C92">
            <w:pPr>
              <w:jc w:val="right"/>
              <w:rPr>
                <w:color w:val="000000"/>
                <w:sz w:val="16"/>
              </w:rPr>
            </w:pPr>
            <w:r w:rsidRPr="00491918">
              <w:rPr>
                <w:color w:val="000000"/>
                <w:sz w:val="16"/>
              </w:rPr>
              <w:t>199</w:t>
            </w: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r w:rsidRPr="00491918">
              <w:rPr>
                <w:color w:val="000000"/>
                <w:sz w:val="16"/>
              </w:rPr>
              <w:t>9</w:t>
            </w:r>
            <w:r w:rsidR="002A5B40" w:rsidRPr="00491918">
              <w:rPr>
                <w:color w:val="000000"/>
                <w:sz w:val="16"/>
              </w:rPr>
              <w:t>3</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b/>
                <w:color w:val="000000"/>
                <w:sz w:val="16"/>
              </w:rPr>
            </w:pPr>
            <w:r w:rsidRPr="00491918">
              <w:rPr>
                <w:b/>
                <w:color w:val="000000"/>
                <w:sz w:val="16"/>
              </w:rPr>
              <w:t>Other adjustments</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rPr>
            </w:pP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Undrawn commitments</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0B4D41">
            <w:pPr>
              <w:jc w:val="right"/>
              <w:rPr>
                <w:color w:val="000000"/>
                <w:sz w:val="16"/>
                <w:vertAlign w:val="superscript"/>
              </w:rPr>
            </w:pPr>
            <w:r w:rsidRPr="00491918">
              <w:rPr>
                <w:color w:val="000000"/>
                <w:sz w:val="16"/>
              </w:rPr>
              <w:t>190 </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0B4D41">
            <w:pPr>
              <w:jc w:val="right"/>
              <w:rPr>
                <w:rFonts w:ascii="Calibri" w:eastAsia="Calibri" w:hAnsi="Calibri" w:cs="Calibri"/>
                <w:color w:val="000000"/>
                <w:sz w:val="22"/>
                <w:vertAlign w:val="superscript"/>
              </w:rPr>
            </w:pPr>
            <w:r w:rsidRPr="00491918">
              <w:rPr>
                <w:color w:val="000000"/>
                <w:sz w:val="16"/>
              </w:rPr>
              <w:t xml:space="preserve"> 190 </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color w:val="000000"/>
                <w:sz w:val="16"/>
              </w:rPr>
            </w:pPr>
            <w:r w:rsidRPr="00491918">
              <w:rPr>
                <w:color w:val="000000"/>
                <w:sz w:val="16"/>
              </w:rPr>
              <w:t>Regulatory deductions and other adjustments</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 xml:space="preserve"> (18) </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(18) </w:t>
            </w:r>
          </w:p>
        </w:tc>
      </w:tr>
      <w:tr w:rsidR="00606655" w:rsidRPr="00491918" w:rsidTr="00751636">
        <w:trPr>
          <w:trHeight w:hRule="exac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color w:val="000000"/>
                <w:sz w:val="16"/>
              </w:rPr>
            </w:pPr>
            <w:r w:rsidRPr="00491918">
              <w:rPr>
                <w:color w:val="000000"/>
                <w:sz w:val="16"/>
              </w:rPr>
              <w:t xml:space="preserve"> </w:t>
            </w:r>
            <w:r w:rsidRPr="00491918">
              <w:rPr>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 xml:space="preserve"> </w:t>
            </w:r>
            <w:r w:rsidRPr="00491918">
              <w:rPr>
                <w:rFonts w:ascii="Calibri" w:eastAsia="Calibri" w:hAnsi="Calibri" w:cs="Calibri"/>
                <w:color w:val="000000"/>
                <w:sz w:val="22"/>
                <w:vertAlign w:val="superscript"/>
              </w:rPr>
              <w:t xml:space="preserve"> </w:t>
            </w:r>
          </w:p>
        </w:tc>
        <w:tc>
          <w:tcPr>
            <w:tcW w:w="1635" w:type="dxa"/>
            <w:shd w:val="clear" w:color="auto" w:fill="FFFFFF"/>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w:t>
            </w:r>
          </w:p>
        </w:tc>
      </w:tr>
      <w:tr w:rsidR="00606655" w:rsidRPr="00491918" w:rsidTr="00751636">
        <w:trPr>
          <w:trHeight w:val="240"/>
        </w:trPr>
        <w:tc>
          <w:tcPr>
            <w:tcW w:w="4714" w:type="dxa"/>
            <w:tcBorders>
              <w:top w:val="nil"/>
              <w:left w:val="nil"/>
              <w:bottom w:val="nil"/>
              <w:right w:val="nil"/>
            </w:tcBorders>
            <w:tcMar>
              <w:left w:w="36" w:type="dxa"/>
              <w:right w:w="36" w:type="dxa"/>
            </w:tcMar>
            <w:vAlign w:val="bottom"/>
          </w:tcPr>
          <w:p w:rsidR="00606655" w:rsidRPr="00491918" w:rsidRDefault="00854CB7" w:rsidP="002A3C92">
            <w:pPr>
              <w:rPr>
                <w:color w:val="000000"/>
                <w:sz w:val="16"/>
              </w:rPr>
            </w:pPr>
            <w:r w:rsidRPr="00491918">
              <w:rPr>
                <w:b/>
                <w:color w:val="000000"/>
                <w:sz w:val="16"/>
              </w:rPr>
              <w:t>Fully loaded</w:t>
            </w:r>
            <w:r w:rsidR="00606655" w:rsidRPr="00491918">
              <w:rPr>
                <w:b/>
                <w:color w:val="000000"/>
                <w:sz w:val="16"/>
              </w:rPr>
              <w:t xml:space="preserve"> CRD IV Leverage exposure measure</w:t>
            </w:r>
            <w:r w:rsidR="00606655" w:rsidRPr="00491918">
              <w:rPr>
                <w:b/>
                <w:color w:val="000000"/>
                <w:sz w:val="16"/>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b/>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b/>
                <w:color w:val="000000"/>
                <w:sz w:val="16"/>
                <w:vertAlign w:val="superscript"/>
              </w:rPr>
            </w:pPr>
            <w:r w:rsidRPr="00491918">
              <w:rPr>
                <w:b/>
                <w:color w:val="000000"/>
                <w:sz w:val="16"/>
              </w:rPr>
              <w:t>1,66</w:t>
            </w:r>
            <w:r w:rsidR="002A5B40" w:rsidRPr="00491918">
              <w:rPr>
                <w:b/>
                <w:color w:val="000000"/>
                <w:sz w:val="16"/>
              </w:rPr>
              <w:t>5</w:t>
            </w:r>
            <w:r w:rsidRPr="00491918">
              <w:rPr>
                <w:b/>
                <w:color w:val="000000"/>
                <w:sz w:val="16"/>
              </w:rPr>
              <w:t> </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b/>
                <w:color w:val="000000"/>
                <w:sz w:val="16"/>
              </w:rPr>
              <w:t>1,5</w:t>
            </w:r>
            <w:r w:rsidR="002A5B40" w:rsidRPr="00491918">
              <w:rPr>
                <w:b/>
                <w:color w:val="000000"/>
                <w:sz w:val="16"/>
              </w:rPr>
              <w:t>59</w:t>
            </w:r>
          </w:p>
        </w:tc>
      </w:tr>
      <w:tr w:rsidR="00606655" w:rsidRPr="00491918" w:rsidTr="00751636">
        <w:trPr>
          <w:trHeight w:hRule="exac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b/>
                <w:color w:val="000000"/>
                <w:sz w:val="16"/>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right"/>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w:t>
            </w:r>
            <w:r w:rsidRPr="00491918">
              <w:rPr>
                <w:rFonts w:ascii="Calibri" w:eastAsia="Calibri" w:hAnsi="Calibri" w:cs="Calibri"/>
                <w:color w:val="000000"/>
                <w:sz w:val="22"/>
                <w:vertAlign w:val="superscript"/>
              </w:rPr>
              <w:t xml:space="preserve"> </w:t>
            </w:r>
          </w:p>
        </w:tc>
        <w:tc>
          <w:tcPr>
            <w:tcW w:w="1635" w:type="dxa"/>
            <w:shd w:val="clear" w:color="auto" w:fill="FFFFFF"/>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w:t>
            </w:r>
          </w:p>
        </w:tc>
      </w:tr>
      <w:tr w:rsidR="00606655" w:rsidRPr="00491918" w:rsidTr="00751636">
        <w:trPr>
          <w:trHeight w:val="225"/>
        </w:trPr>
        <w:tc>
          <w:tcPr>
            <w:tcW w:w="4714" w:type="dxa"/>
            <w:tcBorders>
              <w:top w:val="nil"/>
              <w:left w:val="nil"/>
              <w:bottom w:val="nil"/>
              <w:right w:val="nil"/>
            </w:tcBorders>
            <w:tcMar>
              <w:left w:w="36" w:type="dxa"/>
              <w:right w:w="36" w:type="dxa"/>
            </w:tcMar>
            <w:vAlign w:val="bottom"/>
          </w:tcPr>
          <w:p w:rsidR="00606655" w:rsidRPr="00491918" w:rsidRDefault="00606655" w:rsidP="002A3C92">
            <w:pPr>
              <w:rPr>
                <w:rFonts w:ascii="Calibri" w:eastAsia="Calibri" w:hAnsi="Calibri" w:cs="Calibri"/>
                <w:color w:val="000000"/>
                <w:sz w:val="22"/>
              </w:rPr>
            </w:pPr>
            <w:r w:rsidRPr="00491918">
              <w:rPr>
                <w:color w:val="000000"/>
                <w:sz w:val="16"/>
              </w:rPr>
              <w:t>Transitional adjustments to assets deducted from Tier 1 Capital</w:t>
            </w:r>
          </w:p>
        </w:tc>
        <w:tc>
          <w:tcPr>
            <w:tcW w:w="1635" w:type="dxa"/>
            <w:tcBorders>
              <w:top w:val="nil"/>
              <w:left w:val="nil"/>
              <w:bottom w:val="nil"/>
            </w:tcBorders>
            <w:shd w:val="clear" w:color="auto" w:fill="FFFFFF"/>
          </w:tcPr>
          <w:p w:rsidR="00606655" w:rsidRPr="00491918" w:rsidRDefault="00606655" w:rsidP="002A3C92">
            <w:pPr>
              <w:rPr>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 xml:space="preserve"> 2  </w:t>
            </w:r>
            <w:r w:rsidRPr="00491918">
              <w:rPr>
                <w:rFonts w:ascii="Calibri" w:eastAsia="Calibri" w:hAnsi="Calibri" w:cs="Calibri"/>
                <w:color w:val="000000"/>
                <w:sz w:val="22"/>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2 </w:t>
            </w:r>
          </w:p>
        </w:tc>
      </w:tr>
      <w:tr w:rsidR="00606655" w:rsidRPr="00491918" w:rsidTr="00751636">
        <w:trPr>
          <w:trHeight w:hRule="exac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color w:val="000000"/>
                <w:sz w:val="16"/>
              </w:rPr>
            </w:pPr>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1635" w:type="dxa"/>
            <w:tcBorders>
              <w:top w:val="nil"/>
              <w:left w:val="nil"/>
              <w:bottom w:val="nil"/>
            </w:tcBorders>
            <w:shd w:val="clear" w:color="auto" w:fill="FFFFFF"/>
          </w:tcPr>
          <w:p w:rsidR="00606655" w:rsidRPr="00491918" w:rsidRDefault="00606655" w:rsidP="002A3C92">
            <w:pPr>
              <w:jc w:val="center"/>
              <w:rPr>
                <w:color w:val="000000"/>
                <w:sz w:val="16"/>
              </w:rPr>
            </w:pPr>
          </w:p>
        </w:tc>
        <w:tc>
          <w:tcPr>
            <w:tcW w:w="1635" w:type="dxa"/>
            <w:shd w:val="clear" w:color="auto" w:fill="FFFFFF"/>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w:t>
            </w:r>
            <w:r w:rsidRPr="00491918">
              <w:rPr>
                <w:rFonts w:ascii="Calibri" w:eastAsia="Calibri" w:hAnsi="Calibri" w:cs="Calibri"/>
                <w:color w:val="000000"/>
                <w:sz w:val="22"/>
                <w:vertAlign w:val="superscript"/>
              </w:rPr>
              <w:t xml:space="preserve"> </w:t>
            </w:r>
          </w:p>
        </w:tc>
        <w:tc>
          <w:tcPr>
            <w:tcW w:w="1635" w:type="dxa"/>
            <w:shd w:val="clear" w:color="auto" w:fill="FFFFFF"/>
            <w:tcMar>
              <w:left w:w="36" w:type="dxa"/>
              <w:right w:w="36" w:type="dxa"/>
            </w:tcMar>
            <w:vAlign w:val="bottom"/>
          </w:tcPr>
          <w:p w:rsidR="00606655" w:rsidRPr="00491918" w:rsidRDefault="00606655" w:rsidP="002A3C92">
            <w:pPr>
              <w:jc w:val="right"/>
              <w:rPr>
                <w:rFonts w:ascii="Calibri" w:eastAsia="Calibri" w:hAnsi="Calibri" w:cs="Calibri"/>
                <w:color w:val="000000"/>
                <w:sz w:val="22"/>
                <w:vertAlign w:val="superscript"/>
              </w:rPr>
            </w:pPr>
            <w:r w:rsidRPr="00491918">
              <w:rPr>
                <w:color w:val="000000"/>
                <w:sz w:val="16"/>
              </w:rPr>
              <w:t xml:space="preserve"> </w:t>
            </w:r>
          </w:p>
        </w:tc>
      </w:tr>
      <w:tr w:rsidR="00606655" w:rsidRPr="00491918" w:rsidTr="00751636">
        <w:trPr>
          <w:trHeight w:val="240"/>
        </w:trPr>
        <w:tc>
          <w:tcPr>
            <w:tcW w:w="4714" w:type="dxa"/>
            <w:tcBorders>
              <w:top w:val="nil"/>
              <w:left w:val="nil"/>
              <w:right w:val="nil"/>
            </w:tcBorders>
            <w:tcMar>
              <w:left w:w="36" w:type="dxa"/>
              <w:right w:w="36" w:type="dxa"/>
            </w:tcMar>
            <w:vAlign w:val="bottom"/>
          </w:tcPr>
          <w:p w:rsidR="00606655" w:rsidRPr="00491918" w:rsidRDefault="00606655" w:rsidP="002A3C92">
            <w:pPr>
              <w:rPr>
                <w:rFonts w:ascii="Calibri" w:eastAsia="Calibri" w:hAnsi="Calibri" w:cs="Calibri"/>
                <w:color w:val="000000"/>
                <w:sz w:val="22"/>
              </w:rPr>
            </w:pPr>
            <w:r w:rsidRPr="00491918">
              <w:rPr>
                <w:b/>
                <w:color w:val="000000"/>
                <w:sz w:val="16"/>
              </w:rPr>
              <w:t>Transitional CRD IV Leverage exposure measure</w:t>
            </w:r>
            <w:r w:rsidRPr="00491918">
              <w:rPr>
                <w:b/>
                <w:color w:val="000000"/>
                <w:sz w:val="16"/>
                <w:vertAlign w:val="superscript"/>
              </w:rPr>
              <w:t xml:space="preserve"> </w:t>
            </w:r>
          </w:p>
        </w:tc>
        <w:tc>
          <w:tcPr>
            <w:tcW w:w="1635" w:type="dxa"/>
            <w:tcBorders>
              <w:top w:val="nil"/>
              <w:left w:val="nil"/>
            </w:tcBorders>
            <w:shd w:val="clear" w:color="auto" w:fill="FFFFFF"/>
          </w:tcPr>
          <w:p w:rsidR="00606655" w:rsidRPr="00491918" w:rsidRDefault="00606655" w:rsidP="002A3C92">
            <w:pPr>
              <w:jc w:val="right"/>
              <w:rPr>
                <w:b/>
                <w:color w:val="000000"/>
                <w:sz w:val="16"/>
              </w:rPr>
            </w:pPr>
          </w:p>
        </w:tc>
        <w:tc>
          <w:tcPr>
            <w:tcW w:w="1635" w:type="dxa"/>
            <w:shd w:val="clear" w:color="auto" w:fill="EAEAEA"/>
            <w:tcMar>
              <w:left w:w="36" w:type="dxa"/>
              <w:right w:w="36" w:type="dxa"/>
            </w:tcMar>
            <w:vAlign w:val="bottom"/>
          </w:tcPr>
          <w:p w:rsidR="00606655" w:rsidRPr="00491918" w:rsidRDefault="00606655" w:rsidP="002A3C92">
            <w:pPr>
              <w:jc w:val="right"/>
              <w:rPr>
                <w:b/>
                <w:color w:val="000000"/>
                <w:sz w:val="16"/>
                <w:vertAlign w:val="superscript"/>
              </w:rPr>
            </w:pPr>
            <w:r w:rsidRPr="00491918">
              <w:rPr>
                <w:b/>
                <w:color w:val="000000"/>
                <w:sz w:val="16"/>
              </w:rPr>
              <w:t>1,66</w:t>
            </w:r>
            <w:r w:rsidR="00631C3C" w:rsidRPr="00491918">
              <w:rPr>
                <w:b/>
                <w:color w:val="000000"/>
                <w:sz w:val="16"/>
              </w:rPr>
              <w:t>7</w:t>
            </w:r>
          </w:p>
        </w:tc>
        <w:tc>
          <w:tcPr>
            <w:tcW w:w="1635" w:type="dxa"/>
            <w:shd w:val="clear" w:color="auto" w:fill="EAEAEA"/>
            <w:tcMar>
              <w:left w:w="36" w:type="dxa"/>
              <w:right w:w="36" w:type="dxa"/>
            </w:tcMar>
            <w:vAlign w:val="bottom"/>
          </w:tcPr>
          <w:p w:rsidR="00606655" w:rsidRPr="00491918" w:rsidRDefault="00606655" w:rsidP="00631C3C">
            <w:pPr>
              <w:jc w:val="right"/>
              <w:rPr>
                <w:rFonts w:ascii="Calibri" w:eastAsia="Calibri" w:hAnsi="Calibri" w:cs="Calibri"/>
                <w:color w:val="000000"/>
                <w:sz w:val="22"/>
                <w:vertAlign w:val="superscript"/>
              </w:rPr>
            </w:pPr>
            <w:r w:rsidRPr="00491918">
              <w:rPr>
                <w:b/>
                <w:color w:val="000000"/>
                <w:sz w:val="16"/>
              </w:rPr>
              <w:t xml:space="preserve"> 1,56</w:t>
            </w:r>
            <w:r w:rsidR="00631C3C" w:rsidRPr="00491918">
              <w:rPr>
                <w:b/>
                <w:color w:val="000000"/>
                <w:sz w:val="16"/>
              </w:rPr>
              <w:t>1</w:t>
            </w:r>
            <w:r w:rsidRPr="00491918">
              <w:rPr>
                <w:b/>
                <w:color w:val="000000"/>
                <w:sz w:val="16"/>
              </w:rPr>
              <w:t> </w:t>
            </w:r>
          </w:p>
        </w:tc>
      </w:tr>
      <w:tr w:rsidR="000A77B6" w:rsidRPr="00491918" w:rsidTr="000A77B6">
        <w:tblPrEx>
          <w:tblLook w:val="04A0" w:firstRow="1" w:lastRow="0" w:firstColumn="1" w:lastColumn="0" w:noHBand="0" w:noVBand="1"/>
        </w:tblPrEx>
        <w:trPr>
          <w:trHeight w:hRule="exact" w:val="240"/>
        </w:trPr>
        <w:tc>
          <w:tcPr>
            <w:tcW w:w="4714" w:type="dxa"/>
            <w:tcBorders>
              <w:top w:val="nil"/>
              <w:left w:val="nil"/>
              <w:bottom w:val="single" w:sz="6" w:space="0" w:color="7F7F7F"/>
              <w:right w:val="nil"/>
            </w:tcBorders>
            <w:shd w:val="clear" w:color="auto" w:fill="FFFFFF"/>
            <w:tcMar>
              <w:top w:w="0" w:type="dxa"/>
              <w:left w:w="36" w:type="dxa"/>
              <w:bottom w:w="0" w:type="dxa"/>
              <w:right w:w="36" w:type="dxa"/>
            </w:tcMar>
            <w:vAlign w:val="bottom"/>
            <w:hideMark/>
          </w:tcPr>
          <w:p w:rsidR="000A77B6" w:rsidRPr="00491918" w:rsidRDefault="000A77B6">
            <w:pPr>
              <w:rPr>
                <w:b/>
                <w:color w:val="000000"/>
                <w:sz w:val="16"/>
              </w:rPr>
            </w:pPr>
            <w:r w:rsidRPr="00491918">
              <w:rPr>
                <w:color w:val="000000"/>
                <w:sz w:val="16"/>
              </w:rPr>
              <w:t xml:space="preserve"> </w:t>
            </w:r>
            <w:r w:rsidRPr="00491918">
              <w:rPr>
                <w:color w:val="000000"/>
                <w:sz w:val="16"/>
                <w:vertAlign w:val="superscript"/>
              </w:rPr>
              <w:t xml:space="preserve"> </w:t>
            </w:r>
          </w:p>
        </w:tc>
        <w:tc>
          <w:tcPr>
            <w:tcW w:w="1635" w:type="dxa"/>
            <w:tcBorders>
              <w:top w:val="nil"/>
              <w:left w:val="nil"/>
              <w:bottom w:val="single" w:sz="6" w:space="0" w:color="7F7F7F"/>
              <w:right w:val="nil"/>
            </w:tcBorders>
            <w:shd w:val="clear" w:color="auto" w:fill="FFFFFF"/>
          </w:tcPr>
          <w:p w:rsidR="000A77B6" w:rsidRPr="00491918" w:rsidRDefault="000A77B6">
            <w:pPr>
              <w:rPr>
                <w:color w:val="000000"/>
                <w:sz w:val="16"/>
              </w:rPr>
            </w:pPr>
          </w:p>
        </w:tc>
        <w:tc>
          <w:tcPr>
            <w:tcW w:w="1635" w:type="dxa"/>
            <w:tcBorders>
              <w:top w:val="nil"/>
              <w:left w:val="nil"/>
              <w:bottom w:val="single" w:sz="6" w:space="0" w:color="7F7F7F"/>
              <w:right w:val="nil"/>
            </w:tcBorders>
            <w:shd w:val="clear" w:color="auto" w:fill="FFFFFF"/>
            <w:tcMar>
              <w:top w:w="0" w:type="dxa"/>
              <w:left w:w="36" w:type="dxa"/>
              <w:bottom w:w="0" w:type="dxa"/>
              <w:right w:w="36" w:type="dxa"/>
            </w:tcMar>
            <w:vAlign w:val="bottom"/>
            <w:hideMark/>
          </w:tcPr>
          <w:p w:rsidR="000A77B6" w:rsidRPr="00491918" w:rsidRDefault="000A77B6">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635" w:type="dxa"/>
            <w:tcBorders>
              <w:top w:val="nil"/>
              <w:left w:val="nil"/>
              <w:bottom w:val="single" w:sz="6" w:space="0" w:color="7F7F7F"/>
              <w:right w:val="nil"/>
            </w:tcBorders>
            <w:shd w:val="clear" w:color="auto" w:fill="FFFFFF"/>
            <w:tcMar>
              <w:top w:w="0" w:type="dxa"/>
              <w:left w:w="36" w:type="dxa"/>
              <w:bottom w:w="0" w:type="dxa"/>
              <w:right w:w="36" w:type="dxa"/>
            </w:tcMar>
            <w:vAlign w:val="bottom"/>
            <w:hideMark/>
          </w:tcPr>
          <w:p w:rsidR="000A77B6" w:rsidRPr="00491918" w:rsidRDefault="000A77B6">
            <w:pPr>
              <w:rPr>
                <w:color w:val="000000"/>
                <w:sz w:val="16"/>
                <w:vertAlign w:val="superscript"/>
              </w:rPr>
            </w:pPr>
            <w:r w:rsidRPr="00491918">
              <w:rPr>
                <w:color w:val="000000"/>
                <w:sz w:val="16"/>
              </w:rPr>
              <w:t xml:space="preserve"> </w:t>
            </w:r>
          </w:p>
        </w:tc>
      </w:tr>
      <w:tr w:rsidR="00606655" w:rsidRPr="00491918" w:rsidTr="002A3C92">
        <w:trPr>
          <w:trHeigh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color w:val="000000"/>
                <w:sz w:val="16"/>
              </w:rPr>
            </w:pPr>
            <w:r w:rsidRPr="00491918">
              <w:rPr>
                <w:b/>
                <w:color w:val="000000"/>
                <w:sz w:val="16"/>
              </w:rPr>
              <w:t xml:space="preserve">Leverage Ratio as at 30.06.13 </w:t>
            </w:r>
          </w:p>
        </w:tc>
        <w:tc>
          <w:tcPr>
            <w:tcW w:w="1635" w:type="dxa"/>
            <w:tcBorders>
              <w:top w:val="nil"/>
              <w:left w:val="nil"/>
              <w:right w:val="nil"/>
            </w:tcBorders>
            <w:shd w:val="clear" w:color="auto" w:fill="FFFFFF"/>
            <w:vAlign w:val="bottom"/>
          </w:tcPr>
          <w:p w:rsidR="00606655" w:rsidRPr="00491918" w:rsidRDefault="00606655" w:rsidP="002A3C92">
            <w:pPr>
              <w:jc w:val="right"/>
              <w:rPr>
                <w:b/>
                <w:color w:val="000000"/>
                <w:sz w:val="16"/>
                <w:vertAlign w:val="superscript"/>
              </w:rPr>
            </w:pPr>
            <w:r w:rsidRPr="00491918">
              <w:rPr>
                <w:b/>
                <w:color w:val="000000"/>
                <w:sz w:val="16"/>
              </w:rPr>
              <w:t>Tier 1 Capital</w:t>
            </w:r>
          </w:p>
        </w:tc>
        <w:tc>
          <w:tcPr>
            <w:tcW w:w="1635" w:type="dxa"/>
            <w:tcBorders>
              <w:top w:val="nil"/>
              <w:left w:val="nil"/>
              <w:right w:val="nil"/>
            </w:tcBorders>
            <w:shd w:val="clear" w:color="auto" w:fill="FFFFFF"/>
            <w:tcMar>
              <w:left w:w="36" w:type="dxa"/>
              <w:right w:w="36" w:type="dxa"/>
            </w:tcMar>
            <w:vAlign w:val="bottom"/>
          </w:tcPr>
          <w:p w:rsidR="00606655" w:rsidRPr="00491918" w:rsidRDefault="00606655" w:rsidP="002A3C92">
            <w:pPr>
              <w:jc w:val="right"/>
              <w:rPr>
                <w:b/>
                <w:color w:val="000000"/>
                <w:sz w:val="16"/>
              </w:rPr>
            </w:pPr>
            <w:r w:rsidRPr="00491918">
              <w:rPr>
                <w:b/>
                <w:color w:val="000000"/>
                <w:sz w:val="16"/>
              </w:rPr>
              <w:t>Leverage ratio</w:t>
            </w:r>
          </w:p>
          <w:p w:rsidR="00606655" w:rsidRPr="00491918" w:rsidRDefault="00606655" w:rsidP="002A3C92">
            <w:pPr>
              <w:jc w:val="right"/>
              <w:rPr>
                <w:b/>
                <w:color w:val="000000"/>
                <w:sz w:val="16"/>
              </w:rPr>
            </w:pPr>
            <w:r w:rsidRPr="00491918">
              <w:rPr>
                <w:b/>
                <w:color w:val="000000"/>
                <w:sz w:val="16"/>
              </w:rPr>
              <w:t xml:space="preserve">Basel 3 </w:t>
            </w:r>
          </w:p>
          <w:p w:rsidR="00606655" w:rsidRPr="00491918" w:rsidRDefault="00606655" w:rsidP="002A3C92">
            <w:pPr>
              <w:jc w:val="right"/>
              <w:rPr>
                <w:b/>
                <w:color w:val="000000"/>
                <w:sz w:val="16"/>
              </w:rPr>
            </w:pPr>
            <w:r w:rsidRPr="00491918">
              <w:rPr>
                <w:b/>
                <w:color w:val="000000"/>
                <w:sz w:val="16"/>
              </w:rPr>
              <w:t xml:space="preserve">2010 text basis </w:t>
            </w:r>
          </w:p>
          <w:p w:rsidR="00606655" w:rsidRPr="00491918" w:rsidRDefault="00606655" w:rsidP="002A3C92">
            <w:pPr>
              <w:jc w:val="right"/>
              <w:rPr>
                <w:b/>
                <w:color w:val="000000"/>
                <w:sz w:val="16"/>
              </w:rPr>
            </w:pPr>
            <w:r w:rsidRPr="00491918">
              <w:rPr>
                <w:b/>
                <w:color w:val="000000"/>
                <w:sz w:val="16"/>
              </w:rPr>
              <w:t>As at 30.06.13</w:t>
            </w:r>
            <w:r w:rsidRPr="00491918">
              <w:rPr>
                <w:color w:val="000000"/>
                <w:sz w:val="16"/>
                <w:vertAlign w:val="superscript"/>
              </w:rPr>
              <w:t> </w:t>
            </w:r>
          </w:p>
        </w:tc>
        <w:tc>
          <w:tcPr>
            <w:tcW w:w="1635" w:type="dxa"/>
            <w:tcBorders>
              <w:top w:val="nil"/>
              <w:left w:val="nil"/>
              <w:right w:val="nil"/>
            </w:tcBorders>
            <w:shd w:val="clear" w:color="auto" w:fill="FFFFFF"/>
            <w:tcMar>
              <w:left w:w="36" w:type="dxa"/>
              <w:right w:w="36" w:type="dxa"/>
            </w:tcMar>
            <w:vAlign w:val="bottom"/>
          </w:tcPr>
          <w:p w:rsidR="00606655" w:rsidRPr="00491918" w:rsidRDefault="00606655" w:rsidP="002A3C92">
            <w:pPr>
              <w:jc w:val="right"/>
              <w:rPr>
                <w:b/>
                <w:color w:val="000000"/>
                <w:sz w:val="16"/>
              </w:rPr>
            </w:pPr>
            <w:r w:rsidRPr="00491918">
              <w:rPr>
                <w:b/>
                <w:color w:val="000000"/>
                <w:sz w:val="16"/>
              </w:rPr>
              <w:t>Leverage ratio</w:t>
            </w:r>
          </w:p>
          <w:p w:rsidR="00606655" w:rsidRPr="00491918" w:rsidRDefault="00606655" w:rsidP="002A3C92">
            <w:pPr>
              <w:jc w:val="right"/>
              <w:rPr>
                <w:b/>
                <w:color w:val="000000"/>
                <w:sz w:val="16"/>
              </w:rPr>
            </w:pPr>
            <w:r w:rsidRPr="00491918">
              <w:rPr>
                <w:b/>
                <w:color w:val="000000"/>
                <w:sz w:val="16"/>
              </w:rPr>
              <w:t>Final CRD IV</w:t>
            </w:r>
          </w:p>
          <w:p w:rsidR="00606655" w:rsidRPr="00491918" w:rsidRDefault="00606655" w:rsidP="002A3C92">
            <w:pPr>
              <w:jc w:val="right"/>
              <w:rPr>
                <w:b/>
                <w:color w:val="000000"/>
                <w:sz w:val="16"/>
              </w:rPr>
            </w:pPr>
            <w:r w:rsidRPr="00491918">
              <w:rPr>
                <w:b/>
                <w:color w:val="000000"/>
                <w:sz w:val="16"/>
              </w:rPr>
              <w:t>text basis</w:t>
            </w:r>
          </w:p>
          <w:p w:rsidR="00606655" w:rsidRPr="00491918" w:rsidRDefault="00606655" w:rsidP="002A3C92">
            <w:pPr>
              <w:jc w:val="right"/>
              <w:rPr>
                <w:b/>
                <w:color w:val="000000"/>
                <w:sz w:val="16"/>
              </w:rPr>
            </w:pPr>
            <w:r w:rsidRPr="00491918">
              <w:rPr>
                <w:b/>
                <w:color w:val="000000"/>
                <w:sz w:val="16"/>
              </w:rPr>
              <w:t xml:space="preserve">As at 30.06.13  </w:t>
            </w:r>
          </w:p>
        </w:tc>
      </w:tr>
      <w:tr w:rsidR="00606655" w:rsidRPr="00491918" w:rsidTr="002A3C92">
        <w:trPr>
          <w:trHeight w:val="240"/>
        </w:trPr>
        <w:tc>
          <w:tcPr>
            <w:tcW w:w="4714" w:type="dxa"/>
            <w:tcBorders>
              <w:top w:val="nil"/>
              <w:left w:val="nil"/>
              <w:bottom w:val="nil"/>
              <w:right w:val="nil"/>
            </w:tcBorders>
            <w:shd w:val="clear" w:color="auto" w:fill="FFFFFF"/>
            <w:tcMar>
              <w:left w:w="36" w:type="dxa"/>
              <w:right w:w="36" w:type="dxa"/>
            </w:tcMar>
            <w:vAlign w:val="bottom"/>
          </w:tcPr>
          <w:p w:rsidR="00606655" w:rsidRPr="00491918" w:rsidRDefault="00606655" w:rsidP="002A3C92">
            <w:pPr>
              <w:rPr>
                <w:b/>
                <w:color w:val="000000"/>
                <w:sz w:val="16"/>
              </w:rPr>
            </w:pPr>
            <w:r w:rsidRPr="00491918">
              <w:rPr>
                <w:color w:val="000000"/>
                <w:sz w:val="16"/>
              </w:rPr>
              <w:t xml:space="preserve"> </w:t>
            </w:r>
            <w:r w:rsidRPr="00491918">
              <w:rPr>
                <w:color w:val="000000"/>
                <w:sz w:val="16"/>
                <w:vertAlign w:val="superscript"/>
              </w:rPr>
              <w:t xml:space="preserve"> </w:t>
            </w:r>
          </w:p>
        </w:tc>
        <w:tc>
          <w:tcPr>
            <w:tcW w:w="1635" w:type="dxa"/>
            <w:tcBorders>
              <w:top w:val="nil"/>
              <w:left w:val="nil"/>
              <w:right w:val="nil"/>
            </w:tcBorders>
            <w:shd w:val="clear" w:color="auto" w:fill="FFFFFF"/>
            <w:vAlign w:val="center"/>
          </w:tcPr>
          <w:p w:rsidR="00606655" w:rsidRPr="00491918" w:rsidRDefault="00606655" w:rsidP="002A3C92">
            <w:pPr>
              <w:jc w:val="right"/>
              <w:rPr>
                <w:color w:val="000000"/>
                <w:sz w:val="16"/>
                <w:vertAlign w:val="superscript"/>
              </w:rPr>
            </w:pPr>
            <w:r w:rsidRPr="00491918">
              <w:rPr>
                <w:color w:val="000000"/>
                <w:sz w:val="16"/>
              </w:rPr>
              <w:t>£bn</w:t>
            </w:r>
            <w:r w:rsidRPr="00491918">
              <w:rPr>
                <w:color w:val="000000"/>
                <w:sz w:val="16"/>
                <w:vertAlign w:val="superscript"/>
              </w:rPr>
              <w:t xml:space="preserve"> </w:t>
            </w:r>
          </w:p>
        </w:tc>
        <w:tc>
          <w:tcPr>
            <w:tcW w:w="1635" w:type="dxa"/>
            <w:tcBorders>
              <w:top w:val="nil"/>
              <w:left w:val="nil"/>
              <w:right w:val="nil"/>
            </w:tcBorders>
            <w:shd w:val="clear" w:color="auto" w:fill="FFFFFF"/>
            <w:tcMar>
              <w:left w:w="36" w:type="dxa"/>
              <w:right w:w="36" w:type="dxa"/>
            </w:tcMar>
            <w:vAlign w:val="center"/>
          </w:tcPr>
          <w:p w:rsidR="00606655" w:rsidRPr="00491918" w:rsidRDefault="00606655" w:rsidP="002A3C92">
            <w:pPr>
              <w:jc w:val="right"/>
              <w:rPr>
                <w:color w:val="000000"/>
                <w:sz w:val="16"/>
                <w:vertAlign w:val="superscript"/>
              </w:rPr>
            </w:pPr>
            <w:r w:rsidRPr="00491918">
              <w:rPr>
                <w:color w:val="000000"/>
                <w:sz w:val="16"/>
              </w:rPr>
              <w:t>%</w:t>
            </w:r>
            <w:r w:rsidRPr="00491918">
              <w:rPr>
                <w:color w:val="000000"/>
                <w:sz w:val="16"/>
                <w:vertAlign w:val="superscript"/>
              </w:rPr>
              <w:t xml:space="preserve"> </w:t>
            </w:r>
          </w:p>
        </w:tc>
        <w:tc>
          <w:tcPr>
            <w:tcW w:w="1635" w:type="dxa"/>
            <w:tcBorders>
              <w:top w:val="nil"/>
              <w:left w:val="nil"/>
              <w:right w:val="nil"/>
            </w:tcBorders>
            <w:shd w:val="clear" w:color="auto" w:fill="FFFFFF"/>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 xml:space="preserve">% </w:t>
            </w:r>
          </w:p>
        </w:tc>
      </w:tr>
      <w:tr w:rsidR="00606655" w:rsidRPr="00491918" w:rsidTr="002A3C92">
        <w:trPr>
          <w:trHeight w:val="240"/>
        </w:trPr>
        <w:tc>
          <w:tcPr>
            <w:tcW w:w="4714" w:type="dxa"/>
            <w:tcBorders>
              <w:top w:val="nil"/>
              <w:left w:val="nil"/>
              <w:bottom w:val="nil"/>
            </w:tcBorders>
            <w:shd w:val="clear" w:color="auto" w:fill="FFFFFF"/>
            <w:tcMar>
              <w:left w:w="36" w:type="dxa"/>
              <w:right w:w="36" w:type="dxa"/>
            </w:tcMar>
            <w:vAlign w:val="bottom"/>
          </w:tcPr>
          <w:p w:rsidR="00606655" w:rsidRPr="00491918" w:rsidRDefault="00606655" w:rsidP="002A3C92">
            <w:pPr>
              <w:rPr>
                <w:color w:val="000000"/>
                <w:sz w:val="16"/>
              </w:rPr>
            </w:pPr>
            <w:r w:rsidRPr="00491918">
              <w:rPr>
                <w:color w:val="000000"/>
                <w:sz w:val="16"/>
              </w:rPr>
              <w:t>Transitional measure</w:t>
            </w:r>
            <w:r w:rsidRPr="00491918">
              <w:rPr>
                <w:color w:val="000000"/>
                <w:sz w:val="16"/>
                <w:vertAlign w:val="superscript"/>
              </w:rPr>
              <w:t>1 </w:t>
            </w:r>
          </w:p>
        </w:tc>
        <w:tc>
          <w:tcPr>
            <w:tcW w:w="1635" w:type="dxa"/>
            <w:shd w:val="clear" w:color="auto" w:fill="EAEAEA"/>
            <w:vAlign w:val="bottom"/>
          </w:tcPr>
          <w:p w:rsidR="00606655" w:rsidRPr="00491918" w:rsidRDefault="00606655" w:rsidP="002A3C92">
            <w:pPr>
              <w:jc w:val="right"/>
              <w:rPr>
                <w:color w:val="000000"/>
                <w:sz w:val="16"/>
                <w:vertAlign w:val="superscript"/>
              </w:rPr>
            </w:pPr>
            <w:r w:rsidRPr="00491918">
              <w:rPr>
                <w:color w:val="000000"/>
                <w:sz w:val="16"/>
              </w:rPr>
              <w:t xml:space="preserve"> 48.</w:t>
            </w:r>
            <w:r w:rsidR="002A5B40" w:rsidRPr="00491918">
              <w:rPr>
                <w:color w:val="000000"/>
                <w:sz w:val="16"/>
              </w:rPr>
              <w:t>2</w:t>
            </w:r>
            <w:r w:rsidRPr="00491918">
              <w:rPr>
                <w:color w:val="000000"/>
                <w:sz w:val="16"/>
              </w:rPr>
              <w:t> </w:t>
            </w:r>
            <w:r w:rsidRPr="00491918">
              <w:rPr>
                <w:color w:val="000000"/>
                <w:sz w:val="16"/>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2.9 </w:t>
            </w:r>
            <w:r w:rsidRPr="00491918">
              <w:rPr>
                <w:color w:val="000000"/>
                <w:sz w:val="16"/>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3.1 </w:t>
            </w:r>
            <w:r w:rsidRPr="00491918">
              <w:rPr>
                <w:color w:val="000000"/>
                <w:sz w:val="16"/>
                <w:vertAlign w:val="superscript"/>
              </w:rPr>
              <w:t xml:space="preserve"> </w:t>
            </w:r>
          </w:p>
        </w:tc>
      </w:tr>
      <w:tr w:rsidR="00606655" w:rsidRPr="00491918" w:rsidTr="002A3C92">
        <w:trPr>
          <w:trHeight w:val="240"/>
        </w:trPr>
        <w:tc>
          <w:tcPr>
            <w:tcW w:w="4714" w:type="dxa"/>
            <w:tcBorders>
              <w:top w:val="nil"/>
              <w:left w:val="nil"/>
              <w:bottom w:val="nil"/>
            </w:tcBorders>
            <w:shd w:val="clear" w:color="auto" w:fill="FFFFFF"/>
            <w:tcMar>
              <w:left w:w="36" w:type="dxa"/>
              <w:right w:w="36" w:type="dxa"/>
            </w:tcMar>
            <w:vAlign w:val="bottom"/>
          </w:tcPr>
          <w:p w:rsidR="00606655" w:rsidRPr="00491918" w:rsidRDefault="00606655" w:rsidP="002A3C92">
            <w:pPr>
              <w:rPr>
                <w:color w:val="000000"/>
                <w:sz w:val="16"/>
              </w:rPr>
            </w:pPr>
            <w:r w:rsidRPr="00491918">
              <w:rPr>
                <w:color w:val="000000"/>
                <w:sz w:val="16"/>
              </w:rPr>
              <w:t xml:space="preserve">Adjusted </w:t>
            </w:r>
            <w:r w:rsidR="00854CB7" w:rsidRPr="00491918">
              <w:rPr>
                <w:color w:val="000000"/>
                <w:sz w:val="16"/>
              </w:rPr>
              <w:t>fully loaded</w:t>
            </w:r>
            <w:r w:rsidRPr="00491918">
              <w:rPr>
                <w:color w:val="000000"/>
                <w:sz w:val="16"/>
              </w:rPr>
              <w:t xml:space="preserve"> measure</w:t>
            </w:r>
            <w:r w:rsidRPr="00491918">
              <w:rPr>
                <w:color w:val="000000"/>
                <w:sz w:val="16"/>
                <w:vertAlign w:val="superscript"/>
              </w:rPr>
              <w:t>2 </w:t>
            </w:r>
          </w:p>
        </w:tc>
        <w:tc>
          <w:tcPr>
            <w:tcW w:w="1635" w:type="dxa"/>
            <w:shd w:val="clear" w:color="auto" w:fill="EAEAEA"/>
            <w:vAlign w:val="bottom"/>
          </w:tcPr>
          <w:p w:rsidR="00606655" w:rsidRPr="00491918" w:rsidRDefault="00606655" w:rsidP="002A5B40">
            <w:pPr>
              <w:jc w:val="right"/>
              <w:rPr>
                <w:color w:val="000000"/>
                <w:sz w:val="16"/>
                <w:vertAlign w:val="superscript"/>
              </w:rPr>
            </w:pPr>
            <w:r w:rsidRPr="00491918">
              <w:rPr>
                <w:color w:val="000000"/>
                <w:sz w:val="16"/>
              </w:rPr>
              <w:t xml:space="preserve">  4</w:t>
            </w:r>
            <w:r w:rsidR="002A5B40" w:rsidRPr="00491918">
              <w:rPr>
                <w:color w:val="000000"/>
                <w:sz w:val="16"/>
              </w:rPr>
              <w:t>7.9</w:t>
            </w:r>
            <w:r w:rsidRPr="00491918">
              <w:rPr>
                <w:color w:val="000000"/>
                <w:sz w:val="16"/>
              </w:rPr>
              <w:t> </w:t>
            </w: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2.9 </w:t>
            </w:r>
            <w:r w:rsidRPr="00491918">
              <w:rPr>
                <w:color w:val="000000"/>
                <w:sz w:val="16"/>
                <w:vertAlign w:val="superscript"/>
              </w:rPr>
              <w:t xml:space="preserve"> </w:t>
            </w:r>
          </w:p>
        </w:tc>
        <w:tc>
          <w:tcPr>
            <w:tcW w:w="1635" w:type="dxa"/>
            <w:shd w:val="clear" w:color="auto" w:fill="EAEAEA"/>
            <w:tcMar>
              <w:left w:w="36" w:type="dxa"/>
              <w:right w:w="36" w:type="dxa"/>
            </w:tcMar>
            <w:vAlign w:val="bottom"/>
          </w:tcPr>
          <w:p w:rsidR="00606655" w:rsidRPr="00491918" w:rsidRDefault="00606655" w:rsidP="002A3C92">
            <w:pPr>
              <w:jc w:val="right"/>
              <w:rPr>
                <w:color w:val="000000"/>
                <w:sz w:val="16"/>
                <w:vertAlign w:val="superscript"/>
              </w:rPr>
            </w:pPr>
            <w:r w:rsidRPr="00491918">
              <w:rPr>
                <w:color w:val="000000"/>
                <w:sz w:val="16"/>
              </w:rPr>
              <w:t>3.1 </w:t>
            </w:r>
            <w:r w:rsidRPr="00491918">
              <w:rPr>
                <w:color w:val="000000"/>
                <w:sz w:val="16"/>
                <w:vertAlign w:val="superscript"/>
              </w:rPr>
              <w:t xml:space="preserve"> </w:t>
            </w:r>
          </w:p>
        </w:tc>
      </w:tr>
      <w:tr w:rsidR="00606655" w:rsidRPr="00491918" w:rsidTr="002A3C92">
        <w:trPr>
          <w:trHeight w:val="240"/>
        </w:trPr>
        <w:tc>
          <w:tcPr>
            <w:tcW w:w="4714" w:type="dxa"/>
            <w:tcBorders>
              <w:top w:val="nil"/>
              <w:left w:val="nil"/>
              <w:bottom w:val="nil"/>
            </w:tcBorders>
            <w:shd w:val="clear" w:color="auto" w:fill="FFFFFF"/>
            <w:tcMar>
              <w:left w:w="36" w:type="dxa"/>
              <w:right w:w="36" w:type="dxa"/>
            </w:tcMar>
            <w:vAlign w:val="bottom"/>
          </w:tcPr>
          <w:p w:rsidR="00606655" w:rsidRPr="00491918" w:rsidRDefault="00854CB7" w:rsidP="002A3C92">
            <w:pPr>
              <w:rPr>
                <w:color w:val="000000"/>
                <w:sz w:val="16"/>
              </w:rPr>
            </w:pPr>
            <w:r w:rsidRPr="00491918">
              <w:rPr>
                <w:color w:val="000000"/>
                <w:sz w:val="16"/>
              </w:rPr>
              <w:t>Fully loaded</w:t>
            </w:r>
            <w:r w:rsidR="00606655" w:rsidRPr="00491918">
              <w:rPr>
                <w:color w:val="000000"/>
                <w:sz w:val="16"/>
              </w:rPr>
              <w:t xml:space="preserve"> measure</w:t>
            </w:r>
            <w:r w:rsidR="00606655" w:rsidRPr="00491918">
              <w:rPr>
                <w:color w:val="000000"/>
                <w:sz w:val="16"/>
                <w:vertAlign w:val="superscript"/>
              </w:rPr>
              <w:t>3 </w:t>
            </w:r>
          </w:p>
        </w:tc>
        <w:tc>
          <w:tcPr>
            <w:tcW w:w="1635" w:type="dxa"/>
            <w:shd w:val="clear" w:color="auto" w:fill="EAEAEA"/>
            <w:vAlign w:val="bottom"/>
          </w:tcPr>
          <w:p w:rsidR="00606655" w:rsidRPr="00491918" w:rsidRDefault="00606655" w:rsidP="003B15B6">
            <w:pPr>
              <w:jc w:val="right"/>
              <w:rPr>
                <w:color w:val="000000"/>
                <w:sz w:val="16"/>
              </w:rPr>
            </w:pPr>
            <w:r w:rsidRPr="00491918">
              <w:rPr>
                <w:color w:val="000000"/>
                <w:sz w:val="16"/>
              </w:rPr>
              <w:t>38.</w:t>
            </w:r>
            <w:r w:rsidR="002A5B40" w:rsidRPr="00491918">
              <w:rPr>
                <w:color w:val="000000"/>
                <w:sz w:val="16"/>
              </w:rPr>
              <w:t>3</w:t>
            </w:r>
            <w:r w:rsidR="003B15B6" w:rsidRPr="00491918">
              <w:rPr>
                <w:color w:val="000000"/>
                <w:sz w:val="16"/>
              </w:rPr>
              <w:t> </w:t>
            </w:r>
          </w:p>
        </w:tc>
        <w:tc>
          <w:tcPr>
            <w:tcW w:w="1635" w:type="dxa"/>
            <w:shd w:val="clear" w:color="auto" w:fill="EAEAEA"/>
            <w:tcMar>
              <w:left w:w="36" w:type="dxa"/>
              <w:right w:w="36" w:type="dxa"/>
            </w:tcMar>
            <w:vAlign w:val="bottom"/>
          </w:tcPr>
          <w:p w:rsidR="00606655" w:rsidRPr="00491918" w:rsidRDefault="00606655" w:rsidP="003B15B6">
            <w:pPr>
              <w:jc w:val="right"/>
              <w:rPr>
                <w:color w:val="000000"/>
                <w:sz w:val="16"/>
              </w:rPr>
            </w:pPr>
            <w:r w:rsidRPr="00491918">
              <w:rPr>
                <w:color w:val="000000"/>
                <w:sz w:val="16"/>
              </w:rPr>
              <w:t xml:space="preserve">2.3 </w:t>
            </w:r>
          </w:p>
        </w:tc>
        <w:tc>
          <w:tcPr>
            <w:tcW w:w="1635" w:type="dxa"/>
            <w:shd w:val="clear" w:color="auto" w:fill="EAEAEA"/>
            <w:tcMar>
              <w:left w:w="36" w:type="dxa"/>
              <w:right w:w="36" w:type="dxa"/>
            </w:tcMar>
            <w:vAlign w:val="bottom"/>
          </w:tcPr>
          <w:p w:rsidR="00606655" w:rsidRPr="00491918" w:rsidRDefault="00606655" w:rsidP="003B15B6">
            <w:pPr>
              <w:jc w:val="right"/>
              <w:rPr>
                <w:color w:val="000000"/>
                <w:sz w:val="16"/>
              </w:rPr>
            </w:pPr>
            <w:r w:rsidRPr="00491918">
              <w:rPr>
                <w:color w:val="000000"/>
                <w:sz w:val="16"/>
              </w:rPr>
              <w:t xml:space="preserve">2.5 </w:t>
            </w:r>
            <w:r w:rsidR="003B15B6" w:rsidRPr="00491918">
              <w:rPr>
                <w:color w:val="000000"/>
                <w:sz w:val="16"/>
              </w:rPr>
              <w:t> </w:t>
            </w:r>
          </w:p>
        </w:tc>
      </w:tr>
    </w:tbl>
    <w:p w:rsidR="002A5B40" w:rsidRPr="00491918" w:rsidRDefault="00606655" w:rsidP="002A5B40">
      <w:pPr>
        <w:pStyle w:val="Level1Bullet-BarcRA21"/>
      </w:pPr>
      <w:r w:rsidRPr="00491918">
        <w:t>The CRD IV full</w:t>
      </w:r>
      <w:r w:rsidR="00854CB7" w:rsidRPr="00491918">
        <w:rPr>
          <w:lang w:val="en-GB"/>
        </w:rPr>
        <w:t>y loaded</w:t>
      </w:r>
      <w:r w:rsidRPr="00491918">
        <w:t xml:space="preserve"> leverage ratio as at 30 June 2013 was estimated at 2.5%, compared to a previously reported leverage ratio as at 31 December 2012 estimated at 2.8%</w:t>
      </w:r>
    </w:p>
    <w:p w:rsidR="00606655" w:rsidRPr="00491918" w:rsidRDefault="002A5B40" w:rsidP="002A5B40">
      <w:pPr>
        <w:pStyle w:val="Level1Bullet-BarcRA21"/>
      </w:pPr>
      <w:r w:rsidRPr="00491918">
        <w:t xml:space="preserve">CRD IV leverage exposure increased </w:t>
      </w:r>
      <w:r w:rsidR="00631C3C" w:rsidRPr="00491918">
        <w:rPr>
          <w:lang w:val="en-GB"/>
        </w:rPr>
        <w:t>£85bn</w:t>
      </w:r>
      <w:r w:rsidR="00606655" w:rsidRPr="00491918">
        <w:t xml:space="preserve"> </w:t>
      </w:r>
      <w:r w:rsidRPr="00491918">
        <w:t xml:space="preserve">as a result </w:t>
      </w:r>
      <w:r w:rsidR="00631C3C" w:rsidRPr="00491918">
        <w:rPr>
          <w:lang w:val="en-GB"/>
        </w:rPr>
        <w:t xml:space="preserve">of </w:t>
      </w:r>
      <w:r w:rsidR="00606655" w:rsidRPr="00491918">
        <w:t xml:space="preserve">changes in the basis of preparation following </w:t>
      </w:r>
      <w:r w:rsidRPr="00491918">
        <w:t xml:space="preserve">the publication of </w:t>
      </w:r>
      <w:r w:rsidR="00606655" w:rsidRPr="00491918">
        <w:t xml:space="preserve">the final CRD IV text </w:t>
      </w:r>
      <w:r w:rsidRPr="00491918">
        <w:t>o</w:t>
      </w:r>
      <w:r w:rsidR="00606655" w:rsidRPr="00491918">
        <w:t xml:space="preserve">n </w:t>
      </w:r>
      <w:r w:rsidRPr="00491918">
        <w:t xml:space="preserve">26 </w:t>
      </w:r>
      <w:r w:rsidR="00606655" w:rsidRPr="00491918">
        <w:t xml:space="preserve">June 2013, </w:t>
      </w:r>
      <w:r w:rsidRPr="00491918">
        <w:t>reflecting</w:t>
      </w:r>
      <w:r w:rsidR="00606655" w:rsidRPr="00491918">
        <w:t xml:space="preserve"> the inclusion of exchange traded and cleared OTC derivatives within the potential future exposure calculation on a gross notional basis</w:t>
      </w:r>
      <w:r w:rsidR="00631C3C" w:rsidRPr="00491918">
        <w:rPr>
          <w:lang w:val="en-GB"/>
        </w:rPr>
        <w:t xml:space="preserve">, </w:t>
      </w:r>
      <w:r w:rsidRPr="00491918">
        <w:t>offset by</w:t>
      </w:r>
      <w:r w:rsidR="00606655" w:rsidRPr="00491918">
        <w:t xml:space="preserve"> refinements to </w:t>
      </w:r>
      <w:r w:rsidRPr="00491918">
        <w:t xml:space="preserve">previous estimates including </w:t>
      </w:r>
      <w:r w:rsidR="00606655" w:rsidRPr="00491918">
        <w:t>improvements in both data sourcing and the application of netting</w:t>
      </w:r>
    </w:p>
    <w:p w:rsidR="00606655" w:rsidRPr="00491918" w:rsidRDefault="00606655" w:rsidP="002A5B40">
      <w:pPr>
        <w:pStyle w:val="Level1Bullet-BarcRA21"/>
      </w:pPr>
      <w:r w:rsidRPr="00491918">
        <w:t>Except</w:t>
      </w:r>
      <w:r w:rsidR="00662C16" w:rsidRPr="00491918">
        <w:rPr>
          <w:lang w:val="en-GB"/>
        </w:rPr>
        <w:t xml:space="preserve"> for</w:t>
      </w:r>
      <w:r w:rsidRPr="00491918">
        <w:t xml:space="preserve"> the differences in </w:t>
      </w:r>
      <w:r w:rsidR="002A5B40" w:rsidRPr="00491918">
        <w:t xml:space="preserve">changes in the </w:t>
      </w:r>
      <w:r w:rsidRPr="00491918">
        <w:t xml:space="preserve">basis of preparation, CRD IV leverage exposure increased </w:t>
      </w:r>
      <w:r w:rsidR="002A5B40" w:rsidRPr="00491918">
        <w:t xml:space="preserve">in </w:t>
      </w:r>
      <w:r w:rsidR="00631C3C" w:rsidRPr="00491918">
        <w:rPr>
          <w:lang w:val="en-GB"/>
        </w:rPr>
        <w:t>the first half of 2013</w:t>
      </w:r>
      <w:r w:rsidR="002A5B40" w:rsidRPr="00491918">
        <w:t xml:space="preserve"> </w:t>
      </w:r>
      <w:r w:rsidRPr="00491918">
        <w:t>by £6</w:t>
      </w:r>
      <w:r w:rsidR="00631C3C" w:rsidRPr="00491918">
        <w:rPr>
          <w:lang w:val="en-GB"/>
        </w:rPr>
        <w:t>1</w:t>
      </w:r>
      <w:r w:rsidRPr="00491918">
        <w:t xml:space="preserve">bn </w:t>
      </w:r>
      <w:r w:rsidR="002A5B40" w:rsidRPr="00491918">
        <w:t>primarily due to increased l</w:t>
      </w:r>
      <w:r w:rsidRPr="00491918">
        <w:t xml:space="preserve">oans and </w:t>
      </w:r>
      <w:r w:rsidR="002A5B40" w:rsidRPr="00491918">
        <w:t>a</w:t>
      </w:r>
      <w:r w:rsidRPr="00491918">
        <w:t xml:space="preserve">dvances, </w:t>
      </w:r>
      <w:r w:rsidR="002A5B40" w:rsidRPr="00491918">
        <w:t xml:space="preserve">reflecting higher </w:t>
      </w:r>
      <w:r w:rsidRPr="00491918">
        <w:t>settlement balances</w:t>
      </w:r>
      <w:r w:rsidR="002A5B40" w:rsidRPr="00491918">
        <w:t>, the acquisition of ING Direct UK</w:t>
      </w:r>
      <w:r w:rsidRPr="00491918">
        <w:t xml:space="preserve"> and </w:t>
      </w:r>
      <w:r w:rsidR="002A5B40" w:rsidRPr="00491918">
        <w:t>increased retail lending</w:t>
      </w:r>
    </w:p>
    <w:p w:rsidR="00854CB7" w:rsidRPr="00491918" w:rsidRDefault="00854CB7" w:rsidP="00854CB7">
      <w:pPr>
        <w:pStyle w:val="Level1Bullet-BarcRA21"/>
        <w:numPr>
          <w:ilvl w:val="0"/>
          <w:numId w:val="0"/>
        </w:numPr>
        <w:ind w:left="284"/>
        <w:rPr>
          <w:lang w:val="en-GB"/>
        </w:rPr>
      </w:pPr>
    </w:p>
    <w:p w:rsidR="00854CB7" w:rsidRPr="00491918" w:rsidRDefault="00854CB7" w:rsidP="00854CB7">
      <w:pPr>
        <w:pStyle w:val="Level1Bullet-BarcRA21"/>
        <w:numPr>
          <w:ilvl w:val="0"/>
          <w:numId w:val="0"/>
        </w:numPr>
        <w:ind w:left="284"/>
        <w:rPr>
          <w:lang w:val="en-GB"/>
        </w:rPr>
      </w:pPr>
    </w:p>
    <w:p w:rsidR="00606655" w:rsidRPr="00491918" w:rsidRDefault="00606655" w:rsidP="00854CB7">
      <w:pPr>
        <w:pStyle w:val="Level1Bullet-BarcRA21"/>
        <w:numPr>
          <w:ilvl w:val="0"/>
          <w:numId w:val="0"/>
        </w:numPr>
        <w:ind w:left="284"/>
      </w:pPr>
    </w:p>
    <w:p w:rsidR="000A77B6" w:rsidRPr="00491918" w:rsidRDefault="000A77B6" w:rsidP="00CC41A9">
      <w:pPr>
        <w:pStyle w:val="NoteandSourceText-BarcRA4"/>
        <w:numPr>
          <w:ilvl w:val="0"/>
          <w:numId w:val="246"/>
        </w:numPr>
        <w:ind w:left="284" w:hanging="284"/>
      </w:pPr>
      <w:r w:rsidRPr="00491918">
        <w:t>Tier 1 capital is calculated as the transitional CRD IV measure assuming 2013 is the first year of implementation</w:t>
      </w:r>
      <w:r w:rsidR="00854CB7" w:rsidRPr="00491918">
        <w:t xml:space="preserve"> at the request of the PRA</w:t>
      </w:r>
      <w:r w:rsidRPr="00491918">
        <w:t>. Regulatory deductions are adjusted to reflect the transitional impact on Tier 1 capital.</w:t>
      </w:r>
    </w:p>
    <w:p w:rsidR="000A77B6" w:rsidRPr="00491918" w:rsidRDefault="000A77B6" w:rsidP="00CC41A9">
      <w:pPr>
        <w:pStyle w:val="NoteandSourceText-BarcRA4"/>
        <w:numPr>
          <w:ilvl w:val="0"/>
          <w:numId w:val="246"/>
        </w:numPr>
        <w:ind w:left="284" w:hanging="284"/>
      </w:pPr>
      <w:r w:rsidRPr="00491918">
        <w:t xml:space="preserve">Tier 1 capital is calculated as the </w:t>
      </w:r>
      <w:r w:rsidR="00854CB7" w:rsidRPr="00491918">
        <w:t>fully loaded</w:t>
      </w:r>
      <w:r w:rsidRPr="00491918">
        <w:t xml:space="preserve"> CRD IV measure with all ineligible Tier 1 instruments added back. Regulatory </w:t>
      </w:r>
      <w:r w:rsidR="00D44A73" w:rsidRPr="00491918">
        <w:t xml:space="preserve">deductions reflect the </w:t>
      </w:r>
      <w:r w:rsidR="00854CB7" w:rsidRPr="00491918">
        <w:t>fully loaded</w:t>
      </w:r>
      <w:r w:rsidRPr="00491918">
        <w:t xml:space="preserve"> impact on Tier 1 capital.</w:t>
      </w:r>
    </w:p>
    <w:p w:rsidR="000A77B6" w:rsidRPr="00491918" w:rsidRDefault="000A77B6" w:rsidP="00CC41A9">
      <w:pPr>
        <w:pStyle w:val="NoteandSourceText-BarcRA4"/>
        <w:numPr>
          <w:ilvl w:val="0"/>
          <w:numId w:val="246"/>
        </w:numPr>
        <w:ind w:left="284" w:hanging="284"/>
      </w:pPr>
      <w:r w:rsidRPr="00491918">
        <w:t xml:space="preserve">Tier 1 capital is calculated as the </w:t>
      </w:r>
      <w:r w:rsidR="00854CB7" w:rsidRPr="00491918">
        <w:t>fully loaded</w:t>
      </w:r>
      <w:r w:rsidRPr="00491918">
        <w:t xml:space="preserve"> CRD IV measure. Regulatory deductions reflect the </w:t>
      </w:r>
      <w:r w:rsidR="00854CB7" w:rsidRPr="00491918">
        <w:t>fully loaded</w:t>
      </w:r>
      <w:r w:rsidRPr="00491918">
        <w:t xml:space="preserve"> impact on Tier 1 capital</w:t>
      </w:r>
      <w:r w:rsidR="00D44A73" w:rsidRPr="00491918">
        <w:t>.</w:t>
      </w:r>
    </w:p>
    <w:p w:rsidR="000D1659" w:rsidRPr="00491918" w:rsidRDefault="000D1659">
      <w:pPr>
        <w:spacing w:line="14" w:lineRule="exact"/>
      </w:pPr>
      <w:r w:rsidRPr="00491918">
        <w:br w:type="page"/>
      </w:r>
    </w:p>
    <w:p w:rsidR="000D76A8" w:rsidRPr="00491918" w:rsidRDefault="000D76A8" w:rsidP="000D76A8">
      <w:pPr>
        <w:pStyle w:val="HeadingLevel1-BarcRA26"/>
        <w:rPr>
          <w:lang w:val="en-GB"/>
        </w:rPr>
      </w:pPr>
      <w:r w:rsidRPr="00491918">
        <w:rPr>
          <w:lang w:val="en-GB"/>
        </w:rPr>
        <w:lastRenderedPageBreak/>
        <w:t>Funding Risk</w:t>
      </w:r>
    </w:p>
    <w:p w:rsidR="000D1659" w:rsidRPr="00491918" w:rsidRDefault="000D1659" w:rsidP="008D6001">
      <w:pPr>
        <w:pStyle w:val="HeadingLevel1-AR"/>
        <w:outlineLvl w:val="0"/>
      </w:pPr>
      <w:r w:rsidRPr="00491918">
        <w:t>Balance sheet leverage</w:t>
      </w:r>
    </w:p>
    <w:p w:rsidR="002F0500" w:rsidRPr="00491918" w:rsidRDefault="002F0500" w:rsidP="002F0500">
      <w:pPr>
        <w:pStyle w:val="HeadingLevel1-AR"/>
      </w:pPr>
    </w:p>
    <w:tbl>
      <w:tblPr>
        <w:tblW w:w="0" w:type="auto"/>
        <w:tblLayout w:type="fixed"/>
        <w:tblLook w:val="0000" w:firstRow="0" w:lastRow="0" w:firstColumn="0" w:lastColumn="0" w:noHBand="0" w:noVBand="0"/>
      </w:tblPr>
      <w:tblGrid>
        <w:gridCol w:w="6270"/>
        <w:gridCol w:w="1125"/>
        <w:gridCol w:w="1125"/>
        <w:gridCol w:w="1125"/>
      </w:tblGrid>
      <w:tr w:rsidR="000D1659" w:rsidRPr="00491918">
        <w:trPr>
          <w:trHeight w:val="48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0"/>
              </w:rPr>
              <w:t xml:space="preserve"> </w:t>
            </w:r>
            <w:r w:rsidRPr="00491918">
              <w:rPr>
                <w:b/>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30.06.12</w:t>
            </w:r>
          </w:p>
        </w:tc>
      </w:tr>
      <w:tr w:rsidR="000D1659" w:rsidRPr="00491918">
        <w:trPr>
          <w:trHeight w:val="255"/>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Total assets</w:t>
            </w:r>
            <w:r w:rsidRPr="00491918">
              <w:rPr>
                <w:color w:val="000000"/>
                <w:sz w:val="16"/>
                <w:vertAlign w:val="superscript"/>
              </w:rPr>
              <w:t>1 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39794C">
            <w:pPr>
              <w:jc w:val="right"/>
              <w:rPr>
                <w:color w:val="000000"/>
                <w:sz w:val="16"/>
                <w:vertAlign w:val="superscript"/>
              </w:rPr>
            </w:pPr>
            <w:r w:rsidRPr="00491918">
              <w:rPr>
                <w:color w:val="000000"/>
                <w:sz w:val="16"/>
              </w:rPr>
              <w:t>1,532,</w:t>
            </w:r>
            <w:r w:rsidR="0039794C" w:rsidRPr="00491918">
              <w:rPr>
                <w:color w:val="000000"/>
                <w:sz w:val="16"/>
              </w:rPr>
              <w:t>733</w:t>
            </w:r>
            <w:r w:rsidRPr="00491918">
              <w:rPr>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1,488,335 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1,629,056 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Counterparty netting</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(324,303)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(387,672)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(425,616)</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Collateral on derivatives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(41,044)</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(46,855)</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(51,421)</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391981">
            <w:pPr>
              <w:rPr>
                <w:color w:val="000000"/>
                <w:sz w:val="16"/>
              </w:rPr>
            </w:pPr>
            <w:r w:rsidRPr="00491918">
              <w:rPr>
                <w:color w:val="000000"/>
                <w:sz w:val="16"/>
              </w:rPr>
              <w:t>S</w:t>
            </w:r>
            <w:r w:rsidR="000D1659" w:rsidRPr="00491918">
              <w:rPr>
                <w:color w:val="000000"/>
                <w:sz w:val="16"/>
              </w:rPr>
              <w:t>ettlement balances and cash collateral</w:t>
            </w:r>
            <w:r w:rsidR="000D1659"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(109,196)</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(71,718)</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(97,181)</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Goodwill and intangible assets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(7,849)</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(7,915)</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(7,861)</w:t>
            </w:r>
          </w:p>
        </w:tc>
      </w:tr>
      <w:tr w:rsidR="000D1659" w:rsidRPr="00491918">
        <w:trPr>
          <w:trHeight w:val="255"/>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Customer assets held under investment contracts</w:t>
            </w:r>
            <w:r w:rsidRPr="00491918">
              <w:rPr>
                <w:color w:val="000000"/>
                <w:sz w:val="16"/>
                <w:vertAlign w:val="superscript"/>
              </w:rPr>
              <w:t>2 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(1,838)</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(1,542)</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(1,710)</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Adjusted total tangible assets</w:t>
            </w:r>
            <w:r w:rsidRPr="00491918">
              <w:rPr>
                <w:b/>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39794C">
            <w:pPr>
              <w:jc w:val="right"/>
              <w:rPr>
                <w:b/>
                <w:color w:val="000000"/>
                <w:sz w:val="16"/>
                <w:vertAlign w:val="superscript"/>
              </w:rPr>
            </w:pPr>
            <w:r w:rsidRPr="00491918">
              <w:rPr>
                <w:b/>
                <w:color w:val="000000"/>
                <w:sz w:val="16"/>
              </w:rPr>
              <w:t>1,048,</w:t>
            </w:r>
            <w:r w:rsidR="0039794C" w:rsidRPr="00491918">
              <w:rPr>
                <w:b/>
                <w:color w:val="000000"/>
                <w:sz w:val="16"/>
              </w:rPr>
              <w:t>503</w:t>
            </w:r>
            <w:r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972,633 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1,045,267 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Total qualifying Tier 1 capital</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39794C">
            <w:pPr>
              <w:jc w:val="right"/>
              <w:rPr>
                <w:color w:val="000000"/>
                <w:sz w:val="16"/>
                <w:vertAlign w:val="superscript"/>
              </w:rPr>
            </w:pPr>
            <w:r w:rsidRPr="00491918">
              <w:rPr>
                <w:color w:val="000000"/>
                <w:sz w:val="16"/>
              </w:rPr>
              <w:t>52,</w:t>
            </w:r>
            <w:r w:rsidR="0039794C" w:rsidRPr="00491918">
              <w:rPr>
                <w:color w:val="000000"/>
                <w:sz w:val="16"/>
              </w:rPr>
              <w:t>106</w:t>
            </w:r>
            <w:r w:rsidRPr="00491918">
              <w:rPr>
                <w:color w:val="000000"/>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51,235 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51,341 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Adjusted gross leverage</w:t>
            </w:r>
            <w:r w:rsidRPr="00491918">
              <w:rPr>
                <w:b/>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20 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20 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Adjusted gross leverage (excluding liquidity pool)</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Ratio of total assets to shareholders' equity</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25 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25 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Ratio of total assets to shareholders' equity (excluding liquidity pool)</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23 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24 </w:t>
            </w:r>
          </w:p>
        </w:tc>
      </w:tr>
    </w:tbl>
    <w:p w:rsidR="000D1659" w:rsidRPr="00491918" w:rsidRDefault="000D1659"/>
    <w:p w:rsidR="000D1659" w:rsidRPr="00491918" w:rsidRDefault="000D1659" w:rsidP="000D1659">
      <w:pPr>
        <w:pStyle w:val="Level1Bullet-BarcRA12"/>
      </w:pPr>
      <w:r w:rsidRPr="00491918">
        <w:t>Adjusted gross leverage</w:t>
      </w:r>
      <w:r w:rsidR="00755796" w:rsidRPr="00491918">
        <w:rPr>
          <w:lang w:val="en-GB"/>
        </w:rPr>
        <w:t xml:space="preserve"> increased to 20x (</w:t>
      </w:r>
      <w:r w:rsidRPr="00491918">
        <w:rPr>
          <w:lang w:val="en-GB"/>
        </w:rPr>
        <w:t xml:space="preserve">2012: 19x) reflecting a 2% increase in qualifying Tier </w:t>
      </w:r>
      <w:r w:rsidRPr="00491918">
        <w:t xml:space="preserve">1 </w:t>
      </w:r>
      <w:r w:rsidRPr="00491918">
        <w:rPr>
          <w:lang w:val="en-GB"/>
        </w:rPr>
        <w:t>c</w:t>
      </w:r>
      <w:r w:rsidRPr="00491918">
        <w:t xml:space="preserve">apital to </w:t>
      </w:r>
      <w:r w:rsidRPr="00491918">
        <w:rPr>
          <w:lang w:val="en-GB"/>
        </w:rPr>
        <w:t>£52</w:t>
      </w:r>
      <w:r w:rsidRPr="00491918">
        <w:t xml:space="preserve">bn </w:t>
      </w:r>
      <w:r w:rsidRPr="00491918">
        <w:rPr>
          <w:lang w:val="en-GB"/>
        </w:rPr>
        <w:t>and an 8%</w:t>
      </w:r>
      <w:r w:rsidRPr="00491918">
        <w:t xml:space="preserve"> </w:t>
      </w:r>
      <w:r w:rsidRPr="00491918">
        <w:rPr>
          <w:lang w:val="en-GB"/>
        </w:rPr>
        <w:t>in</w:t>
      </w:r>
      <w:r w:rsidRPr="00491918">
        <w:t>crease in adjusted total tangible assets to £</w:t>
      </w:r>
      <w:r w:rsidRPr="00491918">
        <w:rPr>
          <w:lang w:val="en-GB"/>
        </w:rPr>
        <w:t>1,049bn</w:t>
      </w:r>
    </w:p>
    <w:p w:rsidR="000D1659" w:rsidRPr="00491918" w:rsidRDefault="000D1659" w:rsidP="000D1659">
      <w:pPr>
        <w:pStyle w:val="Level1Bullet-BarcRA12"/>
      </w:pPr>
      <w:r w:rsidRPr="00491918">
        <w:t>At month ends during 201</w:t>
      </w:r>
      <w:r w:rsidRPr="00491918">
        <w:rPr>
          <w:lang w:val="en-GB"/>
        </w:rPr>
        <w:t>3,</w:t>
      </w:r>
      <w:r w:rsidRPr="00491918">
        <w:t xml:space="preserve"> the ratio moved in </w:t>
      </w:r>
      <w:r w:rsidRPr="00491918">
        <w:rPr>
          <w:lang w:val="en-GB"/>
        </w:rPr>
        <w:t>a</w:t>
      </w:r>
      <w:r w:rsidRPr="00491918">
        <w:t xml:space="preserve"> range from </w:t>
      </w:r>
      <w:r w:rsidRPr="00491918">
        <w:rPr>
          <w:lang w:val="en-GB"/>
        </w:rPr>
        <w:t>20</w:t>
      </w:r>
      <w:r w:rsidRPr="00491918">
        <w:t xml:space="preserve">x to </w:t>
      </w:r>
      <w:r w:rsidRPr="00491918">
        <w:rPr>
          <w:lang w:val="en-GB"/>
        </w:rPr>
        <w:t>21</w:t>
      </w:r>
      <w:r w:rsidRPr="00491918">
        <w:t>x</w:t>
      </w:r>
      <w:r w:rsidRPr="00491918">
        <w:rPr>
          <w:lang w:val="en-GB"/>
        </w:rPr>
        <w:t xml:space="preserve"> (2012: 19x to 23x) primarily due to</w:t>
      </w:r>
      <w:r w:rsidRPr="00491918">
        <w:t xml:space="preserve"> fluctuations </w:t>
      </w:r>
      <w:r w:rsidRPr="00491918">
        <w:rPr>
          <w:lang w:val="en-GB"/>
        </w:rPr>
        <w:t xml:space="preserve">in </w:t>
      </w:r>
      <w:r w:rsidRPr="00491918">
        <w:t>collateralised reverse repurchase lending</w:t>
      </w:r>
      <w:r w:rsidRPr="00491918">
        <w:rPr>
          <w:lang w:val="en-GB"/>
        </w:rPr>
        <w:t>, driven by increased client demand</w:t>
      </w:r>
    </w:p>
    <w:p w:rsidR="000D1659" w:rsidRPr="00491918" w:rsidRDefault="000D1659" w:rsidP="000D1659">
      <w:pPr>
        <w:pStyle w:val="Level1Bullet-BarcRA12"/>
      </w:pPr>
      <w:r w:rsidRPr="00491918">
        <w:t>Adjusted total tangible assets include cash and balances at central banks of £</w:t>
      </w:r>
      <w:r w:rsidRPr="00491918">
        <w:rPr>
          <w:lang w:val="en-GB"/>
        </w:rPr>
        <w:t>73bn</w:t>
      </w:r>
      <w:r w:rsidRPr="00491918">
        <w:t xml:space="preserve"> (201</w:t>
      </w:r>
      <w:r w:rsidRPr="00491918">
        <w:rPr>
          <w:lang w:val="en-GB"/>
        </w:rPr>
        <w:t>2</w:t>
      </w:r>
      <w:r w:rsidRPr="00491918">
        <w:t>: £</w:t>
      </w:r>
      <w:r w:rsidRPr="00491918">
        <w:rPr>
          <w:lang w:val="en-GB"/>
        </w:rPr>
        <w:t>8</w:t>
      </w:r>
      <w:r w:rsidRPr="00491918">
        <w:t xml:space="preserve">6bn). Excluding these balances, the balance sheet leverage would be </w:t>
      </w:r>
      <w:r w:rsidRPr="00491918">
        <w:rPr>
          <w:lang w:val="en-GB"/>
        </w:rPr>
        <w:t>19</w:t>
      </w:r>
      <w:r w:rsidR="00755796" w:rsidRPr="00491918">
        <w:t xml:space="preserve">x </w:t>
      </w:r>
      <w:r w:rsidR="00755796" w:rsidRPr="00491918">
        <w:rPr>
          <w:lang w:val="en-GB"/>
        </w:rPr>
        <w:t>(</w:t>
      </w:r>
      <w:r w:rsidRPr="00491918">
        <w:t>201</w:t>
      </w:r>
      <w:r w:rsidRPr="00491918">
        <w:rPr>
          <w:lang w:val="en-GB"/>
        </w:rPr>
        <w:t>2</w:t>
      </w:r>
      <w:r w:rsidRPr="00491918">
        <w:t>: 1</w:t>
      </w:r>
      <w:r w:rsidRPr="00491918">
        <w:rPr>
          <w:lang w:val="en-GB"/>
        </w:rPr>
        <w:t>7</w:t>
      </w:r>
      <w:r w:rsidRPr="00491918">
        <w:t>x). Excluding the</w:t>
      </w:r>
      <w:r w:rsidRPr="00491918">
        <w:rPr>
          <w:lang w:val="en-GB"/>
        </w:rPr>
        <w:t xml:space="preserve"> </w:t>
      </w:r>
      <w:r w:rsidRPr="00491918">
        <w:t xml:space="preserve">liquidity pool, leverage would be </w:t>
      </w:r>
      <w:r w:rsidRPr="00491918">
        <w:rPr>
          <w:lang w:val="en-GB"/>
        </w:rPr>
        <w:t>17</w:t>
      </w:r>
      <w:r w:rsidRPr="00491918">
        <w:t>x (201</w:t>
      </w:r>
      <w:r w:rsidRPr="00491918">
        <w:rPr>
          <w:lang w:val="en-GB"/>
        </w:rPr>
        <w:t>2</w:t>
      </w:r>
      <w:r w:rsidRPr="00491918">
        <w:t>: 1</w:t>
      </w:r>
      <w:r w:rsidRPr="00491918">
        <w:rPr>
          <w:lang w:val="en-GB"/>
        </w:rPr>
        <w:t>6</w:t>
      </w:r>
      <w:r w:rsidRPr="00491918">
        <w:t>x)</w:t>
      </w:r>
    </w:p>
    <w:p w:rsidR="000D1659" w:rsidRPr="00491918" w:rsidRDefault="000D1659" w:rsidP="000D1659">
      <w:pPr>
        <w:pStyle w:val="Level1Bullet-BarcRA12"/>
      </w:pPr>
      <w:r w:rsidRPr="00491918">
        <w:t xml:space="preserve">The ratio of total assets to total shareholders’ equity </w:t>
      </w:r>
      <w:r w:rsidRPr="00491918">
        <w:rPr>
          <w:lang w:val="en-GB"/>
        </w:rPr>
        <w:t>was 25</w:t>
      </w:r>
      <w:r w:rsidRPr="00491918">
        <w:t>x (201</w:t>
      </w:r>
      <w:r w:rsidRPr="00491918">
        <w:rPr>
          <w:lang w:val="en-GB"/>
        </w:rPr>
        <w:t>2</w:t>
      </w:r>
      <w:r w:rsidRPr="00491918">
        <w:t>: 2</w:t>
      </w:r>
      <w:r w:rsidRPr="00491918">
        <w:rPr>
          <w:lang w:val="en-GB"/>
        </w:rPr>
        <w:t>5</w:t>
      </w:r>
      <w:r w:rsidRPr="00491918">
        <w:t xml:space="preserve">x) and moved within a month end range of </w:t>
      </w:r>
      <w:r w:rsidRPr="00491918">
        <w:rPr>
          <w:lang w:val="en-GB"/>
        </w:rPr>
        <w:t>25</w:t>
      </w:r>
      <w:r w:rsidRPr="00491918">
        <w:t xml:space="preserve">x to </w:t>
      </w:r>
      <w:r w:rsidRPr="00491918">
        <w:rPr>
          <w:lang w:val="en-GB"/>
        </w:rPr>
        <w:t>27</w:t>
      </w:r>
      <w:r w:rsidRPr="00491918">
        <w:t>x</w:t>
      </w:r>
      <w:r w:rsidRPr="00491918">
        <w:rPr>
          <w:lang w:val="en-GB"/>
        </w:rPr>
        <w:t xml:space="preserve"> (Full Year 2012: 25x to 28x) due to</w:t>
      </w:r>
      <w:r w:rsidRPr="00491918">
        <w:t xml:space="preserve"> fluctuations </w:t>
      </w:r>
      <w:r w:rsidRPr="00491918">
        <w:rPr>
          <w:lang w:val="en-GB"/>
        </w:rPr>
        <w:t xml:space="preserve">in </w:t>
      </w:r>
      <w:r w:rsidRPr="00491918">
        <w:t>collateralised reverse repurchase lending</w:t>
      </w:r>
      <w:r w:rsidRPr="00491918">
        <w:rPr>
          <w:lang w:val="en-GB"/>
        </w:rPr>
        <w:t xml:space="preserve"> and derivative assets</w:t>
      </w:r>
    </w:p>
    <w:p w:rsidR="000D1659" w:rsidRPr="00491918" w:rsidRDefault="000D1659" w:rsidP="000D1659">
      <w:pPr>
        <w:pStyle w:val="BodyText-BarcRA2900"/>
      </w:pPr>
    </w:p>
    <w:p w:rsidR="000D1659" w:rsidRPr="00491918" w:rsidRDefault="000D1659" w:rsidP="000D1659">
      <w:pPr>
        <w:pStyle w:val="NoteSourceText-BarcRA"/>
        <w:rPr>
          <w:i w:val="0"/>
          <w:iCs w:val="0"/>
          <w:sz w:val="18"/>
          <w:szCs w:val="20"/>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BF7F6E" w:rsidRPr="00491918" w:rsidRDefault="00BF7F6E" w:rsidP="000D1659">
      <w:pPr>
        <w:pStyle w:val="NoteSourceText-BarcRA"/>
        <w:rPr>
          <w:color w:val="1F497D"/>
        </w:rPr>
      </w:pPr>
    </w:p>
    <w:p w:rsidR="00BF7F6E" w:rsidRPr="00491918" w:rsidRDefault="00BF7F6E" w:rsidP="000D1659">
      <w:pPr>
        <w:pStyle w:val="NoteSourceText-BarcRA"/>
        <w:rPr>
          <w:color w:val="1F497D"/>
        </w:rPr>
      </w:pPr>
    </w:p>
    <w:p w:rsidR="00BF7F6E" w:rsidRPr="00491918" w:rsidRDefault="00BF7F6E" w:rsidP="000D1659">
      <w:pPr>
        <w:pStyle w:val="NoteSourceText-BarcRA"/>
        <w:rPr>
          <w:color w:val="1F497D"/>
        </w:rPr>
      </w:pPr>
    </w:p>
    <w:p w:rsidR="000D1659" w:rsidRPr="00491918" w:rsidRDefault="000D1659" w:rsidP="000D1659">
      <w:pPr>
        <w:pStyle w:val="NoteSourceText-BarcRA"/>
        <w:rPr>
          <w:color w:val="1F497D"/>
        </w:rPr>
      </w:pPr>
    </w:p>
    <w:p w:rsidR="002F0500" w:rsidRPr="00491918" w:rsidRDefault="002F0500"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rPr>
          <w:color w:val="1F497D"/>
        </w:rPr>
      </w:pPr>
    </w:p>
    <w:p w:rsidR="000D1659" w:rsidRPr="00491918" w:rsidRDefault="000D1659" w:rsidP="000D1659">
      <w:pPr>
        <w:pStyle w:val="NoteSourceText-BarcRA"/>
        <w:ind w:left="0" w:firstLine="0"/>
        <w:rPr>
          <w:color w:val="1F497D"/>
        </w:rPr>
      </w:pPr>
    </w:p>
    <w:p w:rsidR="000D1659" w:rsidRPr="00491918" w:rsidRDefault="000D1659">
      <w:pPr>
        <w:pStyle w:val="NoteSourceText-BarcRA"/>
        <w:rPr>
          <w:color w:val="1F497D"/>
        </w:rPr>
      </w:pPr>
    </w:p>
    <w:p w:rsidR="00F72E29" w:rsidRPr="00491918" w:rsidRDefault="00F72E29">
      <w:pPr>
        <w:pStyle w:val="NoteSourceText-BarcRA"/>
        <w:rPr>
          <w:color w:val="1F497D"/>
        </w:rPr>
      </w:pPr>
    </w:p>
    <w:p w:rsidR="00F72E29" w:rsidRPr="00491918" w:rsidRDefault="00F72E29">
      <w:pPr>
        <w:pStyle w:val="NoteSourceText-BarcRA"/>
        <w:rPr>
          <w:color w:val="1F497D"/>
        </w:rPr>
      </w:pPr>
    </w:p>
    <w:p w:rsidR="000D1659" w:rsidRPr="00491918" w:rsidRDefault="000D1659" w:rsidP="00CC41A9">
      <w:pPr>
        <w:pStyle w:val="NoteandSourceText-BarcRA4"/>
        <w:numPr>
          <w:ilvl w:val="0"/>
          <w:numId w:val="254"/>
        </w:numPr>
        <w:tabs>
          <w:tab w:val="clear" w:pos="284"/>
        </w:tabs>
        <w:ind w:left="284" w:hanging="284"/>
      </w:pPr>
      <w:r w:rsidRPr="00491918">
        <w:t>Includes Liq</w:t>
      </w:r>
      <w:r w:rsidR="000B1BD5" w:rsidRPr="00491918">
        <w:t>uidity Pool £138bn (</w:t>
      </w:r>
      <w:r w:rsidRPr="00491918">
        <w:t>2012: £150bn).</w:t>
      </w:r>
    </w:p>
    <w:p w:rsidR="000D1659" w:rsidRPr="00491918" w:rsidRDefault="000D1659" w:rsidP="00CC41A9">
      <w:pPr>
        <w:pStyle w:val="NoteandSourceText-BarcRA4"/>
        <w:numPr>
          <w:ilvl w:val="0"/>
          <w:numId w:val="254"/>
        </w:numPr>
        <w:tabs>
          <w:tab w:val="clear" w:pos="284"/>
        </w:tabs>
        <w:ind w:left="284" w:hanging="284"/>
      </w:pPr>
      <w:r w:rsidRPr="00491918">
        <w:t>Comprising financial assets designated at fair value and associated cash balances.</w:t>
      </w:r>
    </w:p>
    <w:p w:rsidR="000D1659" w:rsidRPr="00491918" w:rsidRDefault="000D1659" w:rsidP="002F0500">
      <w:pPr>
        <w:rPr>
          <w:rFonts w:eastAsia="Times New Roman" w:cs="Times New Roman"/>
          <w:i/>
          <w:iCs/>
          <w:sz w:val="14"/>
          <w:szCs w:val="14"/>
          <w:lang w:val="en-GB"/>
        </w:rPr>
        <w:sectPr w:rsidR="000D1659" w:rsidRPr="00491918" w:rsidSect="00751636">
          <w:headerReference w:type="default" r:id="rId26"/>
          <w:pgSz w:w="11905" w:h="16837"/>
          <w:pgMar w:top="851" w:right="1134" w:bottom="567" w:left="1134" w:header="851" w:footer="567" w:gutter="0"/>
          <w:cols w:space="708"/>
        </w:sectPr>
      </w:pPr>
    </w:p>
    <w:p w:rsidR="000D76A8" w:rsidRPr="00491918" w:rsidRDefault="000D76A8" w:rsidP="000D76A8">
      <w:pPr>
        <w:pStyle w:val="HeadingLevel1-BarcRA29"/>
      </w:pPr>
      <w:r w:rsidRPr="00491918">
        <w:lastRenderedPageBreak/>
        <w:t>Funding Risk</w:t>
      </w:r>
    </w:p>
    <w:p w:rsidR="000D1659" w:rsidRPr="00491918" w:rsidRDefault="000D1659" w:rsidP="008D6001">
      <w:pPr>
        <w:pStyle w:val="HeadingLevel1-AR"/>
        <w:outlineLvl w:val="0"/>
      </w:pPr>
      <w:r w:rsidRPr="00491918">
        <w:t>Funding &amp; Liquidity</w:t>
      </w:r>
    </w:p>
    <w:p w:rsidR="000D1659" w:rsidRPr="00491918" w:rsidRDefault="000D1659" w:rsidP="000D1659">
      <w:pPr>
        <w:pStyle w:val="BodyText-BarcRA37"/>
      </w:pPr>
      <w:r w:rsidRPr="00491918">
        <w:t>Barclays has a comprehensive Liquidity Risk Management Framework (the Liquidity Framework) for managing the Group’s liquidity risk. The Liquidity Framework meets the PRA’s standards and is designed to ensure that the Group maintains sufficient financial resources of appropriate quality for the Group’s funding profile. This is achieved via a combination of policy formation, review and governance, analysis, stress testing, limit setting and monitoring. Together, these meet internal and regulatory requirements.</w:t>
      </w:r>
    </w:p>
    <w:p w:rsidR="000D1659" w:rsidRPr="00491918" w:rsidRDefault="000D1659" w:rsidP="000D1659">
      <w:pPr>
        <w:pStyle w:val="BodyText-BarcRA37"/>
      </w:pPr>
      <w:r w:rsidRPr="00491918">
        <w:t xml:space="preserve">Liquidity risk is managed separately at Absa Group due to local currency and funding requirements. Unless stated otherwise, all disclosures in this section exclude Absa. For details of liquidity risk management at Absa, see page </w:t>
      </w:r>
      <w:r w:rsidR="008D6001" w:rsidRPr="00491918">
        <w:t>62</w:t>
      </w:r>
      <w:r w:rsidRPr="00491918">
        <w:t>.</w:t>
      </w:r>
    </w:p>
    <w:p w:rsidR="002F0500" w:rsidRPr="00491918" w:rsidRDefault="002F0500" w:rsidP="002F0500">
      <w:pPr>
        <w:pStyle w:val="HeadingLevel1-AR"/>
      </w:pPr>
    </w:p>
    <w:p w:rsidR="000D1659" w:rsidRPr="00491918" w:rsidRDefault="000D1659" w:rsidP="008D6001">
      <w:pPr>
        <w:pStyle w:val="HeadingLevel1-AR"/>
        <w:outlineLvl w:val="0"/>
      </w:pPr>
      <w:r w:rsidRPr="00491918">
        <w:t>Liquidity stress testing</w:t>
      </w:r>
    </w:p>
    <w:p w:rsidR="000D1659" w:rsidRPr="00491918" w:rsidRDefault="000D1659" w:rsidP="000D1659">
      <w:pPr>
        <w:pStyle w:val="BodyText-BarcRA37"/>
      </w:pPr>
      <w:r w:rsidRPr="00491918">
        <w:t>Under the Liquidity Framework, the Group has established a Liquidity Risk Appetite (LRA), which is measured with reference to the liquidity pool compared to anticipated stressed net contractual and contingent outflows under a variety of stress scenarios. These scenarios are aligned to the PRA’s prescribed stresses and cover a market-wide stress event, a Barclays-specific stress event and a combination of the two. Under normal market conditions, the liquidity pool is managed to be at least 100% of three months’ anticipated outflows for a market-wide stress and one month’s anticipated outflows for each of the Barclays-specific and combined stresses. Of these, the one month Barclays-specific scenario is the most constraining.</w:t>
      </w:r>
    </w:p>
    <w:p w:rsidR="000D1659" w:rsidRPr="00491918" w:rsidRDefault="000D1659" w:rsidP="000D1659">
      <w:pPr>
        <w:pStyle w:val="BodyText-BarcRA37"/>
      </w:pPr>
      <w:r w:rsidRPr="00491918">
        <w:t>Since June 2010 the Group has reported its liquidity position against Individual Liquidity Guidance (ILG) provided by the PRA. The Group also monitors its position against anticipated Basel 3 metrics, including the Liquidity Coverage Ratio (LCR) and the Net Stable Funding Ratio (NSFR). Based on the standards published by the Basel Committee, as at 30 June 2013 Barclays reported ratios in excess of 100% for both of these metrics, with an estimated LCR of 111% (2012: 126%) and an estimated NSFR of 105% (2012: 104%)</w:t>
      </w:r>
      <w:r w:rsidRPr="00491918">
        <w:rPr>
          <w:vertAlign w:val="superscript"/>
        </w:rPr>
        <w:t>1,2</w:t>
      </w:r>
      <w:r w:rsidRPr="00491918">
        <w:t>.</w:t>
      </w:r>
    </w:p>
    <w:p w:rsidR="000D1659" w:rsidRPr="00491918" w:rsidRDefault="000D1659" w:rsidP="000D1659">
      <w:pPr>
        <w:pStyle w:val="BodyText-BarcRA37"/>
      </w:pPr>
      <w:r w:rsidRPr="00491918">
        <w:t>As at 30 June 2013, the Group held eligible liquid assets in excess of 100% of net stress outflows for each of the one month Barclays-specific LRA scenario and the Basel 3 LCR:</w:t>
      </w:r>
    </w:p>
    <w:p w:rsidR="000D1659" w:rsidRPr="00491918" w:rsidRDefault="000D1659"/>
    <w:tbl>
      <w:tblPr>
        <w:tblW w:w="0" w:type="auto"/>
        <w:tblLayout w:type="fixed"/>
        <w:tblLook w:val="0000" w:firstRow="0" w:lastRow="0" w:firstColumn="0" w:lastColumn="0" w:noHBand="0" w:noVBand="0"/>
      </w:tblPr>
      <w:tblGrid>
        <w:gridCol w:w="6480"/>
        <w:gridCol w:w="1440"/>
        <w:gridCol w:w="150"/>
        <w:gridCol w:w="1605"/>
      </w:tblGrid>
      <w:tr w:rsidR="005C1F19" w:rsidRPr="00491918" w:rsidTr="005C1F19">
        <w:trPr>
          <w:trHeight w:val="1065"/>
        </w:trPr>
        <w:tc>
          <w:tcPr>
            <w:tcW w:w="6480" w:type="dxa"/>
            <w:tcBorders>
              <w:top w:val="nil"/>
              <w:left w:val="nil"/>
              <w:bottom w:val="single" w:sz="6" w:space="0" w:color="969696"/>
              <w:right w:val="nil"/>
            </w:tcBorders>
            <w:shd w:val="clear" w:color="auto" w:fill="FFFFFF"/>
            <w:tcMar>
              <w:left w:w="36" w:type="dxa"/>
              <w:right w:w="36" w:type="dxa"/>
            </w:tcMar>
            <w:vAlign w:val="center"/>
          </w:tcPr>
          <w:p w:rsidR="005C1F19" w:rsidRPr="00491918" w:rsidRDefault="005C1F19">
            <w:pPr>
              <w:rPr>
                <w:b/>
                <w:color w:val="000000"/>
                <w:sz w:val="16"/>
              </w:rPr>
            </w:pPr>
            <w:r w:rsidRPr="00491918">
              <w:rPr>
                <w:b/>
                <w:color w:val="000000"/>
                <w:sz w:val="16"/>
              </w:rPr>
              <w:t>Compliance with internal and regulatory stress tests</w:t>
            </w:r>
          </w:p>
        </w:tc>
        <w:tc>
          <w:tcPr>
            <w:tcW w:w="1440" w:type="dxa"/>
            <w:tcBorders>
              <w:top w:val="nil"/>
              <w:left w:val="nil"/>
              <w:bottom w:val="single" w:sz="6" w:space="0" w:color="A5A5A5"/>
              <w:right w:val="nil"/>
            </w:tcBorders>
            <w:shd w:val="clear" w:color="auto" w:fill="FFFFFF"/>
            <w:tcMar>
              <w:left w:w="36" w:type="dxa"/>
              <w:right w:w="36" w:type="dxa"/>
            </w:tcMar>
            <w:vAlign w:val="center"/>
          </w:tcPr>
          <w:p w:rsidR="005C1F19" w:rsidRPr="00491918" w:rsidRDefault="005C1F19">
            <w:pPr>
              <w:jc w:val="right"/>
              <w:rPr>
                <w:b/>
                <w:color w:val="000000"/>
                <w:sz w:val="16"/>
              </w:rPr>
            </w:pPr>
            <w:r w:rsidRPr="00491918">
              <w:rPr>
                <w:b/>
                <w:color w:val="000000"/>
                <w:sz w:val="16"/>
              </w:rPr>
              <w:t>Barclays' LRA (one month Barclays specific requirement)</w:t>
            </w:r>
            <w:r w:rsidRPr="00491918">
              <w:rPr>
                <w:b/>
                <w:color w:val="000000"/>
                <w:sz w:val="16"/>
                <w:vertAlign w:val="superscript"/>
              </w:rPr>
              <w:t>3 </w:t>
            </w:r>
          </w:p>
        </w:tc>
        <w:tc>
          <w:tcPr>
            <w:tcW w:w="150" w:type="dxa"/>
            <w:tcBorders>
              <w:top w:val="nil"/>
              <w:left w:val="nil"/>
              <w:bottom w:val="single" w:sz="6" w:space="0" w:color="A5A5A5"/>
              <w:right w:val="nil"/>
            </w:tcBorders>
            <w:shd w:val="clear" w:color="auto" w:fill="FFFFFF"/>
            <w:tcMar>
              <w:left w:w="36" w:type="dxa"/>
              <w:right w:w="36" w:type="dxa"/>
            </w:tcMar>
            <w:vAlign w:val="center"/>
          </w:tcPr>
          <w:p w:rsidR="005C1F19" w:rsidRPr="00491918" w:rsidRDefault="005C1F19">
            <w:pPr>
              <w:jc w:val="right"/>
              <w:rPr>
                <w:b/>
                <w:color w:val="000000"/>
                <w:sz w:val="16"/>
                <w:vertAlign w:val="superscript"/>
              </w:rPr>
            </w:pPr>
            <w:r w:rsidRPr="00491918">
              <w:rPr>
                <w:b/>
                <w:color w:val="000000"/>
                <w:sz w:val="16"/>
              </w:rPr>
              <w:t xml:space="preserve"> </w:t>
            </w:r>
          </w:p>
        </w:tc>
        <w:tc>
          <w:tcPr>
            <w:tcW w:w="1605" w:type="dxa"/>
            <w:tcBorders>
              <w:top w:val="nil"/>
              <w:left w:val="nil"/>
              <w:bottom w:val="single" w:sz="6" w:space="0" w:color="A5A5A5"/>
              <w:right w:val="nil"/>
            </w:tcBorders>
            <w:shd w:val="clear" w:color="auto" w:fill="FFFFFF"/>
            <w:tcMar>
              <w:left w:w="36" w:type="dxa"/>
              <w:right w:w="36" w:type="dxa"/>
            </w:tcMar>
            <w:vAlign w:val="center"/>
          </w:tcPr>
          <w:p w:rsidR="005C1F19" w:rsidRPr="00491918" w:rsidRDefault="005C1F19">
            <w:pPr>
              <w:jc w:val="right"/>
              <w:rPr>
                <w:b/>
                <w:color w:val="000000"/>
                <w:sz w:val="16"/>
              </w:rPr>
            </w:pPr>
            <w:r w:rsidRPr="00491918">
              <w:rPr>
                <w:b/>
                <w:color w:val="000000"/>
                <w:sz w:val="16"/>
              </w:rPr>
              <w:t>Estimated Basel 3 LCR</w:t>
            </w:r>
            <w:r w:rsidRPr="00491918">
              <w:rPr>
                <w:b/>
                <w:color w:val="000000"/>
                <w:sz w:val="16"/>
                <w:vertAlign w:val="superscript"/>
              </w:rPr>
              <w:t>2 </w:t>
            </w:r>
          </w:p>
        </w:tc>
      </w:tr>
      <w:tr w:rsidR="005C1F19" w:rsidRPr="00491918" w:rsidTr="005C1F19">
        <w:trPr>
          <w:trHeight w:val="240"/>
        </w:trPr>
        <w:tc>
          <w:tcPr>
            <w:tcW w:w="6480" w:type="dxa"/>
            <w:tcBorders>
              <w:top w:val="single" w:sz="6" w:space="0" w:color="969696"/>
              <w:left w:val="nil"/>
              <w:bottom w:val="nil"/>
              <w:right w:val="nil"/>
            </w:tcBorders>
            <w:shd w:val="clear" w:color="auto" w:fill="FFFFFF"/>
            <w:tcMar>
              <w:left w:w="36" w:type="dxa"/>
              <w:right w:w="36" w:type="dxa"/>
            </w:tcMar>
            <w:vAlign w:val="center"/>
          </w:tcPr>
          <w:p w:rsidR="005C1F19" w:rsidRPr="00491918" w:rsidRDefault="005C1F19">
            <w:pPr>
              <w:rPr>
                <w:b/>
                <w:color w:val="000000"/>
                <w:sz w:val="16"/>
              </w:rPr>
            </w:pPr>
            <w:r w:rsidRPr="00491918">
              <w:rPr>
                <w:b/>
                <w:color w:val="000000"/>
                <w:sz w:val="16"/>
              </w:rPr>
              <w:t xml:space="preserve"> </w:t>
            </w:r>
          </w:p>
        </w:tc>
        <w:tc>
          <w:tcPr>
            <w:tcW w:w="1440" w:type="dxa"/>
            <w:tcBorders>
              <w:top w:val="single" w:sz="6" w:space="0" w:color="A5A5A5"/>
              <w:left w:val="nil"/>
              <w:bottom w:val="nil"/>
              <w:right w:val="nil"/>
            </w:tcBorders>
            <w:shd w:val="clear" w:color="auto" w:fill="FFFFFF"/>
            <w:tcMar>
              <w:left w:w="36" w:type="dxa"/>
              <w:right w:w="36" w:type="dxa"/>
            </w:tcMar>
            <w:vAlign w:val="center"/>
          </w:tcPr>
          <w:p w:rsidR="005C1F19" w:rsidRPr="00491918" w:rsidRDefault="005C1F19">
            <w:pPr>
              <w:jc w:val="right"/>
              <w:rPr>
                <w:b/>
                <w:color w:val="000000"/>
                <w:sz w:val="16"/>
              </w:rPr>
            </w:pPr>
            <w:r w:rsidRPr="00491918">
              <w:rPr>
                <w:color w:val="000000"/>
                <w:sz w:val="16"/>
              </w:rPr>
              <w:t>£bn</w:t>
            </w:r>
            <w:r w:rsidRPr="00491918">
              <w:rPr>
                <w:color w:val="000000"/>
                <w:sz w:val="16"/>
                <w:vertAlign w:val="superscript"/>
              </w:rPr>
              <w:t xml:space="preserve"> </w:t>
            </w:r>
          </w:p>
        </w:tc>
        <w:tc>
          <w:tcPr>
            <w:tcW w:w="150" w:type="dxa"/>
            <w:tcBorders>
              <w:top w:val="single" w:sz="6" w:space="0" w:color="A5A5A5"/>
              <w:left w:val="nil"/>
              <w:bottom w:val="nil"/>
              <w:right w:val="nil"/>
            </w:tcBorders>
            <w:shd w:val="clear" w:color="auto" w:fill="FFFFFF"/>
            <w:tcMar>
              <w:left w:w="36" w:type="dxa"/>
              <w:right w:w="36" w:type="dxa"/>
            </w:tcMar>
            <w:vAlign w:val="center"/>
          </w:tcPr>
          <w:p w:rsidR="005C1F19" w:rsidRPr="00491918" w:rsidRDefault="005C1F19">
            <w:pPr>
              <w:jc w:val="right"/>
              <w:rPr>
                <w:color w:val="000000"/>
                <w:sz w:val="16"/>
                <w:vertAlign w:val="superscript"/>
              </w:rPr>
            </w:pPr>
            <w:r w:rsidRPr="00491918">
              <w:rPr>
                <w:color w:val="000000"/>
                <w:sz w:val="16"/>
              </w:rPr>
              <w:t xml:space="preserve"> </w:t>
            </w:r>
          </w:p>
        </w:tc>
        <w:tc>
          <w:tcPr>
            <w:tcW w:w="1605" w:type="dxa"/>
            <w:tcBorders>
              <w:top w:val="single" w:sz="6" w:space="0" w:color="A5A5A5"/>
              <w:left w:val="nil"/>
              <w:bottom w:val="nil"/>
              <w:right w:val="nil"/>
            </w:tcBorders>
            <w:shd w:val="clear" w:color="auto" w:fill="FFFFFF"/>
            <w:tcMar>
              <w:left w:w="36" w:type="dxa"/>
              <w:right w:w="36" w:type="dxa"/>
            </w:tcMar>
            <w:vAlign w:val="center"/>
          </w:tcPr>
          <w:p w:rsidR="005C1F19" w:rsidRPr="00491918" w:rsidRDefault="005C1F19">
            <w:pPr>
              <w:jc w:val="right"/>
              <w:rPr>
                <w:color w:val="000000"/>
                <w:sz w:val="16"/>
              </w:rPr>
            </w:pPr>
            <w:r w:rsidRPr="00491918">
              <w:rPr>
                <w:color w:val="000000"/>
                <w:sz w:val="16"/>
              </w:rPr>
              <w:t>£bn</w:t>
            </w:r>
            <w:r w:rsidRPr="00491918">
              <w:rPr>
                <w:color w:val="000000"/>
                <w:sz w:val="16"/>
                <w:vertAlign w:val="superscript"/>
              </w:rPr>
              <w:t xml:space="preserve"> </w:t>
            </w:r>
          </w:p>
        </w:tc>
      </w:tr>
      <w:tr w:rsidR="005C1F19" w:rsidRPr="00491918" w:rsidTr="005C1F19">
        <w:trPr>
          <w:trHeight w:val="240"/>
        </w:trPr>
        <w:tc>
          <w:tcPr>
            <w:tcW w:w="6480" w:type="dxa"/>
            <w:tcBorders>
              <w:top w:val="nil"/>
              <w:left w:val="nil"/>
              <w:bottom w:val="nil"/>
              <w:right w:val="nil"/>
            </w:tcBorders>
            <w:shd w:val="clear" w:color="auto" w:fill="FFFFFF"/>
            <w:tcMar>
              <w:left w:w="36" w:type="dxa"/>
              <w:right w:w="36" w:type="dxa"/>
            </w:tcMar>
            <w:vAlign w:val="center"/>
          </w:tcPr>
          <w:p w:rsidR="005C1F19" w:rsidRPr="00491918" w:rsidRDefault="005C1F19">
            <w:pPr>
              <w:rPr>
                <w:b/>
                <w:color w:val="000000"/>
                <w:sz w:val="16"/>
              </w:rPr>
            </w:pPr>
            <w:r w:rsidRPr="00491918">
              <w:rPr>
                <w:color w:val="000000"/>
                <w:sz w:val="16"/>
              </w:rPr>
              <w:t>Eligible liquidity buffer</w:t>
            </w:r>
          </w:p>
        </w:tc>
        <w:tc>
          <w:tcPr>
            <w:tcW w:w="1440" w:type="dxa"/>
            <w:tcBorders>
              <w:top w:val="nil"/>
              <w:left w:val="nil"/>
              <w:bottom w:val="nil"/>
              <w:right w:val="nil"/>
            </w:tcBorders>
            <w:shd w:val="clear" w:color="auto" w:fill="FFFFFF"/>
            <w:tcMar>
              <w:left w:w="36" w:type="dxa"/>
              <w:right w:w="36" w:type="dxa"/>
            </w:tcMar>
            <w:vAlign w:val="center"/>
          </w:tcPr>
          <w:p w:rsidR="005C1F19" w:rsidRPr="00491918" w:rsidRDefault="005C1F19">
            <w:pPr>
              <w:jc w:val="right"/>
              <w:rPr>
                <w:color w:val="000000"/>
                <w:sz w:val="16"/>
              </w:rPr>
            </w:pPr>
            <w:r w:rsidRPr="00491918">
              <w:rPr>
                <w:color w:val="000000"/>
                <w:sz w:val="16"/>
              </w:rPr>
              <w:t>138 </w:t>
            </w:r>
            <w:r w:rsidRPr="00491918">
              <w:rPr>
                <w:b/>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5C1F19" w:rsidRPr="00491918" w:rsidRDefault="005C1F19">
            <w:pPr>
              <w:jc w:val="right"/>
              <w:rPr>
                <w:b/>
                <w:color w:val="000000"/>
                <w:sz w:val="16"/>
                <w:vertAlign w:val="superscript"/>
              </w:rPr>
            </w:pPr>
            <w:r w:rsidRPr="00491918">
              <w:rPr>
                <w:b/>
                <w:color w:val="000000"/>
                <w:sz w:val="16"/>
              </w:rPr>
              <w:t xml:space="preserve"> </w:t>
            </w:r>
          </w:p>
        </w:tc>
        <w:tc>
          <w:tcPr>
            <w:tcW w:w="1605" w:type="dxa"/>
            <w:tcBorders>
              <w:top w:val="nil"/>
              <w:left w:val="nil"/>
              <w:bottom w:val="nil"/>
              <w:right w:val="nil"/>
            </w:tcBorders>
            <w:shd w:val="clear" w:color="auto" w:fill="FFFFFF"/>
            <w:tcMar>
              <w:left w:w="36" w:type="dxa"/>
              <w:right w:w="36" w:type="dxa"/>
            </w:tcMar>
            <w:vAlign w:val="center"/>
          </w:tcPr>
          <w:p w:rsidR="005C1F19" w:rsidRPr="00491918" w:rsidRDefault="005C1F19">
            <w:pPr>
              <w:jc w:val="right"/>
              <w:rPr>
                <w:b/>
                <w:color w:val="000000"/>
                <w:sz w:val="16"/>
              </w:rPr>
            </w:pPr>
            <w:r w:rsidRPr="00491918">
              <w:rPr>
                <w:color w:val="000000"/>
                <w:sz w:val="16"/>
              </w:rPr>
              <w:t>145 </w:t>
            </w:r>
            <w:r w:rsidRPr="00491918">
              <w:rPr>
                <w:b/>
                <w:color w:val="000000"/>
                <w:sz w:val="16"/>
                <w:vertAlign w:val="superscript"/>
              </w:rPr>
              <w:t xml:space="preserve"> </w:t>
            </w:r>
          </w:p>
        </w:tc>
      </w:tr>
      <w:tr w:rsidR="005C1F19" w:rsidRPr="00491918" w:rsidTr="005C1F19">
        <w:trPr>
          <w:trHeight w:val="240"/>
        </w:trPr>
        <w:tc>
          <w:tcPr>
            <w:tcW w:w="6480" w:type="dxa"/>
            <w:tcBorders>
              <w:top w:val="nil"/>
              <w:left w:val="nil"/>
              <w:bottom w:val="single" w:sz="6" w:space="0" w:color="969696"/>
              <w:right w:val="nil"/>
            </w:tcBorders>
            <w:shd w:val="clear" w:color="auto" w:fill="FFFFFF"/>
            <w:tcMar>
              <w:left w:w="36" w:type="dxa"/>
              <w:right w:w="36" w:type="dxa"/>
            </w:tcMar>
            <w:vAlign w:val="center"/>
          </w:tcPr>
          <w:p w:rsidR="005C1F19" w:rsidRPr="00491918" w:rsidRDefault="005C1F19">
            <w:pPr>
              <w:rPr>
                <w:b/>
                <w:color w:val="000000"/>
                <w:sz w:val="16"/>
              </w:rPr>
            </w:pPr>
            <w:r w:rsidRPr="00491918">
              <w:rPr>
                <w:color w:val="000000"/>
                <w:sz w:val="16"/>
              </w:rPr>
              <w:t>Net stress outflows</w:t>
            </w:r>
          </w:p>
        </w:tc>
        <w:tc>
          <w:tcPr>
            <w:tcW w:w="1440" w:type="dxa"/>
            <w:tcBorders>
              <w:top w:val="nil"/>
              <w:left w:val="nil"/>
              <w:bottom w:val="single" w:sz="6" w:space="0" w:color="969696"/>
              <w:right w:val="nil"/>
            </w:tcBorders>
            <w:shd w:val="clear" w:color="auto" w:fill="FFFFFF"/>
            <w:tcMar>
              <w:left w:w="36" w:type="dxa"/>
              <w:right w:w="36" w:type="dxa"/>
            </w:tcMar>
            <w:vAlign w:val="center"/>
          </w:tcPr>
          <w:p w:rsidR="005C1F19" w:rsidRPr="00491918" w:rsidRDefault="005C1F19">
            <w:pPr>
              <w:jc w:val="right"/>
              <w:rPr>
                <w:color w:val="000000"/>
                <w:sz w:val="16"/>
              </w:rPr>
            </w:pPr>
            <w:r w:rsidRPr="00491918">
              <w:rPr>
                <w:color w:val="000000"/>
                <w:sz w:val="16"/>
              </w:rPr>
              <w:t>124 </w:t>
            </w:r>
            <w:r w:rsidRPr="00491918">
              <w:rPr>
                <w:b/>
                <w:color w:val="000000"/>
                <w:sz w:val="16"/>
                <w:vertAlign w:val="superscript"/>
              </w:rPr>
              <w:t xml:space="preserve"> </w:t>
            </w:r>
          </w:p>
        </w:tc>
        <w:tc>
          <w:tcPr>
            <w:tcW w:w="150" w:type="dxa"/>
            <w:tcBorders>
              <w:top w:val="nil"/>
              <w:left w:val="nil"/>
              <w:bottom w:val="single" w:sz="6" w:space="0" w:color="969696"/>
              <w:right w:val="nil"/>
            </w:tcBorders>
            <w:shd w:val="clear" w:color="auto" w:fill="FFFFFF"/>
            <w:tcMar>
              <w:left w:w="36" w:type="dxa"/>
              <w:right w:w="36" w:type="dxa"/>
            </w:tcMar>
            <w:vAlign w:val="center"/>
          </w:tcPr>
          <w:p w:rsidR="005C1F19" w:rsidRPr="00491918" w:rsidRDefault="005C1F19">
            <w:pPr>
              <w:jc w:val="right"/>
              <w:rPr>
                <w:b/>
                <w:color w:val="000000"/>
                <w:sz w:val="16"/>
                <w:vertAlign w:val="superscript"/>
              </w:rPr>
            </w:pPr>
            <w:r w:rsidRPr="00491918">
              <w:rPr>
                <w:b/>
                <w:color w:val="000000"/>
                <w:sz w:val="16"/>
              </w:rPr>
              <w:t xml:space="preserve"> </w:t>
            </w:r>
          </w:p>
        </w:tc>
        <w:tc>
          <w:tcPr>
            <w:tcW w:w="1605" w:type="dxa"/>
            <w:tcBorders>
              <w:top w:val="nil"/>
              <w:left w:val="nil"/>
              <w:bottom w:val="single" w:sz="6" w:space="0" w:color="969696"/>
              <w:right w:val="nil"/>
            </w:tcBorders>
            <w:shd w:val="clear" w:color="auto" w:fill="FFFFFF"/>
            <w:tcMar>
              <w:left w:w="36" w:type="dxa"/>
              <w:right w:w="36" w:type="dxa"/>
            </w:tcMar>
            <w:vAlign w:val="center"/>
          </w:tcPr>
          <w:p w:rsidR="005C1F19" w:rsidRPr="00491918" w:rsidRDefault="005C1F19">
            <w:pPr>
              <w:jc w:val="right"/>
              <w:rPr>
                <w:b/>
                <w:color w:val="000000"/>
                <w:sz w:val="16"/>
              </w:rPr>
            </w:pPr>
            <w:r w:rsidRPr="00491918">
              <w:rPr>
                <w:color w:val="000000"/>
                <w:sz w:val="16"/>
              </w:rPr>
              <w:t>131 </w:t>
            </w:r>
            <w:r w:rsidRPr="00491918">
              <w:rPr>
                <w:b/>
                <w:color w:val="000000"/>
                <w:sz w:val="16"/>
                <w:vertAlign w:val="superscript"/>
              </w:rPr>
              <w:t xml:space="preserve"> </w:t>
            </w:r>
          </w:p>
        </w:tc>
      </w:tr>
      <w:tr w:rsidR="005C1F19" w:rsidRPr="00491918" w:rsidTr="005C1F19">
        <w:trPr>
          <w:trHeight w:val="240"/>
        </w:trPr>
        <w:tc>
          <w:tcPr>
            <w:tcW w:w="6480" w:type="dxa"/>
            <w:tcBorders>
              <w:top w:val="single" w:sz="6" w:space="0" w:color="969696"/>
              <w:left w:val="nil"/>
              <w:bottom w:val="nil"/>
              <w:right w:val="nil"/>
            </w:tcBorders>
            <w:shd w:val="clear" w:color="auto" w:fill="FFFFFF"/>
            <w:tcMar>
              <w:left w:w="36" w:type="dxa"/>
              <w:right w:w="36" w:type="dxa"/>
            </w:tcMar>
            <w:vAlign w:val="center"/>
          </w:tcPr>
          <w:p w:rsidR="005C1F19" w:rsidRPr="00491918" w:rsidRDefault="005C1F19">
            <w:pPr>
              <w:rPr>
                <w:b/>
                <w:color w:val="000000"/>
                <w:sz w:val="16"/>
              </w:rPr>
            </w:pPr>
            <w:r w:rsidRPr="00491918">
              <w:rPr>
                <w:b/>
                <w:color w:val="000000"/>
                <w:sz w:val="16"/>
              </w:rPr>
              <w:t>Surplus</w:t>
            </w:r>
          </w:p>
        </w:tc>
        <w:tc>
          <w:tcPr>
            <w:tcW w:w="1440" w:type="dxa"/>
            <w:tcBorders>
              <w:top w:val="single" w:sz="6" w:space="0" w:color="969696"/>
              <w:left w:val="nil"/>
              <w:bottom w:val="nil"/>
              <w:right w:val="nil"/>
            </w:tcBorders>
            <w:shd w:val="clear" w:color="auto" w:fill="EAEAEA"/>
            <w:tcMar>
              <w:left w:w="36" w:type="dxa"/>
              <w:right w:w="36" w:type="dxa"/>
            </w:tcMar>
            <w:vAlign w:val="center"/>
          </w:tcPr>
          <w:p w:rsidR="005C1F19" w:rsidRPr="00491918" w:rsidRDefault="005C1F19">
            <w:pPr>
              <w:jc w:val="right"/>
              <w:rPr>
                <w:b/>
                <w:color w:val="000000"/>
                <w:sz w:val="16"/>
              </w:rPr>
            </w:pPr>
            <w:r w:rsidRPr="00491918">
              <w:rPr>
                <w:b/>
                <w:color w:val="000000"/>
                <w:sz w:val="16"/>
              </w:rPr>
              <w:t xml:space="preserve"> 14 </w:t>
            </w:r>
            <w:r w:rsidRPr="00491918">
              <w:rPr>
                <w:color w:val="000000"/>
                <w:sz w:val="16"/>
                <w:vertAlign w:val="superscript"/>
              </w:rPr>
              <w:t xml:space="preserve"> </w:t>
            </w:r>
          </w:p>
        </w:tc>
        <w:tc>
          <w:tcPr>
            <w:tcW w:w="150" w:type="dxa"/>
            <w:tcBorders>
              <w:top w:val="single" w:sz="6" w:space="0" w:color="969696"/>
              <w:left w:val="nil"/>
              <w:bottom w:val="nil"/>
              <w:right w:val="nil"/>
            </w:tcBorders>
            <w:shd w:val="clear" w:color="auto" w:fill="EAEAEA"/>
            <w:tcMar>
              <w:left w:w="36" w:type="dxa"/>
              <w:right w:w="36" w:type="dxa"/>
            </w:tcMar>
            <w:vAlign w:val="center"/>
          </w:tcPr>
          <w:p w:rsidR="005C1F19" w:rsidRPr="00491918" w:rsidRDefault="005C1F19">
            <w:pPr>
              <w:jc w:val="right"/>
              <w:rPr>
                <w:color w:val="000000"/>
                <w:sz w:val="16"/>
                <w:vertAlign w:val="superscript"/>
              </w:rPr>
            </w:pPr>
            <w:r w:rsidRPr="00491918">
              <w:rPr>
                <w:color w:val="000000"/>
                <w:sz w:val="16"/>
              </w:rPr>
              <w:t xml:space="preserve"> </w:t>
            </w:r>
          </w:p>
        </w:tc>
        <w:tc>
          <w:tcPr>
            <w:tcW w:w="1605" w:type="dxa"/>
            <w:tcBorders>
              <w:top w:val="single" w:sz="6" w:space="0" w:color="969696"/>
              <w:left w:val="nil"/>
              <w:bottom w:val="nil"/>
              <w:right w:val="nil"/>
            </w:tcBorders>
            <w:shd w:val="clear" w:color="auto" w:fill="EAEAEA"/>
            <w:tcMar>
              <w:left w:w="36" w:type="dxa"/>
              <w:right w:w="36" w:type="dxa"/>
            </w:tcMar>
            <w:vAlign w:val="center"/>
          </w:tcPr>
          <w:p w:rsidR="005C1F19" w:rsidRPr="00491918" w:rsidRDefault="005C1F19">
            <w:pPr>
              <w:jc w:val="right"/>
              <w:rPr>
                <w:color w:val="000000"/>
                <w:sz w:val="16"/>
              </w:rPr>
            </w:pPr>
            <w:r w:rsidRPr="00491918">
              <w:rPr>
                <w:b/>
                <w:color w:val="000000"/>
                <w:sz w:val="16"/>
              </w:rPr>
              <w:t xml:space="preserve"> 14 </w:t>
            </w:r>
            <w:r w:rsidRPr="00491918">
              <w:rPr>
                <w:color w:val="000000"/>
                <w:sz w:val="16"/>
                <w:vertAlign w:val="superscript"/>
              </w:rPr>
              <w:t xml:space="preserve"> </w:t>
            </w:r>
          </w:p>
        </w:tc>
      </w:tr>
      <w:tr w:rsidR="005C1F19" w:rsidRPr="00491918" w:rsidTr="005C1F19">
        <w:trPr>
          <w:trHeight w:val="240"/>
        </w:trPr>
        <w:tc>
          <w:tcPr>
            <w:tcW w:w="6480" w:type="dxa"/>
            <w:tcBorders>
              <w:top w:val="nil"/>
              <w:left w:val="nil"/>
              <w:bottom w:val="nil"/>
              <w:right w:val="nil"/>
            </w:tcBorders>
            <w:shd w:val="clear" w:color="auto" w:fill="FFFFFF"/>
            <w:tcMar>
              <w:left w:w="36" w:type="dxa"/>
              <w:right w:w="36" w:type="dxa"/>
            </w:tcMar>
            <w:vAlign w:val="center"/>
          </w:tcPr>
          <w:p w:rsidR="005C1F19" w:rsidRPr="00491918" w:rsidRDefault="005C1F19">
            <w:pPr>
              <w:rPr>
                <w:color w:val="000000"/>
                <w:sz w:val="16"/>
              </w:rPr>
            </w:pPr>
            <w:r w:rsidRPr="00491918">
              <w:rPr>
                <w:color w:val="000000"/>
                <w:sz w:val="16"/>
              </w:rPr>
              <w:t>Liquidity pool as a percentage of anticipated net outflows</w:t>
            </w:r>
          </w:p>
        </w:tc>
        <w:tc>
          <w:tcPr>
            <w:tcW w:w="1440" w:type="dxa"/>
            <w:tcBorders>
              <w:top w:val="nil"/>
              <w:left w:val="nil"/>
              <w:bottom w:val="nil"/>
              <w:right w:val="nil"/>
            </w:tcBorders>
            <w:shd w:val="clear" w:color="auto" w:fill="EAEAEA"/>
            <w:tcMar>
              <w:left w:w="36" w:type="dxa"/>
              <w:right w:w="36" w:type="dxa"/>
            </w:tcMar>
            <w:vAlign w:val="center"/>
          </w:tcPr>
          <w:p w:rsidR="005C1F19" w:rsidRPr="00491918" w:rsidRDefault="005C1F19" w:rsidP="0076224A">
            <w:pPr>
              <w:jc w:val="right"/>
              <w:rPr>
                <w:color w:val="000000"/>
                <w:sz w:val="16"/>
              </w:rPr>
            </w:pPr>
            <w:r w:rsidRPr="00491918">
              <w:rPr>
                <w:color w:val="000000"/>
                <w:sz w:val="16"/>
              </w:rPr>
              <w:t>11</w:t>
            </w:r>
            <w:r w:rsidR="0076224A" w:rsidRPr="00491918">
              <w:rPr>
                <w:color w:val="000000"/>
                <w:sz w:val="16"/>
              </w:rPr>
              <w:t>1</w:t>
            </w:r>
            <w:r w:rsidRPr="00491918">
              <w:rPr>
                <w:color w:val="000000"/>
                <w:sz w:val="16"/>
              </w:rPr>
              <w:t>%</w:t>
            </w:r>
            <w:r w:rsidRPr="00491918">
              <w:rPr>
                <w:color w:val="000000"/>
                <w:sz w:val="16"/>
                <w:vertAlign w:val="superscript"/>
              </w:rPr>
              <w:t xml:space="preserve"> </w:t>
            </w:r>
          </w:p>
        </w:tc>
        <w:tc>
          <w:tcPr>
            <w:tcW w:w="150" w:type="dxa"/>
            <w:tcBorders>
              <w:top w:val="nil"/>
              <w:left w:val="nil"/>
              <w:bottom w:val="nil"/>
              <w:right w:val="nil"/>
            </w:tcBorders>
            <w:shd w:val="clear" w:color="auto" w:fill="EAEAEA"/>
            <w:tcMar>
              <w:left w:w="36" w:type="dxa"/>
              <w:right w:w="36" w:type="dxa"/>
            </w:tcMar>
            <w:vAlign w:val="center"/>
          </w:tcPr>
          <w:p w:rsidR="005C1F19" w:rsidRPr="00491918" w:rsidRDefault="005C1F19">
            <w:pPr>
              <w:jc w:val="right"/>
              <w:rPr>
                <w:color w:val="000000"/>
                <w:sz w:val="16"/>
                <w:vertAlign w:val="superscript"/>
              </w:rPr>
            </w:pPr>
            <w:r w:rsidRPr="00491918">
              <w:rPr>
                <w:color w:val="000000"/>
                <w:sz w:val="16"/>
              </w:rPr>
              <w:t xml:space="preserve"> </w:t>
            </w:r>
          </w:p>
        </w:tc>
        <w:tc>
          <w:tcPr>
            <w:tcW w:w="1605" w:type="dxa"/>
            <w:tcBorders>
              <w:top w:val="nil"/>
              <w:left w:val="nil"/>
              <w:bottom w:val="nil"/>
              <w:right w:val="nil"/>
            </w:tcBorders>
            <w:shd w:val="clear" w:color="auto" w:fill="EAEAEA"/>
            <w:tcMar>
              <w:left w:w="36" w:type="dxa"/>
              <w:right w:w="36" w:type="dxa"/>
            </w:tcMar>
            <w:vAlign w:val="center"/>
          </w:tcPr>
          <w:p w:rsidR="005C1F19" w:rsidRPr="00491918" w:rsidRDefault="005C1F19">
            <w:pPr>
              <w:jc w:val="right"/>
              <w:rPr>
                <w:color w:val="000000"/>
                <w:sz w:val="16"/>
              </w:rPr>
            </w:pPr>
            <w:r w:rsidRPr="00491918">
              <w:rPr>
                <w:color w:val="000000"/>
                <w:sz w:val="16"/>
              </w:rPr>
              <w:t>111%</w:t>
            </w:r>
            <w:r w:rsidRPr="00491918">
              <w:rPr>
                <w:color w:val="000000"/>
                <w:sz w:val="16"/>
                <w:vertAlign w:val="superscript"/>
              </w:rPr>
              <w:t xml:space="preserve"> </w:t>
            </w:r>
          </w:p>
        </w:tc>
      </w:tr>
      <w:tr w:rsidR="005C1F19" w:rsidRPr="00491918" w:rsidTr="005C1F19">
        <w:trPr>
          <w:trHeight w:hRule="exact" w:val="240"/>
        </w:trPr>
        <w:tc>
          <w:tcPr>
            <w:tcW w:w="6480" w:type="dxa"/>
            <w:tcBorders>
              <w:top w:val="nil"/>
              <w:left w:val="nil"/>
              <w:bottom w:val="nil"/>
              <w:right w:val="nil"/>
            </w:tcBorders>
            <w:shd w:val="clear" w:color="auto" w:fill="FFFFFF"/>
            <w:tcMar>
              <w:left w:w="36" w:type="dxa"/>
              <w:right w:w="36" w:type="dxa"/>
            </w:tcMar>
            <w:vAlign w:val="center"/>
          </w:tcPr>
          <w:p w:rsidR="005C1F19" w:rsidRPr="00491918" w:rsidRDefault="005C1F19">
            <w:pPr>
              <w:rPr>
                <w:color w:val="000000"/>
                <w:sz w:val="16"/>
              </w:rPr>
            </w:pPr>
            <w:r w:rsidRPr="00491918">
              <w:rPr>
                <w:b/>
                <w:color w:val="000000"/>
                <w:sz w:val="16"/>
              </w:rPr>
              <w:t xml:space="preserve"> </w:t>
            </w:r>
          </w:p>
        </w:tc>
        <w:tc>
          <w:tcPr>
            <w:tcW w:w="1440" w:type="dxa"/>
            <w:tcBorders>
              <w:top w:val="nil"/>
              <w:left w:val="nil"/>
              <w:bottom w:val="nil"/>
              <w:right w:val="nil"/>
            </w:tcBorders>
            <w:shd w:val="clear" w:color="auto" w:fill="FFFFFF"/>
            <w:tcMar>
              <w:left w:w="36" w:type="dxa"/>
              <w:right w:w="36" w:type="dxa"/>
            </w:tcMar>
            <w:vAlign w:val="center"/>
          </w:tcPr>
          <w:p w:rsidR="005C1F19" w:rsidRPr="00491918" w:rsidRDefault="005C1F19">
            <w:pPr>
              <w:jc w:val="right"/>
              <w:rPr>
                <w:b/>
                <w:color w:val="000000"/>
                <w:sz w:val="16"/>
              </w:rPr>
            </w:pPr>
            <w:r w:rsidRPr="00491918">
              <w:rPr>
                <w:color w:val="000000"/>
                <w:sz w:val="16"/>
              </w:rPr>
              <w:t xml:space="preserve"> </w:t>
            </w:r>
            <w:r w:rsidRPr="00491918">
              <w:rPr>
                <w:color w:val="000000"/>
                <w:sz w:val="16"/>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5C1F19" w:rsidRPr="00491918" w:rsidRDefault="005C1F19">
            <w:pPr>
              <w:jc w:val="right"/>
              <w:rPr>
                <w:color w:val="000000"/>
                <w:sz w:val="16"/>
                <w:vertAlign w:val="superscript"/>
              </w:rPr>
            </w:pPr>
            <w:r w:rsidRPr="00491918">
              <w:rPr>
                <w:color w:val="000000"/>
                <w:sz w:val="16"/>
              </w:rPr>
              <w:t xml:space="preserve"> </w:t>
            </w:r>
          </w:p>
        </w:tc>
        <w:tc>
          <w:tcPr>
            <w:tcW w:w="1605" w:type="dxa"/>
            <w:tcBorders>
              <w:top w:val="nil"/>
              <w:left w:val="nil"/>
              <w:bottom w:val="nil"/>
              <w:right w:val="nil"/>
            </w:tcBorders>
            <w:shd w:val="clear" w:color="auto" w:fill="FFFFFF"/>
            <w:tcMar>
              <w:left w:w="36" w:type="dxa"/>
              <w:right w:w="36" w:type="dxa"/>
            </w:tcMar>
            <w:vAlign w:val="center"/>
          </w:tcPr>
          <w:p w:rsidR="005C1F19" w:rsidRPr="00491918" w:rsidRDefault="005C1F19">
            <w:pPr>
              <w:jc w:val="right"/>
              <w:rPr>
                <w:color w:val="000000"/>
                <w:sz w:val="16"/>
              </w:rPr>
            </w:pPr>
            <w:r w:rsidRPr="00491918">
              <w:rPr>
                <w:color w:val="000000"/>
                <w:sz w:val="16"/>
              </w:rPr>
              <w:t xml:space="preserve"> </w:t>
            </w:r>
            <w:r w:rsidRPr="00491918">
              <w:rPr>
                <w:color w:val="000000"/>
                <w:sz w:val="16"/>
                <w:vertAlign w:val="superscript"/>
              </w:rPr>
              <w:t xml:space="preserve"> </w:t>
            </w:r>
          </w:p>
        </w:tc>
      </w:tr>
    </w:tbl>
    <w:p w:rsidR="000D1659" w:rsidRPr="00491918" w:rsidRDefault="000D1659"/>
    <w:p w:rsidR="000D1659" w:rsidRPr="00491918" w:rsidRDefault="000D1659" w:rsidP="000D1659">
      <w:pPr>
        <w:pStyle w:val="BodyText-BarcRA320"/>
      </w:pPr>
      <w:r w:rsidRPr="00491918">
        <w:t>Barclays plans to maintain its surplus to the internal and regulatory stress requirements at an efficient level. Barclays will continue to monitor the money markets closely, in particular for early indications of the tightening of available funding. In these conditions, the nature and severity of the stress scenarios are reassessed and appropriate action taken with respect to the liquidity pool. This may include further increasing the size of the pool or monetising the pool to meet stress outflows.</w:t>
      </w:r>
    </w:p>
    <w:p w:rsidR="002F0500" w:rsidRPr="00491918" w:rsidRDefault="002F0500" w:rsidP="000D1659">
      <w:pPr>
        <w:pStyle w:val="BodyText-BarcRA320"/>
      </w:pPr>
    </w:p>
    <w:p w:rsidR="00A24BF9" w:rsidRPr="00491918" w:rsidRDefault="00A24BF9" w:rsidP="000D1659">
      <w:pPr>
        <w:pStyle w:val="BodyText-BarcRA320"/>
      </w:pPr>
    </w:p>
    <w:p w:rsidR="002F0500" w:rsidRPr="00491918" w:rsidRDefault="002F0500" w:rsidP="000D1659">
      <w:pPr>
        <w:pStyle w:val="BodyText-BarcRA320"/>
      </w:pPr>
    </w:p>
    <w:p w:rsidR="002F0500" w:rsidRPr="00491918" w:rsidRDefault="002F0500" w:rsidP="000D1659">
      <w:pPr>
        <w:pStyle w:val="BodyText-BarcRA320"/>
      </w:pPr>
    </w:p>
    <w:p w:rsidR="002F0500" w:rsidRPr="00491918" w:rsidRDefault="002F0500" w:rsidP="000D1659">
      <w:pPr>
        <w:pStyle w:val="BodyText-BarcRA320"/>
      </w:pPr>
    </w:p>
    <w:p w:rsidR="000D1659" w:rsidRPr="00491918" w:rsidRDefault="000D1659"/>
    <w:p w:rsidR="000D1659" w:rsidRPr="00491918" w:rsidRDefault="000D1659" w:rsidP="00CD39D9">
      <w:pPr>
        <w:pStyle w:val="NoteSourceText-BarcRA2"/>
        <w:numPr>
          <w:ilvl w:val="0"/>
          <w:numId w:val="103"/>
        </w:numPr>
        <w:ind w:left="284" w:hanging="284"/>
      </w:pPr>
      <w:r w:rsidRPr="00491918">
        <w:t xml:space="preserve">The methodology for estimating the LCR is based on an interpretation of the published Basel standards and includes a number of assumptions which are subject to change prior to the implementation of the LCR. </w:t>
      </w:r>
      <w:r w:rsidR="000E4F19" w:rsidRPr="00491918">
        <w:t>CRD IV</w:t>
      </w:r>
      <w:r w:rsidRPr="00491918">
        <w:t xml:space="preserve"> requires a phased-in implementation of the LCR in Europe. As at 1 January 2015, institutions will be required to comply with a 60% LCR. This will increase gradually to 100% by 1 January 2018.</w:t>
      </w:r>
    </w:p>
    <w:p w:rsidR="000D1659" w:rsidRPr="00491918" w:rsidRDefault="000D1659" w:rsidP="00CD39D9">
      <w:pPr>
        <w:pStyle w:val="NoteSourceText-BarcRA2"/>
        <w:numPr>
          <w:ilvl w:val="0"/>
          <w:numId w:val="103"/>
        </w:numPr>
        <w:ind w:left="284" w:hanging="284"/>
      </w:pPr>
      <w:r w:rsidRPr="00491918">
        <w:t>The LCR and NSFR are calculated on a consolidated basis including Absa.</w:t>
      </w:r>
    </w:p>
    <w:p w:rsidR="000D1659" w:rsidRPr="00491918" w:rsidRDefault="000D1659" w:rsidP="00CD39D9">
      <w:pPr>
        <w:pStyle w:val="NoteSourceText-BarcRA2"/>
        <w:numPr>
          <w:ilvl w:val="0"/>
          <w:numId w:val="103"/>
        </w:numPr>
        <w:ind w:left="284" w:hanging="284"/>
      </w:pPr>
      <w:r w:rsidRPr="00491918">
        <w:t>Of the three stress scenarios monitored as part of the LRA, the one month Barclays specific scenario results in the lowest ratio at 11</w:t>
      </w:r>
      <w:r w:rsidR="0076224A" w:rsidRPr="00491918">
        <w:t>1</w:t>
      </w:r>
      <w:r w:rsidRPr="00491918">
        <w:t>% (2012: 129%). This compares to 137% (2012: 141%) under the three month market-wide scenario and 123% (2012: 145%) under the one month combined scenario.</w:t>
      </w:r>
    </w:p>
    <w:p w:rsidR="000D1659" w:rsidRPr="00491918" w:rsidRDefault="000D1659">
      <w:pPr>
        <w:spacing w:line="14" w:lineRule="exact"/>
      </w:pPr>
      <w:r w:rsidRPr="00491918">
        <w:br w:type="page"/>
      </w:r>
    </w:p>
    <w:p w:rsidR="000D76A8" w:rsidRPr="00491918" w:rsidRDefault="000D76A8" w:rsidP="000D76A8">
      <w:pPr>
        <w:pStyle w:val="HeadingLevel1-BarcRA29"/>
      </w:pPr>
      <w:r w:rsidRPr="00491918">
        <w:lastRenderedPageBreak/>
        <w:t>Funding Risk</w:t>
      </w:r>
    </w:p>
    <w:p w:rsidR="000D1659" w:rsidRPr="00491918" w:rsidRDefault="000D1659" w:rsidP="008D6001">
      <w:pPr>
        <w:pStyle w:val="HeadingLevel1-AR"/>
        <w:outlineLvl w:val="0"/>
      </w:pPr>
      <w:r w:rsidRPr="00491918">
        <w:t>Liquidity pool</w:t>
      </w:r>
    </w:p>
    <w:p w:rsidR="000D1659" w:rsidRPr="00491918" w:rsidRDefault="000D1659" w:rsidP="000D1659">
      <w:pPr>
        <w:pStyle w:val="BodyText-BarcRA38"/>
      </w:pPr>
      <w:r w:rsidRPr="00491918">
        <w:t>The Group liquidity pool as at 30 June 2013 was £138bn (2012: £150bn). During H113, the month-end liquidity pool ranged from £138bn to £157bn (Full Year 2012: £150bn to £173bn), and the month-end average balance was £148bn (Full Year 2012: £162bn). The liquidity pool is held unencumbered and is not used to support payment or clearing requirements. Such requirements are treated as part of our regular business funding. The liquidity pool is intended to offset stress outflows and comprises the following cash and unencumbered assets.</w:t>
      </w:r>
    </w:p>
    <w:p w:rsidR="000D1659" w:rsidRPr="00491918" w:rsidRDefault="000D1659"/>
    <w:tbl>
      <w:tblPr>
        <w:tblW w:w="0" w:type="auto"/>
        <w:tblLayout w:type="fixed"/>
        <w:tblLook w:val="0000" w:firstRow="0" w:lastRow="0" w:firstColumn="0" w:lastColumn="0" w:noHBand="0" w:noVBand="0"/>
      </w:tblPr>
      <w:tblGrid>
        <w:gridCol w:w="4230"/>
        <w:gridCol w:w="315"/>
        <w:gridCol w:w="1020"/>
        <w:gridCol w:w="1020"/>
        <w:gridCol w:w="1020"/>
        <w:gridCol w:w="1020"/>
        <w:gridCol w:w="1020"/>
      </w:tblGrid>
      <w:tr w:rsidR="000D1659" w:rsidRPr="00491918">
        <w:trPr>
          <w:trHeight w:val="285"/>
        </w:trPr>
        <w:tc>
          <w:tcPr>
            <w:tcW w:w="4230" w:type="dxa"/>
            <w:tcBorders>
              <w:top w:val="nil"/>
              <w:left w:val="nil"/>
              <w:bottom w:val="nil"/>
              <w:right w:val="nil"/>
            </w:tcBorders>
            <w:shd w:val="clear" w:color="auto" w:fill="FFFFFF"/>
            <w:tcMar>
              <w:left w:w="36" w:type="dxa"/>
              <w:right w:w="36" w:type="dxa"/>
            </w:tcMar>
            <w:vAlign w:val="bottom"/>
          </w:tcPr>
          <w:p w:rsidR="000D1659" w:rsidRPr="00491918" w:rsidRDefault="000D1659">
            <w:pPr>
              <w:jc w:val="both"/>
            </w:pPr>
            <w:r w:rsidRPr="00491918">
              <w:rPr>
                <w:b/>
                <w:color w:val="000000"/>
                <w:sz w:val="20"/>
              </w:rPr>
              <w:t>Composition of the Group Liquidity Pool</w:t>
            </w:r>
            <w:r w:rsidRPr="00491918">
              <w:rPr>
                <w:b/>
                <w:color w:val="000000"/>
                <w:sz w:val="20"/>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both"/>
              <w:rPr>
                <w:b/>
                <w:color w:val="000000"/>
                <w:sz w:val="20"/>
                <w:vertAlign w:val="superscript"/>
              </w:rPr>
            </w:pPr>
            <w:r w:rsidRPr="00491918">
              <w:rPr>
                <w:b/>
                <w:color w:val="000000"/>
                <w:sz w:val="20"/>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Barclays Sans" w:eastAsia="Barclays Sans" w:hAnsi="Barclays Sans" w:cs="Barclays Sans"/>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p>
        </w:tc>
      </w:tr>
      <w:tr w:rsidR="009E6048" w:rsidRPr="00491918" w:rsidTr="00FF7A7C">
        <w:trPr>
          <w:trHeight w:val="1050"/>
        </w:trPr>
        <w:tc>
          <w:tcPr>
            <w:tcW w:w="423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r w:rsidRPr="00491918">
              <w:rPr>
                <w:b/>
                <w:color w:val="000000"/>
                <w:sz w:val="16"/>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Liquidity Pool 30.06.2013</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Liquidity pool of which PRA eligible</w:t>
            </w:r>
          </w:p>
        </w:tc>
        <w:tc>
          <w:tcPr>
            <w:tcW w:w="204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Liquidity pool of which Basel III LCR-eligible</w:t>
            </w:r>
            <w:r w:rsidRPr="00491918">
              <w:rPr>
                <w:rFonts w:ascii="Barclays Sans" w:eastAsia="Barclays Sans" w:hAnsi="Barclays Sans" w:cs="Barclays Sans"/>
                <w:color w:val="000000"/>
                <w:sz w:val="16"/>
                <w:vertAlign w:val="superscript"/>
              </w:rPr>
              <w:t>1 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rFonts w:ascii="Barclays Sans" w:eastAsia="Barclays Sans" w:hAnsi="Barclays Sans" w:cs="Barclays Sans"/>
                <w:color w:val="000000"/>
                <w:sz w:val="16"/>
                <w:vertAlign w:val="superscript"/>
              </w:rPr>
            </w:pPr>
            <w:r w:rsidRPr="00491918">
              <w:rPr>
                <w:b/>
                <w:color w:val="000000"/>
                <w:sz w:val="16"/>
              </w:rPr>
              <w:t>Liquidity Pool 31.12.2012</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Level 1</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Level 2A</w:t>
            </w:r>
            <w:r w:rsidRPr="00491918">
              <w:rPr>
                <w:rFonts w:ascii="Barclays Sans" w:eastAsia="Barclays Sans" w:hAnsi="Barclays Sans" w:cs="Barclays Sans"/>
                <w:color w:val="000000"/>
                <w:sz w:val="16"/>
                <w:vertAlign w:val="superscript"/>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b/>
                <w:color w:val="000000"/>
                <w:sz w:val="16"/>
              </w:rPr>
              <w:t>As at 30.06.2013</w:t>
            </w:r>
            <w:r w:rsidRPr="00491918">
              <w:rPr>
                <w:b/>
                <w:color w:val="000000"/>
                <w:sz w:val="16"/>
                <w:vertAlign w:val="superscript"/>
              </w:rPr>
              <w:t xml:space="preserve"> </w:t>
            </w:r>
          </w:p>
        </w:tc>
        <w:tc>
          <w:tcPr>
            <w:tcW w:w="3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£bn</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£bn</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£bn</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£bn</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rFonts w:ascii="Barclays Sans" w:eastAsia="Barclays Sans" w:hAnsi="Barclays Sans" w:cs="Barclays Sans"/>
                <w:color w:val="000000"/>
                <w:sz w:val="16"/>
                <w:vertAlign w:val="superscript"/>
              </w:rPr>
            </w:pPr>
            <w:r w:rsidRPr="00491918">
              <w:rPr>
                <w:color w:val="000000"/>
                <w:sz w:val="16"/>
              </w:rPr>
              <w:t>£bn</w:t>
            </w:r>
          </w:p>
        </w:tc>
      </w:tr>
    </w:tbl>
    <w:p w:rsidR="00FF7A7C" w:rsidRPr="00491918" w:rsidRDefault="00FF7A7C"/>
    <w:tbl>
      <w:tblPr>
        <w:tblW w:w="0" w:type="auto"/>
        <w:tblLayout w:type="fixed"/>
        <w:tblLook w:val="0000" w:firstRow="0" w:lastRow="0" w:firstColumn="0" w:lastColumn="0" w:noHBand="0" w:noVBand="0"/>
      </w:tblPr>
      <w:tblGrid>
        <w:gridCol w:w="4230"/>
        <w:gridCol w:w="315"/>
        <w:gridCol w:w="1020"/>
        <w:gridCol w:w="1020"/>
        <w:gridCol w:w="1020"/>
        <w:gridCol w:w="1020"/>
        <w:gridCol w:w="1020"/>
      </w:tblGrid>
      <w:tr w:rsidR="000D1659" w:rsidRPr="00491918" w:rsidTr="00FF7A7C">
        <w:trPr>
          <w:trHeigh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Cash and deposits with central banks</w:t>
            </w:r>
            <w:r w:rsidRPr="00491918">
              <w:rPr>
                <w:b/>
                <w:color w:val="000000"/>
                <w:sz w:val="16"/>
                <w:vertAlign w:val="superscript"/>
              </w:rPr>
              <w:t>2 </w:t>
            </w:r>
          </w:p>
        </w:tc>
        <w:tc>
          <w:tcPr>
            <w:tcW w:w="31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102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71 </w:t>
            </w:r>
          </w:p>
        </w:tc>
        <w:tc>
          <w:tcPr>
            <w:tcW w:w="102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69 </w:t>
            </w:r>
          </w:p>
        </w:tc>
        <w:tc>
          <w:tcPr>
            <w:tcW w:w="102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69 </w:t>
            </w:r>
          </w:p>
        </w:tc>
        <w:tc>
          <w:tcPr>
            <w:tcW w:w="102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rFonts w:ascii="Barclays Sans" w:eastAsia="Barclays Sans" w:hAnsi="Barclays Sans" w:cs="Barclays Sans"/>
                <w:color w:val="000000"/>
                <w:sz w:val="16"/>
                <w:vertAlign w:val="superscript"/>
              </w:rPr>
              <w:t xml:space="preserve"> </w:t>
            </w:r>
          </w:p>
        </w:tc>
        <w:tc>
          <w:tcPr>
            <w:tcW w:w="1020" w:type="dxa"/>
            <w:tcBorders>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85 </w:t>
            </w:r>
          </w:p>
        </w:tc>
      </w:tr>
      <w:tr w:rsidR="000D1659" w:rsidRPr="00491918">
        <w:trPr>
          <w:trHeight w:hRule="exac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 xml:space="preserve"> </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eastAsia="Barclays Sans" w:cs="Barclays Sans"/>
                <w:color w:val="000000"/>
                <w:sz w:val="16"/>
                <w:vertAlign w:val="superscript"/>
              </w:rPr>
            </w:pPr>
            <w:r w:rsidRPr="00491918">
              <w:rPr>
                <w:rFonts w:eastAsia="Barclays Sans" w:cs="Barclays Sans"/>
                <w:color w:val="000000"/>
                <w:sz w:val="16"/>
              </w:rPr>
              <w:t xml:space="preserve"> </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16"/>
              </w:rPr>
              <w:t>Government bonds</w:t>
            </w:r>
            <w:r w:rsidRPr="00491918">
              <w:rPr>
                <w:color w:val="000000"/>
                <w:sz w:val="16"/>
                <w:vertAlign w:val="superscript"/>
              </w:rPr>
              <w:t>3 </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eastAsia="Barclays Sans" w:cs="Barclays Sans"/>
                <w:color w:val="000000"/>
                <w:sz w:val="16"/>
                <w:vertAlign w:val="superscript"/>
              </w:rPr>
            </w:pPr>
            <w:r w:rsidRPr="00491918">
              <w:rPr>
                <w:rFonts w:eastAsia="Barclays Sans" w:cs="Barclays Sans"/>
                <w:color w:val="000000"/>
                <w:sz w:val="16"/>
              </w:rPr>
              <w:t xml:space="preserve"> </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AAA rated</w:t>
            </w:r>
            <w:r w:rsidRPr="00491918">
              <w:rPr>
                <w:color w:val="000000"/>
                <w:sz w:val="16"/>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41 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41 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40 </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AA+ to AA- rated</w:t>
            </w:r>
            <w:r w:rsidRPr="00491918">
              <w:rPr>
                <w:color w:val="000000"/>
                <w:sz w:val="16"/>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5 </w:t>
            </w:r>
          </w:p>
        </w:tc>
      </w:tr>
      <w:tr w:rsidR="000D1659" w:rsidRPr="00491918">
        <w:trPr>
          <w:trHeight w:val="240"/>
        </w:trPr>
        <w:tc>
          <w:tcPr>
            <w:tcW w:w="42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Other government bonds</w:t>
            </w:r>
            <w:r w:rsidRPr="00491918">
              <w:rPr>
                <w:color w:val="000000"/>
                <w:sz w:val="16"/>
                <w:vertAlign w:val="superscript"/>
              </w:rPr>
              <w:t xml:space="preserve"> </w:t>
            </w:r>
          </w:p>
        </w:tc>
        <w:tc>
          <w:tcPr>
            <w:tcW w:w="3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1 </w:t>
            </w:r>
          </w:p>
        </w:tc>
      </w:tr>
      <w:tr w:rsidR="000D1659" w:rsidRPr="00491918">
        <w:trPr>
          <w:trHeight w:val="240"/>
        </w:trPr>
        <w:tc>
          <w:tcPr>
            <w:tcW w:w="42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16"/>
              </w:rPr>
              <w:t>Total Government bonds</w:t>
            </w:r>
            <w:r w:rsidRPr="00491918">
              <w:rPr>
                <w:color w:val="000000"/>
                <w:sz w:val="16"/>
                <w:vertAlign w:val="superscript"/>
              </w:rPr>
              <w:t xml:space="preserve"> </w:t>
            </w:r>
          </w:p>
        </w:tc>
        <w:tc>
          <w:tcPr>
            <w:tcW w:w="3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47 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43 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45 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1 </w:t>
            </w:r>
            <w:r w:rsidRPr="00491918">
              <w:rPr>
                <w:rFonts w:ascii="Barclays Sans" w:eastAsia="Barclays Sans" w:hAnsi="Barclays Sans" w:cs="Barclays Sans"/>
                <w:color w:val="000000"/>
                <w:sz w:val="16"/>
                <w:vertAlign w:val="superscript"/>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46 </w:t>
            </w:r>
          </w:p>
        </w:tc>
      </w:tr>
      <w:tr w:rsidR="000D1659" w:rsidRPr="00491918">
        <w:trPr>
          <w:trHeight w:hRule="exac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 xml:space="preserve"> </w:t>
            </w:r>
            <w:r w:rsidRPr="00491918">
              <w:rPr>
                <w:color w:val="000000"/>
                <w:sz w:val="16"/>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eastAsia="Barclays Sans" w:cs="Barclays Sans"/>
                <w:color w:val="000000"/>
                <w:sz w:val="16"/>
                <w:vertAlign w:val="superscript"/>
              </w:rPr>
            </w:pPr>
            <w:r w:rsidRPr="00491918">
              <w:rPr>
                <w:rFonts w:eastAsia="Barclays Sans" w:cs="Barclays Sans"/>
                <w:color w:val="000000"/>
                <w:sz w:val="16"/>
              </w:rPr>
              <w:t xml:space="preserve"> </w:t>
            </w:r>
          </w:p>
        </w:tc>
      </w:tr>
      <w:tr w:rsidR="000D1659" w:rsidRPr="00491918">
        <w:trPr>
          <w:trHeight w:val="255"/>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16"/>
              </w:rPr>
              <w:t>Other</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eastAsia="Barclays Sans" w:cs="Barclays Sans"/>
                <w:color w:val="000000"/>
                <w:sz w:val="16"/>
                <w:vertAlign w:val="superscript"/>
              </w:rPr>
            </w:pPr>
            <w:r w:rsidRPr="00491918">
              <w:rPr>
                <w:rFonts w:eastAsia="Barclays Sans" w:cs="Barclays Sans"/>
                <w:color w:val="000000"/>
                <w:sz w:val="16"/>
              </w:rPr>
              <w:t xml:space="preserve"> </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Supranational bonds and multilateral development banks</w:t>
            </w:r>
            <w:r w:rsidRPr="00491918">
              <w:rPr>
                <w:color w:val="000000"/>
                <w:sz w:val="16"/>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4 </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Agencies and agency mortgage-backed securities</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7 </w:t>
            </w:r>
          </w:p>
        </w:tc>
      </w:tr>
      <w:tr w:rsidR="000D1659" w:rsidRPr="00491918">
        <w:trPr>
          <w:trHeight w:val="240"/>
        </w:trPr>
        <w:tc>
          <w:tcPr>
            <w:tcW w:w="423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Covered bonds (rated AA- and above)</w:t>
            </w:r>
            <w:r w:rsidRPr="00491918">
              <w:rPr>
                <w:color w:val="000000"/>
                <w:sz w:val="16"/>
                <w:vertAlign w:val="superscript"/>
              </w:rPr>
              <w:t xml:space="preserve"> </w:t>
            </w:r>
          </w:p>
        </w:tc>
        <w:tc>
          <w:tcPr>
            <w:tcW w:w="3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2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5 </w:t>
            </w:r>
          </w:p>
        </w:tc>
      </w:tr>
      <w:tr w:rsidR="000D1659" w:rsidRPr="00491918">
        <w:trPr>
          <w:trHeight w:val="240"/>
        </w:trPr>
        <w:tc>
          <w:tcPr>
            <w:tcW w:w="42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Other</w:t>
            </w:r>
            <w:r w:rsidRPr="00491918">
              <w:rPr>
                <w:color w:val="000000"/>
                <w:sz w:val="16"/>
                <w:vertAlign w:val="superscript"/>
              </w:rPr>
              <w:t xml:space="preserve"> </w:t>
            </w:r>
          </w:p>
        </w:tc>
        <w:tc>
          <w:tcPr>
            <w:tcW w:w="3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2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3 </w:t>
            </w:r>
          </w:p>
        </w:tc>
      </w:tr>
      <w:tr w:rsidR="000D1659" w:rsidRPr="00491918">
        <w:trPr>
          <w:trHeight w:val="240"/>
        </w:trPr>
        <w:tc>
          <w:tcPr>
            <w:tcW w:w="42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16"/>
              </w:rPr>
              <w:t>Total other</w:t>
            </w:r>
            <w:r w:rsidRPr="00491918">
              <w:rPr>
                <w:b/>
                <w:color w:val="000000"/>
                <w:sz w:val="16"/>
                <w:vertAlign w:val="superscript"/>
              </w:rPr>
              <w:t xml:space="preserve"> </w:t>
            </w:r>
          </w:p>
        </w:tc>
        <w:tc>
          <w:tcPr>
            <w:tcW w:w="3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20 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9 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8 </w:t>
            </w:r>
            <w:r w:rsidRPr="00491918">
              <w:rPr>
                <w:rFonts w:ascii="Barclays Sans" w:eastAsia="Barclays Sans" w:hAnsi="Barclays Sans" w:cs="Barclays Sans"/>
                <w:color w:val="000000"/>
                <w:sz w:val="16"/>
                <w:vertAlign w:val="superscript"/>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19 </w:t>
            </w:r>
          </w:p>
        </w:tc>
      </w:tr>
      <w:tr w:rsidR="000D1659" w:rsidRPr="00491918">
        <w:trPr>
          <w:trHeight w:hRule="exact" w:val="240"/>
        </w:trPr>
        <w:tc>
          <w:tcPr>
            <w:tcW w:w="42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 xml:space="preserve"> </w:t>
            </w:r>
            <w:r w:rsidRPr="00491918">
              <w:rPr>
                <w:color w:val="000000"/>
                <w:sz w:val="16"/>
                <w:vertAlign w:val="superscript"/>
              </w:rPr>
              <w:t xml:space="preserve"> </w:t>
            </w:r>
          </w:p>
        </w:tc>
        <w:tc>
          <w:tcPr>
            <w:tcW w:w="3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rFonts w:eastAsia="Barclays Sans" w:cs="Barclays Sans"/>
                <w:color w:val="000000"/>
                <w:sz w:val="16"/>
                <w:vertAlign w:val="superscript"/>
              </w:rPr>
            </w:pPr>
            <w:r w:rsidRPr="00491918">
              <w:rPr>
                <w:rFonts w:eastAsia="Barclays Sans" w:cs="Barclays Sans"/>
                <w:color w:val="000000"/>
                <w:sz w:val="16"/>
              </w:rPr>
              <w:t xml:space="preserve"> </w:t>
            </w:r>
          </w:p>
        </w:tc>
      </w:tr>
      <w:tr w:rsidR="000D1659" w:rsidRPr="00491918">
        <w:trPr>
          <w:trHeight w:val="240"/>
        </w:trPr>
        <w:tc>
          <w:tcPr>
            <w:tcW w:w="423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16"/>
              </w:rPr>
              <w:t>Total as at 30 June 2013</w:t>
            </w:r>
            <w:r w:rsidRPr="00491918">
              <w:rPr>
                <w:color w:val="000000"/>
                <w:sz w:val="16"/>
                <w:vertAlign w:val="superscript"/>
              </w:rPr>
              <w:t xml:space="preserve"> </w:t>
            </w:r>
          </w:p>
        </w:tc>
        <w:tc>
          <w:tcPr>
            <w:tcW w:w="31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single" w:sz="6" w:space="0" w:color="969696"/>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138 </w:t>
            </w:r>
          </w:p>
        </w:tc>
        <w:tc>
          <w:tcPr>
            <w:tcW w:w="1020" w:type="dxa"/>
            <w:tcBorders>
              <w:top w:val="single" w:sz="6" w:space="0" w:color="969696"/>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116 </w:t>
            </w:r>
          </w:p>
        </w:tc>
        <w:tc>
          <w:tcPr>
            <w:tcW w:w="1020" w:type="dxa"/>
            <w:tcBorders>
              <w:top w:val="single" w:sz="6" w:space="0" w:color="969696"/>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123 </w:t>
            </w:r>
          </w:p>
        </w:tc>
        <w:tc>
          <w:tcPr>
            <w:tcW w:w="1020" w:type="dxa"/>
            <w:tcBorders>
              <w:top w:val="single" w:sz="6" w:space="0" w:color="969696"/>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9 </w:t>
            </w:r>
            <w:r w:rsidRPr="00491918">
              <w:rPr>
                <w:rFonts w:ascii="Barclays Sans" w:eastAsia="Barclays Sans" w:hAnsi="Barclays Sans" w:cs="Barclays Sans"/>
                <w:color w:val="000000"/>
                <w:sz w:val="16"/>
                <w:vertAlign w:val="superscript"/>
              </w:rPr>
              <w:t xml:space="preserve"> </w:t>
            </w:r>
          </w:p>
        </w:tc>
        <w:tc>
          <w:tcPr>
            <w:tcW w:w="102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rPr>
                <w:rFonts w:eastAsia="Barclays Sans" w:cs="Barclays Sans"/>
                <w:color w:val="000000"/>
                <w:sz w:val="16"/>
                <w:vertAlign w:val="superscript"/>
              </w:rPr>
            </w:pPr>
            <w:r w:rsidRPr="00491918">
              <w:rPr>
                <w:rFonts w:eastAsia="Barclays Sans" w:cs="Barclays Sans"/>
                <w:color w:val="000000"/>
                <w:sz w:val="16"/>
              </w:rPr>
              <w:t xml:space="preserve"> </w:t>
            </w:r>
          </w:p>
        </w:tc>
      </w:tr>
      <w:tr w:rsidR="000D1659" w:rsidRPr="00491918">
        <w:trPr>
          <w:trHeight w:val="240"/>
        </w:trPr>
        <w:tc>
          <w:tcPr>
            <w:tcW w:w="42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16"/>
              </w:rPr>
              <w:t>Total as at 31 December 2012</w:t>
            </w:r>
            <w:r w:rsidRPr="00491918">
              <w:rPr>
                <w:color w:val="000000"/>
                <w:sz w:val="16"/>
                <w:vertAlign w:val="superscript"/>
              </w:rPr>
              <w:t xml:space="preserve"> </w:t>
            </w:r>
          </w:p>
        </w:tc>
        <w:tc>
          <w:tcPr>
            <w:tcW w:w="3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150 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129 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136 </w:t>
            </w:r>
          </w:p>
        </w:tc>
        <w:tc>
          <w:tcPr>
            <w:tcW w:w="102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8 </w:t>
            </w:r>
            <w:r w:rsidRPr="00491918">
              <w:rPr>
                <w:rFonts w:ascii="Barclays Sans" w:eastAsia="Barclays Sans" w:hAnsi="Barclays Sans" w:cs="Barclays Sans"/>
                <w:color w:val="000000"/>
                <w:sz w:val="16"/>
                <w:vertAlign w:val="superscript"/>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rFonts w:eastAsia="Barclays Sans" w:cs="Barclays Sans"/>
                <w:color w:val="000000"/>
                <w:sz w:val="16"/>
                <w:vertAlign w:val="superscript"/>
              </w:rPr>
            </w:pPr>
            <w:r w:rsidRPr="00491918">
              <w:rPr>
                <w:rFonts w:eastAsia="Barclays Sans" w:cs="Barclays Sans"/>
                <w:color w:val="000000"/>
                <w:sz w:val="16"/>
              </w:rPr>
              <w:t>150 </w:t>
            </w:r>
          </w:p>
        </w:tc>
      </w:tr>
    </w:tbl>
    <w:p w:rsidR="000D1659" w:rsidRPr="00491918" w:rsidRDefault="000D1659" w:rsidP="000D1659">
      <w:pPr>
        <w:pStyle w:val="BodyText-BarcRA39"/>
      </w:pPr>
      <w:r w:rsidRPr="00491918">
        <w:t>Barclays manages the liquidity pool on a centralised basis. As at 30 June 2013, 87% of the liquidity pool was located in Barclays Bank PLC (2012: 90%) and was available to meet liquidity needs across the Barclays Group. The residual liquidity pool is held predominantly within Barclays Capital Inc</w:t>
      </w:r>
      <w:r w:rsidRPr="00491918">
        <w:rPr>
          <w:color w:val="000000"/>
        </w:rPr>
        <w:t>.</w:t>
      </w:r>
      <w:r w:rsidRPr="00491918">
        <w:t xml:space="preserve"> (BCI). The portion of the liquidity pool outside of Barclays Bank PLC is held against entity-specific stressed outflows and regulatory requirements.</w:t>
      </w:r>
    </w:p>
    <w:p w:rsidR="00A24BF9" w:rsidRPr="00491918" w:rsidRDefault="00A24BF9" w:rsidP="000D1659">
      <w:pPr>
        <w:pStyle w:val="BodyText-BarcRA39"/>
      </w:pPr>
    </w:p>
    <w:p w:rsidR="00A24BF9" w:rsidRPr="00491918" w:rsidRDefault="00A24BF9" w:rsidP="000D1659">
      <w:pPr>
        <w:pStyle w:val="BodyText-BarcRA39"/>
      </w:pPr>
    </w:p>
    <w:p w:rsidR="00A24BF9" w:rsidRPr="00491918" w:rsidRDefault="00A24BF9" w:rsidP="000D1659">
      <w:pPr>
        <w:pStyle w:val="BodyText-BarcRA39"/>
      </w:pPr>
    </w:p>
    <w:p w:rsidR="00A24BF9" w:rsidRPr="00491918" w:rsidRDefault="00A24BF9" w:rsidP="000D1659">
      <w:pPr>
        <w:pStyle w:val="BodyText-BarcRA39"/>
      </w:pPr>
    </w:p>
    <w:p w:rsidR="00A24BF9" w:rsidRPr="00491918" w:rsidRDefault="00A24BF9" w:rsidP="000D1659">
      <w:pPr>
        <w:pStyle w:val="BodyText-BarcRA39"/>
      </w:pPr>
    </w:p>
    <w:p w:rsidR="00A24BF9" w:rsidRPr="00491918" w:rsidRDefault="00A24BF9" w:rsidP="000D1659">
      <w:pPr>
        <w:pStyle w:val="BodyText-BarcRA39"/>
      </w:pPr>
    </w:p>
    <w:p w:rsidR="00A24BF9" w:rsidRPr="00491918" w:rsidRDefault="00A24BF9" w:rsidP="000D1659">
      <w:pPr>
        <w:pStyle w:val="BodyText-BarcRA39"/>
      </w:pPr>
    </w:p>
    <w:p w:rsidR="00A24BF9" w:rsidRPr="00491918" w:rsidRDefault="00A24BF9" w:rsidP="000D1659">
      <w:pPr>
        <w:pStyle w:val="BodyText-BarcRA39"/>
      </w:pPr>
    </w:p>
    <w:p w:rsidR="00A24BF9" w:rsidRPr="00491918" w:rsidRDefault="00A24BF9" w:rsidP="000D1659">
      <w:pPr>
        <w:pStyle w:val="BodyText-BarcRA39"/>
      </w:pPr>
    </w:p>
    <w:p w:rsidR="000D1659" w:rsidRPr="00491918" w:rsidRDefault="000D1659"/>
    <w:p w:rsidR="000D1659" w:rsidRPr="00491918" w:rsidRDefault="000D1659" w:rsidP="000D1659">
      <w:pPr>
        <w:pStyle w:val="NoteSourceText-BarcRA20"/>
        <w:ind w:left="0" w:firstLine="0"/>
      </w:pPr>
    </w:p>
    <w:p w:rsidR="000D1659" w:rsidRPr="00491918" w:rsidRDefault="000D1659" w:rsidP="00CD39D9">
      <w:pPr>
        <w:pStyle w:val="NoteSourceText-BarcRA20"/>
        <w:numPr>
          <w:ilvl w:val="0"/>
          <w:numId w:val="104"/>
        </w:numPr>
        <w:ind w:left="284" w:hanging="284"/>
      </w:pPr>
      <w:r w:rsidRPr="00491918">
        <w:t>The Liquidity Coverage Ratio-eligible assets presented in this table represent only those assets which are also eligible for the Group liquidity pool and do not include any Level 2B assets as defined by the Basel Committee on Banking Supervision.</w:t>
      </w:r>
    </w:p>
    <w:p w:rsidR="000D1659" w:rsidRPr="00491918" w:rsidRDefault="000D1659" w:rsidP="00CD39D9">
      <w:pPr>
        <w:pStyle w:val="NoteSourceText-BarcRA20"/>
        <w:numPr>
          <w:ilvl w:val="0"/>
          <w:numId w:val="104"/>
        </w:numPr>
        <w:ind w:left="284" w:hanging="284"/>
      </w:pPr>
      <w:r w:rsidRPr="00491918">
        <w:t>Of which over 95% (2012: over 95%) was placed with the  Bank of England, US Federal Reserve, European Central Bank, Bank of Japan and Swiss National Bank.</w:t>
      </w:r>
    </w:p>
    <w:p w:rsidR="000D1659" w:rsidRPr="00491918" w:rsidRDefault="000D1659" w:rsidP="00CD39D9">
      <w:pPr>
        <w:pStyle w:val="NoteSourceText-BarcRA20"/>
        <w:numPr>
          <w:ilvl w:val="0"/>
          <w:numId w:val="104"/>
        </w:numPr>
        <w:ind w:left="284" w:hanging="284"/>
      </w:pPr>
      <w:r w:rsidRPr="00491918">
        <w:t>Of which over 80% (2012: over 80%) are comprised of UK, US, Japanese, French, German, Danish, Swiss and Dutch securities.</w:t>
      </w:r>
    </w:p>
    <w:p w:rsidR="00DA356B" w:rsidRPr="00491918" w:rsidRDefault="00DA356B" w:rsidP="000D76A8">
      <w:pPr>
        <w:pStyle w:val="HeadingLevel1-BarcRA29"/>
        <w:rPr>
          <w:lang w:val="en-GB"/>
        </w:rPr>
      </w:pPr>
    </w:p>
    <w:p w:rsidR="00DA356B" w:rsidRPr="00491918" w:rsidRDefault="00DA356B" w:rsidP="000D76A8">
      <w:pPr>
        <w:pStyle w:val="HeadingLevel1-BarcRA29"/>
        <w:rPr>
          <w:lang w:val="en-GB"/>
        </w:rPr>
      </w:pPr>
    </w:p>
    <w:p w:rsidR="000D76A8" w:rsidRPr="00491918" w:rsidRDefault="000D76A8" w:rsidP="000D76A8">
      <w:pPr>
        <w:pStyle w:val="HeadingLevel1-BarcRA29"/>
      </w:pPr>
      <w:r w:rsidRPr="00491918">
        <w:t>Funding Risk</w:t>
      </w:r>
    </w:p>
    <w:p w:rsidR="000D1659" w:rsidRPr="00491918" w:rsidRDefault="000D1659">
      <w:pPr>
        <w:spacing w:line="14" w:lineRule="exact"/>
      </w:pPr>
    </w:p>
    <w:tbl>
      <w:tblPr>
        <w:tblW w:w="0" w:type="auto"/>
        <w:tblLayout w:type="fixed"/>
        <w:tblLook w:val="0000" w:firstRow="0" w:lastRow="0" w:firstColumn="0" w:lastColumn="0" w:noHBand="0" w:noVBand="0"/>
      </w:tblPr>
      <w:tblGrid>
        <w:gridCol w:w="4170"/>
        <w:gridCol w:w="1335"/>
        <w:gridCol w:w="1335"/>
        <w:gridCol w:w="1335"/>
        <w:gridCol w:w="135"/>
        <w:gridCol w:w="1335"/>
      </w:tblGrid>
      <w:tr w:rsidR="000D1659" w:rsidRPr="00491918">
        <w:trPr>
          <w:trHeight w:val="255"/>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0"/>
              </w:rPr>
              <w:lastRenderedPageBreak/>
              <w:t xml:space="preserve">Deposit Funding </w:t>
            </w:r>
            <w:r w:rsidRPr="00491918">
              <w:rPr>
                <w:color w:val="000000"/>
                <w:sz w:val="16"/>
                <w:vertAlign w:val="superscript"/>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r>
      <w:tr w:rsidR="009E6048" w:rsidRPr="00491918" w:rsidTr="00FF7A7C">
        <w:trPr>
          <w:trHeight w:val="255"/>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4005" w:type="dxa"/>
            <w:gridSpan w:val="3"/>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color w:val="000000"/>
                <w:sz w:val="16"/>
                <w:vertAlign w:val="superscript"/>
              </w:rPr>
            </w:pPr>
            <w:r w:rsidRPr="00491918">
              <w:rPr>
                <w:b/>
                <w:color w:val="000000"/>
                <w:sz w:val="16"/>
              </w:rPr>
              <w:t>As at 30.06.2013</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As at 31.12.12</w:t>
            </w:r>
          </w:p>
        </w:tc>
      </w:tr>
      <w:tr w:rsidR="000D1659" w:rsidRPr="00491918">
        <w:trPr>
          <w:trHeight w:val="765"/>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Funding of Loans and Advances to Customers</w:t>
            </w:r>
            <w:r w:rsidRPr="00491918">
              <w:rPr>
                <w:color w:val="000000"/>
                <w:sz w:val="16"/>
                <w:vertAlign w:val="superscript"/>
              </w:rPr>
              <w:t>1 </w:t>
            </w:r>
          </w:p>
        </w:tc>
        <w:tc>
          <w:tcPr>
            <w:tcW w:w="13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b/>
                <w:color w:val="000000"/>
                <w:sz w:val="16"/>
              </w:rPr>
              <w:t>Loans and Advances to Customers</w:t>
            </w:r>
          </w:p>
        </w:tc>
        <w:tc>
          <w:tcPr>
            <w:tcW w:w="13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Customer Deposits</w:t>
            </w:r>
          </w:p>
        </w:tc>
        <w:tc>
          <w:tcPr>
            <w:tcW w:w="13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Loan to Deposit Ratio</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3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Loan to Deposit Ratio</w:t>
            </w:r>
          </w:p>
        </w:tc>
      </w:tr>
      <w:tr w:rsidR="000D1659" w:rsidRPr="00491918">
        <w:trPr>
          <w:trHeight w:val="240"/>
        </w:trPr>
        <w:tc>
          <w:tcPr>
            <w:tcW w:w="41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33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£bn</w:t>
            </w:r>
          </w:p>
        </w:tc>
        <w:tc>
          <w:tcPr>
            <w:tcW w:w="133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£bn</w:t>
            </w:r>
          </w:p>
        </w:tc>
        <w:tc>
          <w:tcPr>
            <w:tcW w:w="133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r>
    </w:tbl>
    <w:p w:rsidR="00FF7A7C" w:rsidRPr="00491918" w:rsidRDefault="00FF7A7C"/>
    <w:tbl>
      <w:tblPr>
        <w:tblW w:w="0" w:type="auto"/>
        <w:tblLayout w:type="fixed"/>
        <w:tblLook w:val="0000" w:firstRow="0" w:lastRow="0" w:firstColumn="0" w:lastColumn="0" w:noHBand="0" w:noVBand="0"/>
      </w:tblPr>
      <w:tblGrid>
        <w:gridCol w:w="4170"/>
        <w:gridCol w:w="1335"/>
        <w:gridCol w:w="1335"/>
        <w:gridCol w:w="1335"/>
        <w:gridCol w:w="135"/>
        <w:gridCol w:w="1335"/>
      </w:tblGrid>
      <w:tr w:rsidR="000D1659" w:rsidRPr="00491918" w:rsidTr="00FF7A7C">
        <w:trPr>
          <w:trHeight w:val="240"/>
        </w:trPr>
        <w:tc>
          <w:tcPr>
            <w:tcW w:w="4170" w:type="dxa"/>
            <w:tcBorders>
              <w:left w:val="nil"/>
              <w:bottom w:val="nil"/>
              <w:right w:val="nil"/>
            </w:tcBorders>
            <w:shd w:val="clear" w:color="auto" w:fill="FFFFFF"/>
            <w:tcMar>
              <w:left w:w="36" w:type="dxa"/>
              <w:right w:w="36" w:type="dxa"/>
            </w:tcMar>
            <w:vAlign w:val="bottom"/>
          </w:tcPr>
          <w:p w:rsidR="000D1659" w:rsidRPr="00491918" w:rsidRDefault="00333D40">
            <w:pPr>
              <w:rPr>
                <w:color w:val="000000"/>
                <w:sz w:val="16"/>
              </w:rPr>
            </w:pPr>
            <w:r w:rsidRPr="00491918">
              <w:rPr>
                <w:color w:val="000000"/>
                <w:sz w:val="16"/>
              </w:rPr>
              <w:t>RBB and Barclaycard</w:t>
            </w:r>
            <w:r w:rsidRPr="00491918">
              <w:rPr>
                <w:color w:val="000000"/>
                <w:sz w:val="16"/>
                <w:vertAlign w:val="superscript"/>
              </w:rPr>
              <w:t xml:space="preserve"> </w:t>
            </w:r>
          </w:p>
        </w:tc>
        <w:tc>
          <w:tcPr>
            <w:tcW w:w="133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237.5 </w:t>
            </w:r>
          </w:p>
        </w:tc>
        <w:tc>
          <w:tcPr>
            <w:tcW w:w="133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173.4 </w:t>
            </w:r>
          </w:p>
        </w:tc>
        <w:tc>
          <w:tcPr>
            <w:tcW w:w="133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137 </w:t>
            </w:r>
          </w:p>
        </w:tc>
        <w:tc>
          <w:tcPr>
            <w:tcW w:w="135"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148 </w:t>
            </w:r>
          </w:p>
        </w:tc>
      </w:tr>
      <w:tr w:rsidR="000D1659" w:rsidRPr="00491918">
        <w:trPr>
          <w:trHeight w:val="240"/>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Corporate Banking</w:t>
            </w:r>
            <w:r w:rsidRPr="00491918">
              <w:rPr>
                <w:color w:val="000000"/>
                <w:sz w:val="16"/>
                <w:vertAlign w:val="superscript"/>
              </w:rPr>
              <w:t>2 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62.7 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106.7 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59 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65 </w:t>
            </w:r>
          </w:p>
        </w:tc>
      </w:tr>
      <w:tr w:rsidR="000D1659" w:rsidRPr="00491918">
        <w:trPr>
          <w:trHeight w:val="240"/>
        </w:trPr>
        <w:tc>
          <w:tcPr>
            <w:tcW w:w="41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Wealth and Investment Management</w:t>
            </w:r>
            <w:r w:rsidRPr="00491918">
              <w:rPr>
                <w:color w:val="000000"/>
                <w:sz w:val="16"/>
                <w:vertAlign w:val="superscript"/>
              </w:rPr>
              <w:t xml:space="preserve">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22.6 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62.8 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36 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39 </w:t>
            </w:r>
          </w:p>
        </w:tc>
      </w:tr>
      <w:tr w:rsidR="000D1659" w:rsidRPr="00491918">
        <w:trPr>
          <w:trHeight w:val="240"/>
        </w:trPr>
        <w:tc>
          <w:tcPr>
            <w:tcW w:w="41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 funding excluding secured</w:t>
            </w:r>
            <w:r w:rsidRPr="00491918">
              <w:rPr>
                <w:b/>
                <w:color w:val="000000"/>
                <w:sz w:val="16"/>
                <w:vertAlign w:val="superscript"/>
              </w:rPr>
              <w:t xml:space="preserve">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322.8 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342.9 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94 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3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102 </w:t>
            </w:r>
          </w:p>
        </w:tc>
      </w:tr>
      <w:tr w:rsidR="000D1659" w:rsidRPr="00491918">
        <w:trPr>
          <w:trHeight w:val="240"/>
        </w:trPr>
        <w:tc>
          <w:tcPr>
            <w:tcW w:w="41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Secured funding</w:t>
            </w:r>
            <w:r w:rsidRPr="00491918">
              <w:rPr>
                <w:color w:val="000000"/>
                <w:sz w:val="16"/>
                <w:vertAlign w:val="superscript"/>
              </w:rPr>
              <w:t xml:space="preserve">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43.0 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1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Sub-total including secured funding</w:t>
            </w:r>
            <w:r w:rsidRPr="00491918">
              <w:rPr>
                <w:b/>
                <w:color w:val="000000"/>
                <w:sz w:val="16"/>
                <w:vertAlign w:val="superscript"/>
              </w:rPr>
              <w:t xml:space="preserve">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322.8 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385.9 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84 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3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88 </w:t>
            </w:r>
          </w:p>
        </w:tc>
      </w:tr>
      <w:tr w:rsidR="000D1659" w:rsidRPr="00491918">
        <w:trPr>
          <w:trHeight w:hRule="exact" w:val="240"/>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333D40">
            <w:pPr>
              <w:rPr>
                <w:b/>
                <w:color w:val="000000"/>
                <w:sz w:val="16"/>
              </w:rPr>
            </w:pPr>
            <w:r w:rsidRPr="00491918">
              <w:rPr>
                <w:color w:val="000000"/>
                <w:sz w:val="16"/>
              </w:rPr>
              <w:t>RBB, Barclaycard</w:t>
            </w:r>
            <w:r w:rsidR="000D1659" w:rsidRPr="00491918">
              <w:rPr>
                <w:color w:val="000000"/>
                <w:sz w:val="16"/>
              </w:rPr>
              <w:t>, Corporate Banking  &amp; Wealth and Investment Management</w:t>
            </w:r>
            <w:r w:rsidR="000D1659" w:rsidRPr="00491918">
              <w:rPr>
                <w:color w:val="000000"/>
                <w:sz w:val="16"/>
                <w:vertAlign w:val="superscript"/>
              </w:rPr>
              <w:t>2 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322.8 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342.9 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94 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102 </w:t>
            </w:r>
          </w:p>
        </w:tc>
      </w:tr>
      <w:tr w:rsidR="000D1659" w:rsidRPr="00491918">
        <w:trPr>
          <w:trHeight w:val="240"/>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Investment Bank</w:t>
            </w:r>
            <w:r w:rsidRPr="00491918">
              <w:rPr>
                <w:color w:val="000000"/>
                <w:sz w:val="16"/>
                <w:vertAlign w:val="superscript"/>
              </w:rPr>
              <w:t xml:space="preserve">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76224A" w:rsidP="007F60BA">
            <w:pPr>
              <w:jc w:val="right"/>
              <w:rPr>
                <w:color w:val="000000"/>
                <w:sz w:val="16"/>
                <w:vertAlign w:val="superscript"/>
              </w:rPr>
            </w:pPr>
            <w:r w:rsidRPr="00491918">
              <w:rPr>
                <w:color w:val="000000"/>
                <w:sz w:val="16"/>
              </w:rPr>
              <w:t xml:space="preserve"> 4</w:t>
            </w:r>
            <w:r w:rsidR="007F60BA" w:rsidRPr="00491918">
              <w:rPr>
                <w:color w:val="000000"/>
                <w:sz w:val="16"/>
              </w:rPr>
              <w:t>2.9</w:t>
            </w:r>
            <w:r w:rsidR="000D1659" w:rsidRPr="00491918">
              <w:rPr>
                <w:color w:val="000000"/>
                <w:sz w:val="16"/>
              </w:rPr>
              <w:t>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337CAB">
            <w:pPr>
              <w:jc w:val="right"/>
              <w:rPr>
                <w:color w:val="000000"/>
                <w:sz w:val="16"/>
              </w:rPr>
            </w:pPr>
            <w:r w:rsidRPr="00491918">
              <w:rPr>
                <w:color w:val="000000"/>
                <w:sz w:val="16"/>
              </w:rPr>
              <w:t xml:space="preserve"> 26.3</w:t>
            </w:r>
            <w:r w:rsidR="000D1659" w:rsidRPr="00491918">
              <w:rPr>
                <w:color w:val="000000"/>
                <w:sz w:val="16"/>
              </w:rPr>
              <w:t>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76224A">
            <w:pPr>
              <w:jc w:val="right"/>
              <w:rPr>
                <w:color w:val="000000"/>
                <w:sz w:val="16"/>
              </w:rPr>
            </w:pPr>
            <w:r w:rsidRPr="00491918">
              <w:rPr>
                <w:color w:val="000000"/>
                <w:sz w:val="16"/>
              </w:rPr>
              <w:t xml:space="preserve"> 16</w:t>
            </w:r>
            <w:r w:rsidR="007F60BA" w:rsidRPr="00491918">
              <w:rPr>
                <w:color w:val="000000"/>
                <w:sz w:val="16"/>
              </w:rPr>
              <w:t>3</w:t>
            </w:r>
            <w:r w:rsidR="000D1659" w:rsidRPr="00491918">
              <w:rPr>
                <w:color w:val="000000"/>
                <w:sz w:val="16"/>
              </w:rPr>
              <w:t>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173 </w:t>
            </w:r>
          </w:p>
        </w:tc>
      </w:tr>
      <w:tr w:rsidR="000D1659" w:rsidRPr="00491918">
        <w:trPr>
          <w:trHeight w:val="240"/>
        </w:trPr>
        <w:tc>
          <w:tcPr>
            <w:tcW w:w="41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Head Office and Other Operations</w:t>
            </w:r>
            <w:r w:rsidRPr="00491918">
              <w:rPr>
                <w:color w:val="000000"/>
                <w:sz w:val="16"/>
                <w:vertAlign w:val="superscript"/>
              </w:rPr>
              <w:t xml:space="preserve">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0.9 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337CAB">
            <w:pPr>
              <w:jc w:val="right"/>
              <w:rPr>
                <w:color w:val="000000"/>
                <w:sz w:val="16"/>
              </w:rPr>
            </w:pPr>
            <w:r w:rsidRPr="00491918">
              <w:rPr>
                <w:color w:val="000000"/>
                <w:sz w:val="16"/>
              </w:rPr>
              <w:t xml:space="preserve"> -</w:t>
            </w:r>
            <w:r w:rsidR="000D1659" w:rsidRPr="00491918">
              <w:rPr>
                <w:color w:val="000000"/>
                <w:sz w:val="16"/>
              </w:rPr>
              <w:t> </w:t>
            </w:r>
          </w:p>
        </w:tc>
        <w:tc>
          <w:tcPr>
            <w:tcW w:w="133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1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Trading settlement balances and cash collateral</w:t>
            </w:r>
            <w:r w:rsidRPr="00491918">
              <w:rPr>
                <w:color w:val="000000"/>
                <w:sz w:val="16"/>
                <w:vertAlign w:val="superscript"/>
              </w:rPr>
              <w:t xml:space="preserve">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76224A">
            <w:pPr>
              <w:jc w:val="right"/>
              <w:rPr>
                <w:color w:val="000000"/>
                <w:sz w:val="16"/>
                <w:vertAlign w:val="superscript"/>
              </w:rPr>
            </w:pPr>
            <w:r w:rsidRPr="00491918">
              <w:rPr>
                <w:color w:val="000000"/>
                <w:sz w:val="16"/>
              </w:rPr>
              <w:t xml:space="preserve"> 103.5</w:t>
            </w:r>
            <w:r w:rsidR="000D1659" w:rsidRPr="00491918">
              <w:rPr>
                <w:color w:val="000000"/>
                <w:sz w:val="16"/>
              </w:rPr>
              <w:t>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91.1 </w:t>
            </w:r>
          </w:p>
        </w:tc>
        <w:tc>
          <w:tcPr>
            <w:tcW w:w="133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rsidP="0076224A">
            <w:pPr>
              <w:jc w:val="right"/>
              <w:rPr>
                <w:color w:val="000000"/>
                <w:sz w:val="16"/>
              </w:rPr>
            </w:pPr>
            <w:r w:rsidRPr="00491918">
              <w:rPr>
                <w:color w:val="000000"/>
                <w:sz w:val="16"/>
              </w:rPr>
              <w:t xml:space="preserve"> 11</w:t>
            </w:r>
            <w:r w:rsidR="0076224A" w:rsidRPr="00491918">
              <w:rPr>
                <w:color w:val="000000"/>
                <w:sz w:val="16"/>
              </w:rPr>
              <w:t>4</w:t>
            </w:r>
            <w:r w:rsidRPr="00491918">
              <w:rPr>
                <w:color w:val="000000"/>
                <w:sz w:val="16"/>
              </w:rPr>
              <w:t>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33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123 </w:t>
            </w:r>
          </w:p>
        </w:tc>
      </w:tr>
      <w:tr w:rsidR="000D1659" w:rsidRPr="00491918">
        <w:trPr>
          <w:trHeight w:val="240"/>
        </w:trPr>
        <w:tc>
          <w:tcPr>
            <w:tcW w:w="41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470.</w:t>
            </w:r>
            <w:r w:rsidR="007F60BA" w:rsidRPr="00491918">
              <w:rPr>
                <w:b/>
                <w:color w:val="000000"/>
                <w:sz w:val="16"/>
              </w:rPr>
              <w:t>1</w:t>
            </w:r>
            <w:r w:rsidRPr="00491918">
              <w:rPr>
                <w:b/>
                <w:color w:val="000000"/>
                <w:sz w:val="16"/>
              </w:rPr>
              <w:t>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460.3 </w:t>
            </w:r>
          </w:p>
        </w:tc>
        <w:tc>
          <w:tcPr>
            <w:tcW w:w="133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102 </w:t>
            </w:r>
          </w:p>
        </w:tc>
        <w:tc>
          <w:tcPr>
            <w:tcW w:w="1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3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110 </w:t>
            </w:r>
          </w:p>
        </w:tc>
      </w:tr>
    </w:tbl>
    <w:p w:rsidR="000D1659" w:rsidRPr="00491918" w:rsidRDefault="000D1659"/>
    <w:p w:rsidR="000D1659" w:rsidRPr="00491918" w:rsidRDefault="000D1659" w:rsidP="000D1659">
      <w:pPr>
        <w:pStyle w:val="Normal49"/>
        <w:rPr>
          <w:rFonts w:ascii="Expert Sans Regular" w:hAnsi="Expert Sans Regular"/>
          <w:sz w:val="18"/>
          <w:szCs w:val="18"/>
        </w:rPr>
      </w:pPr>
    </w:p>
    <w:p w:rsidR="000D1659" w:rsidRPr="00491918" w:rsidRDefault="000D1659" w:rsidP="00161467">
      <w:pPr>
        <w:pStyle w:val="Normal49"/>
        <w:jc w:val="both"/>
        <w:rPr>
          <w:rFonts w:ascii="Expert Sans Regular" w:hAnsi="Expert Sans Regular"/>
          <w:sz w:val="18"/>
          <w:szCs w:val="18"/>
        </w:rPr>
      </w:pPr>
      <w:r w:rsidRPr="00491918">
        <w:rPr>
          <w:rFonts w:ascii="Expert Sans Regular" w:hAnsi="Expert Sans Regular"/>
          <w:sz w:val="18"/>
          <w:szCs w:val="18"/>
        </w:rPr>
        <w:t>The Group loan to deposit ratio was 102% (2012: 110%).</w:t>
      </w:r>
    </w:p>
    <w:p w:rsidR="000D1659" w:rsidRPr="00491918" w:rsidRDefault="00333D40" w:rsidP="00161467">
      <w:pPr>
        <w:pStyle w:val="BodyText-BarcRA140"/>
      </w:pPr>
      <w:r w:rsidRPr="00491918">
        <w:rPr>
          <w:szCs w:val="18"/>
        </w:rPr>
        <w:t>RBB, Barclaycard</w:t>
      </w:r>
      <w:r w:rsidR="000D1659" w:rsidRPr="00491918">
        <w:rPr>
          <w:szCs w:val="18"/>
        </w:rPr>
        <w:t xml:space="preserve">, Corporate Banking and Wealth and Investment Management activities are largely funded by customer deposits </w:t>
      </w:r>
      <w:r w:rsidR="000D1659" w:rsidRPr="00491918">
        <w:t xml:space="preserve">with the remaining funding secured against customer loans and advances. The loan to deposit ratio for these businesses was 94% (2012: 102%). </w:t>
      </w:r>
    </w:p>
    <w:p w:rsidR="000D1659" w:rsidRPr="00491918" w:rsidRDefault="000D1659" w:rsidP="00161467">
      <w:pPr>
        <w:pStyle w:val="Normal49"/>
        <w:jc w:val="both"/>
        <w:rPr>
          <w:rFonts w:ascii="Expert Sans Regular" w:hAnsi="Expert Sans Regular"/>
          <w:sz w:val="18"/>
          <w:szCs w:val="18"/>
        </w:rPr>
      </w:pPr>
      <w:r w:rsidRPr="00491918">
        <w:rPr>
          <w:rFonts w:ascii="Expert Sans Regular" w:hAnsi="Expert Sans Regular"/>
          <w:sz w:val="18"/>
          <w:szCs w:val="18"/>
        </w:rPr>
        <w:t xml:space="preserve">The excess of the Investment Bank’s loans and advances over customer deposits is funded with long-term debt and equity. The Investment Bank does not rely on customer deposit funding from </w:t>
      </w:r>
      <w:r w:rsidR="0070784B" w:rsidRPr="00491918">
        <w:rPr>
          <w:rFonts w:ascii="Expert Sans Regular" w:hAnsi="Expert Sans Regular"/>
          <w:sz w:val="18"/>
          <w:szCs w:val="18"/>
        </w:rPr>
        <w:t>RBB, Barclaycard</w:t>
      </w:r>
      <w:r w:rsidRPr="00491918">
        <w:rPr>
          <w:rFonts w:ascii="Expert Sans Regular" w:hAnsi="Expert Sans Regular"/>
          <w:sz w:val="18"/>
          <w:szCs w:val="18"/>
        </w:rPr>
        <w:t>, Corporate Banking and Wealth and Investment Management.</w:t>
      </w:r>
    </w:p>
    <w:p w:rsidR="000D1659" w:rsidRPr="00491918" w:rsidRDefault="000D1659" w:rsidP="00161467">
      <w:pPr>
        <w:pStyle w:val="Normal49"/>
        <w:jc w:val="both"/>
        <w:rPr>
          <w:rFonts w:ascii="Expert Sans Regular" w:hAnsi="Expert Sans Regular"/>
          <w:sz w:val="18"/>
          <w:szCs w:val="18"/>
        </w:rPr>
      </w:pPr>
    </w:p>
    <w:p w:rsidR="000D1659" w:rsidRPr="00491918" w:rsidRDefault="000D1659" w:rsidP="00161467">
      <w:pPr>
        <w:pStyle w:val="Normal49"/>
        <w:jc w:val="both"/>
        <w:rPr>
          <w:rFonts w:ascii="Expert Sans Regular" w:hAnsi="Expert Sans Regular"/>
          <w:sz w:val="18"/>
          <w:szCs w:val="18"/>
        </w:rPr>
      </w:pPr>
      <w:r w:rsidRPr="00491918">
        <w:rPr>
          <w:rFonts w:ascii="Expert Sans Regular" w:hAnsi="Expert Sans Regular"/>
          <w:sz w:val="18"/>
          <w:szCs w:val="18"/>
        </w:rPr>
        <w:t>As at 30 June 2013, £126bn (2012: £112bn) of total customer deposits were insured through the UK Financial Services Compensation Scheme and other similar schemes. In addition to these customer deposits, there were £4bn (2012: £3bn) of other liabilities insured or guaranteed by governments.</w:t>
      </w:r>
    </w:p>
    <w:p w:rsidR="000D1659" w:rsidRPr="00491918" w:rsidRDefault="000D1659">
      <w:pPr>
        <w:rPr>
          <w:sz w:val="18"/>
          <w:szCs w:val="18"/>
        </w:rPr>
      </w:pPr>
    </w:p>
    <w:p w:rsidR="000D1659" w:rsidRPr="00491918" w:rsidRDefault="000D1659" w:rsidP="000D1659">
      <w:pPr>
        <w:pStyle w:val="Normal50"/>
        <w:rPr>
          <w:sz w:val="20"/>
          <w:szCs w:val="20"/>
        </w:rPr>
      </w:pPr>
    </w:p>
    <w:p w:rsidR="00A24BF9" w:rsidRPr="00491918" w:rsidRDefault="00A24BF9"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E13878" w:rsidRPr="00491918" w:rsidRDefault="00E13878" w:rsidP="000D1659">
      <w:pPr>
        <w:pStyle w:val="Normal51"/>
      </w:pPr>
    </w:p>
    <w:p w:rsidR="000D1659" w:rsidRPr="00491918" w:rsidRDefault="000D1659" w:rsidP="000D1659">
      <w:pPr>
        <w:pStyle w:val="NoteandSourceText-BarcRA5"/>
        <w:ind w:left="284" w:hanging="295"/>
      </w:pPr>
      <w:r w:rsidRPr="00491918">
        <w:t xml:space="preserve">Included within </w:t>
      </w:r>
      <w:r w:rsidR="0070784B" w:rsidRPr="00491918">
        <w:t xml:space="preserve">RBB, Barclaycard, </w:t>
      </w:r>
      <w:r w:rsidRPr="00491918">
        <w:t>Corporate Banking, Wealth and Investment Management and the Investment Bank are Absa Group related balances totalling £35bn of loans and advances to customers funded by £31bn of customer deposits.</w:t>
      </w:r>
    </w:p>
    <w:p w:rsidR="000D1659" w:rsidRPr="00491918" w:rsidRDefault="000D1659" w:rsidP="000D1659">
      <w:pPr>
        <w:pStyle w:val="NoteandSourceText-BarcRA5"/>
        <w:ind w:left="284" w:hanging="295"/>
      </w:pPr>
      <w:r w:rsidRPr="00491918">
        <w:t>In addition, Corporate Banking holds £16.3bn (2012: £17.6bn) loans and advances as financial assets held at fair value</w:t>
      </w:r>
      <w:r w:rsidR="00C564A7" w:rsidRPr="00491918">
        <w:t>.</w:t>
      </w:r>
    </w:p>
    <w:p w:rsidR="000D76A8" w:rsidRPr="00491918" w:rsidRDefault="000D1659" w:rsidP="000D76A8">
      <w:pPr>
        <w:pStyle w:val="HeadingLevel1-BarcRA29"/>
      </w:pPr>
      <w:r w:rsidRPr="00491918">
        <w:br w:type="page"/>
      </w:r>
      <w:r w:rsidR="000D76A8" w:rsidRPr="00491918">
        <w:lastRenderedPageBreak/>
        <w:t>Funding Risk</w:t>
      </w:r>
    </w:p>
    <w:p w:rsidR="00E13878" w:rsidRPr="00491918" w:rsidRDefault="00E13878" w:rsidP="008D6001">
      <w:pPr>
        <w:pStyle w:val="Normal50"/>
        <w:outlineLvl w:val="0"/>
        <w:rPr>
          <w:b/>
          <w:sz w:val="20"/>
          <w:szCs w:val="20"/>
        </w:rPr>
      </w:pPr>
      <w:r w:rsidRPr="00491918">
        <w:rPr>
          <w:b/>
          <w:sz w:val="20"/>
          <w:szCs w:val="20"/>
        </w:rPr>
        <w:t>Wholesale Funding</w:t>
      </w:r>
    </w:p>
    <w:tbl>
      <w:tblPr>
        <w:tblW w:w="0" w:type="auto"/>
        <w:tblLayout w:type="fixed"/>
        <w:tblLook w:val="0000" w:firstRow="0" w:lastRow="0" w:firstColumn="0" w:lastColumn="0" w:noHBand="0" w:noVBand="0"/>
      </w:tblPr>
      <w:tblGrid>
        <w:gridCol w:w="3750"/>
        <w:gridCol w:w="397"/>
        <w:gridCol w:w="548"/>
        <w:gridCol w:w="285"/>
        <w:gridCol w:w="3750"/>
        <w:gridCol w:w="945"/>
      </w:tblGrid>
      <w:tr w:rsidR="00E13878" w:rsidRPr="00491918" w:rsidTr="00E13878">
        <w:trPr>
          <w:trHeight w:hRule="exact" w:val="300"/>
        </w:trPr>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r w:rsidRPr="00491918">
              <w:rPr>
                <w:rFonts w:ascii="Calibri" w:eastAsia="Calibri" w:hAnsi="Calibri" w:cs="Calibri"/>
                <w:color w:val="000000"/>
                <w:sz w:val="22"/>
              </w:rPr>
              <w:t xml:space="preserve"> </w:t>
            </w:r>
            <w:r w:rsidRPr="00491918">
              <w:rPr>
                <w:rFonts w:ascii="Calibri" w:eastAsia="Calibri" w:hAnsi="Calibri" w:cs="Calibri"/>
                <w:color w:val="000000"/>
                <w:sz w:val="22"/>
                <w:vertAlign w:val="superscript"/>
              </w:rPr>
              <w:t xml:space="preserve"> </w:t>
            </w:r>
          </w:p>
        </w:tc>
        <w:tc>
          <w:tcPr>
            <w:tcW w:w="945" w:type="dxa"/>
            <w:gridSpan w:val="2"/>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rFonts w:ascii="Calibri" w:eastAsia="Calibri" w:hAnsi="Calibri" w:cs="Calibri"/>
                <w:color w:val="000000"/>
                <w:sz w:val="22"/>
                <w:vertAlign w:val="superscript"/>
              </w:rPr>
            </w:pPr>
            <w:r w:rsidRPr="00491918">
              <w:rPr>
                <w:color w:val="000000"/>
                <w:sz w:val="20"/>
              </w:rPr>
              <w:t xml:space="preserve">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20"/>
              </w:rPr>
            </w:pPr>
            <w:r w:rsidRPr="00491918">
              <w:rPr>
                <w:rFonts w:ascii="Calibri" w:eastAsia="Calibri" w:hAnsi="Calibri" w:cs="Calibri"/>
                <w:color w:val="000000"/>
                <w:sz w:val="22"/>
              </w:rPr>
              <w:t xml:space="preserve"> </w:t>
            </w:r>
          </w:p>
        </w:tc>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rFonts w:ascii="Calibri" w:eastAsia="Calibri" w:hAnsi="Calibri" w:cs="Calibri"/>
                <w:color w:val="000000"/>
                <w:sz w:val="22"/>
              </w:rPr>
            </w:pPr>
            <w:r w:rsidRPr="00491918">
              <w:rPr>
                <w:b/>
                <w:color w:val="000000"/>
                <w:sz w:val="20"/>
              </w:rPr>
              <w:t xml:space="preserve"> </w:t>
            </w:r>
          </w:p>
        </w:tc>
        <w:tc>
          <w:tcPr>
            <w:tcW w:w="94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b/>
                <w:color w:val="000000"/>
                <w:sz w:val="20"/>
              </w:rPr>
            </w:pPr>
            <w:r w:rsidRPr="00491918">
              <w:rPr>
                <w:color w:val="000000"/>
                <w:sz w:val="20"/>
              </w:rPr>
              <w:t xml:space="preserve"> </w:t>
            </w:r>
          </w:p>
        </w:tc>
      </w:tr>
      <w:tr w:rsidR="00E13878" w:rsidRPr="00491918" w:rsidTr="00EA42D2">
        <w:trPr>
          <w:trHeight w:val="300"/>
        </w:trPr>
        <w:tc>
          <w:tcPr>
            <w:tcW w:w="4147" w:type="dxa"/>
            <w:gridSpan w:val="2"/>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20"/>
              </w:rPr>
            </w:pPr>
            <w:r w:rsidRPr="00491918">
              <w:rPr>
                <w:b/>
                <w:color w:val="000000"/>
                <w:sz w:val="20"/>
              </w:rPr>
              <w:t>Funding of Other Assets as at 30 June 2013</w:t>
            </w:r>
            <w:r w:rsidRPr="00491918">
              <w:rPr>
                <w:rFonts w:ascii="Calibri" w:eastAsia="Calibri" w:hAnsi="Calibri" w:cs="Calibri"/>
                <w:color w:val="000000"/>
                <w:sz w:val="22"/>
                <w:vertAlign w:val="superscript"/>
              </w:rPr>
              <w:t xml:space="preserve"> </w:t>
            </w:r>
          </w:p>
        </w:tc>
        <w:tc>
          <w:tcPr>
            <w:tcW w:w="548"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rFonts w:ascii="Calibri" w:eastAsia="Calibri" w:hAnsi="Calibri" w:cs="Calibri"/>
                <w:color w:val="000000"/>
                <w:sz w:val="22"/>
                <w:vertAlign w:val="superscript"/>
              </w:rPr>
            </w:pPr>
            <w:r w:rsidRPr="00491918">
              <w:rPr>
                <w:color w:val="000000"/>
                <w:sz w:val="20"/>
              </w:rPr>
              <w:t xml:space="preserve">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20"/>
              </w:rPr>
            </w:pPr>
            <w:r w:rsidRPr="00491918">
              <w:rPr>
                <w:rFonts w:ascii="Calibri" w:eastAsia="Calibri" w:hAnsi="Calibri" w:cs="Calibri"/>
                <w:color w:val="000000"/>
                <w:sz w:val="22"/>
              </w:rPr>
              <w:t xml:space="preserve"> </w:t>
            </w:r>
          </w:p>
        </w:tc>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rFonts w:ascii="Calibri" w:eastAsia="Calibri" w:hAnsi="Calibri" w:cs="Calibri"/>
                <w:color w:val="000000"/>
                <w:sz w:val="22"/>
              </w:rPr>
            </w:pPr>
            <w:r w:rsidRPr="00491918">
              <w:rPr>
                <w:b/>
                <w:color w:val="000000"/>
                <w:sz w:val="20"/>
              </w:rPr>
              <w:t xml:space="preserve"> </w:t>
            </w:r>
          </w:p>
        </w:tc>
        <w:tc>
          <w:tcPr>
            <w:tcW w:w="94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b/>
                <w:color w:val="000000"/>
                <w:sz w:val="20"/>
              </w:rPr>
            </w:pPr>
            <w:r w:rsidRPr="00491918">
              <w:rPr>
                <w:color w:val="000000"/>
                <w:sz w:val="20"/>
              </w:rPr>
              <w:t xml:space="preserve"> </w:t>
            </w:r>
          </w:p>
        </w:tc>
      </w:tr>
      <w:tr w:rsidR="00E13878" w:rsidRPr="00491918" w:rsidTr="00E13878">
        <w:trPr>
          <w:trHeight w:val="255"/>
        </w:trPr>
        <w:tc>
          <w:tcPr>
            <w:tcW w:w="3750" w:type="dxa"/>
            <w:tcBorders>
              <w:top w:val="nil"/>
              <w:left w:val="nil"/>
              <w:bottom w:val="single" w:sz="6" w:space="0" w:color="969696"/>
              <w:right w:val="nil"/>
            </w:tcBorders>
            <w:shd w:val="clear" w:color="auto" w:fill="FFFFFF"/>
            <w:tcMar>
              <w:left w:w="36" w:type="dxa"/>
              <w:right w:w="36" w:type="dxa"/>
            </w:tcMar>
            <w:vAlign w:val="bottom"/>
          </w:tcPr>
          <w:p w:rsidR="00E13878" w:rsidRPr="00491918" w:rsidRDefault="00E13878" w:rsidP="00E13878">
            <w:pPr>
              <w:rPr>
                <w:color w:val="000000"/>
                <w:sz w:val="20"/>
              </w:rPr>
            </w:pPr>
            <w:r w:rsidRPr="00491918">
              <w:rPr>
                <w:b/>
                <w:color w:val="000000"/>
                <w:sz w:val="16"/>
              </w:rPr>
              <w:t>Assets</w:t>
            </w:r>
            <w:r w:rsidRPr="00491918">
              <w:rPr>
                <w:b/>
                <w:color w:val="000000"/>
                <w:sz w:val="16"/>
                <w:vertAlign w:val="superscript"/>
              </w:rPr>
              <w:t xml:space="preserve"> </w:t>
            </w:r>
          </w:p>
        </w:tc>
        <w:tc>
          <w:tcPr>
            <w:tcW w:w="945" w:type="dxa"/>
            <w:gridSpan w:val="2"/>
            <w:tcBorders>
              <w:top w:val="nil"/>
              <w:left w:val="nil"/>
              <w:bottom w:val="single" w:sz="6" w:space="0" w:color="969696"/>
              <w:right w:val="nil"/>
            </w:tcBorders>
            <w:shd w:val="clear" w:color="auto" w:fill="FFFFFF"/>
            <w:tcMar>
              <w:left w:w="36" w:type="dxa"/>
              <w:right w:w="36" w:type="dxa"/>
            </w:tcMar>
            <w:vAlign w:val="bottom"/>
          </w:tcPr>
          <w:p w:rsidR="00E13878" w:rsidRPr="00491918" w:rsidRDefault="00E13878" w:rsidP="00E13878">
            <w:pPr>
              <w:jc w:val="right"/>
              <w:rPr>
                <w:b/>
                <w:color w:val="000000"/>
                <w:sz w:val="16"/>
                <w:vertAlign w:val="superscript"/>
              </w:rPr>
            </w:pPr>
            <w:r w:rsidRPr="00491918">
              <w:rPr>
                <w:color w:val="000000"/>
                <w:sz w:val="16"/>
              </w:rPr>
              <w:t>£bn</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b/>
                <w:color w:val="000000"/>
                <w:sz w:val="16"/>
              </w:rPr>
              <w:t xml:space="preserve"> </w:t>
            </w:r>
          </w:p>
        </w:tc>
        <w:tc>
          <w:tcPr>
            <w:tcW w:w="3750" w:type="dxa"/>
            <w:tcBorders>
              <w:top w:val="nil"/>
              <w:left w:val="nil"/>
              <w:bottom w:val="single" w:sz="6" w:space="0" w:color="969696"/>
              <w:right w:val="nil"/>
            </w:tcBorders>
            <w:shd w:val="clear" w:color="auto" w:fill="FFFFFF"/>
            <w:tcMar>
              <w:left w:w="36" w:type="dxa"/>
              <w:right w:w="36" w:type="dxa"/>
            </w:tcMar>
            <w:vAlign w:val="bottom"/>
          </w:tcPr>
          <w:p w:rsidR="00E13878" w:rsidRPr="00491918" w:rsidRDefault="00E13878" w:rsidP="00E13878">
            <w:pPr>
              <w:rPr>
                <w:b/>
                <w:color w:val="000000"/>
                <w:sz w:val="16"/>
              </w:rPr>
            </w:pPr>
            <w:r w:rsidRPr="00491918">
              <w:rPr>
                <w:b/>
                <w:color w:val="000000"/>
                <w:sz w:val="16"/>
              </w:rPr>
              <w:t>Liabilities</w:t>
            </w:r>
          </w:p>
        </w:tc>
        <w:tc>
          <w:tcPr>
            <w:tcW w:w="945" w:type="dxa"/>
            <w:tcBorders>
              <w:top w:val="nil"/>
              <w:left w:val="nil"/>
              <w:bottom w:val="single" w:sz="6" w:space="0" w:color="969696"/>
              <w:right w:val="nil"/>
            </w:tcBorders>
            <w:shd w:val="clear" w:color="auto" w:fill="FFFFFF"/>
            <w:tcMar>
              <w:left w:w="36" w:type="dxa"/>
              <w:right w:w="36" w:type="dxa"/>
            </w:tcMar>
            <w:vAlign w:val="bottom"/>
          </w:tcPr>
          <w:p w:rsidR="00E13878" w:rsidRPr="00491918" w:rsidRDefault="00E13878" w:rsidP="00E13878">
            <w:pPr>
              <w:jc w:val="right"/>
              <w:rPr>
                <w:b/>
                <w:color w:val="000000"/>
                <w:sz w:val="16"/>
              </w:rPr>
            </w:pPr>
            <w:r w:rsidRPr="00491918">
              <w:rPr>
                <w:color w:val="000000"/>
                <w:sz w:val="16"/>
              </w:rPr>
              <w:t>£bn</w:t>
            </w:r>
          </w:p>
        </w:tc>
      </w:tr>
      <w:tr w:rsidR="00E13878" w:rsidRPr="00491918" w:rsidTr="00E13878">
        <w:trPr>
          <w:trHeight w:hRule="exact" w:val="165"/>
        </w:trPr>
        <w:tc>
          <w:tcPr>
            <w:tcW w:w="3750" w:type="dxa"/>
            <w:tcBorders>
              <w:top w:val="single" w:sz="6" w:space="0" w:color="969696"/>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b/>
                <w:color w:val="000000"/>
                <w:sz w:val="16"/>
              </w:rPr>
              <w:t xml:space="preserve"> </w:t>
            </w:r>
            <w:r w:rsidRPr="00491918">
              <w:rPr>
                <w:b/>
                <w:color w:val="000000"/>
                <w:sz w:val="16"/>
                <w:vertAlign w:val="superscript"/>
              </w:rPr>
              <w:t xml:space="preserve"> </w:t>
            </w:r>
          </w:p>
        </w:tc>
        <w:tc>
          <w:tcPr>
            <w:tcW w:w="945" w:type="dxa"/>
            <w:gridSpan w:val="2"/>
            <w:tcBorders>
              <w:top w:val="single" w:sz="6" w:space="0" w:color="969696"/>
              <w:left w:val="nil"/>
              <w:bottom w:val="nil"/>
              <w:right w:val="nil"/>
            </w:tcBorders>
            <w:shd w:val="clear" w:color="auto" w:fill="FFFFFF"/>
            <w:tcMar>
              <w:left w:w="36" w:type="dxa"/>
              <w:right w:w="36" w:type="dxa"/>
            </w:tcMar>
            <w:vAlign w:val="bottom"/>
          </w:tcPr>
          <w:p w:rsidR="00E13878" w:rsidRPr="00491918" w:rsidRDefault="00E13878" w:rsidP="00E13878">
            <w:pPr>
              <w:jc w:val="right"/>
              <w:rPr>
                <w:b/>
                <w:color w:val="000000"/>
                <w:sz w:val="16"/>
                <w:vertAlign w:val="superscript"/>
              </w:rPr>
            </w:pPr>
            <w:r w:rsidRPr="00491918">
              <w:rPr>
                <w:b/>
                <w:color w:val="000000"/>
                <w:sz w:val="16"/>
              </w:rPr>
              <w:t xml:space="preserve">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b/>
                <w:color w:val="000000"/>
                <w:sz w:val="16"/>
              </w:rPr>
            </w:pPr>
            <w:r w:rsidRPr="00491918">
              <w:rPr>
                <w:b/>
                <w:color w:val="000000"/>
                <w:sz w:val="16"/>
              </w:rPr>
              <w:t xml:space="preserve"> </w:t>
            </w:r>
          </w:p>
        </w:tc>
        <w:tc>
          <w:tcPr>
            <w:tcW w:w="3750" w:type="dxa"/>
            <w:tcBorders>
              <w:top w:val="single" w:sz="6" w:space="0" w:color="969696"/>
              <w:left w:val="nil"/>
              <w:bottom w:val="nil"/>
              <w:right w:val="nil"/>
            </w:tcBorders>
            <w:shd w:val="clear" w:color="auto" w:fill="FFFFFF"/>
            <w:tcMar>
              <w:left w:w="36" w:type="dxa"/>
              <w:right w:w="36" w:type="dxa"/>
            </w:tcMar>
            <w:vAlign w:val="bottom"/>
          </w:tcPr>
          <w:p w:rsidR="00E13878" w:rsidRPr="00491918" w:rsidRDefault="00E13878" w:rsidP="00E13878">
            <w:pPr>
              <w:rPr>
                <w:b/>
                <w:color w:val="000000"/>
                <w:sz w:val="16"/>
              </w:rPr>
            </w:pPr>
            <w:r w:rsidRPr="00491918">
              <w:rPr>
                <w:b/>
                <w:color w:val="000000"/>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bottom"/>
          </w:tcPr>
          <w:p w:rsidR="00E13878" w:rsidRPr="00491918" w:rsidRDefault="00E13878" w:rsidP="00E13878">
            <w:pPr>
              <w:jc w:val="right"/>
              <w:rPr>
                <w:b/>
                <w:color w:val="000000"/>
                <w:sz w:val="16"/>
              </w:rPr>
            </w:pPr>
            <w:r w:rsidRPr="00491918">
              <w:rPr>
                <w:b/>
                <w:color w:val="000000"/>
                <w:sz w:val="16"/>
              </w:rPr>
              <w:t xml:space="preserve"> </w:t>
            </w:r>
          </w:p>
        </w:tc>
      </w:tr>
      <w:tr w:rsidR="00E13878" w:rsidRPr="00491918" w:rsidTr="00E13878">
        <w:trPr>
          <w:trHeight w:val="255"/>
        </w:trPr>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b/>
                <w:color w:val="000000"/>
                <w:sz w:val="16"/>
              </w:rPr>
            </w:pPr>
            <w:r w:rsidRPr="00491918">
              <w:rPr>
                <w:color w:val="000000"/>
                <w:sz w:val="16"/>
              </w:rPr>
              <w:t>Trading Portfolio Assets</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96 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p>
        </w:tc>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Repurchase agreements</w:t>
            </w:r>
          </w:p>
        </w:tc>
        <w:tc>
          <w:tcPr>
            <w:tcW w:w="945"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259 </w:t>
            </w:r>
          </w:p>
        </w:tc>
      </w:tr>
      <w:tr w:rsidR="00E13878" w:rsidRPr="00491918" w:rsidTr="00E13878">
        <w:trPr>
          <w:trHeight w:val="255"/>
        </w:trPr>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Reverse repurchase agreements</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163 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r>
      <w:tr w:rsidR="00E13878" w:rsidRPr="00491918" w:rsidTr="00E13878">
        <w:trPr>
          <w:trHeight w:hRule="exact" w:val="255"/>
        </w:trPr>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r>
      <w:tr w:rsidR="00E13878" w:rsidRPr="00491918" w:rsidTr="00E13878">
        <w:trPr>
          <w:trHeight w:val="255"/>
        </w:trPr>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Reverse repurchase agreements</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59 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Trading Portfolio Liabilities</w:t>
            </w:r>
          </w:p>
        </w:tc>
        <w:tc>
          <w:tcPr>
            <w:tcW w:w="945"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rPr>
            </w:pPr>
            <w:r w:rsidRPr="00491918">
              <w:rPr>
                <w:color w:val="000000"/>
                <w:sz w:val="16"/>
              </w:rPr>
              <w:t>59 </w:t>
            </w:r>
          </w:p>
        </w:tc>
      </w:tr>
      <w:tr w:rsidR="00E13878" w:rsidRPr="00491918" w:rsidTr="00E13878">
        <w:trPr>
          <w:trHeight w:hRule="exact" w:val="255"/>
        </w:trPr>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r>
      <w:tr w:rsidR="00E13878" w:rsidRPr="00491918" w:rsidTr="00E13878">
        <w:trPr>
          <w:trHeight w:val="255"/>
        </w:trPr>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Derivative Financial Instruments</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401 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Derivative Financial Instruments</w:t>
            </w:r>
          </w:p>
        </w:tc>
        <w:tc>
          <w:tcPr>
            <w:tcW w:w="945"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394 </w:t>
            </w:r>
          </w:p>
        </w:tc>
      </w:tr>
      <w:tr w:rsidR="00E13878" w:rsidRPr="00491918" w:rsidTr="00E13878">
        <w:trPr>
          <w:trHeight w:hRule="exact" w:val="255"/>
        </w:trPr>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rPr>
                <w:color w:val="000000"/>
                <w:sz w:val="16"/>
              </w:rPr>
            </w:pPr>
            <w:r w:rsidRPr="00491918">
              <w:rPr>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r>
      <w:tr w:rsidR="00E13878" w:rsidRPr="00491918" w:rsidTr="00E13878">
        <w:trPr>
          <w:trHeight w:val="255"/>
        </w:trPr>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Liquidity pool</w:t>
            </w:r>
            <w:r w:rsidRPr="00491918">
              <w:rPr>
                <w:color w:val="000000"/>
                <w:sz w:val="16"/>
                <w:vertAlign w:val="superscript"/>
              </w:rPr>
              <w:t xml:space="preserve"> </w:t>
            </w:r>
          </w:p>
        </w:tc>
        <w:tc>
          <w:tcPr>
            <w:tcW w:w="945" w:type="dxa"/>
            <w:gridSpan w:val="2"/>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138 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Less than 1 year wholesale debt</w:t>
            </w:r>
          </w:p>
        </w:tc>
        <w:tc>
          <w:tcPr>
            <w:tcW w:w="945"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93 </w:t>
            </w:r>
          </w:p>
        </w:tc>
      </w:tr>
      <w:tr w:rsidR="00E13878" w:rsidRPr="00491918" w:rsidTr="00E13878">
        <w:trPr>
          <w:trHeight w:val="255"/>
        </w:trPr>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Other unencumbered assets</w:t>
            </w:r>
            <w:r w:rsidRPr="00491918">
              <w:rPr>
                <w:color w:val="000000"/>
                <w:sz w:val="16"/>
                <w:vertAlign w:val="superscript"/>
              </w:rPr>
              <w:t xml:space="preserve"> 1 </w:t>
            </w:r>
          </w:p>
        </w:tc>
        <w:tc>
          <w:tcPr>
            <w:tcW w:w="945" w:type="dxa"/>
            <w:gridSpan w:val="2"/>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vertAlign w:val="superscript"/>
              </w:rPr>
            </w:pPr>
            <w:r w:rsidRPr="00491918">
              <w:rPr>
                <w:color w:val="000000"/>
                <w:sz w:val="16"/>
              </w:rPr>
              <w:t xml:space="preserve"> 136 </w:t>
            </w:r>
          </w:p>
        </w:tc>
        <w:tc>
          <w:tcPr>
            <w:tcW w:w="285" w:type="dxa"/>
            <w:tcBorders>
              <w:top w:val="nil"/>
              <w:left w:val="nil"/>
              <w:bottom w:val="nil"/>
              <w:right w:val="nil"/>
            </w:tcBorders>
            <w:shd w:val="clear" w:color="auto" w:fill="FFFFFF"/>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w:t>
            </w:r>
          </w:p>
        </w:tc>
        <w:tc>
          <w:tcPr>
            <w:tcW w:w="3750"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rPr>
                <w:color w:val="000000"/>
                <w:sz w:val="16"/>
              </w:rPr>
            </w:pPr>
            <w:r w:rsidRPr="00491918">
              <w:rPr>
                <w:color w:val="000000"/>
                <w:sz w:val="16"/>
              </w:rPr>
              <w:t>Greater than 1 year wholesale debt and equity</w:t>
            </w:r>
          </w:p>
        </w:tc>
        <w:tc>
          <w:tcPr>
            <w:tcW w:w="945" w:type="dxa"/>
            <w:tcBorders>
              <w:top w:val="nil"/>
              <w:left w:val="nil"/>
              <w:bottom w:val="nil"/>
              <w:right w:val="nil"/>
            </w:tcBorders>
            <w:shd w:val="clear" w:color="auto" w:fill="EAEAEA"/>
            <w:tcMar>
              <w:left w:w="36" w:type="dxa"/>
              <w:right w:w="36" w:type="dxa"/>
            </w:tcMar>
            <w:vAlign w:val="bottom"/>
          </w:tcPr>
          <w:p w:rsidR="00E13878" w:rsidRPr="00491918" w:rsidRDefault="00E13878" w:rsidP="00E13878">
            <w:pPr>
              <w:jc w:val="right"/>
              <w:rPr>
                <w:color w:val="000000"/>
                <w:sz w:val="16"/>
              </w:rPr>
            </w:pPr>
            <w:r w:rsidRPr="00491918">
              <w:rPr>
                <w:color w:val="000000"/>
                <w:sz w:val="16"/>
              </w:rPr>
              <w:t xml:space="preserve"> 181 </w:t>
            </w:r>
          </w:p>
        </w:tc>
      </w:tr>
    </w:tbl>
    <w:p w:rsidR="00E13878" w:rsidRPr="00491918" w:rsidRDefault="00E13878" w:rsidP="00E13878"/>
    <w:p w:rsidR="000D1659" w:rsidRPr="00491918" w:rsidRDefault="000D1659" w:rsidP="000D1659">
      <w:pPr>
        <w:pStyle w:val="Level1Bullet-BarcRA14"/>
      </w:pPr>
      <w:r w:rsidRPr="00491918">
        <w:t>Trading portfolio assets are largely funded by repurchase agreements</w:t>
      </w:r>
      <w:r w:rsidRPr="00491918">
        <w:rPr>
          <w:lang w:val="en-GB"/>
        </w:rPr>
        <w:t xml:space="preserve"> with 72% (2012: 74%) secured against highly liquid assets</w:t>
      </w:r>
      <w:r w:rsidR="00EA42D2" w:rsidRPr="00491918">
        <w:rPr>
          <w:vertAlign w:val="superscript"/>
          <w:lang w:val="en-GB"/>
        </w:rPr>
        <w:t>2</w:t>
      </w:r>
      <w:r w:rsidRPr="00491918">
        <w:rPr>
          <w:vertAlign w:val="subscript"/>
          <w:lang w:val="en-GB"/>
        </w:rPr>
        <w:t>.</w:t>
      </w:r>
      <w:r w:rsidRPr="00491918">
        <w:rPr>
          <w:lang w:val="en-GB"/>
        </w:rPr>
        <w:t xml:space="preserve"> The weighted average maturity of these repurchase agreements secured against less liquid </w:t>
      </w:r>
      <w:r w:rsidR="000B1BD5" w:rsidRPr="00491918">
        <w:rPr>
          <w:lang w:val="en-GB"/>
        </w:rPr>
        <w:t>assets was 70 days (</w:t>
      </w:r>
      <w:r w:rsidRPr="00491918">
        <w:rPr>
          <w:lang w:val="en-GB"/>
        </w:rPr>
        <w:t>2012: 84 days)</w:t>
      </w:r>
      <w:r w:rsidRPr="00491918">
        <w:rPr>
          <w:vertAlign w:val="superscript"/>
          <w:lang w:val="en-GB"/>
        </w:rPr>
        <w:t>3</w:t>
      </w:r>
      <w:r w:rsidR="00EA42D2" w:rsidRPr="00491918">
        <w:rPr>
          <w:vertAlign w:val="superscript"/>
          <w:lang w:val="en-GB"/>
        </w:rPr>
        <w:t>,4</w:t>
      </w:r>
    </w:p>
    <w:p w:rsidR="000D1659" w:rsidRPr="00491918" w:rsidRDefault="000D1659" w:rsidP="000D1659">
      <w:pPr>
        <w:pStyle w:val="Level1Bullet-BarcRA14"/>
      </w:pPr>
      <w:r w:rsidRPr="00491918">
        <w:rPr>
          <w:lang w:val="en-GB"/>
        </w:rPr>
        <w:t xml:space="preserve">The majority of reverse repurchase agreements are matched by </w:t>
      </w:r>
      <w:r w:rsidRPr="00491918">
        <w:t xml:space="preserve">repurchase agreements. </w:t>
      </w:r>
      <w:r w:rsidRPr="00491918">
        <w:rPr>
          <w:lang w:val="en-GB"/>
        </w:rPr>
        <w:t>As at 30 June 2013, 80% (2012: 75%) of matchbook activity was secured against highly liquid assets</w:t>
      </w:r>
      <w:r w:rsidRPr="00491918">
        <w:rPr>
          <w:vertAlign w:val="superscript"/>
          <w:lang w:val="en-GB"/>
        </w:rPr>
        <w:t>2</w:t>
      </w:r>
      <w:r w:rsidR="00EA42D2" w:rsidRPr="00491918">
        <w:rPr>
          <w:vertAlign w:val="superscript"/>
          <w:lang w:val="en-GB"/>
        </w:rPr>
        <w:t>,3</w:t>
      </w:r>
      <w:r w:rsidRPr="00491918">
        <w:rPr>
          <w:lang w:val="en-GB"/>
        </w:rPr>
        <w:t xml:space="preserve">. </w:t>
      </w:r>
      <w:r w:rsidRPr="00491918">
        <w:t>The remainder of reverse repurchase agreements are used to settle trading portfolio liabilities</w:t>
      </w:r>
    </w:p>
    <w:p w:rsidR="000D1659" w:rsidRPr="00491918" w:rsidRDefault="000D1659" w:rsidP="000D1659">
      <w:pPr>
        <w:pStyle w:val="Level1Bullet-BarcRA14"/>
      </w:pPr>
      <w:r w:rsidRPr="00491918">
        <w:t xml:space="preserve">Derivative assets and liabilities are largely matched. A substantial proportion of balance sheet derivative positions qualify for counterparty netting and the remaining portions </w:t>
      </w:r>
      <w:r w:rsidRPr="00491918">
        <w:rPr>
          <w:lang w:val="en-GB"/>
        </w:rPr>
        <w:t xml:space="preserve">are </w:t>
      </w:r>
      <w:r w:rsidRPr="00491918">
        <w:t>largely offset once netted against cash collateral received and paid</w:t>
      </w:r>
      <w:r w:rsidRPr="00491918">
        <w:rPr>
          <w:lang w:val="en-GB"/>
        </w:rPr>
        <w:t xml:space="preserve"> (see Note 12 ‘Offsetting financial assets and liabilities’ for further detail on netting)</w:t>
      </w:r>
    </w:p>
    <w:p w:rsidR="000D1659" w:rsidRPr="00491918" w:rsidRDefault="000D1659" w:rsidP="000D1659">
      <w:pPr>
        <w:pStyle w:val="Level1Bullet-BarcRA14"/>
      </w:pPr>
      <w:r w:rsidRPr="00491918">
        <w:rPr>
          <w:lang w:val="en-GB"/>
        </w:rPr>
        <w:t>The liquidity pool is funded by wholesale debt, the majority of which matures in less than one year</w:t>
      </w:r>
    </w:p>
    <w:p w:rsidR="000D1659" w:rsidRPr="00491918" w:rsidRDefault="000D1659" w:rsidP="000D1659">
      <w:pPr>
        <w:pStyle w:val="Level1Bullet-BarcRA14"/>
      </w:pPr>
      <w:r w:rsidRPr="00491918">
        <w:t xml:space="preserve">Other assets are largely matched by </w:t>
      </w:r>
      <w:r w:rsidRPr="00491918">
        <w:rPr>
          <w:lang w:val="en-GB"/>
        </w:rPr>
        <w:t>term wholesale debt and equity</w:t>
      </w: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EA42D2" w:rsidRPr="00491918" w:rsidRDefault="00EA42D2" w:rsidP="00EA42D2">
      <w:pPr>
        <w:pStyle w:val="Level1Bullet-BarcRA14"/>
        <w:numPr>
          <w:ilvl w:val="0"/>
          <w:numId w:val="0"/>
        </w:numPr>
        <w:ind w:left="284"/>
        <w:rPr>
          <w:lang w:val="en-GB"/>
        </w:rPr>
      </w:pPr>
    </w:p>
    <w:p w:rsidR="000D1659" w:rsidRPr="00491918" w:rsidRDefault="000D1659"/>
    <w:p w:rsidR="00E13878" w:rsidRPr="00491918" w:rsidRDefault="00E13878" w:rsidP="00CC41A9">
      <w:pPr>
        <w:pStyle w:val="NoteandSourceText-BarcRA5"/>
        <w:numPr>
          <w:ilvl w:val="0"/>
          <w:numId w:val="257"/>
        </w:numPr>
        <w:ind w:left="709" w:hanging="709"/>
      </w:pPr>
      <w:r w:rsidRPr="00491918">
        <w:t>Predominantly available for sale investments, trading portfolio assets, financial assets designated at fair value and loans and advances to banks</w:t>
      </w:r>
      <w:r w:rsidR="00C564A7" w:rsidRPr="00491918">
        <w:t>.</w:t>
      </w:r>
    </w:p>
    <w:p w:rsidR="00EA42D2" w:rsidRPr="00491918" w:rsidRDefault="00EA42D2" w:rsidP="000211B7">
      <w:pPr>
        <w:pStyle w:val="NoteandSourceText-BarcRA5"/>
        <w:ind w:left="284" w:hanging="295"/>
      </w:pPr>
      <w:r w:rsidRPr="00491918">
        <w:t>Highly liquid assets are limited to government bonds, US agency securities and US agency mortgage-backed securities.</w:t>
      </w:r>
    </w:p>
    <w:p w:rsidR="00E13878" w:rsidRPr="00491918" w:rsidRDefault="00E13878" w:rsidP="000211B7">
      <w:pPr>
        <w:pStyle w:val="NoteandSourceText-BarcRA5"/>
        <w:ind w:left="284" w:hanging="295"/>
      </w:pPr>
      <w:r w:rsidRPr="00491918">
        <w:t>Includes collateral swaps.</w:t>
      </w:r>
    </w:p>
    <w:p w:rsidR="00EA42D2" w:rsidRPr="00491918" w:rsidRDefault="00EA42D2" w:rsidP="000211B7">
      <w:pPr>
        <w:pStyle w:val="NoteandSourceText-BarcRA5"/>
        <w:ind w:left="284" w:hanging="295"/>
      </w:pPr>
      <w:r w:rsidRPr="00491918">
        <w:t>The 2012 weighted average maturity has been revised to reflect an updated calculation methodology adopted during 2013.</w:t>
      </w:r>
    </w:p>
    <w:p w:rsidR="00EA42D2" w:rsidRPr="00491918" w:rsidRDefault="00EA42D2" w:rsidP="00EA42D2">
      <w:pPr>
        <w:pStyle w:val="NoteandSourceText-BarcRA60"/>
        <w:numPr>
          <w:ilvl w:val="0"/>
          <w:numId w:val="0"/>
        </w:numPr>
        <w:ind w:left="720"/>
        <w:jc w:val="left"/>
      </w:pPr>
    </w:p>
    <w:p w:rsidR="000D76A8" w:rsidRPr="00491918" w:rsidRDefault="000D76A8" w:rsidP="008D6001">
      <w:pPr>
        <w:pStyle w:val="Normal50"/>
        <w:outlineLvl w:val="0"/>
        <w:rPr>
          <w:b/>
          <w:sz w:val="20"/>
          <w:szCs w:val="20"/>
        </w:rPr>
      </w:pPr>
    </w:p>
    <w:p w:rsidR="00DA356B" w:rsidRPr="00491918" w:rsidRDefault="00DA356B" w:rsidP="000D76A8">
      <w:pPr>
        <w:pStyle w:val="HeadingLevel1-BarcRA29"/>
        <w:rPr>
          <w:lang w:val="en-GB"/>
        </w:rPr>
      </w:pPr>
    </w:p>
    <w:p w:rsidR="000D76A8" w:rsidRPr="00491918" w:rsidRDefault="000D76A8" w:rsidP="000D76A8">
      <w:pPr>
        <w:pStyle w:val="HeadingLevel1-BarcRA29"/>
      </w:pPr>
      <w:r w:rsidRPr="00491918">
        <w:t>Funding Risk</w:t>
      </w:r>
    </w:p>
    <w:p w:rsidR="000D1659" w:rsidRPr="00491918" w:rsidRDefault="000D1659" w:rsidP="008D6001">
      <w:pPr>
        <w:pStyle w:val="Normal50"/>
        <w:outlineLvl w:val="0"/>
        <w:rPr>
          <w:b/>
          <w:sz w:val="20"/>
          <w:szCs w:val="20"/>
        </w:rPr>
      </w:pPr>
      <w:r w:rsidRPr="00491918">
        <w:rPr>
          <w:b/>
          <w:sz w:val="20"/>
          <w:szCs w:val="20"/>
        </w:rPr>
        <w:t>Composition of wholesale funding</w:t>
      </w:r>
    </w:p>
    <w:p w:rsidR="000D1659" w:rsidRPr="00491918" w:rsidRDefault="000D1659" w:rsidP="000D1659">
      <w:pPr>
        <w:pStyle w:val="BodyText-BarcRA41"/>
        <w:rPr>
          <w:szCs w:val="18"/>
        </w:rPr>
      </w:pPr>
      <w:r w:rsidRPr="00491918">
        <w:rPr>
          <w:szCs w:val="18"/>
        </w:rPr>
        <w:lastRenderedPageBreak/>
        <w:t>As at 30 June 2013 total wholesale funding outstanding (excluding</w:t>
      </w:r>
      <w:r w:rsidR="00337CAB" w:rsidRPr="00491918">
        <w:rPr>
          <w:szCs w:val="18"/>
        </w:rPr>
        <w:t xml:space="preserve"> repurchase agreements) was £217</w:t>
      </w:r>
      <w:r w:rsidRPr="00491918">
        <w:rPr>
          <w:szCs w:val="18"/>
        </w:rPr>
        <w:t>bn (2012: £240bn). £93bn of wholesale funding matures in less than one year (2012: £102bn) of which £19bn relates to term funding (2012: £18bn)</w:t>
      </w:r>
      <w:r w:rsidR="00D04DCA" w:rsidRPr="00491918">
        <w:rPr>
          <w:szCs w:val="18"/>
          <w:vertAlign w:val="superscript"/>
        </w:rPr>
        <w:t>1</w:t>
      </w:r>
      <w:r w:rsidRPr="00491918">
        <w:rPr>
          <w:szCs w:val="18"/>
        </w:rPr>
        <w:t>.</w:t>
      </w:r>
    </w:p>
    <w:p w:rsidR="000D1659" w:rsidRPr="00491918" w:rsidRDefault="000D1659" w:rsidP="000D1659">
      <w:pPr>
        <w:pStyle w:val="BodyText-BarcRA41"/>
        <w:rPr>
          <w:szCs w:val="18"/>
        </w:rPr>
      </w:pPr>
      <w:r w:rsidRPr="00491918">
        <w:rPr>
          <w:szCs w:val="18"/>
        </w:rPr>
        <w:t>Outstanding wholesale funding comprised of £38bn secured funding (2012: £40bn) and £178bn unsecured funding (2012: £199bn).</w:t>
      </w:r>
    </w:p>
    <w:p w:rsidR="000D1659" w:rsidRPr="00491918" w:rsidRDefault="000D1659" w:rsidP="008D6001">
      <w:pPr>
        <w:pStyle w:val="Normal53"/>
        <w:jc w:val="both"/>
        <w:outlineLvl w:val="0"/>
        <w:rPr>
          <w:szCs w:val="18"/>
        </w:rPr>
      </w:pPr>
      <w:r w:rsidRPr="00491918">
        <w:rPr>
          <w:b/>
          <w:color w:val="000000"/>
          <w:sz w:val="20"/>
          <w:szCs w:val="18"/>
        </w:rPr>
        <w:t>Maturity profile</w:t>
      </w:r>
      <w:r w:rsidR="00D04DCA" w:rsidRPr="00491918">
        <w:rPr>
          <w:color w:val="000000"/>
          <w:sz w:val="16"/>
          <w:szCs w:val="18"/>
          <w:vertAlign w:val="superscript"/>
        </w:rPr>
        <w:t>2</w:t>
      </w:r>
    </w:p>
    <w:p w:rsidR="000D1659" w:rsidRPr="00491918" w:rsidRDefault="000D1659">
      <w:pPr>
        <w:rPr>
          <w:szCs w:val="18"/>
        </w:rPr>
      </w:pPr>
    </w:p>
    <w:tbl>
      <w:tblPr>
        <w:tblW w:w="0" w:type="auto"/>
        <w:tblLayout w:type="fixed"/>
        <w:tblLook w:val="0000" w:firstRow="0" w:lastRow="0" w:firstColumn="0" w:lastColumn="0" w:noHBand="0" w:noVBand="0"/>
      </w:tblPr>
      <w:tblGrid>
        <w:gridCol w:w="3240"/>
        <w:gridCol w:w="825"/>
        <w:gridCol w:w="825"/>
        <w:gridCol w:w="870"/>
        <w:gridCol w:w="825"/>
        <w:gridCol w:w="825"/>
        <w:gridCol w:w="795"/>
        <w:gridCol w:w="750"/>
        <w:gridCol w:w="690"/>
      </w:tblGrid>
      <w:tr w:rsidR="000D1659" w:rsidRPr="00491918" w:rsidTr="004016B0">
        <w:trPr>
          <w:trHeight w:val="1077"/>
        </w:trPr>
        <w:tc>
          <w:tcPr>
            <w:tcW w:w="3240" w:type="dxa"/>
            <w:tcBorders>
              <w:top w:val="nil"/>
              <w:left w:val="nil"/>
              <w:bottom w:val="nil"/>
              <w:right w:val="nil"/>
            </w:tcBorders>
            <w:shd w:val="clear" w:color="auto" w:fill="FFFFFF"/>
            <w:tcMar>
              <w:left w:w="36" w:type="dxa"/>
              <w:right w:w="36" w:type="dxa"/>
            </w:tcMar>
            <w:vAlign w:val="bottom"/>
          </w:tcPr>
          <w:p w:rsidR="000D1659" w:rsidRPr="00491918" w:rsidRDefault="000D1659">
            <w:pPr>
              <w:rPr>
                <w:szCs w:val="18"/>
              </w:rPr>
            </w:pPr>
            <w:r w:rsidRPr="00491918">
              <w:rPr>
                <w:color w:val="000000"/>
                <w:sz w:val="16"/>
                <w:szCs w:val="18"/>
              </w:rPr>
              <w:t xml:space="preserve"> </w:t>
            </w:r>
            <w:r w:rsidRPr="00491918">
              <w:rPr>
                <w:color w:val="000000"/>
                <w:sz w:val="16"/>
                <w:szCs w:val="18"/>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Not more than one month</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Over one month but not more than three months</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Over three months but not more than six months</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Over six months but not more than one year</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Sub-total less than one year</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Over one year but not more than two years</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Over two years</w:t>
            </w:r>
          </w:p>
        </w:tc>
        <w:tc>
          <w:tcPr>
            <w:tcW w:w="6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Total</w:t>
            </w:r>
            <w:r w:rsidRPr="00491918">
              <w:rPr>
                <w:b/>
                <w:color w:val="000000"/>
                <w:sz w:val="16"/>
                <w:szCs w:val="18"/>
                <w:vertAlign w:val="superscript"/>
              </w:rPr>
              <w:t xml:space="preserve"> </w:t>
            </w:r>
          </w:p>
        </w:tc>
      </w:tr>
      <w:tr w:rsidR="000D1659" w:rsidRPr="00491918">
        <w:trPr>
          <w:trHeight w:val="240"/>
        </w:trPr>
        <w:tc>
          <w:tcPr>
            <w:tcW w:w="324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 xml:space="preserve"> </w:t>
            </w:r>
            <w:r w:rsidRPr="00491918">
              <w:rPr>
                <w:b/>
                <w:color w:val="000000"/>
                <w:sz w:val="16"/>
                <w:szCs w:val="18"/>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color w:val="000000"/>
                <w:sz w:val="16"/>
                <w:szCs w:val="18"/>
              </w:rPr>
              <w:t>£bn</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£bn</w:t>
            </w:r>
          </w:p>
        </w:tc>
        <w:tc>
          <w:tcPr>
            <w:tcW w:w="8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£bn</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£bn</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£bn</w:t>
            </w:r>
          </w:p>
        </w:tc>
        <w:tc>
          <w:tcPr>
            <w:tcW w:w="7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£bn</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£bn</w:t>
            </w:r>
          </w:p>
        </w:tc>
        <w:tc>
          <w:tcPr>
            <w:tcW w:w="6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£bn</w:t>
            </w:r>
            <w:r w:rsidRPr="00491918">
              <w:rPr>
                <w:color w:val="000000"/>
                <w:sz w:val="16"/>
                <w:szCs w:val="18"/>
                <w:vertAlign w:val="superscript"/>
              </w:rPr>
              <w:t xml:space="preserve"> </w:t>
            </w:r>
          </w:p>
        </w:tc>
      </w:tr>
      <w:tr w:rsidR="000D1659" w:rsidRPr="00491918">
        <w:trPr>
          <w:trHeight w:val="240"/>
        </w:trPr>
        <w:tc>
          <w:tcPr>
            <w:tcW w:w="324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Deposits from Banks</w:t>
            </w:r>
            <w:r w:rsidRPr="00491918">
              <w:rPr>
                <w:color w:val="000000"/>
                <w:sz w:val="16"/>
                <w:szCs w:val="18"/>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16.0 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5.2 </w:t>
            </w:r>
          </w:p>
        </w:tc>
        <w:tc>
          <w:tcPr>
            <w:tcW w:w="8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1.7 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0.8 </w:t>
            </w:r>
          </w:p>
        </w:tc>
        <w:tc>
          <w:tcPr>
            <w:tcW w:w="82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23.7 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6.0 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1.8 </w:t>
            </w:r>
          </w:p>
        </w:tc>
        <w:tc>
          <w:tcPr>
            <w:tcW w:w="69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31.5 </w:t>
            </w:r>
            <w:r w:rsidRPr="00491918">
              <w:rPr>
                <w:color w:val="000000"/>
                <w:sz w:val="16"/>
                <w:szCs w:val="18"/>
                <w:vertAlign w:val="superscript"/>
              </w:rPr>
              <w:t xml:space="preserve"> </w:t>
            </w:r>
          </w:p>
        </w:tc>
      </w:tr>
      <w:tr w:rsidR="000D1659" w:rsidRPr="00491918">
        <w:trPr>
          <w:trHeight w:val="240"/>
        </w:trPr>
        <w:tc>
          <w:tcPr>
            <w:tcW w:w="32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Certificates of Deposit and Commercial Paper</w:t>
            </w:r>
            <w:r w:rsidRPr="00491918">
              <w:rPr>
                <w:color w:val="000000"/>
                <w:sz w:val="16"/>
                <w:szCs w:val="18"/>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6.5 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13.0 </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9.5 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6.0 </w:t>
            </w:r>
          </w:p>
        </w:tc>
        <w:tc>
          <w:tcPr>
            <w:tcW w:w="8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35.0 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1.8 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1.2 </w:t>
            </w:r>
          </w:p>
        </w:tc>
        <w:tc>
          <w:tcPr>
            <w:tcW w:w="69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38.0 </w:t>
            </w:r>
            <w:r w:rsidRPr="00491918">
              <w:rPr>
                <w:color w:val="000000"/>
                <w:sz w:val="16"/>
                <w:szCs w:val="18"/>
                <w:vertAlign w:val="superscript"/>
              </w:rPr>
              <w:t xml:space="preserve"> </w:t>
            </w:r>
          </w:p>
        </w:tc>
      </w:tr>
      <w:tr w:rsidR="000D1659" w:rsidRPr="00491918">
        <w:trPr>
          <w:trHeight w:val="240"/>
        </w:trPr>
        <w:tc>
          <w:tcPr>
            <w:tcW w:w="32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Asset Backed Commercial Paper</w:t>
            </w:r>
            <w:r w:rsidRPr="00491918">
              <w:rPr>
                <w:color w:val="000000"/>
                <w:sz w:val="16"/>
                <w:szCs w:val="18"/>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2.9 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1.6 </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w:t>
            </w:r>
          </w:p>
        </w:tc>
        <w:tc>
          <w:tcPr>
            <w:tcW w:w="8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4.5 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w:t>
            </w:r>
          </w:p>
        </w:tc>
        <w:tc>
          <w:tcPr>
            <w:tcW w:w="69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4.5 </w:t>
            </w:r>
            <w:r w:rsidRPr="00491918">
              <w:rPr>
                <w:color w:val="000000"/>
                <w:sz w:val="16"/>
                <w:szCs w:val="18"/>
                <w:vertAlign w:val="superscript"/>
              </w:rPr>
              <w:t xml:space="preserve"> </w:t>
            </w:r>
          </w:p>
        </w:tc>
      </w:tr>
      <w:tr w:rsidR="000D1659" w:rsidRPr="00491918">
        <w:trPr>
          <w:trHeight w:val="240"/>
        </w:trPr>
        <w:tc>
          <w:tcPr>
            <w:tcW w:w="32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Senior unsecured (Public benchmark)</w:t>
            </w:r>
            <w:r w:rsidRPr="00491918">
              <w:rPr>
                <w:color w:val="000000"/>
                <w:sz w:val="16"/>
                <w:szCs w:val="18"/>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0.5 </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6.1 </w:t>
            </w:r>
          </w:p>
        </w:tc>
        <w:tc>
          <w:tcPr>
            <w:tcW w:w="8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6.6 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4.7 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11.8 </w:t>
            </w:r>
          </w:p>
        </w:tc>
        <w:tc>
          <w:tcPr>
            <w:tcW w:w="69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23.1 </w:t>
            </w:r>
            <w:r w:rsidRPr="00491918">
              <w:rPr>
                <w:color w:val="000000"/>
                <w:sz w:val="16"/>
                <w:szCs w:val="18"/>
                <w:vertAlign w:val="superscript"/>
              </w:rPr>
              <w:t xml:space="preserve"> </w:t>
            </w:r>
          </w:p>
        </w:tc>
      </w:tr>
      <w:tr w:rsidR="000D1659" w:rsidRPr="00491918">
        <w:trPr>
          <w:trHeight w:val="240"/>
        </w:trPr>
        <w:tc>
          <w:tcPr>
            <w:tcW w:w="32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Senior unsecured (Privately placed)</w:t>
            </w:r>
            <w:r w:rsidRPr="00491918">
              <w:rPr>
                <w:color w:val="000000"/>
                <w:sz w:val="16"/>
                <w:szCs w:val="18"/>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0.8 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2.5 </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2.3 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6.9 </w:t>
            </w:r>
          </w:p>
        </w:tc>
        <w:tc>
          <w:tcPr>
            <w:tcW w:w="8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12.5 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11.2 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32.1 </w:t>
            </w:r>
          </w:p>
        </w:tc>
        <w:tc>
          <w:tcPr>
            <w:tcW w:w="69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55.8 </w:t>
            </w:r>
            <w:r w:rsidRPr="00491918">
              <w:rPr>
                <w:color w:val="000000"/>
                <w:sz w:val="16"/>
                <w:szCs w:val="18"/>
                <w:vertAlign w:val="superscript"/>
              </w:rPr>
              <w:t xml:space="preserve"> </w:t>
            </w:r>
          </w:p>
        </w:tc>
      </w:tr>
      <w:tr w:rsidR="000D1659" w:rsidRPr="00491918">
        <w:trPr>
          <w:trHeight w:val="240"/>
        </w:trPr>
        <w:tc>
          <w:tcPr>
            <w:tcW w:w="32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Covered bonds/ABS</w:t>
            </w:r>
            <w:r w:rsidRPr="00491918">
              <w:rPr>
                <w:color w:val="000000"/>
                <w:sz w:val="16"/>
                <w:szCs w:val="18"/>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0.1 </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0.1 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1.3 </w:t>
            </w:r>
          </w:p>
        </w:tc>
        <w:tc>
          <w:tcPr>
            <w:tcW w:w="8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1.5 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9.3 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15.5 </w:t>
            </w:r>
          </w:p>
        </w:tc>
        <w:tc>
          <w:tcPr>
            <w:tcW w:w="69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26.3 </w:t>
            </w:r>
            <w:r w:rsidRPr="00491918">
              <w:rPr>
                <w:color w:val="000000"/>
                <w:sz w:val="16"/>
                <w:szCs w:val="18"/>
                <w:vertAlign w:val="superscript"/>
              </w:rPr>
              <w:t xml:space="preserve"> </w:t>
            </w:r>
          </w:p>
        </w:tc>
      </w:tr>
      <w:tr w:rsidR="000D1659" w:rsidRPr="00491918">
        <w:trPr>
          <w:trHeight w:val="240"/>
        </w:trPr>
        <w:tc>
          <w:tcPr>
            <w:tcW w:w="32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Subordinated liabilities</w:t>
            </w:r>
            <w:r w:rsidRPr="00491918">
              <w:rPr>
                <w:color w:val="000000"/>
                <w:sz w:val="16"/>
                <w:szCs w:val="18"/>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0.1 </w:t>
            </w:r>
          </w:p>
        </w:tc>
        <w:tc>
          <w:tcPr>
            <w:tcW w:w="8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w:t>
            </w:r>
          </w:p>
        </w:tc>
        <w:tc>
          <w:tcPr>
            <w:tcW w:w="8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0.1 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0.2 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21.3 </w:t>
            </w:r>
          </w:p>
        </w:tc>
        <w:tc>
          <w:tcPr>
            <w:tcW w:w="69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21.6 </w:t>
            </w:r>
            <w:r w:rsidRPr="00491918">
              <w:rPr>
                <w:color w:val="000000"/>
                <w:sz w:val="16"/>
                <w:szCs w:val="18"/>
                <w:vertAlign w:val="superscript"/>
              </w:rPr>
              <w:t xml:space="preserve"> </w:t>
            </w:r>
          </w:p>
        </w:tc>
      </w:tr>
      <w:tr w:rsidR="000D1659" w:rsidRPr="00491918">
        <w:trPr>
          <w:trHeight w:val="240"/>
        </w:trPr>
        <w:tc>
          <w:tcPr>
            <w:tcW w:w="324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Other</w:t>
            </w:r>
            <w:r w:rsidR="00D04DCA" w:rsidRPr="00491918">
              <w:rPr>
                <w:color w:val="000000"/>
                <w:sz w:val="16"/>
                <w:szCs w:val="18"/>
                <w:vertAlign w:val="superscript"/>
              </w:rPr>
              <w:t>3</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4.1 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1.7 </w:t>
            </w:r>
          </w:p>
        </w:tc>
        <w:tc>
          <w:tcPr>
            <w:tcW w:w="8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1.2 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2.4 </w:t>
            </w:r>
          </w:p>
        </w:tc>
        <w:tc>
          <w:tcPr>
            <w:tcW w:w="82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9.4 </w:t>
            </w:r>
          </w:p>
        </w:tc>
        <w:tc>
          <w:tcPr>
            <w:tcW w:w="7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1.2 </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5.1 </w:t>
            </w:r>
          </w:p>
        </w:tc>
        <w:tc>
          <w:tcPr>
            <w:tcW w:w="69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15.7 </w:t>
            </w:r>
            <w:r w:rsidRPr="00491918">
              <w:rPr>
                <w:color w:val="000000"/>
                <w:sz w:val="16"/>
                <w:szCs w:val="18"/>
                <w:vertAlign w:val="superscript"/>
              </w:rPr>
              <w:t xml:space="preserve"> </w:t>
            </w:r>
          </w:p>
        </w:tc>
      </w:tr>
      <w:tr w:rsidR="000D1659" w:rsidRPr="00491918">
        <w:trPr>
          <w:trHeight w:val="240"/>
        </w:trPr>
        <w:tc>
          <w:tcPr>
            <w:tcW w:w="324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b/>
                <w:color w:val="000000"/>
                <w:sz w:val="16"/>
                <w:szCs w:val="18"/>
              </w:rPr>
              <w:t>Total as at 30 June 2013</w:t>
            </w:r>
            <w:r w:rsidRPr="00491918">
              <w:rPr>
                <w:color w:val="000000"/>
                <w:sz w:val="16"/>
                <w:szCs w:val="18"/>
                <w:vertAlign w:val="superscript"/>
              </w:rPr>
              <w:t xml:space="preserve"> </w:t>
            </w:r>
          </w:p>
        </w:tc>
        <w:tc>
          <w:tcPr>
            <w:tcW w:w="82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30.3 </w:t>
            </w:r>
          </w:p>
        </w:tc>
        <w:tc>
          <w:tcPr>
            <w:tcW w:w="82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24.6 </w:t>
            </w:r>
          </w:p>
        </w:tc>
        <w:tc>
          <w:tcPr>
            <w:tcW w:w="87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14.9 </w:t>
            </w:r>
          </w:p>
        </w:tc>
        <w:tc>
          <w:tcPr>
            <w:tcW w:w="82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23.5 </w:t>
            </w:r>
          </w:p>
        </w:tc>
        <w:tc>
          <w:tcPr>
            <w:tcW w:w="825" w:type="dxa"/>
            <w:tcBorders>
              <w:top w:val="single" w:sz="6" w:space="0" w:color="969696"/>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93.3 </w:t>
            </w:r>
          </w:p>
        </w:tc>
        <w:tc>
          <w:tcPr>
            <w:tcW w:w="79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34.4 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88.8 </w:t>
            </w:r>
          </w:p>
        </w:tc>
        <w:tc>
          <w:tcPr>
            <w:tcW w:w="690" w:type="dxa"/>
            <w:tcBorders>
              <w:top w:val="single" w:sz="6" w:space="0" w:color="969696"/>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216.5 </w:t>
            </w:r>
            <w:r w:rsidRPr="00491918">
              <w:rPr>
                <w:b/>
                <w:color w:val="000000"/>
                <w:sz w:val="16"/>
                <w:szCs w:val="18"/>
                <w:vertAlign w:val="superscript"/>
              </w:rPr>
              <w:t xml:space="preserve"> </w:t>
            </w:r>
          </w:p>
        </w:tc>
      </w:tr>
      <w:tr w:rsidR="000D1659" w:rsidRPr="00491918">
        <w:trPr>
          <w:trHeight w:val="240"/>
        </w:trPr>
        <w:tc>
          <w:tcPr>
            <w:tcW w:w="324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Of which secured</w:t>
            </w:r>
            <w:r w:rsidRPr="00491918">
              <w:rPr>
                <w:b/>
                <w:color w:val="000000"/>
                <w:sz w:val="16"/>
                <w:szCs w:val="18"/>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color w:val="000000"/>
                <w:sz w:val="16"/>
                <w:szCs w:val="18"/>
              </w:rPr>
              <w:t>5.1 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3.3 </w:t>
            </w:r>
          </w:p>
        </w:tc>
        <w:tc>
          <w:tcPr>
            <w:tcW w:w="8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1.3 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2.5 </w:t>
            </w:r>
          </w:p>
        </w:tc>
        <w:tc>
          <w:tcPr>
            <w:tcW w:w="82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12.2 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76224A">
            <w:pPr>
              <w:jc w:val="right"/>
              <w:rPr>
                <w:color w:val="000000"/>
                <w:sz w:val="16"/>
                <w:szCs w:val="18"/>
              </w:rPr>
            </w:pPr>
            <w:r w:rsidRPr="00491918">
              <w:rPr>
                <w:color w:val="000000"/>
                <w:sz w:val="16"/>
                <w:szCs w:val="18"/>
              </w:rPr>
              <w:t>9.9</w:t>
            </w:r>
            <w:r w:rsidR="000D1659" w:rsidRPr="00491918">
              <w:rPr>
                <w:color w:val="000000"/>
                <w:sz w:val="16"/>
                <w:szCs w:val="18"/>
              </w:rPr>
              <w:t>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16.0 </w:t>
            </w:r>
          </w:p>
        </w:tc>
        <w:tc>
          <w:tcPr>
            <w:tcW w:w="69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38.1 </w:t>
            </w:r>
            <w:r w:rsidRPr="00491918">
              <w:rPr>
                <w:b/>
                <w:color w:val="000000"/>
                <w:sz w:val="16"/>
                <w:szCs w:val="18"/>
                <w:vertAlign w:val="superscript"/>
              </w:rPr>
              <w:t xml:space="preserve"> </w:t>
            </w:r>
          </w:p>
        </w:tc>
      </w:tr>
      <w:tr w:rsidR="000D1659" w:rsidRPr="00491918">
        <w:trPr>
          <w:trHeight w:val="240"/>
        </w:trPr>
        <w:tc>
          <w:tcPr>
            <w:tcW w:w="324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Of which unsecured</w:t>
            </w:r>
            <w:r w:rsidRPr="00491918">
              <w:rPr>
                <w:color w:val="000000"/>
                <w:sz w:val="16"/>
                <w:szCs w:val="18"/>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25.2 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21.3 </w:t>
            </w:r>
          </w:p>
        </w:tc>
        <w:tc>
          <w:tcPr>
            <w:tcW w:w="8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13.6 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21.0 </w:t>
            </w:r>
          </w:p>
        </w:tc>
        <w:tc>
          <w:tcPr>
            <w:tcW w:w="82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81.1 </w:t>
            </w:r>
          </w:p>
        </w:tc>
        <w:tc>
          <w:tcPr>
            <w:tcW w:w="7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76224A">
            <w:pPr>
              <w:jc w:val="right"/>
              <w:rPr>
                <w:color w:val="000000"/>
                <w:sz w:val="16"/>
                <w:szCs w:val="18"/>
              </w:rPr>
            </w:pPr>
            <w:r w:rsidRPr="00491918">
              <w:rPr>
                <w:color w:val="000000"/>
                <w:sz w:val="16"/>
                <w:szCs w:val="18"/>
              </w:rPr>
              <w:t>24.5</w:t>
            </w:r>
            <w:r w:rsidR="000D1659" w:rsidRPr="00491918">
              <w:rPr>
                <w:color w:val="000000"/>
                <w:sz w:val="16"/>
                <w:szCs w:val="18"/>
              </w:rPr>
              <w:t> </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72.8 </w:t>
            </w:r>
          </w:p>
        </w:tc>
        <w:tc>
          <w:tcPr>
            <w:tcW w:w="690"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178.4 </w:t>
            </w:r>
            <w:r w:rsidRPr="00491918">
              <w:rPr>
                <w:b/>
                <w:color w:val="000000"/>
                <w:sz w:val="16"/>
                <w:szCs w:val="18"/>
                <w:vertAlign w:val="superscript"/>
              </w:rPr>
              <w:t xml:space="preserve"> </w:t>
            </w:r>
          </w:p>
        </w:tc>
      </w:tr>
      <w:tr w:rsidR="000D1659" w:rsidRPr="00491918">
        <w:trPr>
          <w:trHeight w:val="240"/>
        </w:trPr>
        <w:tc>
          <w:tcPr>
            <w:tcW w:w="324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Total as at 31 December 2012</w:t>
            </w:r>
            <w:r w:rsidRPr="00491918">
              <w:rPr>
                <w:color w:val="000000"/>
                <w:sz w:val="16"/>
                <w:szCs w:val="18"/>
                <w:vertAlign w:val="superscript"/>
              </w:rPr>
              <w:t xml:space="preserve"> </w:t>
            </w:r>
          </w:p>
        </w:tc>
        <w:tc>
          <w:tcPr>
            <w:tcW w:w="82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29.4 </w:t>
            </w:r>
          </w:p>
        </w:tc>
        <w:tc>
          <w:tcPr>
            <w:tcW w:w="82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39.4 </w:t>
            </w:r>
          </w:p>
        </w:tc>
        <w:tc>
          <w:tcPr>
            <w:tcW w:w="87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17.5 </w:t>
            </w:r>
          </w:p>
        </w:tc>
        <w:tc>
          <w:tcPr>
            <w:tcW w:w="82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15.4 </w:t>
            </w:r>
          </w:p>
        </w:tc>
        <w:tc>
          <w:tcPr>
            <w:tcW w:w="82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101.7 </w:t>
            </w:r>
          </w:p>
        </w:tc>
        <w:tc>
          <w:tcPr>
            <w:tcW w:w="79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28.3 </w:t>
            </w:r>
          </w:p>
        </w:tc>
        <w:tc>
          <w:tcPr>
            <w:tcW w:w="75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109.7 </w:t>
            </w:r>
          </w:p>
        </w:tc>
        <w:tc>
          <w:tcPr>
            <w:tcW w:w="690"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239.7 </w:t>
            </w:r>
            <w:r w:rsidRPr="00491918">
              <w:rPr>
                <w:b/>
                <w:color w:val="000000"/>
                <w:sz w:val="16"/>
                <w:szCs w:val="18"/>
                <w:vertAlign w:val="superscript"/>
              </w:rPr>
              <w:t xml:space="preserve"> </w:t>
            </w:r>
          </w:p>
        </w:tc>
      </w:tr>
      <w:tr w:rsidR="000D1659" w:rsidRPr="00491918">
        <w:trPr>
          <w:trHeight w:val="240"/>
        </w:trPr>
        <w:tc>
          <w:tcPr>
            <w:tcW w:w="324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Of which secured</w:t>
            </w:r>
            <w:r w:rsidRPr="00491918">
              <w:rPr>
                <w:b/>
                <w:color w:val="000000"/>
                <w:sz w:val="16"/>
                <w:szCs w:val="18"/>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color w:val="000000"/>
                <w:sz w:val="16"/>
                <w:szCs w:val="18"/>
              </w:rPr>
              <w:t>5.9 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4.0 </w:t>
            </w:r>
          </w:p>
        </w:tc>
        <w:tc>
          <w:tcPr>
            <w:tcW w:w="8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2.4 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1.3 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13.6 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5.2 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21.6 </w:t>
            </w:r>
          </w:p>
        </w:tc>
        <w:tc>
          <w:tcPr>
            <w:tcW w:w="6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40.4 </w:t>
            </w:r>
            <w:r w:rsidRPr="00491918">
              <w:rPr>
                <w:b/>
                <w:color w:val="000000"/>
                <w:sz w:val="16"/>
                <w:szCs w:val="18"/>
                <w:vertAlign w:val="superscript"/>
              </w:rPr>
              <w:t xml:space="preserve"> </w:t>
            </w:r>
          </w:p>
        </w:tc>
      </w:tr>
      <w:tr w:rsidR="000D1659" w:rsidRPr="00491918">
        <w:trPr>
          <w:trHeight w:val="240"/>
        </w:trPr>
        <w:tc>
          <w:tcPr>
            <w:tcW w:w="324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Of which unsecured</w:t>
            </w:r>
            <w:r w:rsidRPr="00491918">
              <w:rPr>
                <w:color w:val="000000"/>
                <w:sz w:val="16"/>
                <w:szCs w:val="18"/>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23.5 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35.4 </w:t>
            </w:r>
          </w:p>
        </w:tc>
        <w:tc>
          <w:tcPr>
            <w:tcW w:w="8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15.1 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14.1 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88.1 </w:t>
            </w:r>
          </w:p>
        </w:tc>
        <w:tc>
          <w:tcPr>
            <w:tcW w:w="7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23.1 </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88.1 </w:t>
            </w:r>
          </w:p>
        </w:tc>
        <w:tc>
          <w:tcPr>
            <w:tcW w:w="6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199.3 </w:t>
            </w:r>
            <w:r w:rsidRPr="00491918">
              <w:rPr>
                <w:b/>
                <w:color w:val="000000"/>
                <w:sz w:val="16"/>
                <w:szCs w:val="18"/>
                <w:vertAlign w:val="superscript"/>
              </w:rPr>
              <w:t xml:space="preserve"> </w:t>
            </w:r>
          </w:p>
        </w:tc>
      </w:tr>
      <w:tr w:rsidR="000D1659" w:rsidRPr="00491918">
        <w:trPr>
          <w:trHeight w:hRule="exact" w:val="240"/>
        </w:trPr>
        <w:tc>
          <w:tcPr>
            <w:tcW w:w="324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 xml:space="preserve"> </w:t>
            </w:r>
            <w:r w:rsidRPr="00491918">
              <w:rPr>
                <w:b/>
                <w:color w:val="000000"/>
                <w:sz w:val="16"/>
                <w:szCs w:val="18"/>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6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r w:rsidRPr="00491918">
              <w:rPr>
                <w:b/>
                <w:color w:val="000000"/>
                <w:sz w:val="16"/>
                <w:szCs w:val="18"/>
                <w:vertAlign w:val="superscript"/>
              </w:rPr>
              <w:t xml:space="preserve"> </w:t>
            </w:r>
          </w:p>
        </w:tc>
      </w:tr>
    </w:tbl>
    <w:p w:rsidR="000D1659" w:rsidRPr="00491918" w:rsidRDefault="000D1659">
      <w:pPr>
        <w:rPr>
          <w:szCs w:val="18"/>
        </w:rPr>
      </w:pPr>
    </w:p>
    <w:p w:rsidR="00D04DCA" w:rsidRPr="00491918" w:rsidRDefault="00D04DCA" w:rsidP="00D04DCA">
      <w:pPr>
        <w:spacing w:line="14" w:lineRule="exact"/>
      </w:pPr>
    </w:p>
    <w:p w:rsidR="00D04DCA" w:rsidRPr="00491918" w:rsidRDefault="00D04DCA" w:rsidP="00D04DCA">
      <w:pPr>
        <w:pStyle w:val="Level1Bullet-BarcRA72"/>
        <w:numPr>
          <w:ilvl w:val="0"/>
          <w:numId w:val="0"/>
        </w:numPr>
        <w:tabs>
          <w:tab w:val="left" w:pos="720"/>
        </w:tabs>
        <w:rPr>
          <w:lang w:val="en-GB"/>
        </w:rPr>
      </w:pPr>
      <w:r w:rsidRPr="00491918">
        <w:rPr>
          <w:lang w:val="en-GB"/>
        </w:rPr>
        <w:t>Outstanding wholesale funding includes £56bn of privately placed senior unsecured notes in issue. These notes are issued through a variety of distribution channels including intermediaries and private banks. A large proportion of end users of these products are individual retail investors.</w:t>
      </w:r>
    </w:p>
    <w:p w:rsidR="00D04DCA" w:rsidRPr="00491918" w:rsidRDefault="00D04DCA" w:rsidP="00D04DCA">
      <w:pPr>
        <w:pStyle w:val="Level1Bullet-BarcRA72"/>
        <w:numPr>
          <w:ilvl w:val="0"/>
          <w:numId w:val="0"/>
        </w:numPr>
        <w:tabs>
          <w:tab w:val="left" w:pos="720"/>
        </w:tabs>
        <w:rPr>
          <w:lang w:val="en-GB"/>
        </w:rPr>
      </w:pPr>
      <w:r w:rsidRPr="00491918">
        <w:rPr>
          <w:lang w:val="en-GB"/>
        </w:rPr>
        <w:t xml:space="preserve">In H113, Barclays repaid €1.2bn of funding raised through the European Central Bank’s 3 year LTRO, leaving €7.0bn outstanding as at 30 June 2013 (see page </w:t>
      </w:r>
      <w:r w:rsidR="008D6001" w:rsidRPr="00491918">
        <w:rPr>
          <w:lang w:val="en-GB"/>
        </w:rPr>
        <w:t>93</w:t>
      </w:r>
      <w:r w:rsidRPr="00491918">
        <w:rPr>
          <w:lang w:val="en-GB"/>
        </w:rPr>
        <w:t xml:space="preserve"> for more detail of local Eurozone balance sheet redenomination risk).  </w:t>
      </w:r>
    </w:p>
    <w:p w:rsidR="00D04DCA" w:rsidRPr="00491918" w:rsidRDefault="00D04DCA" w:rsidP="00D04DCA">
      <w:pPr>
        <w:pStyle w:val="Level1Bullet-BarcRA72"/>
        <w:numPr>
          <w:ilvl w:val="0"/>
          <w:numId w:val="0"/>
        </w:numPr>
        <w:tabs>
          <w:tab w:val="left" w:pos="720"/>
        </w:tabs>
        <w:rPr>
          <w:lang w:val="en-GB"/>
        </w:rPr>
      </w:pPr>
      <w:r w:rsidRPr="00491918">
        <w:rPr>
          <w:lang w:val="en-GB"/>
        </w:rPr>
        <w:t>The liquidity risk of wholesale funding is carefully managed primarily through the LRA stress tests, against which the liquidity pool is held. Although not a requirement, the liquidity pool exceeded wholesale funding maturing in less than one year by £45bn as at 30 June 2013 (2012: £48bn).</w:t>
      </w:r>
    </w:p>
    <w:p w:rsidR="00D04DCA" w:rsidRPr="00491918" w:rsidRDefault="00D04DCA" w:rsidP="00D04DCA">
      <w:pPr>
        <w:pStyle w:val="Level1Bullet-BarcRA72"/>
        <w:numPr>
          <w:ilvl w:val="0"/>
          <w:numId w:val="0"/>
        </w:numPr>
        <w:tabs>
          <w:tab w:val="left" w:pos="720"/>
        </w:tabs>
        <w:rPr>
          <w:lang w:val="en-GB"/>
        </w:rPr>
      </w:pPr>
      <w:r w:rsidRPr="00491918">
        <w:rPr>
          <w:lang w:val="en-GB"/>
        </w:rPr>
        <w:t>The average maturity of wholesale funding net of the liquidity pool was at least 61 months (2012: 61 months).</w:t>
      </w:r>
    </w:p>
    <w:p w:rsidR="00E13878" w:rsidRPr="00491918" w:rsidRDefault="00E13878" w:rsidP="000D1659">
      <w:pPr>
        <w:pStyle w:val="NoteandSourceText-BarcRA20"/>
        <w:numPr>
          <w:ilvl w:val="0"/>
          <w:numId w:val="0"/>
        </w:numPr>
        <w:ind w:left="284"/>
      </w:pPr>
    </w:p>
    <w:p w:rsidR="00D04DCA" w:rsidRPr="00491918" w:rsidRDefault="00D04DCA" w:rsidP="000D1659">
      <w:pPr>
        <w:pStyle w:val="NoteandSourceText-BarcRA20"/>
        <w:numPr>
          <w:ilvl w:val="0"/>
          <w:numId w:val="0"/>
        </w:numPr>
        <w:ind w:left="284"/>
      </w:pPr>
    </w:p>
    <w:p w:rsidR="004016B0" w:rsidRPr="00491918" w:rsidRDefault="004016B0" w:rsidP="000D1659">
      <w:pPr>
        <w:pStyle w:val="NoteandSourceText-BarcRA20"/>
        <w:numPr>
          <w:ilvl w:val="0"/>
          <w:numId w:val="0"/>
        </w:numPr>
        <w:ind w:left="284"/>
      </w:pPr>
    </w:p>
    <w:p w:rsidR="004016B0" w:rsidRPr="00491918" w:rsidRDefault="004016B0" w:rsidP="000D1659">
      <w:pPr>
        <w:pStyle w:val="NoteandSourceText-BarcRA20"/>
        <w:numPr>
          <w:ilvl w:val="0"/>
          <w:numId w:val="0"/>
        </w:numPr>
        <w:ind w:left="284"/>
      </w:pPr>
    </w:p>
    <w:p w:rsidR="004016B0" w:rsidRPr="00491918" w:rsidRDefault="004016B0" w:rsidP="000D1659">
      <w:pPr>
        <w:pStyle w:val="NoteandSourceText-BarcRA20"/>
        <w:numPr>
          <w:ilvl w:val="0"/>
          <w:numId w:val="0"/>
        </w:numPr>
        <w:ind w:left="284"/>
      </w:pPr>
    </w:p>
    <w:p w:rsidR="004016B0" w:rsidRPr="00491918" w:rsidRDefault="004016B0" w:rsidP="000D1659">
      <w:pPr>
        <w:pStyle w:val="NoteandSourceText-BarcRA20"/>
        <w:numPr>
          <w:ilvl w:val="0"/>
          <w:numId w:val="0"/>
        </w:numPr>
        <w:ind w:left="284"/>
      </w:pPr>
    </w:p>
    <w:p w:rsidR="00E13878" w:rsidRPr="00491918" w:rsidRDefault="00E13878" w:rsidP="000D1659">
      <w:pPr>
        <w:pStyle w:val="NoteandSourceText-BarcRA20"/>
        <w:numPr>
          <w:ilvl w:val="0"/>
          <w:numId w:val="0"/>
        </w:numPr>
        <w:ind w:left="284"/>
      </w:pPr>
    </w:p>
    <w:p w:rsidR="00E13878" w:rsidRPr="00491918" w:rsidRDefault="00E13878" w:rsidP="000D1659">
      <w:pPr>
        <w:pStyle w:val="NoteandSourceText-BarcRA20"/>
        <w:numPr>
          <w:ilvl w:val="0"/>
          <w:numId w:val="0"/>
        </w:numPr>
        <w:ind w:left="284"/>
      </w:pPr>
    </w:p>
    <w:p w:rsidR="00D04DCA" w:rsidRPr="00491918" w:rsidRDefault="00D04DCA" w:rsidP="000D1659">
      <w:pPr>
        <w:pStyle w:val="NoteandSourceText-BarcRA20"/>
        <w:numPr>
          <w:ilvl w:val="0"/>
          <w:numId w:val="0"/>
        </w:numPr>
        <w:ind w:left="284"/>
      </w:pPr>
    </w:p>
    <w:p w:rsidR="00D04DCA" w:rsidRPr="00491918" w:rsidRDefault="00D04DCA" w:rsidP="000D1659">
      <w:pPr>
        <w:pStyle w:val="NoteandSourceText-BarcRA20"/>
        <w:numPr>
          <w:ilvl w:val="0"/>
          <w:numId w:val="0"/>
        </w:numPr>
        <w:ind w:left="284"/>
      </w:pPr>
    </w:p>
    <w:p w:rsidR="00D04DCA" w:rsidRPr="00491918" w:rsidRDefault="00D04DCA" w:rsidP="000D1659">
      <w:pPr>
        <w:pStyle w:val="NoteandSourceText-BarcRA20"/>
        <w:numPr>
          <w:ilvl w:val="0"/>
          <w:numId w:val="0"/>
        </w:numPr>
        <w:ind w:left="284"/>
      </w:pPr>
    </w:p>
    <w:p w:rsidR="00D04DCA" w:rsidRPr="00491918" w:rsidRDefault="00D04DCA" w:rsidP="000D1659">
      <w:pPr>
        <w:pStyle w:val="NoteandSourceText-BarcRA20"/>
        <w:numPr>
          <w:ilvl w:val="0"/>
          <w:numId w:val="0"/>
        </w:numPr>
        <w:ind w:left="284"/>
      </w:pPr>
    </w:p>
    <w:p w:rsidR="000D1659" w:rsidRPr="00491918" w:rsidRDefault="000D1659" w:rsidP="000D1659">
      <w:pPr>
        <w:pStyle w:val="NoteandSourceText-BarcRA60"/>
        <w:ind w:left="284" w:hanging="284"/>
        <w:jc w:val="left"/>
      </w:pPr>
      <w:r w:rsidRPr="00491918">
        <w:t>Term funding maturities comprise public benchmark and privately placed senior unsecured notes, covered bonds/asset-backed securities (ABS) and subordinated debt where the original maturity of the instrument was more than 1 year. In addition, at 30 June 2013, £2bn of these instruments were not counted towards term financing as they had an original maturity of less than 1 year.</w:t>
      </w:r>
    </w:p>
    <w:p w:rsidR="000D1659" w:rsidRPr="00491918" w:rsidRDefault="000D1659" w:rsidP="000D1659">
      <w:pPr>
        <w:pStyle w:val="NoteandSourceText-BarcRA60"/>
        <w:ind w:left="284" w:hanging="284"/>
        <w:jc w:val="left"/>
      </w:pPr>
      <w:r w:rsidRPr="00491918">
        <w:t>The composition of wholesale funds comprises the balance sheet reported Deposits from Banks, Financial liabilities at Fair Value, Debt Securities in Issue and Subordinated Liabilities, excluding cash collateral and settlement balances. It does not include collateral swaps, including participation in the Bank of England’s Funding for Lending Scheme. Included within deposits from banks are £6.0bn of liabilities drawn in the European Central Bank’s 3 year LTRO.</w:t>
      </w:r>
    </w:p>
    <w:p w:rsidR="000D1659" w:rsidRPr="00491918" w:rsidRDefault="000D1659" w:rsidP="000D1659">
      <w:pPr>
        <w:pStyle w:val="NoteandSourceText-BarcRA60"/>
        <w:ind w:left="284" w:hanging="284"/>
        <w:jc w:val="left"/>
      </w:pPr>
      <w:r w:rsidRPr="00491918">
        <w:t>Primarily comprised of fair value deposits £5.7bn and secured financing of physical gold £7.4bn.</w:t>
      </w:r>
    </w:p>
    <w:p w:rsidR="000D1659" w:rsidRPr="00491918" w:rsidRDefault="000D1659" w:rsidP="00D04DCA">
      <w:pPr>
        <w:spacing w:line="14" w:lineRule="exact"/>
        <w:rPr>
          <w:lang w:val="en-GB"/>
        </w:rPr>
      </w:pPr>
      <w:r w:rsidRPr="00491918">
        <w:br w:type="page"/>
      </w:r>
    </w:p>
    <w:p w:rsidR="000D76A8" w:rsidRPr="00491918" w:rsidRDefault="000D76A8" w:rsidP="000D76A8">
      <w:pPr>
        <w:pStyle w:val="HeadingLevel1-BarcRA29"/>
      </w:pPr>
      <w:r w:rsidRPr="00491918">
        <w:lastRenderedPageBreak/>
        <w:t>Funding Risk</w:t>
      </w:r>
    </w:p>
    <w:p w:rsidR="000D1659" w:rsidRPr="00491918" w:rsidRDefault="000D1659" w:rsidP="008D6001">
      <w:pPr>
        <w:pStyle w:val="Normal53"/>
        <w:jc w:val="both"/>
        <w:outlineLvl w:val="0"/>
        <w:rPr>
          <w:b/>
          <w:color w:val="000000"/>
          <w:sz w:val="20"/>
          <w:szCs w:val="18"/>
        </w:rPr>
      </w:pPr>
      <w:r w:rsidRPr="00491918">
        <w:rPr>
          <w:b/>
          <w:color w:val="000000"/>
          <w:sz w:val="20"/>
          <w:szCs w:val="18"/>
        </w:rPr>
        <w:t>Currency profile</w:t>
      </w:r>
    </w:p>
    <w:p w:rsidR="000D1659" w:rsidRPr="00491918" w:rsidRDefault="000D1659" w:rsidP="000D1659">
      <w:pPr>
        <w:pStyle w:val="BodyText-BarcRA42"/>
      </w:pPr>
      <w:r w:rsidRPr="00491918">
        <w:t>As at 30 June 2013 the proportion of wholesale funding by major currency was as follows:</w:t>
      </w:r>
    </w:p>
    <w:p w:rsidR="000D1659" w:rsidRPr="00491918" w:rsidRDefault="000D1659"/>
    <w:tbl>
      <w:tblPr>
        <w:tblW w:w="0" w:type="auto"/>
        <w:tblLayout w:type="fixed"/>
        <w:tblLook w:val="0000" w:firstRow="0" w:lastRow="0" w:firstColumn="0" w:lastColumn="0" w:noHBand="0" w:noVBand="0"/>
      </w:tblPr>
      <w:tblGrid>
        <w:gridCol w:w="4485"/>
        <w:gridCol w:w="1290"/>
        <w:gridCol w:w="1290"/>
        <w:gridCol w:w="1290"/>
        <w:gridCol w:w="1290"/>
      </w:tblGrid>
      <w:tr w:rsidR="000D1659" w:rsidRPr="00491918">
        <w:trPr>
          <w:trHeight w:val="240"/>
        </w:trPr>
        <w:tc>
          <w:tcPr>
            <w:tcW w:w="4485" w:type="dxa"/>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color w:val="000000"/>
                <w:sz w:val="16"/>
              </w:rPr>
              <w:t xml:space="preserve">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USD</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EUR</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GBP</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Other</w:t>
            </w:r>
          </w:p>
        </w:tc>
      </w:tr>
      <w:tr w:rsidR="000D1659" w:rsidRPr="00491918">
        <w:trPr>
          <w:trHeight w:val="240"/>
        </w:trPr>
        <w:tc>
          <w:tcPr>
            <w:tcW w:w="448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Currency composition of wholesale funds</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r>
      <w:tr w:rsidR="000D1659" w:rsidRPr="00491918">
        <w:trPr>
          <w:trHeight w:val="240"/>
        </w:trPr>
        <w:tc>
          <w:tcPr>
            <w:tcW w:w="448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Deposits from Banks</w:t>
            </w:r>
          </w:p>
        </w:tc>
        <w:tc>
          <w:tcPr>
            <w:tcW w:w="12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26 </w:t>
            </w:r>
          </w:p>
        </w:tc>
        <w:tc>
          <w:tcPr>
            <w:tcW w:w="12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40 </w:t>
            </w:r>
          </w:p>
        </w:tc>
        <w:tc>
          <w:tcPr>
            <w:tcW w:w="12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26 </w:t>
            </w:r>
          </w:p>
        </w:tc>
        <w:tc>
          <w:tcPr>
            <w:tcW w:w="12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8 </w:t>
            </w:r>
          </w:p>
        </w:tc>
      </w:tr>
      <w:tr w:rsidR="000D1659" w:rsidRPr="00491918">
        <w:trPr>
          <w:trHeight w:val="240"/>
        </w:trPr>
        <w:tc>
          <w:tcPr>
            <w:tcW w:w="448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Certificates of Deposit and Commercial Paper</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66 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13 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21 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r>
      <w:tr w:rsidR="000D1659" w:rsidRPr="00491918">
        <w:trPr>
          <w:trHeight w:val="240"/>
        </w:trPr>
        <w:tc>
          <w:tcPr>
            <w:tcW w:w="448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Asset Backed Commercial Paper</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81 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12 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8 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r>
      <w:tr w:rsidR="000D1659" w:rsidRPr="00491918">
        <w:trPr>
          <w:trHeight w:val="240"/>
        </w:trPr>
        <w:tc>
          <w:tcPr>
            <w:tcW w:w="448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Senior unsecured</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27 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35 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17 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21 </w:t>
            </w:r>
          </w:p>
        </w:tc>
      </w:tr>
      <w:tr w:rsidR="000D1659" w:rsidRPr="00491918">
        <w:trPr>
          <w:trHeight w:val="240"/>
        </w:trPr>
        <w:tc>
          <w:tcPr>
            <w:tcW w:w="448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Covered bonds/ABS</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21 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63 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15 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1 </w:t>
            </w:r>
          </w:p>
        </w:tc>
      </w:tr>
      <w:tr w:rsidR="000D1659" w:rsidRPr="00491918">
        <w:trPr>
          <w:trHeight w:val="240"/>
        </w:trPr>
        <w:tc>
          <w:tcPr>
            <w:tcW w:w="448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Subordinated Liabilities</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34 </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25 </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39 </w:t>
            </w:r>
          </w:p>
        </w:tc>
        <w:tc>
          <w:tcPr>
            <w:tcW w:w="129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1 </w:t>
            </w:r>
          </w:p>
        </w:tc>
      </w:tr>
      <w:tr w:rsidR="000D1659" w:rsidRPr="00491918">
        <w:trPr>
          <w:trHeight w:val="240"/>
        </w:trPr>
        <w:tc>
          <w:tcPr>
            <w:tcW w:w="4485" w:type="dxa"/>
            <w:tcBorders>
              <w:top w:val="single" w:sz="6" w:space="0" w:color="969696"/>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 as at 30 June 2013</w:t>
            </w:r>
          </w:p>
        </w:tc>
        <w:tc>
          <w:tcPr>
            <w:tcW w:w="1290" w:type="dxa"/>
            <w:tcBorders>
              <w:top w:val="single" w:sz="6" w:space="0" w:color="969696"/>
              <w:left w:val="nil"/>
              <w:bottom w:val="single" w:sz="6" w:space="0" w:color="969696"/>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36 </w:t>
            </w:r>
          </w:p>
        </w:tc>
        <w:tc>
          <w:tcPr>
            <w:tcW w:w="1290" w:type="dxa"/>
            <w:tcBorders>
              <w:top w:val="single" w:sz="6" w:space="0" w:color="969696"/>
              <w:left w:val="nil"/>
              <w:bottom w:val="single" w:sz="6" w:space="0" w:color="969696"/>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34 </w:t>
            </w:r>
          </w:p>
        </w:tc>
        <w:tc>
          <w:tcPr>
            <w:tcW w:w="1290" w:type="dxa"/>
            <w:tcBorders>
              <w:top w:val="single" w:sz="6" w:space="0" w:color="969696"/>
              <w:left w:val="nil"/>
              <w:bottom w:val="single" w:sz="6" w:space="0" w:color="969696"/>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21 </w:t>
            </w:r>
          </w:p>
        </w:tc>
        <w:tc>
          <w:tcPr>
            <w:tcW w:w="1290" w:type="dxa"/>
            <w:tcBorders>
              <w:top w:val="single" w:sz="6" w:space="0" w:color="969696"/>
              <w:left w:val="nil"/>
              <w:bottom w:val="single" w:sz="6" w:space="0" w:color="969696"/>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9 </w:t>
            </w:r>
          </w:p>
        </w:tc>
      </w:tr>
      <w:tr w:rsidR="000D1659" w:rsidRPr="00491918">
        <w:trPr>
          <w:trHeight w:val="240"/>
        </w:trPr>
        <w:tc>
          <w:tcPr>
            <w:tcW w:w="448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Total as at 31 December 2012</w:t>
            </w:r>
          </w:p>
        </w:tc>
        <w:tc>
          <w:tcPr>
            <w:tcW w:w="1290" w:type="dxa"/>
            <w:tcBorders>
              <w:top w:val="single" w:sz="6" w:space="0" w:color="969696"/>
              <w:left w:val="nil"/>
              <w:bottom w:val="nil"/>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31 </w:t>
            </w:r>
          </w:p>
        </w:tc>
        <w:tc>
          <w:tcPr>
            <w:tcW w:w="1290" w:type="dxa"/>
            <w:tcBorders>
              <w:top w:val="single" w:sz="6" w:space="0" w:color="969696"/>
              <w:left w:val="nil"/>
              <w:bottom w:val="nil"/>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38 </w:t>
            </w:r>
          </w:p>
        </w:tc>
        <w:tc>
          <w:tcPr>
            <w:tcW w:w="1290" w:type="dxa"/>
            <w:tcBorders>
              <w:top w:val="single" w:sz="6" w:space="0" w:color="969696"/>
              <w:left w:val="nil"/>
              <w:bottom w:val="nil"/>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22 </w:t>
            </w:r>
          </w:p>
        </w:tc>
        <w:tc>
          <w:tcPr>
            <w:tcW w:w="1290" w:type="dxa"/>
            <w:tcBorders>
              <w:top w:val="single" w:sz="6" w:space="0" w:color="969696"/>
              <w:left w:val="nil"/>
              <w:bottom w:val="nil"/>
              <w:right w:val="nil"/>
            </w:tcBorders>
            <w:shd w:val="clear" w:color="auto" w:fill="F2F2F2"/>
            <w:tcMar>
              <w:left w:w="36" w:type="dxa"/>
              <w:right w:w="36" w:type="dxa"/>
            </w:tcMar>
            <w:vAlign w:val="bottom"/>
          </w:tcPr>
          <w:p w:rsidR="000D1659" w:rsidRPr="00491918" w:rsidRDefault="000D1659">
            <w:pPr>
              <w:jc w:val="right"/>
              <w:rPr>
                <w:b/>
                <w:color w:val="000000"/>
                <w:sz w:val="16"/>
              </w:rPr>
            </w:pPr>
            <w:r w:rsidRPr="00491918">
              <w:rPr>
                <w:b/>
                <w:color w:val="000000"/>
                <w:sz w:val="16"/>
              </w:rPr>
              <w:t>9 </w:t>
            </w:r>
          </w:p>
        </w:tc>
      </w:tr>
    </w:tbl>
    <w:p w:rsidR="000D1659" w:rsidRPr="00491918" w:rsidRDefault="000D1659"/>
    <w:p w:rsidR="000D1659" w:rsidRPr="00491918" w:rsidRDefault="000D1659" w:rsidP="000D1659">
      <w:pPr>
        <w:pStyle w:val="Level1Bullet-BarcRA15"/>
        <w:numPr>
          <w:ilvl w:val="0"/>
          <w:numId w:val="0"/>
        </w:numPr>
      </w:pPr>
      <w:r w:rsidRPr="00491918">
        <w:t>To manage cross-currency refinancing risk Barclays manages to FX cash-flow limits, which limit the risk at specific maturities</w:t>
      </w:r>
    </w:p>
    <w:p w:rsidR="000D1659" w:rsidRPr="00491918" w:rsidRDefault="000D1659"/>
    <w:p w:rsidR="000D1659" w:rsidRPr="00491918" w:rsidRDefault="000D1659" w:rsidP="008D6001">
      <w:pPr>
        <w:pStyle w:val="Normal53"/>
        <w:jc w:val="both"/>
        <w:outlineLvl w:val="0"/>
        <w:rPr>
          <w:b/>
          <w:color w:val="000000"/>
          <w:sz w:val="20"/>
          <w:szCs w:val="18"/>
        </w:rPr>
      </w:pPr>
      <w:r w:rsidRPr="00491918">
        <w:rPr>
          <w:b/>
          <w:color w:val="000000"/>
          <w:sz w:val="20"/>
          <w:szCs w:val="18"/>
        </w:rPr>
        <w:t>Term financing</w:t>
      </w:r>
    </w:p>
    <w:p w:rsidR="000D1659" w:rsidRPr="00491918" w:rsidRDefault="000D1659" w:rsidP="000D1659">
      <w:pPr>
        <w:pStyle w:val="Level1Bullet-BarcRA000"/>
        <w:numPr>
          <w:ilvl w:val="0"/>
          <w:numId w:val="0"/>
        </w:numPr>
        <w:tabs>
          <w:tab w:val="left" w:pos="720"/>
        </w:tabs>
        <w:rPr>
          <w:lang w:val="en-GB" w:eastAsia="en-GB"/>
        </w:rPr>
      </w:pPr>
      <w:r w:rsidRPr="00491918">
        <w:rPr>
          <w:lang w:val="en-GB" w:eastAsia="en-GB"/>
        </w:rPr>
        <w:t xml:space="preserve">Term issuance in H113 was fully offset by buybacks. Term funding maturities were offset by growth in customer deposits and reduction in legacy assets, while a significant portion of the Group’s 2013 funding needs were pre-funded in 2012. </w:t>
      </w:r>
    </w:p>
    <w:p w:rsidR="000D1659" w:rsidRPr="00491918" w:rsidRDefault="000D1659" w:rsidP="000D1659">
      <w:pPr>
        <w:pStyle w:val="Level1Bullet-BarcRA000"/>
        <w:numPr>
          <w:ilvl w:val="0"/>
          <w:numId w:val="0"/>
        </w:numPr>
        <w:tabs>
          <w:tab w:val="left" w:pos="720"/>
        </w:tabs>
        <w:rPr>
          <w:lang w:val="en-GB" w:eastAsia="en-GB"/>
        </w:rPr>
      </w:pPr>
      <w:r w:rsidRPr="00491918">
        <w:rPr>
          <w:lang w:val="en-GB" w:eastAsia="en-GB"/>
        </w:rPr>
        <w:t xml:space="preserve">The Group has term funding maturities of £7bn for the remainder of 2013 (2012: full-year 2013 maturities £18bn). </w:t>
      </w:r>
      <w:r w:rsidRPr="00491918">
        <w:rPr>
          <w:lang w:eastAsia="en-GB"/>
        </w:rPr>
        <w:t>As a result of strong deposit growth in H113 and further reduction in legacy assets, term wholesale funding needs are likely to be lower than maturities.</w:t>
      </w:r>
    </w:p>
    <w:p w:rsidR="000D1659" w:rsidRPr="00491918" w:rsidRDefault="000D1659" w:rsidP="000D1659">
      <w:pPr>
        <w:pStyle w:val="Level1Bullet-BarcRA000"/>
        <w:numPr>
          <w:ilvl w:val="0"/>
          <w:numId w:val="0"/>
        </w:numPr>
        <w:tabs>
          <w:tab w:val="left" w:pos="720"/>
        </w:tabs>
        <w:rPr>
          <w:lang w:val="en-GB" w:eastAsia="en-GB"/>
        </w:rPr>
      </w:pPr>
      <w:r w:rsidRPr="00491918">
        <w:rPr>
          <w:lang w:val="en-GB" w:eastAsia="en-GB"/>
        </w:rPr>
        <w:t xml:space="preserve">In April, Barclays issued $1.0bn of Tier 2 contingent capital notes and repurchased existing Tier 2 instruments for a similar amount, as a transitional step towards its </w:t>
      </w:r>
      <w:r w:rsidR="000B1BD5" w:rsidRPr="00491918">
        <w:rPr>
          <w:lang w:val="en-GB" w:eastAsia="en-GB"/>
        </w:rPr>
        <w:t>fully loaded</w:t>
      </w:r>
      <w:r w:rsidRPr="00491918">
        <w:rPr>
          <w:lang w:val="en-GB" w:eastAsia="en-GB"/>
        </w:rPr>
        <w:t xml:space="preserve"> CRD IV capital structure.</w:t>
      </w:r>
    </w:p>
    <w:p w:rsidR="005D50C7" w:rsidRPr="00491918" w:rsidRDefault="005D50C7" w:rsidP="005D50C7">
      <w:pPr>
        <w:pStyle w:val="Normal53"/>
        <w:jc w:val="both"/>
        <w:rPr>
          <w:b/>
          <w:color w:val="000000"/>
          <w:sz w:val="20"/>
          <w:szCs w:val="18"/>
        </w:rPr>
      </w:pPr>
    </w:p>
    <w:p w:rsidR="000D76A8" w:rsidRPr="00491918" w:rsidRDefault="00F75C4C" w:rsidP="000D76A8">
      <w:pPr>
        <w:pStyle w:val="HeadingLevel1-BarcRA29"/>
      </w:pPr>
      <w:r w:rsidRPr="00491918">
        <w:rPr>
          <w:b w:val="0"/>
          <w:sz w:val="20"/>
          <w:szCs w:val="18"/>
        </w:rPr>
        <w:br w:type="page"/>
      </w:r>
      <w:r w:rsidR="000D76A8" w:rsidRPr="00491918">
        <w:lastRenderedPageBreak/>
        <w:t>Funding Risk</w:t>
      </w:r>
    </w:p>
    <w:p w:rsidR="000D1659" w:rsidRPr="00491918" w:rsidRDefault="000D1659" w:rsidP="008D6001">
      <w:pPr>
        <w:pStyle w:val="Normal53"/>
        <w:jc w:val="both"/>
        <w:outlineLvl w:val="0"/>
        <w:rPr>
          <w:b/>
          <w:color w:val="000000"/>
          <w:sz w:val="20"/>
          <w:szCs w:val="18"/>
        </w:rPr>
      </w:pPr>
      <w:r w:rsidRPr="00491918">
        <w:rPr>
          <w:b/>
          <w:color w:val="000000"/>
          <w:sz w:val="20"/>
          <w:szCs w:val="18"/>
        </w:rPr>
        <w:t>Encumbrance of loans and advances</w:t>
      </w:r>
    </w:p>
    <w:p w:rsidR="00F75C4C" w:rsidRPr="00491918" w:rsidRDefault="00F75C4C" w:rsidP="005D50C7">
      <w:pPr>
        <w:pStyle w:val="BodyText-AR22"/>
        <w:rPr>
          <w:rFonts w:eastAsia="Times New Roman"/>
          <w:sz w:val="18"/>
          <w:szCs w:val="20"/>
          <w:lang w:eastAsia="en-GB"/>
        </w:rPr>
      </w:pPr>
    </w:p>
    <w:p w:rsidR="000D1659" w:rsidRPr="00491918" w:rsidRDefault="000D1659" w:rsidP="00751636">
      <w:pPr>
        <w:pStyle w:val="BodyText-AR22"/>
        <w:jc w:val="both"/>
        <w:rPr>
          <w:sz w:val="18"/>
          <w:szCs w:val="18"/>
        </w:rPr>
      </w:pPr>
      <w:r w:rsidRPr="00491918">
        <w:rPr>
          <w:rFonts w:eastAsia="Times New Roman"/>
          <w:sz w:val="18"/>
          <w:szCs w:val="20"/>
          <w:lang w:eastAsia="en-GB"/>
        </w:rPr>
        <w:t>Barclays issues ABS, covered bonds and other similar secured instruments that are secured primarily over customer loans</w:t>
      </w:r>
      <w:r w:rsidRPr="00491918">
        <w:rPr>
          <w:sz w:val="18"/>
          <w:szCs w:val="18"/>
        </w:rPr>
        <w:t xml:space="preserve"> and advances.  Notes issued from these programmes are also used in repurchase agreements with market counterparts a</w:t>
      </w:r>
      <w:r w:rsidR="00D423D0" w:rsidRPr="00491918">
        <w:rPr>
          <w:sz w:val="18"/>
          <w:szCs w:val="18"/>
        </w:rPr>
        <w:t xml:space="preserve">nd in central bank facilities. </w:t>
      </w:r>
      <w:r w:rsidRPr="00491918">
        <w:rPr>
          <w:sz w:val="18"/>
          <w:szCs w:val="18"/>
        </w:rPr>
        <w:t xml:space="preserve">Barclays also utilises loan collateral in central bank facilities in non-securitised form.  </w:t>
      </w:r>
    </w:p>
    <w:p w:rsidR="005D50C7" w:rsidRPr="00491918" w:rsidRDefault="005D50C7" w:rsidP="005D50C7">
      <w:pPr>
        <w:pStyle w:val="BodyText-AR22"/>
        <w:rPr>
          <w:sz w:val="18"/>
          <w:szCs w:val="18"/>
        </w:rPr>
      </w:pPr>
    </w:p>
    <w:tbl>
      <w:tblPr>
        <w:tblW w:w="0" w:type="auto"/>
        <w:tblLayout w:type="fixed"/>
        <w:tblLook w:val="0000" w:firstRow="0" w:lastRow="0" w:firstColumn="0" w:lastColumn="0" w:noHBand="0" w:noVBand="0"/>
      </w:tblPr>
      <w:tblGrid>
        <w:gridCol w:w="5145"/>
        <w:gridCol w:w="1125"/>
        <w:gridCol w:w="1125"/>
        <w:gridCol w:w="1125"/>
        <w:gridCol w:w="1125"/>
      </w:tblGrid>
      <w:tr w:rsidR="000D1659" w:rsidRPr="00491918" w:rsidTr="00297700">
        <w:trPr>
          <w:trHeight w:val="255"/>
        </w:trPr>
        <w:tc>
          <w:tcPr>
            <w:tcW w:w="5145" w:type="dxa"/>
            <w:tcBorders>
              <w:top w:val="nil"/>
              <w:left w:val="nil"/>
              <w:bottom w:val="nil"/>
              <w:right w:val="nil"/>
            </w:tcBorders>
            <w:shd w:val="clear" w:color="auto" w:fill="FFFFFF"/>
            <w:tcMar>
              <w:left w:w="36" w:type="dxa"/>
              <w:right w:w="36" w:type="dxa"/>
            </w:tcMar>
            <w:vAlign w:val="bottom"/>
          </w:tcPr>
          <w:p w:rsidR="000D1659" w:rsidRPr="00491918" w:rsidRDefault="000D1659">
            <w:pPr>
              <w:rPr>
                <w:sz w:val="18"/>
                <w:szCs w:val="18"/>
              </w:rPr>
            </w:pPr>
            <w:r w:rsidRPr="00491918">
              <w:rPr>
                <w:b/>
                <w:color w:val="000000"/>
                <w:sz w:val="20"/>
                <w:szCs w:val="18"/>
              </w:rPr>
              <w:t xml:space="preserve">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w:t>
            </w:r>
            <w:r w:rsidRPr="00491918">
              <w:rPr>
                <w:b/>
                <w:color w:val="000000"/>
                <w:sz w:val="16"/>
                <w:szCs w:val="18"/>
                <w:vertAlign w:val="superscript"/>
              </w:rPr>
              <w:t xml:space="preserve"> </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D1659" w:rsidRPr="00491918" w:rsidRDefault="000D1659">
            <w:pPr>
              <w:jc w:val="center"/>
              <w:rPr>
                <w:b/>
                <w:color w:val="000000"/>
                <w:sz w:val="16"/>
                <w:szCs w:val="18"/>
                <w:vertAlign w:val="superscript"/>
              </w:rPr>
            </w:pPr>
            <w:r w:rsidRPr="00491918">
              <w:rPr>
                <w:b/>
                <w:color w:val="000000"/>
                <w:sz w:val="16"/>
                <w:szCs w:val="18"/>
              </w:rPr>
              <w:t xml:space="preserve"> </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Notes issued </w:t>
            </w:r>
            <w:r w:rsidRPr="00491918">
              <w:rPr>
                <w:rFonts w:ascii="Calibri" w:eastAsia="Calibri" w:hAnsi="Calibri" w:cs="Calibri"/>
                <w:color w:val="000000"/>
                <w:sz w:val="22"/>
                <w:szCs w:val="18"/>
                <w:vertAlign w:val="superscript"/>
              </w:rPr>
              <w:t xml:space="preserve"> </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szCs w:val="18"/>
                <w:vertAlign w:val="superscript"/>
              </w:rPr>
            </w:pPr>
            <w:r w:rsidRPr="00491918">
              <w:rPr>
                <w:rFonts w:ascii="Calibri" w:eastAsia="Calibri" w:hAnsi="Calibri" w:cs="Calibri"/>
                <w:color w:val="000000"/>
                <w:sz w:val="22"/>
                <w:szCs w:val="18"/>
              </w:rPr>
              <w:t xml:space="preserve"> </w:t>
            </w:r>
          </w:p>
        </w:tc>
      </w:tr>
      <w:tr w:rsidR="000D1659" w:rsidRPr="00491918" w:rsidTr="00297700">
        <w:trPr>
          <w:trHeight w:val="255"/>
        </w:trPr>
        <w:tc>
          <w:tcPr>
            <w:tcW w:w="514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szCs w:val="18"/>
              </w:rPr>
            </w:pPr>
            <w:r w:rsidRPr="00491918">
              <w:rPr>
                <w:b/>
                <w:color w:val="000000"/>
                <w:sz w:val="16"/>
                <w:szCs w:val="18"/>
              </w:rPr>
              <w:t xml:space="preserve">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w:t>
            </w:r>
            <w:r w:rsidRPr="00491918">
              <w:rPr>
                <w:b/>
                <w:color w:val="000000"/>
                <w:sz w:val="16"/>
                <w:szCs w:val="18"/>
                <w:vertAlign w:val="superscript"/>
              </w:rPr>
              <w:t xml:space="preserve"> </w:t>
            </w:r>
          </w:p>
        </w:tc>
        <w:tc>
          <w:tcPr>
            <w:tcW w:w="1125" w:type="dxa"/>
            <w:vMerge w:val="restart"/>
            <w:tcBorders>
              <w:top w:val="single" w:sz="6" w:space="0" w:color="A5A5A5"/>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Externally issued notes</w:t>
            </w:r>
          </w:p>
        </w:tc>
        <w:tc>
          <w:tcPr>
            <w:tcW w:w="1125" w:type="dxa"/>
            <w:vMerge w:val="restart"/>
            <w:tcBorders>
              <w:top w:val="single" w:sz="6" w:space="0" w:color="A5A5A5"/>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Other secured funding</w:t>
            </w:r>
            <w:r w:rsidRPr="00491918">
              <w:rPr>
                <w:b/>
                <w:color w:val="000000"/>
                <w:sz w:val="16"/>
                <w:szCs w:val="18"/>
                <w:vertAlign w:val="superscript"/>
              </w:rPr>
              <w:t>2 </w:t>
            </w:r>
          </w:p>
        </w:tc>
        <w:tc>
          <w:tcPr>
            <w:tcW w:w="1125" w:type="dxa"/>
            <w:tcBorders>
              <w:top w:val="single" w:sz="6" w:space="0" w:color="A5A5A5"/>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vertAlign w:val="superscript"/>
              </w:rPr>
            </w:pPr>
            <w:r w:rsidRPr="00491918">
              <w:rPr>
                <w:b/>
                <w:color w:val="000000"/>
                <w:sz w:val="16"/>
                <w:szCs w:val="18"/>
              </w:rPr>
              <w:t xml:space="preserve"> </w:t>
            </w:r>
          </w:p>
        </w:tc>
      </w:tr>
      <w:tr w:rsidR="000D1659" w:rsidRPr="00491918" w:rsidTr="00297700">
        <w:trPr>
          <w:trHeight w:val="82"/>
        </w:trPr>
        <w:tc>
          <w:tcPr>
            <w:tcW w:w="514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 xml:space="preserve">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Assets</w:t>
            </w:r>
            <w:r w:rsidRPr="00491918">
              <w:rPr>
                <w:b/>
                <w:color w:val="000000"/>
                <w:sz w:val="16"/>
                <w:szCs w:val="18"/>
                <w:vertAlign w:val="superscript"/>
              </w:rPr>
              <w:t>1 </w:t>
            </w: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Retained</w:t>
            </w:r>
          </w:p>
        </w:tc>
      </w:tr>
      <w:tr w:rsidR="000D1659" w:rsidRPr="00491918">
        <w:trPr>
          <w:trHeight w:val="255"/>
        </w:trPr>
        <w:tc>
          <w:tcPr>
            <w:tcW w:w="514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As at 30 June 2013</w:t>
            </w:r>
            <w:r w:rsidRPr="00491918">
              <w:rPr>
                <w:b/>
                <w:color w:val="000000"/>
                <w:sz w:val="16"/>
                <w:szCs w:val="18"/>
                <w:vertAlign w:val="superscript"/>
              </w:rPr>
              <w:t xml:space="preserve"> </w:t>
            </w:r>
          </w:p>
        </w:tc>
        <w:tc>
          <w:tcPr>
            <w:tcW w:w="112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£bn</w:t>
            </w:r>
            <w:r w:rsidRPr="00491918">
              <w:rPr>
                <w:b/>
                <w:color w:val="000000"/>
                <w:sz w:val="16"/>
                <w:szCs w:val="18"/>
                <w:vertAlign w:val="superscript"/>
              </w:rPr>
              <w:t xml:space="preserve"> </w:t>
            </w:r>
          </w:p>
        </w:tc>
        <w:tc>
          <w:tcPr>
            <w:tcW w:w="112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£bn</w:t>
            </w:r>
          </w:p>
        </w:tc>
        <w:tc>
          <w:tcPr>
            <w:tcW w:w="112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£bn</w:t>
            </w:r>
            <w:r w:rsidRPr="00491918">
              <w:rPr>
                <w:b/>
                <w:color w:val="000000"/>
                <w:sz w:val="16"/>
                <w:szCs w:val="18"/>
                <w:vertAlign w:val="superscript"/>
              </w:rPr>
              <w:t xml:space="preserve"> </w:t>
            </w:r>
          </w:p>
        </w:tc>
        <w:tc>
          <w:tcPr>
            <w:tcW w:w="112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£bn</w:t>
            </w:r>
          </w:p>
        </w:tc>
      </w:tr>
    </w:tbl>
    <w:p w:rsidR="00FF7A7C" w:rsidRPr="00491918" w:rsidRDefault="00FF7A7C"/>
    <w:tbl>
      <w:tblPr>
        <w:tblW w:w="0" w:type="auto"/>
        <w:tblLayout w:type="fixed"/>
        <w:tblLook w:val="0000" w:firstRow="0" w:lastRow="0" w:firstColumn="0" w:lastColumn="0" w:noHBand="0" w:noVBand="0"/>
      </w:tblPr>
      <w:tblGrid>
        <w:gridCol w:w="5145"/>
        <w:gridCol w:w="1125"/>
        <w:gridCol w:w="1125"/>
        <w:gridCol w:w="1125"/>
        <w:gridCol w:w="1125"/>
      </w:tblGrid>
      <w:tr w:rsidR="000D1659" w:rsidRPr="00491918">
        <w:trPr>
          <w:trHeight w:val="255"/>
        </w:trPr>
        <w:tc>
          <w:tcPr>
            <w:tcW w:w="5145" w:type="dxa"/>
            <w:tcBorders>
              <w:top w:val="single" w:sz="6" w:space="0" w:color="B2B2B2"/>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Mortgages (Residential Mortgage Backed Securities)</w:t>
            </w:r>
            <w:r w:rsidRPr="00491918">
              <w:rPr>
                <w:color w:val="000000"/>
                <w:sz w:val="16"/>
                <w:szCs w:val="18"/>
                <w:vertAlign w:val="superscript"/>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 xml:space="preserve"> 35.8 </w:t>
            </w:r>
            <w:r w:rsidRPr="00491918">
              <w:rPr>
                <w:b/>
                <w:color w:val="000000"/>
                <w:sz w:val="16"/>
                <w:szCs w:val="18"/>
                <w:vertAlign w:val="superscript"/>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4.2 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15.6 </w:t>
            </w:r>
            <w:r w:rsidRPr="00491918">
              <w:rPr>
                <w:b/>
                <w:color w:val="000000"/>
                <w:sz w:val="16"/>
                <w:szCs w:val="18"/>
                <w:vertAlign w:val="superscript"/>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9.6 </w:t>
            </w:r>
          </w:p>
        </w:tc>
      </w:tr>
      <w:tr w:rsidR="000D1659" w:rsidRPr="00491918">
        <w:trPr>
          <w:trHeight w:val="255"/>
        </w:trPr>
        <w:tc>
          <w:tcPr>
            <w:tcW w:w="514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Mortgages (covered bonds)</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 xml:space="preserve"> 30.5 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16.6 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2.0 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 </w:t>
            </w:r>
          </w:p>
        </w:tc>
      </w:tr>
      <w:tr w:rsidR="000D1659" w:rsidRPr="00491918">
        <w:trPr>
          <w:trHeight w:val="255"/>
        </w:trPr>
        <w:tc>
          <w:tcPr>
            <w:tcW w:w="514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Mortgages (loans)</w:t>
            </w:r>
            <w:r w:rsidRPr="00491918">
              <w:rPr>
                <w:color w:val="000000"/>
                <w:sz w:val="16"/>
                <w:szCs w:val="18"/>
                <w:vertAlign w:val="superscript"/>
              </w:rPr>
              <w:t>3 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 xml:space="preserve"> 13.6 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5.5 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 </w:t>
            </w:r>
          </w:p>
        </w:tc>
      </w:tr>
      <w:tr w:rsidR="000D1659" w:rsidRPr="00491918">
        <w:trPr>
          <w:trHeight w:val="255"/>
        </w:trPr>
        <w:tc>
          <w:tcPr>
            <w:tcW w:w="514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Credit cards</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 xml:space="preserve"> 13.1 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4.9 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0.9 </w:t>
            </w:r>
          </w:p>
        </w:tc>
      </w:tr>
      <w:tr w:rsidR="000D1659" w:rsidRPr="00491918">
        <w:trPr>
          <w:trHeight w:val="255"/>
        </w:trPr>
        <w:tc>
          <w:tcPr>
            <w:tcW w:w="514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Corporate loans</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 xml:space="preserve"> 6.8 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0.2 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1.2 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5.3 </w:t>
            </w:r>
          </w:p>
        </w:tc>
      </w:tr>
      <w:tr w:rsidR="000D1659" w:rsidRPr="00491918">
        <w:trPr>
          <w:trHeight w:val="255"/>
        </w:trPr>
        <w:tc>
          <w:tcPr>
            <w:tcW w:w="514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Other</w:t>
            </w:r>
            <w:r w:rsidRPr="00491918">
              <w:rPr>
                <w:color w:val="000000"/>
                <w:sz w:val="16"/>
                <w:szCs w:val="18"/>
                <w:vertAlign w:val="superscript"/>
              </w:rPr>
              <w:t>4 </w:t>
            </w:r>
          </w:p>
        </w:tc>
        <w:tc>
          <w:tcPr>
            <w:tcW w:w="1125" w:type="dxa"/>
            <w:tcBorders>
              <w:top w:val="nil"/>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b/>
                <w:color w:val="000000"/>
                <w:sz w:val="16"/>
                <w:szCs w:val="18"/>
              </w:rPr>
              <w:t xml:space="preserve"> 4.7 </w:t>
            </w:r>
            <w:r w:rsidRPr="00491918">
              <w:rPr>
                <w:b/>
                <w:color w:val="000000"/>
                <w:sz w:val="16"/>
                <w:szCs w:val="18"/>
                <w:vertAlign w:val="superscript"/>
              </w:rPr>
              <w:t xml:space="preserve"> </w:t>
            </w:r>
          </w:p>
        </w:tc>
        <w:tc>
          <w:tcPr>
            <w:tcW w:w="1125" w:type="dxa"/>
            <w:tcBorders>
              <w:top w:val="nil"/>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 </w:t>
            </w:r>
          </w:p>
        </w:tc>
        <w:tc>
          <w:tcPr>
            <w:tcW w:w="1125" w:type="dxa"/>
            <w:tcBorders>
              <w:top w:val="nil"/>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1.2 </w:t>
            </w:r>
            <w:r w:rsidRPr="00491918">
              <w:rPr>
                <w:b/>
                <w:color w:val="000000"/>
                <w:sz w:val="16"/>
                <w:szCs w:val="18"/>
                <w:vertAlign w:val="superscript"/>
              </w:rPr>
              <w:t xml:space="preserve"> </w:t>
            </w:r>
          </w:p>
        </w:tc>
        <w:tc>
          <w:tcPr>
            <w:tcW w:w="1125" w:type="dxa"/>
            <w:tcBorders>
              <w:top w:val="nil"/>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3.0 </w:t>
            </w:r>
          </w:p>
        </w:tc>
      </w:tr>
      <w:tr w:rsidR="000D1659" w:rsidRPr="00491918">
        <w:trPr>
          <w:trHeight w:val="255"/>
        </w:trPr>
        <w:tc>
          <w:tcPr>
            <w:tcW w:w="5145" w:type="dxa"/>
            <w:tcBorders>
              <w:top w:val="single" w:sz="6" w:space="0" w:color="B2B2B2"/>
              <w:left w:val="nil"/>
              <w:bottom w:val="single" w:sz="6" w:space="0" w:color="B2B2B2"/>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Total as at 30 June 2013</w:t>
            </w:r>
            <w:r w:rsidRPr="00491918">
              <w:rPr>
                <w:b/>
                <w:color w:val="000000"/>
                <w:sz w:val="16"/>
                <w:szCs w:val="18"/>
                <w:vertAlign w:val="superscript"/>
              </w:rPr>
              <w:t xml:space="preserve"> </w:t>
            </w:r>
          </w:p>
        </w:tc>
        <w:tc>
          <w:tcPr>
            <w:tcW w:w="1125"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104.4 </w:t>
            </w:r>
            <w:r w:rsidRPr="00491918">
              <w:rPr>
                <w:b/>
                <w:color w:val="000000"/>
                <w:sz w:val="16"/>
                <w:szCs w:val="18"/>
                <w:vertAlign w:val="superscript"/>
              </w:rPr>
              <w:t xml:space="preserve"> </w:t>
            </w:r>
          </w:p>
        </w:tc>
        <w:tc>
          <w:tcPr>
            <w:tcW w:w="1125"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25.9 </w:t>
            </w:r>
          </w:p>
        </w:tc>
        <w:tc>
          <w:tcPr>
            <w:tcW w:w="1125"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25.5 </w:t>
            </w:r>
            <w:r w:rsidRPr="00491918">
              <w:rPr>
                <w:b/>
                <w:color w:val="000000"/>
                <w:sz w:val="16"/>
                <w:szCs w:val="18"/>
                <w:vertAlign w:val="superscript"/>
              </w:rPr>
              <w:t xml:space="preserve"> </w:t>
            </w:r>
          </w:p>
        </w:tc>
        <w:tc>
          <w:tcPr>
            <w:tcW w:w="1125"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 18.9 </w:t>
            </w:r>
          </w:p>
        </w:tc>
      </w:tr>
      <w:tr w:rsidR="000D1659" w:rsidRPr="00491918">
        <w:trPr>
          <w:trHeight w:val="255"/>
        </w:trPr>
        <w:tc>
          <w:tcPr>
            <w:tcW w:w="5145" w:type="dxa"/>
            <w:tcBorders>
              <w:top w:val="single" w:sz="6" w:space="0" w:color="B2B2B2"/>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Total as at 31 December 2012</w:t>
            </w:r>
            <w:r w:rsidRPr="00491918">
              <w:rPr>
                <w:color w:val="000000"/>
                <w:sz w:val="16"/>
                <w:szCs w:val="18"/>
                <w:vertAlign w:val="superscript"/>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 xml:space="preserve"> 98.4 </w:t>
            </w:r>
            <w:r w:rsidRPr="00491918">
              <w:rPr>
                <w:color w:val="000000"/>
                <w:sz w:val="16"/>
                <w:szCs w:val="18"/>
                <w:vertAlign w:val="superscript"/>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 xml:space="preserve"> 27.0 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xml:space="preserve"> 31.1 </w:t>
            </w:r>
            <w:r w:rsidRPr="00491918">
              <w:rPr>
                <w:color w:val="000000"/>
                <w:sz w:val="16"/>
                <w:szCs w:val="18"/>
                <w:vertAlign w:val="superscript"/>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szCs w:val="18"/>
                <w:vertAlign w:val="superscript"/>
              </w:rPr>
            </w:pPr>
            <w:r w:rsidRPr="00491918">
              <w:rPr>
                <w:color w:val="000000"/>
                <w:sz w:val="16"/>
                <w:szCs w:val="18"/>
              </w:rPr>
              <w:t xml:space="preserve"> 11.0 </w:t>
            </w:r>
          </w:p>
        </w:tc>
      </w:tr>
    </w:tbl>
    <w:p w:rsidR="000D1659" w:rsidRPr="00491918" w:rsidRDefault="000D1659">
      <w:pPr>
        <w:rPr>
          <w:sz w:val="18"/>
          <w:szCs w:val="18"/>
        </w:rPr>
      </w:pPr>
    </w:p>
    <w:p w:rsidR="000D1659" w:rsidRPr="00491918" w:rsidRDefault="000D1659" w:rsidP="00751636">
      <w:pPr>
        <w:pStyle w:val="BodyText-AR220"/>
        <w:jc w:val="both"/>
        <w:rPr>
          <w:sz w:val="18"/>
          <w:szCs w:val="18"/>
        </w:rPr>
      </w:pPr>
      <w:r w:rsidRPr="00491918">
        <w:rPr>
          <w:sz w:val="18"/>
          <w:szCs w:val="18"/>
        </w:rPr>
        <w:t>As at 30 June 2013, £104bn (2012: £98bn) of customer loans and advances were transferred to asset backed funding programmes or utilised to secure funding from central bank facilities</w:t>
      </w:r>
      <w:r w:rsidR="00D423D0" w:rsidRPr="00491918">
        <w:rPr>
          <w:sz w:val="18"/>
          <w:szCs w:val="18"/>
        </w:rPr>
        <w:t xml:space="preserve">. </w:t>
      </w:r>
      <w:r w:rsidRPr="00491918">
        <w:rPr>
          <w:sz w:val="18"/>
          <w:szCs w:val="18"/>
        </w:rPr>
        <w:t>These assets were used to support £26bn (2012: £27bn) of externally issued notes and a further £25bn (2012: £31bn) of retained notes and non-securitised loan collateral were used in repurchase agreements with market counterparts and at central bank facilities. Inclusive of required over-collateralisation of £</w:t>
      </w:r>
      <w:r w:rsidR="00337CAB" w:rsidRPr="00491918">
        <w:rPr>
          <w:sz w:val="18"/>
          <w:szCs w:val="18"/>
        </w:rPr>
        <w:t>14</w:t>
      </w:r>
      <w:r w:rsidRPr="00491918">
        <w:rPr>
          <w:sz w:val="18"/>
          <w:szCs w:val="18"/>
        </w:rPr>
        <w:t>bn, a total of 14% (2012: 17%) of total loans and advances to customers were used to secure external funding via these programmes. Compared to 31 December 2012, the decrease in encumbrance of loans and advances to customers was predominantly driven by increased cash collateral and settlement balances within loans and advances to customers.</w:t>
      </w:r>
    </w:p>
    <w:p w:rsidR="000D1659" w:rsidRPr="00491918" w:rsidRDefault="000D1659" w:rsidP="00751636">
      <w:pPr>
        <w:pStyle w:val="BodyText-AR221"/>
        <w:jc w:val="both"/>
        <w:rPr>
          <w:sz w:val="18"/>
          <w:szCs w:val="18"/>
        </w:rPr>
      </w:pPr>
      <w:r w:rsidRPr="00491918">
        <w:rPr>
          <w:sz w:val="18"/>
          <w:szCs w:val="18"/>
        </w:rPr>
        <w:t xml:space="preserve"> </w:t>
      </w:r>
    </w:p>
    <w:p w:rsidR="000D1659" w:rsidRPr="00491918" w:rsidRDefault="000D1659" w:rsidP="00751636">
      <w:pPr>
        <w:pStyle w:val="Normal57"/>
        <w:jc w:val="both"/>
        <w:rPr>
          <w:rFonts w:ascii="Expert Sans Regular" w:eastAsia="Calibri" w:hAnsi="Expert Sans Regular"/>
          <w:sz w:val="18"/>
          <w:szCs w:val="18"/>
          <w:lang w:eastAsia="en-US"/>
        </w:rPr>
      </w:pPr>
      <w:r w:rsidRPr="00491918">
        <w:rPr>
          <w:rFonts w:ascii="Expert Sans Regular" w:eastAsia="Calibri" w:hAnsi="Expert Sans Regular"/>
          <w:sz w:val="18"/>
          <w:szCs w:val="18"/>
          <w:lang w:eastAsia="en-US"/>
        </w:rPr>
        <w:t>In addition, the Group had £19bn (2012: £15bn) of excess collateral over minimum requirements within its asset backed funding programmes that were readily available for use to support future secured funding</w:t>
      </w:r>
      <w:r w:rsidR="00D423D0" w:rsidRPr="00491918">
        <w:rPr>
          <w:rFonts w:ascii="Expert Sans Regular" w:eastAsia="Calibri" w:hAnsi="Expert Sans Regular"/>
          <w:sz w:val="18"/>
          <w:szCs w:val="18"/>
          <w:lang w:eastAsia="en-US"/>
        </w:rPr>
        <w:t xml:space="preserve"> issuance. </w:t>
      </w:r>
      <w:r w:rsidRPr="00491918">
        <w:rPr>
          <w:rFonts w:ascii="Expert Sans Regular" w:eastAsia="Calibri" w:hAnsi="Expert Sans Regular"/>
          <w:sz w:val="18"/>
          <w:szCs w:val="18"/>
          <w:lang w:eastAsia="en-US"/>
        </w:rPr>
        <w:t>A portion of retained notes are also available to raise secured funding.</w:t>
      </w:r>
    </w:p>
    <w:p w:rsidR="000D1659" w:rsidRPr="00491918" w:rsidRDefault="000D1659" w:rsidP="00751636">
      <w:pPr>
        <w:pStyle w:val="NoteandSourceText-BarcRA7"/>
        <w:numPr>
          <w:ilvl w:val="0"/>
          <w:numId w:val="0"/>
        </w:numPr>
        <w:rPr>
          <w:b/>
          <w:i w:val="0"/>
          <w:sz w:val="20"/>
          <w:szCs w:val="20"/>
        </w:rPr>
      </w:pPr>
    </w:p>
    <w:p w:rsidR="000D1659" w:rsidRPr="00491918" w:rsidRDefault="000D1659" w:rsidP="008D6001">
      <w:pPr>
        <w:pStyle w:val="NoteandSourceText-BarcRA7"/>
        <w:numPr>
          <w:ilvl w:val="0"/>
          <w:numId w:val="0"/>
        </w:numPr>
        <w:outlineLvl w:val="0"/>
        <w:rPr>
          <w:b/>
          <w:i w:val="0"/>
          <w:sz w:val="20"/>
          <w:szCs w:val="20"/>
        </w:rPr>
      </w:pPr>
      <w:r w:rsidRPr="00491918">
        <w:rPr>
          <w:b/>
          <w:i w:val="0"/>
          <w:sz w:val="20"/>
          <w:szCs w:val="20"/>
        </w:rPr>
        <w:t>Credit Rating</w:t>
      </w:r>
    </w:p>
    <w:p w:rsidR="000D1659" w:rsidRPr="00491918" w:rsidRDefault="000D1659">
      <w:pPr>
        <w:rPr>
          <w:b/>
          <w:i/>
          <w:sz w:val="20"/>
          <w:szCs w:val="20"/>
        </w:rPr>
      </w:pPr>
    </w:p>
    <w:tbl>
      <w:tblPr>
        <w:tblW w:w="0" w:type="auto"/>
        <w:tblLayout w:type="fixed"/>
        <w:tblLook w:val="0000" w:firstRow="0" w:lastRow="0" w:firstColumn="0" w:lastColumn="0" w:noHBand="0" w:noVBand="0"/>
      </w:tblPr>
      <w:tblGrid>
        <w:gridCol w:w="4860"/>
        <w:gridCol w:w="1200"/>
        <w:gridCol w:w="1200"/>
        <w:gridCol w:w="1200"/>
        <w:gridCol w:w="1200"/>
      </w:tblGrid>
      <w:tr w:rsidR="000D1659" w:rsidRPr="00491918">
        <w:trPr>
          <w:trHeight w:val="510"/>
        </w:trPr>
        <w:tc>
          <w:tcPr>
            <w:tcW w:w="486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rPr>
                <w:b/>
                <w:i/>
                <w:sz w:val="20"/>
                <w:szCs w:val="20"/>
              </w:rPr>
            </w:pPr>
            <w:r w:rsidRPr="00491918">
              <w:rPr>
                <w:b/>
                <w:color w:val="000000"/>
                <w:sz w:val="16"/>
                <w:szCs w:val="20"/>
              </w:rPr>
              <w:t>Credit Rating as at 30 June 2013</w:t>
            </w:r>
          </w:p>
        </w:tc>
        <w:tc>
          <w:tcPr>
            <w:tcW w:w="120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Standard &amp; Poor's</w:t>
            </w:r>
          </w:p>
        </w:tc>
        <w:tc>
          <w:tcPr>
            <w:tcW w:w="120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Moody's</w:t>
            </w:r>
          </w:p>
        </w:tc>
        <w:tc>
          <w:tcPr>
            <w:tcW w:w="120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Fitch</w:t>
            </w:r>
          </w:p>
        </w:tc>
        <w:tc>
          <w:tcPr>
            <w:tcW w:w="120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DBRS</w:t>
            </w:r>
          </w:p>
        </w:tc>
      </w:tr>
      <w:tr w:rsidR="000D1659" w:rsidRPr="00491918">
        <w:trPr>
          <w:trHeight w:val="225"/>
        </w:trPr>
        <w:tc>
          <w:tcPr>
            <w:tcW w:w="4860" w:type="dxa"/>
            <w:tcBorders>
              <w:top w:val="single" w:sz="6" w:space="0" w:color="B2B2B2"/>
              <w:left w:val="nil"/>
              <w:bottom w:val="nil"/>
              <w:right w:val="nil"/>
            </w:tcBorders>
            <w:shd w:val="clear" w:color="auto" w:fill="FFFFFF"/>
            <w:tcMar>
              <w:left w:w="36" w:type="dxa"/>
              <w:right w:w="36" w:type="dxa"/>
            </w:tcMar>
          </w:tcPr>
          <w:p w:rsidR="000D1659" w:rsidRPr="00491918" w:rsidRDefault="000D1659">
            <w:pPr>
              <w:rPr>
                <w:b/>
                <w:color w:val="000000"/>
                <w:sz w:val="16"/>
                <w:szCs w:val="20"/>
              </w:rPr>
            </w:pPr>
            <w:r w:rsidRPr="00491918">
              <w:rPr>
                <w:b/>
                <w:color w:val="000000"/>
                <w:sz w:val="16"/>
                <w:szCs w:val="20"/>
              </w:rPr>
              <w:t>Barclays Bank PLC</w:t>
            </w:r>
          </w:p>
        </w:tc>
        <w:tc>
          <w:tcPr>
            <w:tcW w:w="1200" w:type="dxa"/>
            <w:tcBorders>
              <w:top w:val="single" w:sz="6" w:space="0" w:color="B2B2B2"/>
              <w:left w:val="nil"/>
              <w:bottom w:val="nil"/>
              <w:right w:val="nil"/>
            </w:tcBorders>
            <w:shd w:val="clear" w:color="auto" w:fill="EAEAEA"/>
            <w:tcMar>
              <w:left w:w="36" w:type="dxa"/>
              <w:right w:w="36" w:type="dxa"/>
            </w:tcMar>
          </w:tcPr>
          <w:p w:rsidR="000D1659" w:rsidRPr="00491918" w:rsidRDefault="000D1659">
            <w:pPr>
              <w:jc w:val="right"/>
              <w:rPr>
                <w:b/>
                <w:color w:val="000000"/>
                <w:sz w:val="16"/>
                <w:szCs w:val="20"/>
              </w:rPr>
            </w:pPr>
            <w:r w:rsidRPr="00491918">
              <w:rPr>
                <w:color w:val="262626"/>
                <w:sz w:val="16"/>
                <w:szCs w:val="20"/>
              </w:rPr>
              <w:t xml:space="preserve"> </w:t>
            </w:r>
          </w:p>
        </w:tc>
        <w:tc>
          <w:tcPr>
            <w:tcW w:w="1200" w:type="dxa"/>
            <w:tcBorders>
              <w:top w:val="single" w:sz="6" w:space="0" w:color="B2B2B2"/>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 </w:t>
            </w:r>
          </w:p>
        </w:tc>
        <w:tc>
          <w:tcPr>
            <w:tcW w:w="1200" w:type="dxa"/>
            <w:tcBorders>
              <w:top w:val="single" w:sz="6" w:space="0" w:color="B2B2B2"/>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 </w:t>
            </w:r>
          </w:p>
        </w:tc>
        <w:tc>
          <w:tcPr>
            <w:tcW w:w="1200" w:type="dxa"/>
            <w:tcBorders>
              <w:top w:val="single" w:sz="6" w:space="0" w:color="B2B2B2"/>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 </w:t>
            </w:r>
          </w:p>
        </w:tc>
      </w:tr>
      <w:tr w:rsidR="000D1659" w:rsidRPr="00491918">
        <w:trPr>
          <w:trHeight w:val="225"/>
        </w:trPr>
        <w:tc>
          <w:tcPr>
            <w:tcW w:w="4860" w:type="dxa"/>
            <w:tcBorders>
              <w:top w:val="nil"/>
              <w:left w:val="nil"/>
              <w:bottom w:val="nil"/>
              <w:right w:val="nil"/>
            </w:tcBorders>
            <w:shd w:val="clear" w:color="auto" w:fill="FFFFFF"/>
            <w:tcMar>
              <w:left w:w="36" w:type="dxa"/>
              <w:right w:w="36" w:type="dxa"/>
            </w:tcMar>
          </w:tcPr>
          <w:p w:rsidR="000D1659" w:rsidRPr="00491918" w:rsidRDefault="000D1659">
            <w:pPr>
              <w:rPr>
                <w:color w:val="262626"/>
                <w:sz w:val="16"/>
                <w:szCs w:val="20"/>
              </w:rPr>
            </w:pPr>
            <w:r w:rsidRPr="00491918">
              <w:rPr>
                <w:color w:val="262626"/>
                <w:sz w:val="16"/>
                <w:szCs w:val="20"/>
              </w:rPr>
              <w:t>Long Term</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A+ (Negative) </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A2 (Negative) </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A (Stable)</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AA (Negative) </w:t>
            </w:r>
          </w:p>
        </w:tc>
      </w:tr>
      <w:tr w:rsidR="000D1659" w:rsidRPr="00491918">
        <w:trPr>
          <w:trHeight w:val="225"/>
        </w:trPr>
        <w:tc>
          <w:tcPr>
            <w:tcW w:w="4860" w:type="dxa"/>
            <w:tcBorders>
              <w:top w:val="nil"/>
              <w:left w:val="nil"/>
              <w:bottom w:val="nil"/>
              <w:right w:val="nil"/>
            </w:tcBorders>
            <w:shd w:val="clear" w:color="auto" w:fill="FFFFFF"/>
            <w:tcMar>
              <w:left w:w="36" w:type="dxa"/>
              <w:right w:w="36" w:type="dxa"/>
            </w:tcMar>
          </w:tcPr>
          <w:p w:rsidR="000D1659" w:rsidRPr="00491918" w:rsidRDefault="000D1659">
            <w:pPr>
              <w:rPr>
                <w:color w:val="262626"/>
                <w:sz w:val="16"/>
                <w:szCs w:val="20"/>
              </w:rPr>
            </w:pPr>
            <w:r w:rsidRPr="00491918">
              <w:rPr>
                <w:color w:val="262626"/>
                <w:sz w:val="16"/>
                <w:szCs w:val="20"/>
              </w:rPr>
              <w:t>Short Term</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A-1 </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P-1</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F1</w:t>
            </w:r>
          </w:p>
        </w:tc>
        <w:tc>
          <w:tcPr>
            <w:tcW w:w="120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262626"/>
                <w:sz w:val="16"/>
                <w:szCs w:val="20"/>
              </w:rPr>
            </w:pPr>
            <w:r w:rsidRPr="00491918">
              <w:rPr>
                <w:color w:val="262626"/>
                <w:sz w:val="16"/>
                <w:szCs w:val="20"/>
              </w:rPr>
              <w:t xml:space="preserve">R-1 (high) </w:t>
            </w:r>
          </w:p>
        </w:tc>
      </w:tr>
    </w:tbl>
    <w:p w:rsidR="000D1659" w:rsidRPr="00491918" w:rsidRDefault="000D1659" w:rsidP="000D1659">
      <w:pPr>
        <w:pStyle w:val="BodyText-BarcRA45"/>
      </w:pPr>
      <w:r w:rsidRPr="00491918">
        <w:t xml:space="preserve">During H113, Fitch affirmed Barclays Bank PLC ratings, whereas DBRS placed the bank under review with negative implications, due to the challenges facing the bank and the industry more generally. </w:t>
      </w:r>
    </w:p>
    <w:p w:rsidR="000D1659" w:rsidRPr="00491918" w:rsidRDefault="000D1659" w:rsidP="000D1659">
      <w:pPr>
        <w:pStyle w:val="BodyText-BarcRA47"/>
      </w:pPr>
      <w:r w:rsidRPr="00491918">
        <w:t>The below table shows contractual collateral requirements and contingent obligations following one and two notch long-term and associated short-term simultaneous downgrades across all credit rating agencies, which were fully reserved for in the liquidity pool. These numbers do not assume any management or restructuring actions that could be taken to reduce posting requirements.</w:t>
      </w:r>
    </w:p>
    <w:p w:rsidR="00F75C4C" w:rsidRPr="00491918" w:rsidRDefault="00F75C4C" w:rsidP="000D1659">
      <w:pPr>
        <w:pStyle w:val="BodyText-BarcRA47"/>
      </w:pPr>
    </w:p>
    <w:p w:rsidR="00F75C4C" w:rsidRPr="00491918" w:rsidRDefault="00F75C4C" w:rsidP="000D1659">
      <w:pPr>
        <w:pStyle w:val="BodyText-BarcRA47"/>
      </w:pPr>
    </w:p>
    <w:p w:rsidR="00F75C4C" w:rsidRPr="00491918" w:rsidRDefault="00F75C4C" w:rsidP="000D1659">
      <w:pPr>
        <w:pStyle w:val="BodyText-BarcRA47"/>
      </w:pPr>
    </w:p>
    <w:p w:rsidR="00F75C4C" w:rsidRPr="00491918" w:rsidRDefault="00F75C4C" w:rsidP="000D1659">
      <w:pPr>
        <w:pStyle w:val="BodyText-BarcRA47"/>
      </w:pPr>
    </w:p>
    <w:p w:rsidR="00F75C4C" w:rsidRPr="00491918" w:rsidRDefault="00F75C4C" w:rsidP="00CD39D9">
      <w:pPr>
        <w:pStyle w:val="NoteSourceText-BarcRA21"/>
        <w:numPr>
          <w:ilvl w:val="0"/>
          <w:numId w:val="114"/>
        </w:numPr>
        <w:ind w:left="360"/>
      </w:pPr>
      <w:r w:rsidRPr="00491918">
        <w:t>Includes £6bn of cash reserves supporting secured funding vehicles</w:t>
      </w:r>
      <w:r w:rsidR="00297700" w:rsidRPr="00491918">
        <w:t>.</w:t>
      </w:r>
    </w:p>
    <w:p w:rsidR="00F75C4C" w:rsidRPr="00491918" w:rsidRDefault="00F75C4C" w:rsidP="00CD39D9">
      <w:pPr>
        <w:pStyle w:val="NoteSourceText-BarcRA21"/>
        <w:numPr>
          <w:ilvl w:val="0"/>
          <w:numId w:val="114"/>
        </w:numPr>
        <w:ind w:left="360"/>
      </w:pPr>
      <w:r w:rsidRPr="00491918">
        <w:t xml:space="preserve">Comprised of bilateral repurchase agreements, collateral swaps and participation in central bank facilities.  </w:t>
      </w:r>
    </w:p>
    <w:p w:rsidR="00F75C4C" w:rsidRPr="00491918" w:rsidRDefault="00F75C4C" w:rsidP="00CD39D9">
      <w:pPr>
        <w:pStyle w:val="NoteSourceText-BarcRA21"/>
        <w:numPr>
          <w:ilvl w:val="0"/>
          <w:numId w:val="114"/>
        </w:numPr>
        <w:ind w:left="360"/>
      </w:pPr>
      <w:r w:rsidRPr="00491918">
        <w:t>For mortgage loan collateral, asset reflects the value of collateral pledged and other secured funding reflects the liquidity value obtained.</w:t>
      </w:r>
    </w:p>
    <w:p w:rsidR="00F75C4C" w:rsidRPr="00491918" w:rsidRDefault="00F75C4C" w:rsidP="00CD39D9">
      <w:pPr>
        <w:pStyle w:val="NoteSourceText-BarcRA21"/>
        <w:numPr>
          <w:ilvl w:val="0"/>
          <w:numId w:val="114"/>
        </w:numPr>
        <w:ind w:left="360"/>
      </w:pPr>
      <w:r w:rsidRPr="00491918">
        <w:t xml:space="preserve">Primarily comprised of local authority covered bonds and export credit agency guaranteed loan collateral. </w:t>
      </w:r>
    </w:p>
    <w:p w:rsidR="000D1659" w:rsidRPr="00491918" w:rsidRDefault="000D1659">
      <w:pPr>
        <w:spacing w:line="14" w:lineRule="exact"/>
      </w:pPr>
      <w:r w:rsidRPr="00491918">
        <w:br w:type="page"/>
      </w:r>
    </w:p>
    <w:p w:rsidR="000D76A8" w:rsidRPr="00491918" w:rsidRDefault="000D76A8">
      <w:pPr>
        <w:spacing w:line="14" w:lineRule="exact"/>
      </w:pPr>
    </w:p>
    <w:p w:rsidR="000D76A8" w:rsidRPr="00491918" w:rsidRDefault="000D76A8" w:rsidP="000D76A8">
      <w:pPr>
        <w:pStyle w:val="HeadingLevel1-BarcRA29"/>
      </w:pPr>
      <w:r w:rsidRPr="00491918">
        <w:t>Funding Risk</w:t>
      </w:r>
    </w:p>
    <w:p w:rsidR="000D76A8" w:rsidRPr="00491918" w:rsidRDefault="000D76A8">
      <w:pPr>
        <w:spacing w:line="14" w:lineRule="exact"/>
      </w:pPr>
    </w:p>
    <w:tbl>
      <w:tblPr>
        <w:tblW w:w="0" w:type="auto"/>
        <w:tblLayout w:type="fixed"/>
        <w:tblLook w:val="0000" w:firstRow="0" w:lastRow="0" w:firstColumn="0" w:lastColumn="0" w:noHBand="0" w:noVBand="0"/>
      </w:tblPr>
      <w:tblGrid>
        <w:gridCol w:w="6360"/>
        <w:gridCol w:w="1650"/>
        <w:gridCol w:w="1650"/>
      </w:tblGrid>
      <w:tr w:rsidR="000D1659" w:rsidRPr="00491918">
        <w:trPr>
          <w:trHeight w:val="255"/>
        </w:trPr>
        <w:tc>
          <w:tcPr>
            <w:tcW w:w="6360" w:type="dxa"/>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16"/>
              </w:rPr>
              <w:t>Contractual Credit Rating Downgrade Exposure (cumulative cash flow)</w:t>
            </w:r>
          </w:p>
        </w:tc>
        <w:tc>
          <w:tcPr>
            <w:tcW w:w="16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One-notch</w:t>
            </w:r>
          </w:p>
        </w:tc>
        <w:tc>
          <w:tcPr>
            <w:tcW w:w="16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Two-notch</w:t>
            </w:r>
            <w:r w:rsidRPr="00491918">
              <w:rPr>
                <w:rFonts w:ascii="Calibri" w:eastAsia="Calibri" w:hAnsi="Calibri" w:cs="Calibri"/>
                <w:color w:val="000000"/>
                <w:sz w:val="18"/>
                <w:vertAlign w:val="superscript"/>
              </w:rPr>
              <w:t xml:space="preserve"> </w:t>
            </w:r>
          </w:p>
        </w:tc>
      </w:tr>
      <w:tr w:rsidR="000D1659" w:rsidRPr="00491918">
        <w:trPr>
          <w:trHeight w:val="255"/>
        </w:trPr>
        <w:tc>
          <w:tcPr>
            <w:tcW w:w="6360"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18"/>
                <w:vertAlign w:val="superscript"/>
              </w:rPr>
            </w:pPr>
            <w:r w:rsidRPr="00491918">
              <w:rPr>
                <w:b/>
                <w:color w:val="000000"/>
                <w:sz w:val="16"/>
              </w:rPr>
              <w:t xml:space="preserve"> </w:t>
            </w:r>
          </w:p>
        </w:tc>
        <w:tc>
          <w:tcPr>
            <w:tcW w:w="1650"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£bn</w:t>
            </w:r>
          </w:p>
        </w:tc>
        <w:tc>
          <w:tcPr>
            <w:tcW w:w="1650"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£bn</w:t>
            </w:r>
            <w:r w:rsidRPr="00491918">
              <w:rPr>
                <w:rFonts w:ascii="Calibri" w:eastAsia="Calibri" w:hAnsi="Calibri" w:cs="Calibri"/>
                <w:color w:val="000000"/>
                <w:sz w:val="18"/>
                <w:vertAlign w:val="superscript"/>
              </w:rPr>
              <w:t xml:space="preserve"> </w:t>
            </w:r>
          </w:p>
        </w:tc>
      </w:tr>
      <w:tr w:rsidR="000D1659" w:rsidRPr="00491918">
        <w:trPr>
          <w:trHeight w:val="255"/>
        </w:trPr>
        <w:tc>
          <w:tcPr>
            <w:tcW w:w="6360" w:type="dxa"/>
            <w:tcBorders>
              <w:top w:val="single" w:sz="6" w:space="0" w:color="B2B2B2"/>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18"/>
                <w:vertAlign w:val="superscript"/>
              </w:rPr>
            </w:pPr>
            <w:r w:rsidRPr="00491918">
              <w:rPr>
                <w:color w:val="000000"/>
                <w:sz w:val="16"/>
              </w:rPr>
              <w:t>Securitisation derivatives</w:t>
            </w:r>
          </w:p>
        </w:tc>
        <w:tc>
          <w:tcPr>
            <w:tcW w:w="1650"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7 </w:t>
            </w:r>
          </w:p>
        </w:tc>
        <w:tc>
          <w:tcPr>
            <w:tcW w:w="1650"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9 </w:t>
            </w:r>
            <w:r w:rsidRPr="00491918">
              <w:rPr>
                <w:rFonts w:ascii="Calibri" w:eastAsia="Calibri" w:hAnsi="Calibri" w:cs="Calibri"/>
                <w:color w:val="000000"/>
                <w:sz w:val="18"/>
                <w:vertAlign w:val="superscript"/>
              </w:rPr>
              <w:t xml:space="preserve"> </w:t>
            </w:r>
          </w:p>
        </w:tc>
      </w:tr>
      <w:tr w:rsidR="000D1659" w:rsidRPr="00491918">
        <w:trPr>
          <w:trHeight w:val="255"/>
        </w:trPr>
        <w:tc>
          <w:tcPr>
            <w:tcW w:w="636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18"/>
                <w:vertAlign w:val="superscript"/>
              </w:rPr>
            </w:pPr>
            <w:r w:rsidRPr="00491918">
              <w:rPr>
                <w:color w:val="000000"/>
                <w:sz w:val="16"/>
              </w:rPr>
              <w:t>Contingent liabilities</w:t>
            </w:r>
          </w:p>
        </w:tc>
        <w:tc>
          <w:tcPr>
            <w:tcW w:w="16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6 </w:t>
            </w:r>
          </w:p>
        </w:tc>
        <w:tc>
          <w:tcPr>
            <w:tcW w:w="16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6 </w:t>
            </w:r>
            <w:r w:rsidRPr="00491918">
              <w:rPr>
                <w:rFonts w:ascii="Calibri" w:eastAsia="Calibri" w:hAnsi="Calibri" w:cs="Calibri"/>
                <w:color w:val="000000"/>
                <w:sz w:val="18"/>
                <w:vertAlign w:val="superscript"/>
              </w:rPr>
              <w:t xml:space="preserve"> </w:t>
            </w:r>
          </w:p>
        </w:tc>
      </w:tr>
      <w:tr w:rsidR="000D1659" w:rsidRPr="00491918">
        <w:trPr>
          <w:trHeight w:val="255"/>
        </w:trPr>
        <w:tc>
          <w:tcPr>
            <w:tcW w:w="636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18"/>
                <w:vertAlign w:val="superscript"/>
              </w:rPr>
            </w:pPr>
            <w:r w:rsidRPr="00491918">
              <w:rPr>
                <w:color w:val="000000"/>
                <w:sz w:val="16"/>
              </w:rPr>
              <w:t>Derivatives margining</w:t>
            </w:r>
          </w:p>
        </w:tc>
        <w:tc>
          <w:tcPr>
            <w:tcW w:w="16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w:t>
            </w:r>
          </w:p>
        </w:tc>
        <w:tc>
          <w:tcPr>
            <w:tcW w:w="16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1 </w:t>
            </w:r>
            <w:r w:rsidRPr="00491918">
              <w:rPr>
                <w:rFonts w:ascii="Calibri" w:eastAsia="Calibri" w:hAnsi="Calibri" w:cs="Calibri"/>
                <w:color w:val="000000"/>
                <w:sz w:val="18"/>
                <w:vertAlign w:val="superscript"/>
              </w:rPr>
              <w:t xml:space="preserve"> </w:t>
            </w:r>
          </w:p>
        </w:tc>
      </w:tr>
      <w:tr w:rsidR="000D1659" w:rsidRPr="00491918">
        <w:trPr>
          <w:trHeight w:val="255"/>
        </w:trPr>
        <w:tc>
          <w:tcPr>
            <w:tcW w:w="6360"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18"/>
                <w:vertAlign w:val="superscript"/>
              </w:rPr>
            </w:pPr>
            <w:r w:rsidRPr="00491918">
              <w:rPr>
                <w:color w:val="000000"/>
                <w:sz w:val="16"/>
              </w:rPr>
              <w:t>Liquidity facilities</w:t>
            </w:r>
          </w:p>
        </w:tc>
        <w:tc>
          <w:tcPr>
            <w:tcW w:w="1650" w:type="dxa"/>
            <w:tcBorders>
              <w:top w:val="nil"/>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1 </w:t>
            </w:r>
          </w:p>
        </w:tc>
        <w:tc>
          <w:tcPr>
            <w:tcW w:w="1650" w:type="dxa"/>
            <w:tcBorders>
              <w:top w:val="nil"/>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1 </w:t>
            </w:r>
            <w:r w:rsidRPr="00491918">
              <w:rPr>
                <w:rFonts w:ascii="Calibri" w:eastAsia="Calibri" w:hAnsi="Calibri" w:cs="Calibri"/>
                <w:color w:val="000000"/>
                <w:sz w:val="18"/>
                <w:vertAlign w:val="superscript"/>
              </w:rPr>
              <w:t xml:space="preserve"> </w:t>
            </w:r>
          </w:p>
        </w:tc>
      </w:tr>
      <w:tr w:rsidR="000D1659" w:rsidRPr="00491918">
        <w:trPr>
          <w:trHeight w:val="255"/>
        </w:trPr>
        <w:tc>
          <w:tcPr>
            <w:tcW w:w="6360" w:type="dxa"/>
            <w:tcBorders>
              <w:top w:val="single" w:sz="6" w:space="0" w:color="B2B2B2"/>
              <w:left w:val="nil"/>
              <w:bottom w:val="single" w:sz="6" w:space="0" w:color="B2B2B2"/>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18"/>
                <w:vertAlign w:val="superscript"/>
              </w:rPr>
            </w:pPr>
            <w:r w:rsidRPr="00491918">
              <w:rPr>
                <w:b/>
                <w:color w:val="000000"/>
                <w:sz w:val="16"/>
              </w:rPr>
              <w:t>Total as at 30 June 2013</w:t>
            </w:r>
          </w:p>
        </w:tc>
        <w:tc>
          <w:tcPr>
            <w:tcW w:w="1650"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14 </w:t>
            </w:r>
          </w:p>
        </w:tc>
        <w:tc>
          <w:tcPr>
            <w:tcW w:w="1650"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17 </w:t>
            </w:r>
            <w:r w:rsidRPr="00491918">
              <w:rPr>
                <w:rFonts w:ascii="Calibri" w:eastAsia="Calibri" w:hAnsi="Calibri" w:cs="Calibri"/>
                <w:color w:val="000000"/>
                <w:sz w:val="18"/>
                <w:vertAlign w:val="superscript"/>
              </w:rPr>
              <w:t xml:space="preserve"> </w:t>
            </w:r>
          </w:p>
        </w:tc>
      </w:tr>
      <w:tr w:rsidR="000D1659" w:rsidRPr="00491918">
        <w:trPr>
          <w:trHeight w:val="255"/>
        </w:trPr>
        <w:tc>
          <w:tcPr>
            <w:tcW w:w="6360" w:type="dxa"/>
            <w:tcBorders>
              <w:top w:val="single" w:sz="6" w:space="0" w:color="B2B2B2"/>
              <w:left w:val="nil"/>
              <w:bottom w:val="single" w:sz="6" w:space="0" w:color="B2B2B2"/>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18"/>
                <w:vertAlign w:val="superscript"/>
              </w:rPr>
            </w:pPr>
            <w:r w:rsidRPr="00491918">
              <w:rPr>
                <w:b/>
                <w:color w:val="000000"/>
                <w:sz w:val="16"/>
              </w:rPr>
              <w:t>Total as at 31 December 2012</w:t>
            </w:r>
          </w:p>
        </w:tc>
        <w:tc>
          <w:tcPr>
            <w:tcW w:w="1650"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13 </w:t>
            </w:r>
          </w:p>
        </w:tc>
        <w:tc>
          <w:tcPr>
            <w:tcW w:w="1650" w:type="dxa"/>
            <w:tcBorders>
              <w:top w:val="single" w:sz="6" w:space="0" w:color="B2B2B2"/>
              <w:left w:val="nil"/>
              <w:bottom w:val="single" w:sz="6" w:space="0" w:color="B2B2B2"/>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17 </w:t>
            </w:r>
            <w:r w:rsidRPr="00491918">
              <w:rPr>
                <w:rFonts w:ascii="Calibri" w:eastAsia="Calibri" w:hAnsi="Calibri" w:cs="Calibri"/>
                <w:color w:val="000000"/>
                <w:sz w:val="18"/>
                <w:vertAlign w:val="superscript"/>
              </w:rPr>
              <w:t xml:space="preserve"> </w:t>
            </w:r>
          </w:p>
        </w:tc>
      </w:tr>
    </w:tbl>
    <w:p w:rsidR="000D1659" w:rsidRPr="00491918" w:rsidRDefault="000D1659"/>
    <w:p w:rsidR="000D1659" w:rsidRPr="00491918" w:rsidRDefault="000D1659" w:rsidP="000D1659">
      <w:pPr>
        <w:pStyle w:val="BodyText-BarcRA46"/>
      </w:pPr>
      <w:r w:rsidRPr="00491918">
        <w:t>Beyond these contractual requirements, these outflows do not include the potential liquidity impact from loss of unsecured funding, such as from money market funds or loss of secured funding capacity. However, unsecured and secured funding stresses are included in the LRA stress scenarios and a portion of the liquidity pool is held against these risks.</w:t>
      </w:r>
    </w:p>
    <w:p w:rsidR="000D1659" w:rsidRPr="00491918" w:rsidRDefault="000D1659" w:rsidP="000D1659">
      <w:pPr>
        <w:pStyle w:val="BodyText-BarcRA470"/>
      </w:pPr>
      <w:r w:rsidRPr="00491918">
        <w:t>On 2 July 2013, Standard &amp; Poor’s downgraded Barclays Bank PLC long term issuer rating one notch to A (Stable), reflecting its view that risks increased for some large European-based banks operating in investment banking, as a result of tightening regulation and uncertain market conditions. Barclays Bank PLC short term rating was affirmed at A-1</w:t>
      </w:r>
      <w:r w:rsidRPr="00491918">
        <w:rPr>
          <w:vertAlign w:val="superscript"/>
        </w:rPr>
        <w:t>1</w:t>
      </w:r>
      <w:r w:rsidRPr="00491918">
        <w:t>. The downgrade was fully reserved for in the liquidity pool and there has been no significant change in deposit funding or wholesale funding. Further one and two notch long-term and associated short-term simultaneous downgrades across all credit rating agencies continue to be fully reserved for in the liquidity pool.</w:t>
      </w:r>
    </w:p>
    <w:p w:rsidR="000D1659" w:rsidRPr="00491918" w:rsidRDefault="000D1659"/>
    <w:p w:rsidR="000D1659" w:rsidRPr="00491918" w:rsidRDefault="000D1659" w:rsidP="008D6001">
      <w:pPr>
        <w:pStyle w:val="BodyText-BarcRA48"/>
        <w:outlineLvl w:val="0"/>
        <w:rPr>
          <w:b/>
          <w:sz w:val="20"/>
        </w:rPr>
      </w:pPr>
      <w:r w:rsidRPr="00491918">
        <w:rPr>
          <w:b/>
          <w:sz w:val="20"/>
        </w:rPr>
        <w:t>Absa Group</w:t>
      </w:r>
    </w:p>
    <w:p w:rsidR="000D1659" w:rsidRPr="00491918" w:rsidRDefault="000D1659" w:rsidP="00CD39D9">
      <w:pPr>
        <w:pStyle w:val="BodyText-BarcRA48"/>
        <w:numPr>
          <w:ilvl w:val="0"/>
          <w:numId w:val="115"/>
        </w:numPr>
        <w:ind w:left="426" w:hanging="426"/>
      </w:pPr>
      <w:r w:rsidRPr="00491918">
        <w:t>Liquidity risk is managed separately at Absa Group due to local currency, funding and regulatory requirements</w:t>
      </w:r>
    </w:p>
    <w:p w:rsidR="000D1659" w:rsidRPr="00491918" w:rsidRDefault="000D1659" w:rsidP="00CD39D9">
      <w:pPr>
        <w:pStyle w:val="BodyText-BarcRA48"/>
        <w:numPr>
          <w:ilvl w:val="0"/>
          <w:numId w:val="115"/>
        </w:numPr>
        <w:ind w:left="426" w:hanging="426"/>
      </w:pPr>
      <w:r w:rsidRPr="00491918">
        <w:t>In addition to the Group liquidity pool, Absa Group held £4bn (2012: £5bn) of liquidity pool assets against Absa-specific anticipated stressed outflows. The liquidity pool consists of South African government bonds and Treasury bills</w:t>
      </w:r>
    </w:p>
    <w:p w:rsidR="000D1659" w:rsidRPr="00491918" w:rsidRDefault="000D1659" w:rsidP="00CD39D9">
      <w:pPr>
        <w:pStyle w:val="Level1Bullet-BarcRA30"/>
        <w:numPr>
          <w:ilvl w:val="0"/>
          <w:numId w:val="115"/>
        </w:numPr>
        <w:ind w:left="426" w:hanging="426"/>
      </w:pPr>
      <w:r w:rsidRPr="00491918">
        <w:t xml:space="preserve">The Absa loan to deposit ratio was </w:t>
      </w:r>
      <w:r w:rsidRPr="00491918">
        <w:rPr>
          <w:lang w:val="en-GB"/>
        </w:rPr>
        <w:t>113</w:t>
      </w:r>
      <w:r w:rsidRPr="00491918">
        <w:t>% (</w:t>
      </w:r>
      <w:r w:rsidRPr="00491918">
        <w:rPr>
          <w:lang w:val="en-GB"/>
        </w:rPr>
        <w:t>2012</w:t>
      </w:r>
      <w:r w:rsidRPr="00491918">
        <w:t>: 11</w:t>
      </w:r>
      <w:r w:rsidRPr="00491918">
        <w:rPr>
          <w:lang w:val="en-GB"/>
        </w:rPr>
        <w:t>3</w:t>
      </w:r>
      <w:r w:rsidRPr="00491918">
        <w:t>%)</w:t>
      </w:r>
    </w:p>
    <w:p w:rsidR="000D1659" w:rsidRPr="00491918" w:rsidRDefault="000D1659" w:rsidP="00CD39D9">
      <w:pPr>
        <w:pStyle w:val="BodyText-BarcRA48"/>
        <w:numPr>
          <w:ilvl w:val="0"/>
          <w:numId w:val="115"/>
        </w:numPr>
        <w:ind w:left="426" w:hanging="426"/>
      </w:pPr>
      <w:r w:rsidRPr="00491918">
        <w:t>As at 30 June 2013, Absa had £1</w:t>
      </w:r>
      <w:r w:rsidR="00E24395" w:rsidRPr="00491918">
        <w:t>1</w:t>
      </w:r>
      <w:r w:rsidRPr="00491918">
        <w:t>bn of wholesale funding outsta</w:t>
      </w:r>
      <w:r w:rsidR="00E24395" w:rsidRPr="00491918">
        <w:t>nding (2012: £12bn), of which £6</w:t>
      </w:r>
      <w:r w:rsidRPr="00491918">
        <w:t>bn matures in less than 12 months (2012: £6bn)</w:t>
      </w: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0D1659" w:rsidRPr="00491918" w:rsidRDefault="000D1659" w:rsidP="000D1659">
      <w:pPr>
        <w:pStyle w:val="BodyText-BarcRA48"/>
      </w:pPr>
    </w:p>
    <w:p w:rsidR="00F75C4C" w:rsidRPr="00491918" w:rsidRDefault="00F75C4C" w:rsidP="000D1659">
      <w:pPr>
        <w:pStyle w:val="BodyText-BarcRA48"/>
      </w:pPr>
    </w:p>
    <w:p w:rsidR="00F75C4C" w:rsidRPr="00491918" w:rsidRDefault="00F75C4C" w:rsidP="000D1659">
      <w:pPr>
        <w:pStyle w:val="BodyText-BarcRA48"/>
      </w:pPr>
    </w:p>
    <w:p w:rsidR="000D1659" w:rsidRPr="00491918" w:rsidRDefault="000D1659" w:rsidP="000D1659">
      <w:pPr>
        <w:pStyle w:val="BodyText-BarcRA48"/>
      </w:pPr>
    </w:p>
    <w:p w:rsidR="000D1659" w:rsidRPr="00491918" w:rsidRDefault="000D1659" w:rsidP="000D1659">
      <w:pPr>
        <w:pStyle w:val="BodyText-BarcRA471"/>
      </w:pPr>
    </w:p>
    <w:p w:rsidR="000D1659" w:rsidRPr="00491918" w:rsidRDefault="000D1659" w:rsidP="00CD39D9">
      <w:pPr>
        <w:pStyle w:val="NoteSourceText-BarcRA210"/>
        <w:numPr>
          <w:ilvl w:val="0"/>
          <w:numId w:val="117"/>
        </w:numPr>
        <w:ind w:left="284" w:hanging="284"/>
      </w:pPr>
      <w:r w:rsidRPr="00491918">
        <w:t>The Standard &amp; Poor’s downgrade on 2 July 2013 did not have a significant impact on Barclays’ contractual exposure to downgrades across all credit rating agencies.</w:t>
      </w:r>
    </w:p>
    <w:p w:rsidR="000D76A8" w:rsidRPr="00491918" w:rsidRDefault="000D76A8" w:rsidP="000D76A8">
      <w:pPr>
        <w:pStyle w:val="NoteSourceText-BarcRA210"/>
        <w:ind w:firstLine="0"/>
      </w:pPr>
    </w:p>
    <w:p w:rsidR="000D1659" w:rsidRPr="00491918" w:rsidRDefault="000D1659"/>
    <w:p w:rsidR="000D76A8" w:rsidRPr="00491918" w:rsidRDefault="000D76A8"/>
    <w:p w:rsidR="00DA356B" w:rsidRPr="00491918" w:rsidRDefault="00DA356B" w:rsidP="000D76A8">
      <w:pPr>
        <w:pStyle w:val="HeadingLevel1-BarcRA35"/>
        <w:rPr>
          <w:lang w:val="en-GB"/>
        </w:rPr>
      </w:pPr>
    </w:p>
    <w:p w:rsidR="00DA356B" w:rsidRPr="00491918" w:rsidRDefault="00DA356B" w:rsidP="000D76A8">
      <w:pPr>
        <w:pStyle w:val="HeadingLevel1-BarcRA35"/>
        <w:rPr>
          <w:lang w:val="en-GB"/>
        </w:rPr>
      </w:pPr>
    </w:p>
    <w:p w:rsidR="000D76A8" w:rsidRPr="00491918" w:rsidRDefault="000D76A8" w:rsidP="000D76A8">
      <w:pPr>
        <w:pStyle w:val="HeadingLevel1-BarcRA35"/>
        <w:rPr>
          <w:lang w:val="en-GB"/>
        </w:rPr>
      </w:pPr>
      <w:r w:rsidRPr="00491918">
        <w:rPr>
          <w:lang w:val="en-GB"/>
        </w:rPr>
        <w:t xml:space="preserve">Credit </w:t>
      </w:r>
      <w:r w:rsidRPr="00491918">
        <w:t>Risk</w:t>
      </w:r>
    </w:p>
    <w:tbl>
      <w:tblPr>
        <w:tblW w:w="0" w:type="auto"/>
        <w:tblLayout w:type="fixed"/>
        <w:tblLook w:val="0000" w:firstRow="0" w:lastRow="0" w:firstColumn="0" w:lastColumn="0" w:noHBand="0" w:noVBand="0"/>
      </w:tblPr>
      <w:tblGrid>
        <w:gridCol w:w="5505"/>
        <w:gridCol w:w="1290"/>
        <w:gridCol w:w="270"/>
        <w:gridCol w:w="1290"/>
        <w:gridCol w:w="1290"/>
      </w:tblGrid>
      <w:tr w:rsidR="00E9782A" w:rsidRPr="00491918" w:rsidTr="00FF7A7C">
        <w:trPr>
          <w:trHeight w:val="240"/>
        </w:trPr>
        <w:tc>
          <w:tcPr>
            <w:tcW w:w="9645" w:type="dxa"/>
            <w:gridSpan w:val="5"/>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4"/>
              </w:rPr>
              <w:t>Analysis of Total Assets by Valuation Basis</w:t>
            </w:r>
          </w:p>
        </w:tc>
      </w:tr>
      <w:tr w:rsidR="00E9782A" w:rsidRPr="00491918" w:rsidTr="00FF7A7C">
        <w:trPr>
          <w:trHeight w:val="240"/>
        </w:trPr>
        <w:tc>
          <w:tcPr>
            <w:tcW w:w="55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color w:val="000000"/>
                <w:sz w:val="16"/>
              </w:rPr>
              <w:lastRenderedPageBreak/>
              <w:t xml:space="preserve"> </w:t>
            </w:r>
            <w:r w:rsidRPr="00491918">
              <w:rPr>
                <w:color w:val="000000"/>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 xml:space="preserve"> </w:t>
            </w:r>
          </w:p>
        </w:tc>
        <w:tc>
          <w:tcPr>
            <w:tcW w:w="258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Accounting Basis </w:t>
            </w:r>
          </w:p>
        </w:tc>
      </w:tr>
      <w:tr w:rsidR="000D1659" w:rsidRPr="00491918" w:rsidTr="00297700">
        <w:trPr>
          <w:trHeight w:val="401"/>
        </w:trPr>
        <w:tc>
          <w:tcPr>
            <w:tcW w:w="55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Assets as at 30.06.13</w:t>
            </w:r>
            <w:r w:rsidRPr="00491918">
              <w:rPr>
                <w:b/>
                <w:color w:val="000000"/>
                <w:sz w:val="16"/>
                <w:vertAlign w:val="superscript"/>
              </w:rPr>
              <w:t xml:space="preserve"> </w:t>
            </w:r>
          </w:p>
        </w:tc>
        <w:tc>
          <w:tcPr>
            <w:tcW w:w="12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Total Assets</w:t>
            </w:r>
          </w:p>
        </w:tc>
        <w:tc>
          <w:tcPr>
            <w:tcW w:w="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Cost Based</w:t>
            </w:r>
          </w:p>
          <w:p w:rsidR="000D1659" w:rsidRPr="00491918" w:rsidRDefault="000D1659">
            <w:pPr>
              <w:jc w:val="right"/>
              <w:rPr>
                <w:b/>
                <w:color w:val="000000"/>
                <w:sz w:val="16"/>
              </w:rPr>
            </w:pPr>
            <w:r w:rsidRPr="00491918">
              <w:rPr>
                <w:b/>
                <w:color w:val="000000"/>
                <w:sz w:val="16"/>
              </w:rPr>
              <w:t>Measure</w:t>
            </w:r>
          </w:p>
        </w:tc>
        <w:tc>
          <w:tcPr>
            <w:tcW w:w="129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Fair Value </w:t>
            </w:r>
          </w:p>
        </w:tc>
      </w:tr>
      <w:tr w:rsidR="000D1659" w:rsidRPr="00491918">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£m</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pPr w:leftFromText="180" w:rightFromText="180" w:vertAnchor="text" w:tblpY="1"/>
        <w:tblOverlap w:val="never"/>
        <w:tblW w:w="0" w:type="auto"/>
        <w:tblLayout w:type="fixed"/>
        <w:tblLook w:val="0000" w:firstRow="0" w:lastRow="0" w:firstColumn="0" w:lastColumn="0" w:noHBand="0" w:noVBand="0"/>
      </w:tblPr>
      <w:tblGrid>
        <w:gridCol w:w="5505"/>
        <w:gridCol w:w="1290"/>
        <w:gridCol w:w="270"/>
        <w:gridCol w:w="1290"/>
        <w:gridCol w:w="1290"/>
      </w:tblGrid>
      <w:tr w:rsidR="000D1659" w:rsidRPr="00491918" w:rsidTr="00FF7A7C">
        <w:trPr>
          <w:trHeight w:val="240"/>
        </w:trPr>
        <w:tc>
          <w:tcPr>
            <w:tcW w:w="5505" w:type="dxa"/>
            <w:tcBorders>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Cash and balances at central banks</w:t>
            </w:r>
            <w:r w:rsidRPr="00491918">
              <w:rPr>
                <w:b/>
                <w:color w:val="000000"/>
                <w:sz w:val="16"/>
                <w:vertAlign w:val="superscript"/>
              </w:rPr>
              <w:t xml:space="preserve"> </w:t>
            </w:r>
          </w:p>
        </w:tc>
        <w:tc>
          <w:tcPr>
            <w:tcW w:w="1290" w:type="dxa"/>
            <w:tcBorders>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72,720 </w:t>
            </w:r>
          </w:p>
        </w:tc>
        <w:tc>
          <w:tcPr>
            <w:tcW w:w="270" w:type="dxa"/>
            <w:tcBorders>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72,720 </w:t>
            </w:r>
          </w:p>
        </w:tc>
        <w:tc>
          <w:tcPr>
            <w:tcW w:w="1290" w:type="dxa"/>
            <w:tcBorders>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Items in the course of collection from other banks</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2,578 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2,578 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Debt securities</w:t>
            </w:r>
            <w:r w:rsidRPr="00491918">
              <w:rPr>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105,026 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105,026 </w:t>
            </w:r>
          </w:p>
        </w:tc>
      </w:tr>
      <w:tr w:rsidR="000D1659" w:rsidRPr="00491918" w:rsidTr="00FF7A7C">
        <w:trPr>
          <w:trHeight w:val="240"/>
        </w:trPr>
        <w:tc>
          <w:tcPr>
            <w:tcW w:w="5505"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Equity securities</w:t>
            </w:r>
            <w:r w:rsidRPr="00491918">
              <w:rPr>
                <w:color w:val="000000"/>
                <w:sz w:val="16"/>
                <w:vertAlign w:val="superscript"/>
              </w:rPr>
              <w:t xml:space="preserve"> </w:t>
            </w:r>
          </w:p>
        </w:tc>
        <w:tc>
          <w:tcPr>
            <w:tcW w:w="1290" w:type="dxa"/>
            <w:tcBorders>
              <w:top w:val="nil"/>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39,249 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39,249 </w:t>
            </w:r>
          </w:p>
        </w:tc>
      </w:tr>
      <w:tr w:rsidR="000D1659" w:rsidRPr="00491918" w:rsidTr="00FF7A7C">
        <w:trPr>
          <w:trHeight w:val="240"/>
        </w:trPr>
        <w:tc>
          <w:tcPr>
            <w:tcW w:w="5505"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Traded loans</w:t>
            </w:r>
            <w:r w:rsidRPr="00491918">
              <w:rPr>
                <w:color w:val="000000"/>
                <w:sz w:val="16"/>
                <w:vertAlign w:val="superscript"/>
              </w:rPr>
              <w:t xml:space="preserve"> </w:t>
            </w:r>
          </w:p>
        </w:tc>
        <w:tc>
          <w:tcPr>
            <w:tcW w:w="1290" w:type="dxa"/>
            <w:tcBorders>
              <w:top w:val="nil"/>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2,340 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2,340 </w:t>
            </w:r>
          </w:p>
        </w:tc>
      </w:tr>
      <w:tr w:rsidR="000D1659" w:rsidRPr="00491918" w:rsidTr="00FF7A7C">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Commodities</w:t>
            </w:r>
            <w:r w:rsidRPr="00491918">
              <w:rPr>
                <w:color w:val="000000"/>
                <w:sz w:val="16"/>
                <w:vertAlign w:val="superscript"/>
              </w:rPr>
              <w:t>1 </w:t>
            </w:r>
          </w:p>
        </w:tc>
        <w:tc>
          <w:tcPr>
            <w:tcW w:w="12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5,366 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5,366 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Trading portfolio assets</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151,981 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151,981 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Loans and advances</w:t>
            </w:r>
            <w:r w:rsidRPr="00491918">
              <w:rPr>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20,144 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20,144 </w:t>
            </w:r>
          </w:p>
        </w:tc>
      </w:tr>
      <w:tr w:rsidR="000D1659" w:rsidRPr="00491918" w:rsidTr="00FF7A7C">
        <w:trPr>
          <w:trHeight w:val="240"/>
        </w:trPr>
        <w:tc>
          <w:tcPr>
            <w:tcW w:w="5505"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Debt securities</w:t>
            </w:r>
            <w:r w:rsidRPr="00491918">
              <w:rPr>
                <w:color w:val="000000"/>
                <w:sz w:val="16"/>
                <w:vertAlign w:val="superscript"/>
              </w:rPr>
              <w:t xml:space="preserve"> </w:t>
            </w:r>
          </w:p>
        </w:tc>
        <w:tc>
          <w:tcPr>
            <w:tcW w:w="1290" w:type="dxa"/>
            <w:tcBorders>
              <w:top w:val="nil"/>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6,081 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6,081 </w:t>
            </w:r>
          </w:p>
        </w:tc>
      </w:tr>
      <w:tr w:rsidR="000D1659" w:rsidRPr="00491918" w:rsidTr="00FF7A7C">
        <w:trPr>
          <w:trHeight w:val="240"/>
        </w:trPr>
        <w:tc>
          <w:tcPr>
            <w:tcW w:w="5505"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Equity securities</w:t>
            </w:r>
            <w:r w:rsidRPr="00491918">
              <w:rPr>
                <w:color w:val="000000"/>
                <w:sz w:val="16"/>
                <w:vertAlign w:val="superscript"/>
              </w:rPr>
              <w:t xml:space="preserve"> </w:t>
            </w:r>
          </w:p>
        </w:tc>
        <w:tc>
          <w:tcPr>
            <w:tcW w:w="1290" w:type="dxa"/>
            <w:tcBorders>
              <w:top w:val="nil"/>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10,454 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10,454 </w:t>
            </w:r>
          </w:p>
        </w:tc>
      </w:tr>
      <w:tr w:rsidR="000D1659" w:rsidRPr="00491918" w:rsidTr="00FF7A7C">
        <w:trPr>
          <w:trHeight w:val="240"/>
        </w:trPr>
        <w:tc>
          <w:tcPr>
            <w:tcW w:w="5505"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Other financial assets</w:t>
            </w:r>
            <w:r w:rsidRPr="00491918">
              <w:rPr>
                <w:color w:val="000000"/>
                <w:sz w:val="16"/>
                <w:vertAlign w:val="superscript"/>
              </w:rPr>
              <w:t>2 </w:t>
            </w:r>
          </w:p>
        </w:tc>
        <w:tc>
          <w:tcPr>
            <w:tcW w:w="1290" w:type="dxa"/>
            <w:tcBorders>
              <w:top w:val="nil"/>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8,513 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8,513 </w:t>
            </w:r>
          </w:p>
        </w:tc>
      </w:tr>
      <w:tr w:rsidR="000D1659" w:rsidRPr="00491918" w:rsidTr="00FF7A7C">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Held in respect of linked liabilities to customers under investment contracts</w:t>
            </w:r>
            <w:r w:rsidRPr="00491918">
              <w:rPr>
                <w:color w:val="000000"/>
                <w:sz w:val="16"/>
                <w:vertAlign w:val="superscript"/>
              </w:rPr>
              <w:t xml:space="preserve"> </w:t>
            </w:r>
          </w:p>
        </w:tc>
        <w:tc>
          <w:tcPr>
            <w:tcW w:w="12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1,655 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1,655 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Financial assets designated at fair value</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46,847 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46,847 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color w:val="000000"/>
                <w:sz w:val="16"/>
              </w:rPr>
              <w:t xml:space="preserve"> </w:t>
            </w:r>
            <w:r w:rsidRPr="00491918">
              <w:rPr>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Derivative financial instruments</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403,072 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403,072 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Loans and advances to banks</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46,451 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46,451 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Loans and advances to customers</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470,</w:t>
            </w:r>
            <w:r w:rsidR="004B5AFB" w:rsidRPr="00491918">
              <w:rPr>
                <w:b/>
                <w:color w:val="000000"/>
                <w:sz w:val="16"/>
              </w:rPr>
              <w:t>062 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470,</w:t>
            </w:r>
            <w:r w:rsidR="004B5AFB" w:rsidRPr="00491918">
              <w:rPr>
                <w:b/>
                <w:color w:val="000000"/>
                <w:sz w:val="16"/>
              </w:rPr>
              <w:t>062 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Reverse repurchase agreements and other similar secured lending</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222,881 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222,881 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r>
      <w:tr w:rsidR="000D1659" w:rsidRPr="00491918" w:rsidTr="00FF7A7C">
        <w:trPr>
          <w:gridAfter w:val="1"/>
          <w:wAfter w:w="1290" w:type="dxa"/>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 xml:space="preserve">Debt securities </w:t>
            </w:r>
            <w:r w:rsidRPr="00491918">
              <w:rPr>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91,255 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91,255 </w:t>
            </w:r>
          </w:p>
        </w:tc>
      </w:tr>
      <w:tr w:rsidR="000D1659" w:rsidRPr="00491918" w:rsidTr="00FF7A7C">
        <w:trPr>
          <w:trHeigh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color w:val="000000"/>
                <w:sz w:val="16"/>
              </w:rPr>
              <w:t>Equity securities</w:t>
            </w:r>
            <w:r w:rsidRPr="00491918">
              <w:rPr>
                <w:color w:val="000000"/>
                <w:sz w:val="16"/>
                <w:vertAlign w:val="superscript"/>
              </w:rPr>
              <w:t xml:space="preserve"> </w:t>
            </w:r>
          </w:p>
        </w:tc>
        <w:tc>
          <w:tcPr>
            <w:tcW w:w="12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FF7A7C">
            <w:pPr>
              <w:jc w:val="right"/>
              <w:rPr>
                <w:color w:val="000000"/>
                <w:sz w:val="16"/>
                <w:vertAlign w:val="superscript"/>
              </w:rPr>
            </w:pPr>
            <w:r w:rsidRPr="00491918">
              <w:rPr>
                <w:color w:val="000000"/>
                <w:sz w:val="16"/>
              </w:rPr>
              <w:t>452 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452 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Available for sale investments</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91,707 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91,707 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Other assets</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337CAB" w:rsidP="00FF7A7C">
            <w:pPr>
              <w:jc w:val="right"/>
              <w:rPr>
                <w:b/>
                <w:color w:val="000000"/>
                <w:sz w:val="16"/>
                <w:vertAlign w:val="superscript"/>
              </w:rPr>
            </w:pPr>
            <w:r w:rsidRPr="00491918">
              <w:rPr>
                <w:b/>
                <w:color w:val="000000"/>
                <w:sz w:val="16"/>
              </w:rPr>
              <w:t>24,</w:t>
            </w:r>
            <w:r w:rsidR="004B5AFB" w:rsidRPr="00491918">
              <w:rPr>
                <w:b/>
                <w:color w:val="000000"/>
                <w:sz w:val="16"/>
              </w:rPr>
              <w:t>434</w:t>
            </w:r>
            <w:r w:rsidR="000D1659" w:rsidRPr="00491918">
              <w:rPr>
                <w:b/>
                <w:color w:val="000000"/>
                <w:sz w:val="16"/>
              </w:rPr>
              <w:t>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337CAB" w:rsidP="00FF7A7C">
            <w:pPr>
              <w:jc w:val="right"/>
              <w:rPr>
                <w:b/>
                <w:color w:val="000000"/>
                <w:sz w:val="16"/>
              </w:rPr>
            </w:pPr>
            <w:r w:rsidRPr="00491918">
              <w:rPr>
                <w:b/>
                <w:color w:val="000000"/>
                <w:sz w:val="16"/>
              </w:rPr>
              <w:t>22,</w:t>
            </w:r>
            <w:r w:rsidR="003F55C4" w:rsidRPr="00491918">
              <w:rPr>
                <w:b/>
                <w:color w:val="000000"/>
                <w:sz w:val="16"/>
              </w:rPr>
              <w:t>832 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1,602 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 xml:space="preserve"> </w:t>
            </w:r>
            <w:r w:rsidRPr="00491918">
              <w:rPr>
                <w:b/>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vertAlign w:val="superscript"/>
              </w:rPr>
            </w:pPr>
            <w:r w:rsidRPr="00491918">
              <w:rPr>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rPr>
            </w:pPr>
            <w:r w:rsidRPr="00491918">
              <w:rPr>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color w:val="000000"/>
                <w:sz w:val="16"/>
              </w:rPr>
            </w:pPr>
            <w:r w:rsidRPr="00491918">
              <w:rPr>
                <w:b/>
                <w:color w:val="000000"/>
                <w:sz w:val="16"/>
              </w:rPr>
              <w:t>Total assets as at 30.06.13</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337CAB" w:rsidP="00FF7A7C">
            <w:pPr>
              <w:jc w:val="right"/>
              <w:rPr>
                <w:b/>
                <w:color w:val="000000"/>
                <w:sz w:val="16"/>
                <w:vertAlign w:val="superscript"/>
              </w:rPr>
            </w:pPr>
            <w:r w:rsidRPr="00491918">
              <w:rPr>
                <w:b/>
                <w:color w:val="000000"/>
                <w:sz w:val="16"/>
              </w:rPr>
              <w:t>1,532,</w:t>
            </w:r>
            <w:r w:rsidR="003F55C4" w:rsidRPr="00491918">
              <w:rPr>
                <w:b/>
                <w:color w:val="000000"/>
                <w:sz w:val="16"/>
              </w:rPr>
              <w:t>733 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337CAB" w:rsidP="00FF7A7C">
            <w:pPr>
              <w:jc w:val="right"/>
              <w:rPr>
                <w:b/>
                <w:color w:val="000000"/>
                <w:sz w:val="16"/>
              </w:rPr>
            </w:pPr>
            <w:r w:rsidRPr="00491918">
              <w:rPr>
                <w:b/>
                <w:color w:val="000000"/>
                <w:sz w:val="16"/>
              </w:rPr>
              <w:t>837,</w:t>
            </w:r>
            <w:r w:rsidR="003F55C4" w:rsidRPr="00491918">
              <w:rPr>
                <w:b/>
                <w:color w:val="000000"/>
                <w:sz w:val="16"/>
              </w:rPr>
              <w:t>524 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695,209 </w:t>
            </w:r>
          </w:p>
        </w:tc>
      </w:tr>
      <w:tr w:rsidR="000D1659" w:rsidRPr="00491918" w:rsidTr="00FF7A7C">
        <w:trPr>
          <w:trHeight w:hRule="exact" w:val="240"/>
        </w:trPr>
        <w:tc>
          <w:tcPr>
            <w:tcW w:w="55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color w:val="000000"/>
                <w:sz w:val="16"/>
              </w:rPr>
              <w:t xml:space="preserve"> </w:t>
            </w:r>
            <w:r w:rsidRPr="00491918">
              <w:rPr>
                <w:color w:val="000000"/>
                <w:sz w:val="16"/>
                <w:vertAlign w:val="superscript"/>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color w:val="000000"/>
                <w:sz w:val="16"/>
                <w:vertAlign w:val="superscript"/>
              </w:rPr>
            </w:pPr>
            <w:r w:rsidRPr="00491918">
              <w:rPr>
                <w:b/>
                <w:color w:val="000000"/>
                <w:sz w:val="16"/>
              </w:rPr>
              <w:t xml:space="preserve">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r>
      <w:tr w:rsidR="000D1659" w:rsidRPr="00491918" w:rsidTr="00FF7A7C">
        <w:trPr>
          <w:trHeight w:val="240"/>
        </w:trPr>
        <w:tc>
          <w:tcPr>
            <w:tcW w:w="55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FF7A7C">
            <w:pPr>
              <w:jc w:val="both"/>
              <w:rPr>
                <w:b/>
                <w:color w:val="000000"/>
                <w:sz w:val="16"/>
              </w:rPr>
            </w:pPr>
            <w:r w:rsidRPr="00491918">
              <w:rPr>
                <w:b/>
                <w:color w:val="000000"/>
                <w:sz w:val="16"/>
              </w:rPr>
              <w:t>Total assets as at 31.12.12</w:t>
            </w:r>
            <w:r w:rsidRPr="00491918">
              <w:rPr>
                <w:b/>
                <w:color w:val="000000"/>
                <w:sz w:val="16"/>
                <w:vertAlign w:val="superscript"/>
              </w:rPr>
              <w:t xml:space="preserve"> </w:t>
            </w:r>
          </w:p>
        </w:tc>
        <w:tc>
          <w:tcPr>
            <w:tcW w:w="12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FF7A7C">
            <w:pPr>
              <w:jc w:val="right"/>
              <w:rPr>
                <w:b/>
                <w:color w:val="000000"/>
                <w:sz w:val="16"/>
                <w:vertAlign w:val="superscript"/>
              </w:rPr>
            </w:pPr>
            <w:r w:rsidRPr="00491918">
              <w:rPr>
                <w:b/>
                <w:color w:val="000000"/>
                <w:sz w:val="16"/>
              </w:rPr>
              <w:t>1,488,335 </w:t>
            </w:r>
          </w:p>
        </w:tc>
        <w:tc>
          <w:tcPr>
            <w:tcW w:w="270" w:type="dxa"/>
            <w:tcBorders>
              <w:top w:val="nil"/>
              <w:left w:val="nil"/>
              <w:bottom w:val="nil"/>
              <w:right w:val="nil"/>
            </w:tcBorders>
            <w:shd w:val="clear" w:color="auto" w:fill="FFFFFF"/>
            <w:tcMar>
              <w:left w:w="36" w:type="dxa"/>
              <w:right w:w="36" w:type="dxa"/>
            </w:tcMar>
            <w:vAlign w:val="center"/>
          </w:tcPr>
          <w:p w:rsidR="000D1659" w:rsidRPr="00491918" w:rsidRDefault="000D1659" w:rsidP="00FF7A7C">
            <w:pPr>
              <w:jc w:val="right"/>
              <w:rPr>
                <w:b/>
                <w:color w:val="000000"/>
                <w:sz w:val="16"/>
              </w:rPr>
            </w:pPr>
            <w:r w:rsidRPr="00491918">
              <w:rPr>
                <w:b/>
                <w:color w:val="000000"/>
                <w:sz w:val="16"/>
              </w:rPr>
              <w:t xml:space="preserve">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337CAB" w:rsidP="00FF7A7C">
            <w:pPr>
              <w:jc w:val="right"/>
              <w:rPr>
                <w:b/>
                <w:color w:val="000000"/>
                <w:sz w:val="16"/>
              </w:rPr>
            </w:pPr>
            <w:r w:rsidRPr="00491918">
              <w:rPr>
                <w:b/>
                <w:color w:val="000000"/>
                <w:sz w:val="16"/>
              </w:rPr>
              <w:t>749,403</w:t>
            </w:r>
            <w:r w:rsidR="000D1659" w:rsidRPr="00491918">
              <w:rPr>
                <w:b/>
                <w:color w:val="000000"/>
                <w:sz w:val="16"/>
              </w:rPr>
              <w:t> </w:t>
            </w:r>
          </w:p>
        </w:tc>
        <w:tc>
          <w:tcPr>
            <w:tcW w:w="12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337CAB" w:rsidP="00FF7A7C">
            <w:pPr>
              <w:jc w:val="right"/>
              <w:rPr>
                <w:b/>
                <w:color w:val="000000"/>
                <w:sz w:val="16"/>
              </w:rPr>
            </w:pPr>
            <w:r w:rsidRPr="00491918">
              <w:rPr>
                <w:b/>
                <w:color w:val="000000"/>
                <w:sz w:val="16"/>
              </w:rPr>
              <w:t>738,932</w:t>
            </w:r>
            <w:r w:rsidR="000D1659" w:rsidRPr="00491918">
              <w:rPr>
                <w:b/>
                <w:color w:val="000000"/>
                <w:sz w:val="16"/>
              </w:rPr>
              <w:t> </w:t>
            </w:r>
          </w:p>
        </w:tc>
      </w:tr>
    </w:tbl>
    <w:p w:rsidR="000D1659" w:rsidRPr="00491918" w:rsidRDefault="000D1659"/>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7A5948" w:rsidRPr="00491918" w:rsidRDefault="007A5948" w:rsidP="000D1659">
      <w:pPr>
        <w:pStyle w:val="NoteSourceText-BarcRA0"/>
      </w:pPr>
    </w:p>
    <w:p w:rsidR="007A5948" w:rsidRPr="00491918" w:rsidRDefault="007A5948" w:rsidP="000D1659">
      <w:pPr>
        <w:pStyle w:val="NoteSourceText-BarcRA0"/>
      </w:pPr>
    </w:p>
    <w:p w:rsidR="007A5948" w:rsidRPr="00491918" w:rsidRDefault="007A5948" w:rsidP="000D1659">
      <w:pPr>
        <w:pStyle w:val="NoteSourceText-BarcRA0"/>
      </w:pPr>
    </w:p>
    <w:p w:rsidR="007A5948" w:rsidRPr="00491918" w:rsidRDefault="007A5948" w:rsidP="000D1659">
      <w:pPr>
        <w:pStyle w:val="NoteSourceText-BarcRA0"/>
      </w:pPr>
    </w:p>
    <w:p w:rsidR="00297700" w:rsidRPr="00491918" w:rsidRDefault="00297700" w:rsidP="000D1659">
      <w:pPr>
        <w:pStyle w:val="NoteSourceText-BarcRA0"/>
      </w:pPr>
    </w:p>
    <w:p w:rsidR="00297700" w:rsidRPr="00491918" w:rsidRDefault="00297700" w:rsidP="000D1659">
      <w:pPr>
        <w:pStyle w:val="NoteSourceText-BarcRA0"/>
      </w:pPr>
    </w:p>
    <w:p w:rsidR="007A5948" w:rsidRPr="00491918" w:rsidRDefault="007A5948"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p>
    <w:p w:rsidR="000D1659" w:rsidRPr="00491918" w:rsidRDefault="000D1659" w:rsidP="000D1659">
      <w:pPr>
        <w:pStyle w:val="NoteSourceText-BarcRA0"/>
      </w:pPr>
      <w:r w:rsidRPr="00491918">
        <w:t>1</w:t>
      </w:r>
      <w:r w:rsidRPr="00491918">
        <w:tab/>
        <w:t>Commodities primarily consist of physical inventory positions.</w:t>
      </w:r>
    </w:p>
    <w:p w:rsidR="000D1659" w:rsidRPr="00491918" w:rsidRDefault="000D1659" w:rsidP="000D1659">
      <w:pPr>
        <w:pStyle w:val="NoteSourceText-BarcRA0"/>
      </w:pPr>
      <w:r w:rsidRPr="00491918">
        <w:t>2</w:t>
      </w:r>
      <w:r w:rsidRPr="00491918">
        <w:tab/>
        <w:t>Primarily consists of reverse repurchase agreements designated at fair value.</w:t>
      </w:r>
    </w:p>
    <w:p w:rsidR="000D1659" w:rsidRPr="00491918" w:rsidRDefault="000D1659">
      <w:pPr>
        <w:sectPr w:rsidR="000D1659" w:rsidRPr="00491918" w:rsidSect="00751636">
          <w:headerReference w:type="default" r:id="rId27"/>
          <w:pgSz w:w="11905" w:h="16837"/>
          <w:pgMar w:top="851" w:right="1134" w:bottom="567" w:left="1134" w:header="851" w:footer="567" w:gutter="0"/>
          <w:cols w:space="708"/>
        </w:sectPr>
      </w:pPr>
    </w:p>
    <w:p w:rsidR="000D76A8" w:rsidRPr="00491918" w:rsidRDefault="000D76A8" w:rsidP="000D76A8">
      <w:pPr>
        <w:pStyle w:val="HeadingLevel1-BarcRA36"/>
        <w:outlineLvl w:val="0"/>
      </w:pPr>
      <w:r w:rsidRPr="00491918">
        <w:lastRenderedPageBreak/>
        <w:t>Credit Risk</w:t>
      </w:r>
    </w:p>
    <w:p w:rsidR="000D1659" w:rsidRPr="00491918" w:rsidRDefault="000D1659" w:rsidP="008D6001">
      <w:pPr>
        <w:pStyle w:val="HeadingLevel2-BarcRA10"/>
        <w:outlineLvl w:val="0"/>
      </w:pPr>
      <w:r w:rsidRPr="00491918">
        <w:t>Analysis of Loans and Advances to Customers and Banks</w:t>
      </w:r>
    </w:p>
    <w:p w:rsidR="000D1659" w:rsidRPr="00491918" w:rsidRDefault="000D1659"/>
    <w:tbl>
      <w:tblPr>
        <w:tblW w:w="0" w:type="auto"/>
        <w:tblLayout w:type="fixed"/>
        <w:tblLook w:val="0000" w:firstRow="0" w:lastRow="0" w:firstColumn="0" w:lastColumn="0" w:noHBand="0" w:noVBand="0"/>
      </w:tblPr>
      <w:tblGrid>
        <w:gridCol w:w="3705"/>
        <w:gridCol w:w="990"/>
        <w:gridCol w:w="990"/>
        <w:gridCol w:w="990"/>
        <w:gridCol w:w="990"/>
        <w:gridCol w:w="990"/>
        <w:gridCol w:w="990"/>
      </w:tblGrid>
      <w:tr w:rsidR="000D1659" w:rsidRPr="00491918">
        <w:trPr>
          <w:trHeight w:hRule="exact" w:val="240"/>
        </w:trPr>
        <w:tc>
          <w:tcPr>
            <w:tcW w:w="3705" w:type="dxa"/>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r>
      <w:tr w:rsidR="00E9782A" w:rsidRPr="00491918" w:rsidTr="00FF7A7C">
        <w:trPr>
          <w:trHeight w:val="240"/>
        </w:trPr>
        <w:tc>
          <w:tcPr>
            <w:tcW w:w="9645" w:type="dxa"/>
            <w:gridSpan w:val="7"/>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b/>
                <w:color w:val="000000"/>
                <w:sz w:val="20"/>
              </w:rPr>
              <w:t>Loans and Advances at Amortised Cost Net of Impairment Allowances, by Industry Sector and Geography</w:t>
            </w:r>
            <w:r w:rsidRPr="00491918">
              <w:rPr>
                <w:rFonts w:ascii="Barclays Sans" w:eastAsia="Barclays Sans" w:hAnsi="Barclays Sans" w:cs="Barclays Sans"/>
                <w:b/>
                <w:color w:val="000000"/>
                <w:sz w:val="16"/>
                <w:vertAlign w:val="superscript"/>
              </w:rPr>
              <w:t xml:space="preserve"> </w:t>
            </w:r>
          </w:p>
        </w:tc>
      </w:tr>
      <w:tr w:rsidR="000D1659" w:rsidRPr="00491918">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b/>
                <w:color w:val="000000"/>
                <w:sz w:val="16"/>
                <w:vertAlign w:val="superscript"/>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rFonts w:ascii="Barclays Sans" w:eastAsia="Barclays Sans" w:hAnsi="Barclays Sans" w:cs="Barclays Sans"/>
                <w:color w:val="000000"/>
                <w:sz w:val="16"/>
                <w:vertAlign w:val="superscript"/>
              </w:rPr>
              <w:t xml:space="preserve"> </w:t>
            </w:r>
          </w:p>
        </w:tc>
      </w:tr>
      <w:tr w:rsidR="000D1659" w:rsidRPr="00491918">
        <w:trPr>
          <w:trHeight w:val="480"/>
        </w:trPr>
        <w:tc>
          <w:tcPr>
            <w:tcW w:w="370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United Kingdom</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Europe</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Americas</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Africa and Middle East</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Asia</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C564A7">
            <w:pPr>
              <w:rPr>
                <w:rFonts w:ascii="Barclays Sans" w:eastAsia="Barclays Sans" w:hAnsi="Barclays Sans" w:cs="Barclays Sans"/>
                <w:color w:val="000000"/>
                <w:sz w:val="16"/>
                <w:vertAlign w:val="superscript"/>
              </w:rPr>
            </w:pPr>
            <w:r w:rsidRPr="00491918">
              <w:rPr>
                <w:b/>
                <w:color w:val="000000"/>
                <w:sz w:val="16"/>
              </w:rPr>
              <w:t>As at 30.06.13</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rFonts w:ascii="Barclays Sans" w:eastAsia="Barclays Sans" w:hAnsi="Barclays Sans" w:cs="Barclays Sans"/>
                <w:color w:val="000000"/>
                <w:sz w:val="16"/>
                <w:vertAlign w:val="superscript"/>
              </w:rPr>
              <w:t xml:space="preserve"> </w:t>
            </w:r>
          </w:p>
        </w:tc>
      </w:tr>
    </w:tbl>
    <w:p w:rsidR="00FF7A7C" w:rsidRPr="00491918" w:rsidRDefault="00FF7A7C"/>
    <w:tbl>
      <w:tblPr>
        <w:tblW w:w="0" w:type="auto"/>
        <w:tblLayout w:type="fixed"/>
        <w:tblLook w:val="0000" w:firstRow="0" w:lastRow="0" w:firstColumn="0" w:lastColumn="0" w:noHBand="0" w:noVBand="0"/>
      </w:tblPr>
      <w:tblGrid>
        <w:gridCol w:w="3705"/>
        <w:gridCol w:w="990"/>
        <w:gridCol w:w="990"/>
        <w:gridCol w:w="990"/>
        <w:gridCol w:w="990"/>
        <w:gridCol w:w="990"/>
        <w:gridCol w:w="990"/>
      </w:tblGrid>
      <w:tr w:rsidR="000D1659" w:rsidRPr="00491918" w:rsidTr="00FF7A7C">
        <w:trPr>
          <w:trHeight w:val="240"/>
        </w:trPr>
        <w:tc>
          <w:tcPr>
            <w:tcW w:w="3705" w:type="dxa"/>
            <w:tcBorders>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Banks</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7,413 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15,403 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11,039 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2,668 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6,761 </w:t>
            </w:r>
          </w:p>
        </w:tc>
        <w:tc>
          <w:tcPr>
            <w:tcW w:w="99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43,284 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Other financial institutions</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27,576 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27,324 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3F55C4" w:rsidP="003F55C4">
            <w:pPr>
              <w:jc w:val="right"/>
              <w:rPr>
                <w:color w:val="000000"/>
                <w:sz w:val="16"/>
              </w:rPr>
            </w:pPr>
            <w:r w:rsidRPr="00491918">
              <w:rPr>
                <w:color w:val="000000"/>
                <w:sz w:val="16"/>
              </w:rPr>
              <w:t>59</w:t>
            </w:r>
            <w:r w:rsidR="000D1659" w:rsidRPr="00491918">
              <w:rPr>
                <w:color w:val="000000"/>
                <w:sz w:val="16"/>
              </w:rPr>
              <w:t>,</w:t>
            </w:r>
            <w:r w:rsidR="00D07A2E" w:rsidRPr="00491918">
              <w:rPr>
                <w:color w:val="000000"/>
                <w:sz w:val="16"/>
              </w:rPr>
              <w:t>99</w:t>
            </w:r>
            <w:r w:rsidRPr="00491918">
              <w:rPr>
                <w:color w:val="000000"/>
                <w:sz w:val="16"/>
              </w:rPr>
              <w:t>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2,642 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5,583 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rsidP="003F55C4">
            <w:pPr>
              <w:jc w:val="right"/>
              <w:rPr>
                <w:color w:val="000000"/>
                <w:sz w:val="16"/>
              </w:rPr>
            </w:pPr>
            <w:r w:rsidRPr="00491918">
              <w:rPr>
                <w:b/>
                <w:color w:val="000000"/>
                <w:sz w:val="16"/>
              </w:rPr>
              <w:t>123,</w:t>
            </w:r>
            <w:r w:rsidR="003F55C4" w:rsidRPr="00491918">
              <w:rPr>
                <w:b/>
                <w:color w:val="000000"/>
                <w:sz w:val="16"/>
              </w:rPr>
              <w:t>116 </w:t>
            </w:r>
            <w:r w:rsidR="003F55C4"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Manufacturing</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5,491 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2,751 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1,525 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1,649 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613 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12,029 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Construction</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3,137 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432 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696 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4,296 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Property</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15,370 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2,113 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728 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1,993 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20,306 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Government</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977 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2,383 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1,457 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1,548 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2,461 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8,826 </w:t>
            </w:r>
            <w:r w:rsidRPr="00491918">
              <w:rPr>
                <w:rFonts w:ascii="Barclays Sans" w:eastAsia="Barclays Sans" w:hAnsi="Barclays Sans" w:cs="Barclays Sans"/>
                <w:color w:val="000000"/>
                <w:sz w:val="16"/>
                <w:vertAlign w:val="superscript"/>
              </w:rPr>
              <w:t xml:space="preserve"> </w:t>
            </w:r>
          </w:p>
        </w:tc>
      </w:tr>
      <w:tr w:rsidR="000D1659" w:rsidRPr="00491918">
        <w:trPr>
          <w:trHeight w:val="255"/>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Energy and water</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1,791 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3,576 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1,912 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854 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392 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8,525 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Wholesale and retail distribution and leisure</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9,618 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2,123 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739 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1,858 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155 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14,493 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Business and other services</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18,296 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2,658 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3,079 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2,445 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27,089 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Home loans</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127,234 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36,621 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15,596 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125 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179,887 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Cards, unsecured loans and other personal lending</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28,444 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7,295 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12,273 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7,467 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1,456 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56,935 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Other</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6,654 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2,324 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1,151 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6,851 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747 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17,727 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b/>
                <w:color w:val="000000"/>
                <w:sz w:val="16"/>
              </w:rPr>
              <w:t>Net loans and advances to customers and banks</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252,001 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105,003 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3F55C4">
            <w:pPr>
              <w:jc w:val="right"/>
              <w:rPr>
                <w:b/>
                <w:color w:val="000000"/>
                <w:sz w:val="16"/>
              </w:rPr>
            </w:pPr>
            <w:r w:rsidRPr="00491918">
              <w:rPr>
                <w:b/>
                <w:color w:val="000000"/>
                <w:sz w:val="16"/>
              </w:rPr>
              <w:t>94,</w:t>
            </w:r>
            <w:r w:rsidR="003F55C4" w:rsidRPr="00491918">
              <w:rPr>
                <w:b/>
                <w:color w:val="000000"/>
                <w:sz w:val="16"/>
              </w:rPr>
              <w:t>207 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46,267 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19,035 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3F55C4">
            <w:pPr>
              <w:jc w:val="right"/>
              <w:rPr>
                <w:b/>
                <w:color w:val="000000"/>
                <w:sz w:val="16"/>
              </w:rPr>
            </w:pPr>
            <w:r w:rsidRPr="00491918">
              <w:rPr>
                <w:b/>
                <w:color w:val="000000"/>
                <w:sz w:val="16"/>
              </w:rPr>
              <w:t>516,</w:t>
            </w:r>
            <w:r w:rsidR="003F55C4" w:rsidRPr="00491918">
              <w:rPr>
                <w:b/>
                <w:color w:val="000000"/>
                <w:sz w:val="16"/>
              </w:rPr>
              <w:t>513 </w:t>
            </w:r>
            <w:r w:rsidR="003F55C4"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b/>
                <w:color w:val="000000"/>
                <w:sz w:val="16"/>
              </w:rPr>
              <w:t>Impairment allowance</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(3,357)</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(2,490)</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w:t>
            </w:r>
            <w:r w:rsidR="003F55C4" w:rsidRPr="00491918">
              <w:rPr>
                <w:b/>
                <w:color w:val="000000"/>
                <w:sz w:val="16"/>
              </w:rPr>
              <w:t>742</w:t>
            </w:r>
            <w:r w:rsidRPr="00491918">
              <w:rPr>
                <w:b/>
                <w:color w:val="000000"/>
                <w:sz w:val="16"/>
              </w:rPr>
              <w:t>)</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(1,247)</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(68)</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rsidP="003F55C4">
            <w:pPr>
              <w:jc w:val="right"/>
              <w:rPr>
                <w:b/>
                <w:color w:val="000000"/>
                <w:sz w:val="16"/>
              </w:rPr>
            </w:pPr>
            <w:r w:rsidRPr="00491918">
              <w:rPr>
                <w:b/>
                <w:color w:val="000000"/>
                <w:sz w:val="16"/>
              </w:rPr>
              <w:t>(7,</w:t>
            </w:r>
            <w:r w:rsidR="003F55C4" w:rsidRPr="00491918">
              <w:rPr>
                <w:b/>
                <w:color w:val="000000"/>
                <w:sz w:val="16"/>
              </w:rPr>
              <w:t>904</w:t>
            </w:r>
            <w:r w:rsidRPr="00491918">
              <w:rPr>
                <w:b/>
                <w:color w:val="000000"/>
                <w:sz w:val="16"/>
              </w:rPr>
              <w:t>)</w:t>
            </w:r>
            <w:r w:rsidRPr="00491918">
              <w:rPr>
                <w:rFonts w:ascii="Barclays Sans" w:eastAsia="Barclays Sans" w:hAnsi="Barclays Sans" w:cs="Barclays Sans"/>
                <w:color w:val="000000"/>
                <w:sz w:val="16"/>
                <w:vertAlign w:val="superscript"/>
              </w:rPr>
              <w:t xml:space="preserve"> </w:t>
            </w:r>
          </w:p>
        </w:tc>
      </w:tr>
      <w:tr w:rsidR="000D1659" w:rsidRPr="00491918">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b/>
                <w:color w:val="000000"/>
                <w:sz w:val="16"/>
              </w:rPr>
              <w:t>As at 31.12.12</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Banks</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7,134 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14,447 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12,050 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1,806 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3,405 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38,842 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Other financial institutions</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17,113 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20,812 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40,884 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4,490 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3,031 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86,330 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Manufacturing</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6,041 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2,533 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1,225 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487 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11,518 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Construction</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3,077 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476 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76224A">
            <w:pPr>
              <w:jc w:val="right"/>
              <w:rPr>
                <w:color w:val="000000"/>
                <w:sz w:val="16"/>
              </w:rPr>
            </w:pPr>
            <w:r w:rsidRPr="00491918">
              <w:rPr>
                <w:color w:val="000000"/>
                <w:sz w:val="16"/>
              </w:rPr>
              <w:t>699</w:t>
            </w:r>
            <w:r w:rsidR="000D1659" w:rsidRPr="00491918">
              <w:rPr>
                <w:color w:val="000000"/>
                <w:sz w:val="16"/>
              </w:rPr>
              <w:t>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76224A">
            <w:pPr>
              <w:jc w:val="right"/>
              <w:rPr>
                <w:color w:val="000000"/>
                <w:sz w:val="16"/>
              </w:rPr>
            </w:pPr>
            <w:r w:rsidRPr="00491918">
              <w:rPr>
                <w:color w:val="000000"/>
                <w:sz w:val="16"/>
              </w:rPr>
              <w:t>4,274</w:t>
            </w:r>
            <w:r w:rsidR="000D1659" w:rsidRPr="00491918">
              <w:rPr>
                <w:color w:val="000000"/>
                <w:sz w:val="16"/>
              </w:rPr>
              <w:t> </w:t>
            </w:r>
            <w:r w:rsidR="000D1659"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Property</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15,167 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2,411 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3,101 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247 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21,603 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Government</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558 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2,985 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1,012 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1,600 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253 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6,408 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Energy and water</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2,286 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2,365 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1,757 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821 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393 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7,622 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Wholesale and retail distribution and leisure</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9,567 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2,463 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734 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1,748 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14,603 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Business and other services</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15,754 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2,754 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2,360 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2,654 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630 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24,152 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Home loans</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119,653 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36,659 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480 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76224A">
            <w:pPr>
              <w:jc w:val="right"/>
              <w:rPr>
                <w:color w:val="000000"/>
                <w:sz w:val="16"/>
              </w:rPr>
            </w:pPr>
            <w:r w:rsidRPr="00491918">
              <w:rPr>
                <w:color w:val="000000"/>
                <w:sz w:val="16"/>
              </w:rPr>
              <w:t>14,931</w:t>
            </w:r>
            <w:r w:rsidR="000D1659" w:rsidRPr="00491918">
              <w:rPr>
                <w:color w:val="000000"/>
                <w:sz w:val="16"/>
              </w:rPr>
              <w:t>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270 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76224A">
            <w:pPr>
              <w:jc w:val="right"/>
              <w:rPr>
                <w:color w:val="000000"/>
                <w:sz w:val="16"/>
              </w:rPr>
            </w:pPr>
            <w:r w:rsidRPr="00491918">
              <w:rPr>
                <w:color w:val="000000"/>
                <w:sz w:val="16"/>
              </w:rPr>
              <w:t>171,992</w:t>
            </w:r>
            <w:r w:rsidR="000D1659" w:rsidRPr="00491918">
              <w:rPr>
                <w:color w:val="000000"/>
                <w:sz w:val="16"/>
              </w:rPr>
              <w:t> </w:t>
            </w:r>
            <w:r w:rsidR="000D1659"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Cards, unsecured loans and other personal lending</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29,716 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5,887 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11,725 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76224A">
            <w:pPr>
              <w:jc w:val="right"/>
              <w:rPr>
                <w:color w:val="000000"/>
                <w:sz w:val="16"/>
              </w:rPr>
            </w:pPr>
            <w:r w:rsidRPr="00491918">
              <w:rPr>
                <w:color w:val="000000"/>
                <w:sz w:val="16"/>
              </w:rPr>
              <w:t>7,170</w:t>
            </w:r>
            <w:r w:rsidR="000D1659" w:rsidRPr="00491918">
              <w:rPr>
                <w:color w:val="000000"/>
                <w:sz w:val="16"/>
              </w:rPr>
              <w:t>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1,147 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76224A">
            <w:pPr>
              <w:jc w:val="right"/>
              <w:rPr>
                <w:color w:val="000000"/>
                <w:sz w:val="16"/>
              </w:rPr>
            </w:pPr>
            <w:r w:rsidRPr="00491918">
              <w:rPr>
                <w:color w:val="000000"/>
                <w:sz w:val="16"/>
              </w:rPr>
              <w:t>55,645</w:t>
            </w:r>
            <w:r w:rsidR="000D1659" w:rsidRPr="00491918">
              <w:rPr>
                <w:color w:val="000000"/>
                <w:sz w:val="16"/>
              </w:rPr>
              <w:t> </w:t>
            </w:r>
            <w:r w:rsidR="000D1659"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color w:val="000000"/>
                <w:sz w:val="16"/>
              </w:rPr>
              <w:t>Other</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9,448 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2,390 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1,232 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7,788 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520 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21,378 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b/>
                <w:color w:val="000000"/>
                <w:sz w:val="16"/>
              </w:rPr>
              <w:t>Net loans and advances to customers and banks</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235,514 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96,182 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74,137 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48,040 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10,495 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464,368 </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vertAlign w:val="superscript"/>
              </w:rPr>
            </w:pPr>
            <w:r w:rsidRPr="00491918">
              <w:rPr>
                <w:b/>
                <w:color w:val="000000"/>
                <w:sz w:val="16"/>
              </w:rPr>
              <w:t>Impairment allowance</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(3,270)</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(2,606)</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(472)</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(1,381)</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(70)</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(7,799)</w:t>
            </w:r>
            <w:r w:rsidRPr="00491918">
              <w:rPr>
                <w:rFonts w:ascii="Barclays Sans" w:eastAsia="Barclays Sans" w:hAnsi="Barclays Sans" w:cs="Barclays Sans"/>
                <w:color w:val="000000"/>
                <w:sz w:val="16"/>
                <w:vertAlign w:val="superscript"/>
              </w:rPr>
              <w:t xml:space="preserve"> </w:t>
            </w:r>
          </w:p>
        </w:tc>
      </w:tr>
      <w:tr w:rsidR="000D1659" w:rsidRPr="00491918">
        <w:trPr>
          <w:trHeight w:val="240"/>
        </w:trPr>
        <w:tc>
          <w:tcPr>
            <w:tcW w:w="6675" w:type="dxa"/>
            <w:gridSpan w:val="4"/>
            <w:tcBorders>
              <w:top w:val="nil"/>
              <w:left w:val="nil"/>
              <w:bottom w:val="nil"/>
              <w:right w:val="nil"/>
            </w:tcBorders>
            <w:shd w:val="clear" w:color="auto" w:fill="FFFFFF"/>
            <w:tcMar>
              <w:left w:w="36" w:type="dxa"/>
              <w:right w:w="36" w:type="dxa"/>
            </w:tcMar>
            <w:vAlign w:val="bottom"/>
          </w:tcPr>
          <w:p w:rsidR="00297700" w:rsidRPr="00491918" w:rsidRDefault="00297700">
            <w:pPr>
              <w:rPr>
                <w:b/>
                <w:color w:val="000000"/>
                <w:sz w:val="20"/>
              </w:rPr>
            </w:pPr>
          </w:p>
          <w:p w:rsidR="000D1659" w:rsidRPr="00491918" w:rsidRDefault="000D1659">
            <w:r w:rsidRPr="00491918">
              <w:rPr>
                <w:b/>
                <w:color w:val="000000"/>
                <w:sz w:val="20"/>
              </w:rPr>
              <w:t>Impairment Allowance</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r>
      <w:tr w:rsidR="000D1659" w:rsidRPr="00491918">
        <w:trPr>
          <w:trHeight w:val="480"/>
        </w:trPr>
        <w:tc>
          <w:tcPr>
            <w:tcW w:w="6675"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rFonts w:ascii="Barclays Sans" w:eastAsia="Barclays Sans" w:hAnsi="Barclays Sans" w:cs="Barclays Sans"/>
                <w:color w:val="000000"/>
                <w:sz w:val="16"/>
              </w:rPr>
            </w:pPr>
            <w:r w:rsidRPr="00491918">
              <w:rPr>
                <w:b/>
                <w:color w:val="000000"/>
                <w:sz w:val="16"/>
              </w:rPr>
              <w:t>Half Year Ended</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r>
      <w:tr w:rsidR="000D1659" w:rsidRPr="00491918">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6675" w:type="dxa"/>
            <w:gridSpan w:val="4"/>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r w:rsidR="000D1659" w:rsidRPr="00491918">
        <w:trPr>
          <w:trHeight w:val="240"/>
        </w:trPr>
        <w:tc>
          <w:tcPr>
            <w:tcW w:w="6675" w:type="dxa"/>
            <w:gridSpan w:val="4"/>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At beginning of period</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7,799 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8,153 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8,896 </w:t>
            </w:r>
          </w:p>
        </w:tc>
      </w:tr>
      <w:tr w:rsidR="000D1659" w:rsidRPr="00491918">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Acquisitions and disposals</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(73)</w:t>
            </w:r>
          </w:p>
        </w:tc>
      </w:tr>
      <w:tr w:rsidR="000D1659" w:rsidRPr="00491918">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Exchange and other adjustments</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(69)</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(137)</w:t>
            </w:r>
          </w:p>
        </w:tc>
      </w:tr>
      <w:tr w:rsidR="000D1659" w:rsidRPr="00491918">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Unwind of discount</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(95)</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(109)</w:t>
            </w:r>
          </w:p>
        </w:tc>
      </w:tr>
      <w:tr w:rsidR="000D1659" w:rsidRPr="00491918">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Amounts written off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(1,605)</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(1,917)</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(2,202)</w:t>
            </w:r>
          </w:p>
        </w:tc>
      </w:tr>
      <w:tr w:rsidR="000D1659" w:rsidRPr="00491918">
        <w:trPr>
          <w:trHeight w:val="240"/>
        </w:trPr>
        <w:tc>
          <w:tcPr>
            <w:tcW w:w="6675"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Recoveries</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95 </w:t>
            </w:r>
          </w:p>
        </w:tc>
      </w:tr>
      <w:tr w:rsidR="000D1659" w:rsidRPr="00491918">
        <w:trPr>
          <w:trHeight w:val="240"/>
        </w:trPr>
        <w:tc>
          <w:tcPr>
            <w:tcW w:w="6675" w:type="dxa"/>
            <w:gridSpan w:val="4"/>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Amounts charged against profit</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3F55C4">
            <w:pPr>
              <w:jc w:val="right"/>
              <w:rPr>
                <w:color w:val="000000"/>
                <w:sz w:val="16"/>
              </w:rPr>
            </w:pPr>
            <w:r w:rsidRPr="00491918">
              <w:rPr>
                <w:color w:val="000000"/>
                <w:sz w:val="16"/>
              </w:rPr>
              <w:t>1,</w:t>
            </w:r>
            <w:r w:rsidR="003F55C4" w:rsidRPr="00491918">
              <w:rPr>
                <w:color w:val="000000"/>
                <w:sz w:val="16"/>
              </w:rPr>
              <w:t>622 </w:t>
            </w:r>
          </w:p>
        </w:tc>
        <w:tc>
          <w:tcPr>
            <w:tcW w:w="99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1,624 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1,683 </w:t>
            </w:r>
          </w:p>
        </w:tc>
      </w:tr>
      <w:tr w:rsidR="000D1659" w:rsidRPr="00491918">
        <w:trPr>
          <w:trHeight w:val="240"/>
        </w:trPr>
        <w:tc>
          <w:tcPr>
            <w:tcW w:w="6675" w:type="dxa"/>
            <w:gridSpan w:val="4"/>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At end of period</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3F55C4">
            <w:pPr>
              <w:jc w:val="right"/>
              <w:rPr>
                <w:b/>
                <w:color w:val="000000"/>
                <w:sz w:val="16"/>
              </w:rPr>
            </w:pPr>
            <w:r w:rsidRPr="00491918">
              <w:rPr>
                <w:b/>
                <w:color w:val="000000"/>
                <w:sz w:val="16"/>
              </w:rPr>
              <w:t>7,</w:t>
            </w:r>
            <w:r w:rsidR="003F55C4" w:rsidRPr="00491918">
              <w:rPr>
                <w:b/>
                <w:color w:val="000000"/>
                <w:sz w:val="16"/>
              </w:rPr>
              <w:t>904 </w:t>
            </w:r>
          </w:p>
        </w:tc>
        <w:tc>
          <w:tcPr>
            <w:tcW w:w="99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7,799 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8,153 </w:t>
            </w:r>
          </w:p>
        </w:tc>
      </w:tr>
      <w:tr w:rsidR="000D1659" w:rsidRPr="00491918">
        <w:trPr>
          <w:trHeight w:hRule="exact" w:val="240"/>
        </w:trPr>
        <w:tc>
          <w:tcPr>
            <w:tcW w:w="6675"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76A8" w:rsidRPr="00491918">
        <w:trPr>
          <w:trHeight w:hRule="exact" w:val="240"/>
        </w:trPr>
        <w:tc>
          <w:tcPr>
            <w:tcW w:w="6675" w:type="dxa"/>
            <w:gridSpan w:val="4"/>
            <w:tcBorders>
              <w:top w:val="nil"/>
              <w:left w:val="nil"/>
              <w:bottom w:val="nil"/>
              <w:right w:val="nil"/>
            </w:tcBorders>
            <w:shd w:val="clear" w:color="auto" w:fill="FFFFFF"/>
            <w:tcMar>
              <w:left w:w="36" w:type="dxa"/>
              <w:right w:w="36" w:type="dxa"/>
            </w:tcMar>
            <w:vAlign w:val="center"/>
          </w:tcPr>
          <w:p w:rsidR="000D76A8" w:rsidRPr="00491918" w:rsidRDefault="000D76A8">
            <w:pPr>
              <w:rPr>
                <w:b/>
                <w:color w:val="000000"/>
                <w:sz w:val="16"/>
              </w:rPr>
            </w:pPr>
          </w:p>
        </w:tc>
        <w:tc>
          <w:tcPr>
            <w:tcW w:w="990" w:type="dxa"/>
            <w:tcBorders>
              <w:top w:val="nil"/>
              <w:left w:val="nil"/>
              <w:bottom w:val="nil"/>
              <w:right w:val="nil"/>
            </w:tcBorders>
            <w:shd w:val="clear" w:color="auto" w:fill="FFFFFF"/>
            <w:tcMar>
              <w:left w:w="36" w:type="dxa"/>
              <w:right w:w="36" w:type="dxa"/>
            </w:tcMar>
            <w:vAlign w:val="center"/>
          </w:tcPr>
          <w:p w:rsidR="000D76A8" w:rsidRPr="00491918" w:rsidRDefault="000D76A8">
            <w:pPr>
              <w:rPr>
                <w:b/>
                <w:color w:val="000000"/>
                <w:sz w:val="16"/>
              </w:rPr>
            </w:pPr>
          </w:p>
        </w:tc>
        <w:tc>
          <w:tcPr>
            <w:tcW w:w="990" w:type="dxa"/>
            <w:tcBorders>
              <w:top w:val="nil"/>
              <w:left w:val="nil"/>
              <w:bottom w:val="nil"/>
              <w:right w:val="nil"/>
            </w:tcBorders>
            <w:shd w:val="clear" w:color="auto" w:fill="FFFFFF"/>
            <w:tcMar>
              <w:left w:w="36" w:type="dxa"/>
              <w:right w:w="36" w:type="dxa"/>
            </w:tcMar>
            <w:vAlign w:val="center"/>
          </w:tcPr>
          <w:p w:rsidR="000D76A8" w:rsidRPr="00491918" w:rsidRDefault="000D76A8">
            <w:pPr>
              <w:rPr>
                <w:b/>
                <w:color w:val="000000"/>
                <w:sz w:val="16"/>
              </w:rPr>
            </w:pPr>
          </w:p>
        </w:tc>
        <w:tc>
          <w:tcPr>
            <w:tcW w:w="990" w:type="dxa"/>
            <w:tcBorders>
              <w:top w:val="nil"/>
              <w:left w:val="nil"/>
              <w:bottom w:val="nil"/>
              <w:right w:val="nil"/>
            </w:tcBorders>
            <w:shd w:val="clear" w:color="auto" w:fill="FFFFFF"/>
            <w:tcMar>
              <w:left w:w="36" w:type="dxa"/>
              <w:right w:w="36" w:type="dxa"/>
            </w:tcMar>
            <w:vAlign w:val="center"/>
          </w:tcPr>
          <w:p w:rsidR="000D76A8" w:rsidRPr="00491918" w:rsidRDefault="000D76A8">
            <w:pPr>
              <w:jc w:val="right"/>
              <w:rPr>
                <w:b/>
                <w:color w:val="000000"/>
                <w:sz w:val="16"/>
              </w:rPr>
            </w:pPr>
          </w:p>
        </w:tc>
      </w:tr>
    </w:tbl>
    <w:p w:rsidR="000D1659" w:rsidRPr="00491918" w:rsidRDefault="000D1659">
      <w:pPr>
        <w:spacing w:line="14" w:lineRule="exact"/>
      </w:pPr>
      <w:r w:rsidRPr="00491918">
        <w:br w:type="page"/>
      </w:r>
    </w:p>
    <w:tbl>
      <w:tblPr>
        <w:tblW w:w="0" w:type="auto"/>
        <w:tblLayout w:type="fixed"/>
        <w:tblLook w:val="0000" w:firstRow="0" w:lastRow="0" w:firstColumn="0" w:lastColumn="0" w:noHBand="0" w:noVBand="0"/>
      </w:tblPr>
      <w:tblGrid>
        <w:gridCol w:w="3705"/>
        <w:gridCol w:w="990"/>
        <w:gridCol w:w="990"/>
        <w:gridCol w:w="990"/>
        <w:gridCol w:w="990"/>
        <w:gridCol w:w="990"/>
        <w:gridCol w:w="990"/>
      </w:tblGrid>
      <w:tr w:rsidR="0007202F" w:rsidRPr="00491918" w:rsidTr="00FF7A7C">
        <w:trPr>
          <w:trHeight w:val="240"/>
        </w:trPr>
        <w:tc>
          <w:tcPr>
            <w:tcW w:w="7665" w:type="dxa"/>
            <w:gridSpan w:val="5"/>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35"/>
              <w:rPr>
                <w:lang w:val="en-GB"/>
              </w:rPr>
            </w:pPr>
            <w:r w:rsidRPr="00491918">
              <w:rPr>
                <w:lang w:val="en-GB"/>
              </w:rPr>
              <w:lastRenderedPageBreak/>
              <w:t xml:space="preserve">Credit </w:t>
            </w:r>
            <w:r w:rsidRPr="00491918">
              <w:t>Risk</w:t>
            </w:r>
          </w:p>
        </w:tc>
        <w:tc>
          <w:tcPr>
            <w:tcW w:w="990" w:type="dxa"/>
            <w:tcBorders>
              <w:top w:val="nil"/>
              <w:left w:val="nil"/>
              <w:bottom w:val="nil"/>
              <w:right w:val="nil"/>
            </w:tcBorders>
            <w:shd w:val="clear" w:color="auto" w:fill="FFFFFF"/>
            <w:tcMar>
              <w:left w:w="36" w:type="dxa"/>
              <w:right w:w="36" w:type="dxa"/>
            </w:tcMar>
            <w:vAlign w:val="center"/>
          </w:tcPr>
          <w:p w:rsidR="0007202F" w:rsidRPr="00491918" w:rsidRDefault="0007202F">
            <w:pPr>
              <w:rPr>
                <w:rFonts w:ascii="Barclays Sans" w:eastAsia="Barclays Sans" w:hAnsi="Barclays Sans" w:cs="Barclays Sans"/>
                <w:color w:val="000000"/>
                <w:sz w:val="16"/>
              </w:rPr>
            </w:pPr>
          </w:p>
        </w:tc>
        <w:tc>
          <w:tcPr>
            <w:tcW w:w="990" w:type="dxa"/>
            <w:tcBorders>
              <w:top w:val="nil"/>
              <w:left w:val="nil"/>
              <w:bottom w:val="nil"/>
              <w:right w:val="nil"/>
            </w:tcBorders>
            <w:shd w:val="clear" w:color="auto" w:fill="FFFFFF"/>
            <w:tcMar>
              <w:left w:w="36" w:type="dxa"/>
              <w:right w:w="36" w:type="dxa"/>
            </w:tcMar>
            <w:vAlign w:val="center"/>
          </w:tcPr>
          <w:p w:rsidR="0007202F" w:rsidRPr="00491918" w:rsidRDefault="0007202F">
            <w:pPr>
              <w:rPr>
                <w:rFonts w:ascii="Barclays Sans" w:eastAsia="Barclays Sans" w:hAnsi="Barclays Sans" w:cs="Barclays Sans"/>
                <w:color w:val="000000"/>
                <w:sz w:val="16"/>
              </w:rPr>
            </w:pPr>
          </w:p>
        </w:tc>
      </w:tr>
      <w:tr w:rsidR="00E9782A" w:rsidRPr="00491918" w:rsidTr="00FF7A7C">
        <w:trPr>
          <w:trHeight w:val="240"/>
        </w:trPr>
        <w:tc>
          <w:tcPr>
            <w:tcW w:w="7665" w:type="dxa"/>
            <w:gridSpan w:val="5"/>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0"/>
              </w:rPr>
              <w:t>Loans and Advances Held at Fair Value, by Industry Sector and Geography</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r>
      <w:tr w:rsidR="000D1659" w:rsidRPr="00491918">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20"/>
              </w:rPr>
              <w:t xml:space="preserve"> </w:t>
            </w:r>
            <w:r w:rsidRPr="00491918">
              <w:rPr>
                <w:b/>
                <w:color w:val="000000"/>
                <w:sz w:val="20"/>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vertAlign w:val="superscript"/>
              </w:rPr>
            </w:pPr>
            <w:r w:rsidRPr="00491918">
              <w:rPr>
                <w:rFonts w:ascii="Arial" w:eastAsia="Arial" w:hAnsi="Arial" w:cs="Arial"/>
                <w:color w:val="000000"/>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rFonts w:ascii="Barclays Sans" w:eastAsia="Barclays Sans" w:hAnsi="Barclays Sans" w:cs="Barclays Sans"/>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r>
      <w:tr w:rsidR="000D1659" w:rsidRPr="00491918">
        <w:trPr>
          <w:trHeight w:val="510"/>
        </w:trPr>
        <w:tc>
          <w:tcPr>
            <w:tcW w:w="370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United Kingdom</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Europe</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Americas</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Africa and Middle East</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Asia</w:t>
            </w:r>
          </w:p>
        </w:tc>
        <w:tc>
          <w:tcPr>
            <w:tcW w:w="99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C564A7">
            <w:pPr>
              <w:rPr>
                <w:b/>
                <w:color w:val="000000"/>
                <w:sz w:val="16"/>
              </w:rPr>
            </w:pPr>
            <w:r w:rsidRPr="00491918">
              <w:rPr>
                <w:b/>
                <w:color w:val="000000"/>
                <w:sz w:val="16"/>
              </w:rPr>
              <w:t>As at 30.06.13</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3705"/>
        <w:gridCol w:w="990"/>
        <w:gridCol w:w="990"/>
        <w:gridCol w:w="990"/>
        <w:gridCol w:w="990"/>
        <w:gridCol w:w="990"/>
        <w:gridCol w:w="990"/>
      </w:tblGrid>
      <w:tr w:rsidR="000D1659" w:rsidRPr="00491918" w:rsidTr="00FF7A7C">
        <w:trPr>
          <w:trHeight w:val="240"/>
        </w:trPr>
        <w:tc>
          <w:tcPr>
            <w:tcW w:w="3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Banks</w:t>
            </w:r>
            <w:r w:rsidRPr="00491918">
              <w:rPr>
                <w:color w:val="000000"/>
                <w:sz w:val="16"/>
                <w:vertAlign w:val="superscript"/>
              </w:rPr>
              <w:t xml:space="preserve">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336 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156 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516 </w:t>
            </w:r>
          </w:p>
        </w:tc>
        <w:tc>
          <w:tcPr>
            <w:tcW w:w="99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1,010 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financial institutions</w:t>
            </w:r>
            <w:r w:rsidRPr="00491918">
              <w:rPr>
                <w:color w:val="000000"/>
                <w:sz w:val="16"/>
                <w:vertAlign w:val="superscript"/>
              </w:rPr>
              <w:t>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664 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631 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37 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1,472 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Manufacturing</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559 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Construction</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153 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238 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Property</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8,018 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875 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9,210 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Government</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5,441 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5,492 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Energy and water</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254 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Wholesale and retail distribution and leisure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59 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279 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Business and other services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3,125 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3,686 </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42 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284 </w:t>
            </w:r>
          </w:p>
        </w:tc>
      </w:tr>
      <w:tr w:rsidR="000D1659" w:rsidRPr="00491918">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17,059 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2,215 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2,189 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975 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46 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22,484 </w:t>
            </w:r>
          </w:p>
        </w:tc>
      </w:tr>
      <w:tr w:rsidR="000D1659" w:rsidRPr="00491918">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C564A7" w:rsidP="00C564A7">
            <w:pPr>
              <w:rPr>
                <w:b/>
                <w:color w:val="000000"/>
                <w:sz w:val="16"/>
              </w:rPr>
            </w:pPr>
            <w:r w:rsidRPr="00491918">
              <w:rPr>
                <w:b/>
                <w:color w:val="000000"/>
                <w:sz w:val="16"/>
              </w:rPr>
              <w:t>As at 31.12.12</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Banks</w:t>
            </w:r>
            <w:r w:rsidRPr="00491918">
              <w:rPr>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493 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120 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422 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1,035 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financial institutions</w:t>
            </w:r>
            <w:r w:rsidRPr="00491918">
              <w:rPr>
                <w:color w:val="000000"/>
                <w:sz w:val="16"/>
                <w:vertAlign w:val="superscript"/>
              </w:rPr>
              <w:t>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622 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1,293 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Manufacturing</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601 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676 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Construction</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161 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194 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Property</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8,671 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830 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9,917 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Government</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5,762 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6,104 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Energy and water</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173 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Wholesale and retail distribution and leisure</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33 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72 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328 </w:t>
            </w:r>
          </w:p>
        </w:tc>
      </w:tr>
      <w:tr w:rsidR="000D1659" w:rsidRPr="00491918">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Business and other services</w:t>
            </w:r>
            <w:r w:rsidRPr="00491918">
              <w:rPr>
                <w:color w:val="000000"/>
                <w:sz w:val="16"/>
                <w:vertAlign w:val="superscript"/>
              </w:rPr>
              <w:t xml:space="preserve">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3,404 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685 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14 </w:t>
            </w:r>
          </w:p>
        </w:tc>
        <w:tc>
          <w:tcPr>
            <w:tcW w:w="99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99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4,123 </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r w:rsidRPr="00491918">
              <w:rPr>
                <w:color w:val="000000"/>
                <w:sz w:val="16"/>
                <w:vertAlign w:val="superscript"/>
              </w:rPr>
              <w:t xml:space="preserve">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105 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132 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46 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224 </w:t>
            </w:r>
          </w:p>
        </w:tc>
        <w:tc>
          <w:tcPr>
            <w:tcW w:w="99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56 </w:t>
            </w:r>
          </w:p>
        </w:tc>
        <w:tc>
          <w:tcPr>
            <w:tcW w:w="99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563 </w:t>
            </w:r>
          </w:p>
        </w:tc>
      </w:tr>
      <w:tr w:rsidR="000D1659" w:rsidRPr="00491918">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18,165 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2,206 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2,944 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968 </w:t>
            </w:r>
          </w:p>
        </w:tc>
        <w:tc>
          <w:tcPr>
            <w:tcW w:w="99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123 </w:t>
            </w:r>
          </w:p>
        </w:tc>
        <w:tc>
          <w:tcPr>
            <w:tcW w:w="99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color w:val="000000"/>
                <w:sz w:val="16"/>
              </w:rPr>
              <w:t>24,406 </w:t>
            </w:r>
          </w:p>
        </w:tc>
      </w:tr>
    </w:tbl>
    <w:p w:rsidR="000D1659" w:rsidRPr="00491918" w:rsidRDefault="000D1659"/>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8"/>
        <w:numPr>
          <w:ilvl w:val="0"/>
          <w:numId w:val="0"/>
        </w:numPr>
        <w:ind w:left="720"/>
      </w:pPr>
    </w:p>
    <w:p w:rsidR="000D1659" w:rsidRPr="00491918" w:rsidRDefault="000D1659" w:rsidP="000D1659">
      <w:pPr>
        <w:pStyle w:val="NoteandSourceText-BarcRA40"/>
        <w:numPr>
          <w:ilvl w:val="0"/>
          <w:numId w:val="0"/>
        </w:numPr>
      </w:pPr>
    </w:p>
    <w:p w:rsidR="000D1659" w:rsidRPr="00491918" w:rsidRDefault="000D1659" w:rsidP="000D1659">
      <w:pPr>
        <w:pStyle w:val="NoteandSourceText-BarcRA40"/>
        <w:ind w:left="284" w:hanging="284"/>
      </w:pPr>
      <w:r w:rsidRPr="00491918">
        <w:t>Included within Other financial instit</w:t>
      </w:r>
      <w:r w:rsidR="000B1BD5" w:rsidRPr="00491918">
        <w:t>utions (Americas) are £239m (</w:t>
      </w:r>
      <w:r w:rsidRPr="00491918">
        <w:t>2012: £427m) of loans backed by retail mortgage collateral.</w:t>
      </w:r>
    </w:p>
    <w:p w:rsidR="0007202F" w:rsidRPr="00491918" w:rsidRDefault="0007202F" w:rsidP="0007202F">
      <w:pPr>
        <w:pStyle w:val="NoteandSourceText-BarcRA40"/>
        <w:numPr>
          <w:ilvl w:val="0"/>
          <w:numId w:val="0"/>
        </w:numPr>
        <w:ind w:left="720" w:hanging="360"/>
      </w:pPr>
    </w:p>
    <w:p w:rsidR="00DA356B" w:rsidRPr="00491918" w:rsidRDefault="00DA356B" w:rsidP="0007202F">
      <w:pPr>
        <w:pStyle w:val="HeadingLevel1-BarcRA35"/>
        <w:rPr>
          <w:lang w:val="en-GB"/>
        </w:rPr>
      </w:pPr>
    </w:p>
    <w:p w:rsidR="00DA356B" w:rsidRPr="00491918" w:rsidRDefault="00DA356B" w:rsidP="0007202F">
      <w:pPr>
        <w:pStyle w:val="HeadingLevel1-BarcRA35"/>
        <w:rPr>
          <w:lang w:val="en-GB"/>
        </w:rPr>
      </w:pPr>
    </w:p>
    <w:p w:rsidR="000D1659" w:rsidRPr="00491918" w:rsidRDefault="0007202F" w:rsidP="0007202F">
      <w:pPr>
        <w:pStyle w:val="HeadingLevel1-BarcRA35"/>
      </w:pPr>
      <w:r w:rsidRPr="00491918">
        <w:rPr>
          <w:lang w:val="en-GB"/>
        </w:rPr>
        <w:t xml:space="preserve">Credit </w:t>
      </w:r>
      <w:r w:rsidRPr="00491918">
        <w:t>Risk</w:t>
      </w:r>
    </w:p>
    <w:tbl>
      <w:tblPr>
        <w:tblW w:w="0" w:type="auto"/>
        <w:tblLayout w:type="fixed"/>
        <w:tblLook w:val="0000" w:firstRow="0" w:lastRow="0" w:firstColumn="0" w:lastColumn="0" w:noHBand="0" w:noVBand="0"/>
      </w:tblPr>
      <w:tblGrid>
        <w:gridCol w:w="6270"/>
        <w:gridCol w:w="1125"/>
        <w:gridCol w:w="1125"/>
        <w:gridCol w:w="1125"/>
      </w:tblGrid>
      <w:tr w:rsidR="00E9782A" w:rsidRPr="00491918" w:rsidTr="00FF7A7C">
        <w:trPr>
          <w:trHeight w:val="240"/>
        </w:trPr>
        <w:tc>
          <w:tcPr>
            <w:tcW w:w="9645"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0"/>
              </w:rPr>
              <w:lastRenderedPageBreak/>
              <w:t>Credit impairment charges and other provisions by business</w:t>
            </w:r>
          </w:p>
        </w:tc>
      </w:tr>
      <w:tr w:rsidR="000D1659" w:rsidRPr="00491918">
        <w:trPr>
          <w:trHeight w:val="765"/>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b/>
                <w:color w:val="000000"/>
                <w:sz w:val="16"/>
              </w:rPr>
              <w:t xml:space="preserve"> </w:t>
            </w:r>
            <w:r w:rsidRPr="00491918">
              <w:rPr>
                <w:b/>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Half Year Ended 30.06.13</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 30.12.12</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Half Year Ended 30.06.12</w:t>
            </w:r>
          </w:p>
        </w:tc>
      </w:tr>
      <w:tr w:rsidR="000D1659" w:rsidRPr="00491918" w:rsidTr="00A2085E">
        <w:trPr>
          <w:trHeight w:val="240"/>
        </w:trPr>
        <w:tc>
          <w:tcPr>
            <w:tcW w:w="6270"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25"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£m</w:t>
            </w:r>
          </w:p>
        </w:tc>
        <w:tc>
          <w:tcPr>
            <w:tcW w:w="1125"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w:t>
            </w:r>
          </w:p>
        </w:tc>
        <w:tc>
          <w:tcPr>
            <w:tcW w:w="1125"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w:t>
            </w:r>
          </w:p>
        </w:tc>
      </w:tr>
      <w:tr w:rsidR="000D1659" w:rsidRPr="00491918" w:rsidTr="00A2085E">
        <w:trPr>
          <w:trHeight w:val="240"/>
        </w:trPr>
        <w:tc>
          <w:tcPr>
            <w:tcW w:w="6270"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Loan impairment</w:t>
            </w:r>
            <w:r w:rsidRPr="00491918">
              <w:rPr>
                <w:b/>
                <w:color w:val="000000"/>
                <w:sz w:val="16"/>
                <w:vertAlign w:val="superscript"/>
              </w:rPr>
              <w:t xml:space="preserve"> </w:t>
            </w:r>
          </w:p>
        </w:tc>
        <w:tc>
          <w:tcPr>
            <w:tcW w:w="1125" w:type="dxa"/>
            <w:tcBorders>
              <w:top w:val="single" w:sz="4" w:space="0" w:color="C0C0C0"/>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w:t>
            </w:r>
          </w:p>
        </w:tc>
        <w:tc>
          <w:tcPr>
            <w:tcW w:w="1125"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1125"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r>
    </w:tbl>
    <w:p w:rsidR="00FF7A7C" w:rsidRPr="00491918" w:rsidRDefault="00FF7A7C"/>
    <w:tbl>
      <w:tblPr>
        <w:tblW w:w="0" w:type="auto"/>
        <w:tblLayout w:type="fixed"/>
        <w:tblLook w:val="0000" w:firstRow="0" w:lastRow="0" w:firstColumn="0" w:lastColumn="0" w:noHBand="0" w:noVBand="0"/>
      </w:tblPr>
      <w:tblGrid>
        <w:gridCol w:w="6270"/>
        <w:gridCol w:w="1125"/>
        <w:gridCol w:w="1125"/>
        <w:gridCol w:w="1125"/>
      </w:tblGrid>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UK</w:t>
            </w:r>
            <w:r w:rsidR="00A2085E" w:rsidRPr="00491918">
              <w:rPr>
                <w:color w:val="000000"/>
                <w:sz w:val="16"/>
              </w:rPr>
              <w:t xml:space="preserve"> </w:t>
            </w:r>
            <w:r w:rsidRPr="00491918">
              <w:rPr>
                <w:color w:val="000000"/>
                <w:sz w:val="16"/>
              </w:rPr>
              <w:t>RBB</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178 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147 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122 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Europe RBB</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142 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132 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125 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Africa RBB</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211 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318 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314 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Barclaycard</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616 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557 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492 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Investment Bank</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3F55C4">
            <w:pPr>
              <w:jc w:val="right"/>
              <w:rPr>
                <w:b/>
                <w:color w:val="000000"/>
                <w:sz w:val="16"/>
                <w:vertAlign w:val="superscript"/>
              </w:rPr>
            </w:pPr>
            <w:r w:rsidRPr="00491918">
              <w:rPr>
                <w:color w:val="000000"/>
                <w:sz w:val="16"/>
              </w:rPr>
              <w:t>179</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202 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Corporate Banking</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260 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439 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425 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Wealth and Investment Management</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49 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19 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19 </w:t>
            </w:r>
          </w:p>
        </w:tc>
      </w:tr>
      <w:tr w:rsidR="000D1659" w:rsidRPr="00491918" w:rsidTr="00A2085E">
        <w:trPr>
          <w:trHeight w:val="240"/>
        </w:trPr>
        <w:tc>
          <w:tcPr>
            <w:tcW w:w="6270"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Head Office and Other Operations</w:t>
            </w:r>
            <w:r w:rsidRPr="00491918">
              <w:rPr>
                <w:b/>
                <w:color w:val="000000"/>
                <w:sz w:val="16"/>
                <w:vertAlign w:val="superscript"/>
              </w:rPr>
              <w:t xml:space="preserve"> </w:t>
            </w:r>
          </w:p>
        </w:tc>
        <w:tc>
          <w:tcPr>
            <w:tcW w:w="1125" w:type="dxa"/>
            <w:tcBorders>
              <w:top w:val="nil"/>
              <w:left w:val="nil"/>
              <w:bottom w:val="single" w:sz="4" w:space="0" w:color="C0C0C0"/>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(1)</w:t>
            </w:r>
          </w:p>
        </w:tc>
        <w:tc>
          <w:tcPr>
            <w:tcW w:w="1125"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1 </w:t>
            </w:r>
          </w:p>
        </w:tc>
        <w:tc>
          <w:tcPr>
            <w:tcW w:w="1125"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1 </w:t>
            </w:r>
          </w:p>
        </w:tc>
      </w:tr>
      <w:tr w:rsidR="000D1659" w:rsidRPr="00491918" w:rsidTr="00A2085E">
        <w:trPr>
          <w:trHeight w:val="240"/>
        </w:trPr>
        <w:tc>
          <w:tcPr>
            <w:tcW w:w="6270"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 loan impairment charge</w:t>
            </w:r>
            <w:r w:rsidRPr="00491918">
              <w:rPr>
                <w:b/>
                <w:color w:val="000000"/>
                <w:sz w:val="16"/>
                <w:vertAlign w:val="superscript"/>
              </w:rPr>
              <w:t>1 </w:t>
            </w:r>
          </w:p>
        </w:tc>
        <w:tc>
          <w:tcPr>
            <w:tcW w:w="1125" w:type="dxa"/>
            <w:tcBorders>
              <w:top w:val="single" w:sz="4" w:space="0" w:color="C0C0C0"/>
              <w:left w:val="nil"/>
              <w:bottom w:val="nil"/>
              <w:right w:val="nil"/>
            </w:tcBorders>
            <w:shd w:val="clear" w:color="auto" w:fill="EAEAEA"/>
            <w:tcMar>
              <w:left w:w="36" w:type="dxa"/>
              <w:right w:w="36" w:type="dxa"/>
            </w:tcMar>
            <w:vAlign w:val="bottom"/>
          </w:tcPr>
          <w:p w:rsidR="000D1659" w:rsidRPr="00491918" w:rsidRDefault="000D1659" w:rsidP="003F55C4">
            <w:pPr>
              <w:jc w:val="right"/>
              <w:rPr>
                <w:b/>
                <w:color w:val="000000"/>
                <w:sz w:val="16"/>
                <w:vertAlign w:val="superscript"/>
              </w:rPr>
            </w:pPr>
            <w:r w:rsidRPr="00491918">
              <w:rPr>
                <w:b/>
                <w:color w:val="000000"/>
                <w:sz w:val="16"/>
              </w:rPr>
              <w:t>1,</w:t>
            </w:r>
            <w:r w:rsidR="003F55C4" w:rsidRPr="00491918">
              <w:rPr>
                <w:b/>
                <w:color w:val="000000"/>
                <w:sz w:val="16"/>
              </w:rPr>
              <w:t>634 </w:t>
            </w:r>
          </w:p>
        </w:tc>
        <w:tc>
          <w:tcPr>
            <w:tcW w:w="1125"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1,603 </w:t>
            </w:r>
          </w:p>
        </w:tc>
        <w:tc>
          <w:tcPr>
            <w:tcW w:w="1125"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1,700 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Impairment charges on available for sale investments</w:t>
            </w:r>
            <w:r w:rsidRPr="00491918">
              <w:rPr>
                <w:b/>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29 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11 </w:t>
            </w:r>
          </w:p>
        </w:tc>
      </w:tr>
      <w:tr w:rsidR="000D1659" w:rsidRPr="00491918" w:rsidTr="00A2085E">
        <w:trPr>
          <w:trHeight w:val="240"/>
        </w:trPr>
        <w:tc>
          <w:tcPr>
            <w:tcW w:w="6270" w:type="dxa"/>
            <w:tcBorders>
              <w:top w:val="nil"/>
              <w:left w:val="nil"/>
              <w:bottom w:val="single" w:sz="4" w:space="0" w:color="C0C0C0"/>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Impairment of reverse repurchase agreements</w:t>
            </w:r>
            <w:r w:rsidRPr="00491918">
              <w:rPr>
                <w:b/>
                <w:color w:val="000000"/>
                <w:sz w:val="16"/>
                <w:vertAlign w:val="superscript"/>
              </w:rPr>
              <w:t xml:space="preserve"> </w:t>
            </w:r>
          </w:p>
        </w:tc>
        <w:tc>
          <w:tcPr>
            <w:tcW w:w="1125" w:type="dxa"/>
            <w:tcBorders>
              <w:top w:val="nil"/>
              <w:left w:val="nil"/>
              <w:bottom w:val="single" w:sz="4" w:space="0" w:color="C0C0C0"/>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(3)</w:t>
            </w:r>
          </w:p>
        </w:tc>
        <w:tc>
          <w:tcPr>
            <w:tcW w:w="1125" w:type="dxa"/>
            <w:tcBorders>
              <w:top w:val="nil"/>
              <w:left w:val="nil"/>
              <w:bottom w:val="single" w:sz="4"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w:t>
            </w:r>
          </w:p>
        </w:tc>
        <w:tc>
          <w:tcPr>
            <w:tcW w:w="1125" w:type="dxa"/>
            <w:tcBorders>
              <w:top w:val="nil"/>
              <w:left w:val="nil"/>
              <w:bottom w:val="single" w:sz="4"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w:t>
            </w:r>
          </w:p>
        </w:tc>
      </w:tr>
      <w:tr w:rsidR="000D1659" w:rsidRPr="00491918" w:rsidTr="00A2085E">
        <w:trPr>
          <w:trHeight w:val="240"/>
        </w:trPr>
        <w:tc>
          <w:tcPr>
            <w:tcW w:w="6270"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 credit impairment charges and other provisions</w:t>
            </w:r>
            <w:r w:rsidRPr="00491918">
              <w:rPr>
                <w:b/>
                <w:color w:val="000000"/>
                <w:sz w:val="16"/>
                <w:vertAlign w:val="superscript"/>
              </w:rPr>
              <w:t xml:space="preserve"> </w:t>
            </w:r>
          </w:p>
        </w:tc>
        <w:tc>
          <w:tcPr>
            <w:tcW w:w="1125" w:type="dxa"/>
            <w:tcBorders>
              <w:top w:val="single" w:sz="4" w:space="0" w:color="C0C0C0"/>
              <w:left w:val="nil"/>
              <w:bottom w:val="nil"/>
              <w:right w:val="nil"/>
            </w:tcBorders>
            <w:shd w:val="clear" w:color="auto" w:fill="EAEAEA"/>
            <w:tcMar>
              <w:left w:w="36" w:type="dxa"/>
              <w:right w:w="36" w:type="dxa"/>
            </w:tcMar>
            <w:vAlign w:val="bottom"/>
          </w:tcPr>
          <w:p w:rsidR="000D1659" w:rsidRPr="00491918" w:rsidRDefault="000D1659" w:rsidP="003F55C4">
            <w:pPr>
              <w:jc w:val="right"/>
              <w:rPr>
                <w:b/>
                <w:color w:val="000000"/>
                <w:sz w:val="16"/>
                <w:vertAlign w:val="superscript"/>
              </w:rPr>
            </w:pPr>
            <w:r w:rsidRPr="00491918">
              <w:rPr>
                <w:b/>
                <w:color w:val="000000"/>
                <w:sz w:val="16"/>
              </w:rPr>
              <w:t>1,</w:t>
            </w:r>
            <w:r w:rsidR="003F55C4" w:rsidRPr="00491918">
              <w:rPr>
                <w:b/>
                <w:color w:val="000000"/>
                <w:sz w:val="16"/>
              </w:rPr>
              <w:t>631 </w:t>
            </w:r>
          </w:p>
        </w:tc>
        <w:tc>
          <w:tcPr>
            <w:tcW w:w="1125"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1,630 </w:t>
            </w:r>
          </w:p>
        </w:tc>
        <w:tc>
          <w:tcPr>
            <w:tcW w:w="1125" w:type="dxa"/>
            <w:tcBorders>
              <w:top w:val="single" w:sz="4" w:space="0" w:color="C0C0C0"/>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1,710 </w:t>
            </w:r>
          </w:p>
        </w:tc>
      </w:tr>
    </w:tbl>
    <w:p w:rsidR="000D1659" w:rsidRPr="00491918" w:rsidRDefault="000D1659"/>
    <w:p w:rsidR="000D1659" w:rsidRPr="00491918" w:rsidRDefault="000D1659" w:rsidP="00722D3A">
      <w:pPr>
        <w:pStyle w:val="BodyText-BarcRA48"/>
        <w:numPr>
          <w:ilvl w:val="0"/>
          <w:numId w:val="115"/>
        </w:numPr>
        <w:ind w:left="426" w:hanging="426"/>
      </w:pPr>
      <w:r w:rsidRPr="00491918">
        <w:t xml:space="preserve">Impairment charges on loans and advances were </w:t>
      </w:r>
      <w:r w:rsidR="00E05735" w:rsidRPr="00491918">
        <w:t>5</w:t>
      </w:r>
      <w:r w:rsidR="000B1BD5" w:rsidRPr="00491918">
        <w:t xml:space="preserve">% lower than </w:t>
      </w:r>
      <w:r w:rsidRPr="00491918">
        <w:t>H112 reflecting release</w:t>
      </w:r>
      <w:r w:rsidR="00A2085E" w:rsidRPr="00491918">
        <w:t>s</w:t>
      </w:r>
      <w:r w:rsidRPr="00491918">
        <w:t xml:space="preserve"> and lower charges in the wholesale portfolios, notably in Corporate Banking</w:t>
      </w:r>
      <w:r w:rsidR="003F55C4" w:rsidRPr="00491918">
        <w:t xml:space="preserve"> and the Investment Bank</w:t>
      </w:r>
      <w:r w:rsidRPr="00491918">
        <w:t>, as well as in Africa RBB. This was partially offset by increased charges in unsecured products for UK</w:t>
      </w:r>
      <w:r w:rsidR="00A2085E" w:rsidRPr="00491918">
        <w:t xml:space="preserve"> </w:t>
      </w:r>
      <w:r w:rsidRPr="00491918">
        <w:t>RBB and Barclaycard</w:t>
      </w:r>
    </w:p>
    <w:p w:rsidR="007A5948" w:rsidRPr="00491918" w:rsidRDefault="000D1659" w:rsidP="00722D3A">
      <w:pPr>
        <w:pStyle w:val="BodyText-BarcRA48"/>
        <w:numPr>
          <w:ilvl w:val="0"/>
          <w:numId w:val="115"/>
        </w:numPr>
        <w:ind w:left="426" w:hanging="426"/>
      </w:pPr>
      <w:r w:rsidRPr="00491918">
        <w:t xml:space="preserve">Further detail can be found in the Retail and Wholesale Credit Risk sections on pages </w:t>
      </w:r>
      <w:r w:rsidR="00A63FF8" w:rsidRPr="00491918">
        <w:t>69</w:t>
      </w:r>
      <w:r w:rsidRPr="00491918">
        <w:t xml:space="preserve"> and </w:t>
      </w:r>
      <w:r w:rsidR="00A63FF8" w:rsidRPr="00491918">
        <w:t>80</w:t>
      </w:r>
      <w:r w:rsidRPr="00491918">
        <w:t xml:space="preserve"> respecti</w:t>
      </w:r>
      <w:r w:rsidR="00A2085E" w:rsidRPr="00491918">
        <w:t>vely</w:t>
      </w:r>
    </w:p>
    <w:p w:rsidR="000D1659" w:rsidRPr="00491918" w:rsidRDefault="000D1659"/>
    <w:tbl>
      <w:tblPr>
        <w:tblW w:w="0" w:type="auto"/>
        <w:tblLayout w:type="fixed"/>
        <w:tblLook w:val="0000" w:firstRow="0" w:lastRow="0" w:firstColumn="0" w:lastColumn="0" w:noHBand="0" w:noVBand="0"/>
      </w:tblPr>
      <w:tblGrid>
        <w:gridCol w:w="3165"/>
        <w:gridCol w:w="1050"/>
        <w:gridCol w:w="1050"/>
        <w:gridCol w:w="92"/>
        <w:gridCol w:w="1050"/>
        <w:gridCol w:w="1050"/>
        <w:gridCol w:w="92"/>
        <w:gridCol w:w="1050"/>
        <w:gridCol w:w="1050"/>
      </w:tblGrid>
      <w:tr w:rsidR="00E9782A" w:rsidRPr="00491918" w:rsidTr="00FF7A7C">
        <w:trPr>
          <w:trHeight w:val="240"/>
        </w:trPr>
        <w:tc>
          <w:tcPr>
            <w:tcW w:w="5265"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0"/>
              </w:rPr>
              <w:t>Potential Credit Risk Loans and Coverage Ratios</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r>
      <w:tr w:rsidR="00E9782A" w:rsidRPr="00491918" w:rsidTr="00FF7A7C">
        <w:trPr>
          <w:trHeight w:val="240"/>
        </w:trPr>
        <w:tc>
          <w:tcPr>
            <w:tcW w:w="316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16"/>
              </w:rPr>
              <w:t xml:space="preserve"> </w:t>
            </w:r>
          </w:p>
        </w:tc>
        <w:tc>
          <w:tcPr>
            <w:tcW w:w="2100" w:type="dxa"/>
            <w:gridSpan w:val="2"/>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CRLs</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210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PPLs</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210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PCRLs</w:t>
            </w:r>
          </w:p>
        </w:tc>
      </w:tr>
      <w:tr w:rsidR="000D1659" w:rsidRPr="00491918" w:rsidTr="00FF7A7C">
        <w:trPr>
          <w:trHeight w:val="525"/>
        </w:trPr>
        <w:tc>
          <w:tcPr>
            <w:tcW w:w="316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30.06.13</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31.12.12</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30.06.13</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31.12.12</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30.06.13</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31.12.12</w:t>
            </w:r>
          </w:p>
        </w:tc>
      </w:tr>
      <w:tr w:rsidR="000D1659" w:rsidRPr="00491918" w:rsidTr="00FF7A7C">
        <w:trPr>
          <w:trHeight w:val="240"/>
        </w:trPr>
        <w:tc>
          <w:tcPr>
            <w:tcW w:w="316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3165"/>
        <w:gridCol w:w="1050"/>
        <w:gridCol w:w="1050"/>
        <w:gridCol w:w="92"/>
        <w:gridCol w:w="1050"/>
        <w:gridCol w:w="1050"/>
        <w:gridCol w:w="92"/>
        <w:gridCol w:w="1050"/>
        <w:gridCol w:w="1050"/>
      </w:tblGrid>
      <w:tr w:rsidR="000D1659" w:rsidRPr="00491918" w:rsidTr="00FF7A7C">
        <w:trPr>
          <w:trHeight w:val="240"/>
        </w:trPr>
        <w:tc>
          <w:tcPr>
            <w:tcW w:w="316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Retail </w:t>
            </w:r>
          </w:p>
        </w:tc>
        <w:tc>
          <w:tcPr>
            <w:tcW w:w="10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8,439 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8,821 </w:t>
            </w:r>
          </w:p>
        </w:tc>
        <w:tc>
          <w:tcPr>
            <w:tcW w:w="92"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629 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656 </w:t>
            </w:r>
          </w:p>
        </w:tc>
        <w:tc>
          <w:tcPr>
            <w:tcW w:w="92"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9,068 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9,477 </w:t>
            </w:r>
          </w:p>
        </w:tc>
      </w:tr>
      <w:tr w:rsidR="000D1659" w:rsidRPr="00491918" w:rsidTr="00FF7A7C">
        <w:trPr>
          <w:trHeight w:val="240"/>
        </w:trPr>
        <w:tc>
          <w:tcPr>
            <w:tcW w:w="316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Wholesale</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6,246 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6,303 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1,072 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1,102 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7,318 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7,405 </w:t>
            </w:r>
          </w:p>
        </w:tc>
      </w:tr>
      <w:tr w:rsidR="000D1659" w:rsidRPr="00491918" w:rsidTr="00FF7A7C">
        <w:trPr>
          <w:trHeight w:val="240"/>
        </w:trPr>
        <w:tc>
          <w:tcPr>
            <w:tcW w:w="316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Group</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14,685 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15,124 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1,701 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1,758 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16,386 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16,882 </w:t>
            </w:r>
          </w:p>
        </w:tc>
      </w:tr>
      <w:tr w:rsidR="000D1659" w:rsidRPr="00491918" w:rsidTr="00FF7A7C">
        <w:trPr>
          <w:trHeight w:hRule="exact" w:val="240"/>
        </w:trPr>
        <w:tc>
          <w:tcPr>
            <w:tcW w:w="31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E9782A" w:rsidRPr="00491918" w:rsidTr="00FF7A7C">
        <w:trPr>
          <w:trHeight w:val="240"/>
        </w:trPr>
        <w:tc>
          <w:tcPr>
            <w:tcW w:w="316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2100" w:type="dxa"/>
            <w:gridSpan w:val="2"/>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Impairment Allowance</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2100" w:type="dxa"/>
            <w:gridSpan w:val="2"/>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 Coverage</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2100" w:type="dxa"/>
            <w:gridSpan w:val="2"/>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 Coverage</w:t>
            </w:r>
          </w:p>
        </w:tc>
      </w:tr>
      <w:tr w:rsidR="000D1659" w:rsidRPr="00491918" w:rsidTr="00FF7A7C">
        <w:trPr>
          <w:trHeight w:val="480"/>
        </w:trPr>
        <w:tc>
          <w:tcPr>
            <w:tcW w:w="316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30.06.13</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31.12.12</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30.06.13</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31.12.12</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30.06.13</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 31.12.12</w:t>
            </w:r>
          </w:p>
        </w:tc>
      </w:tr>
      <w:tr w:rsidR="000D1659" w:rsidRPr="00491918" w:rsidTr="00FF7A7C">
        <w:trPr>
          <w:trHeight w:val="240"/>
        </w:trPr>
        <w:tc>
          <w:tcPr>
            <w:tcW w:w="316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3165"/>
        <w:gridCol w:w="1050"/>
        <w:gridCol w:w="1050"/>
        <w:gridCol w:w="92"/>
        <w:gridCol w:w="1050"/>
        <w:gridCol w:w="1050"/>
        <w:gridCol w:w="92"/>
        <w:gridCol w:w="1050"/>
        <w:gridCol w:w="1050"/>
      </w:tblGrid>
      <w:tr w:rsidR="000D1659" w:rsidRPr="00491918" w:rsidTr="00FF7A7C">
        <w:trPr>
          <w:trHeight w:val="240"/>
        </w:trPr>
        <w:tc>
          <w:tcPr>
            <w:tcW w:w="316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Retail </w:t>
            </w:r>
          </w:p>
        </w:tc>
        <w:tc>
          <w:tcPr>
            <w:tcW w:w="10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4,699 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4,635 </w:t>
            </w:r>
          </w:p>
        </w:tc>
        <w:tc>
          <w:tcPr>
            <w:tcW w:w="92"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55.7 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52.5 </w:t>
            </w:r>
          </w:p>
        </w:tc>
        <w:tc>
          <w:tcPr>
            <w:tcW w:w="92"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51.8 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48.9 </w:t>
            </w:r>
          </w:p>
        </w:tc>
      </w:tr>
      <w:tr w:rsidR="000D1659" w:rsidRPr="00491918" w:rsidTr="00FF7A7C">
        <w:trPr>
          <w:trHeight w:val="240"/>
        </w:trPr>
        <w:tc>
          <w:tcPr>
            <w:tcW w:w="316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Wholesale</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0D1659" w:rsidRPr="00491918" w:rsidRDefault="003F55C4">
            <w:pPr>
              <w:jc w:val="right"/>
              <w:rPr>
                <w:b/>
                <w:color w:val="000000"/>
                <w:sz w:val="16"/>
              </w:rPr>
            </w:pPr>
            <w:r w:rsidRPr="00491918">
              <w:rPr>
                <w:b/>
                <w:color w:val="000000"/>
                <w:sz w:val="16"/>
              </w:rPr>
              <w:t>3,205</w:t>
            </w:r>
            <w:r w:rsidR="000D1659" w:rsidRPr="00491918">
              <w:rPr>
                <w:b/>
                <w:color w:val="000000"/>
                <w:sz w:val="16"/>
              </w:rPr>
              <w:t>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3,164 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51.3</w:t>
            </w:r>
            <w:r w:rsidR="000D1659" w:rsidRPr="00491918">
              <w:rPr>
                <w:b/>
                <w:color w:val="000000"/>
                <w:sz w:val="16"/>
              </w:rPr>
              <w:t>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50.2 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nil"/>
              <w:left w:val="nil"/>
              <w:bottom w:val="single" w:sz="6" w:space="0" w:color="A5A5A5"/>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43.8</w:t>
            </w:r>
            <w:r w:rsidR="000D1659" w:rsidRPr="00491918">
              <w:rPr>
                <w:b/>
                <w:color w:val="000000"/>
                <w:sz w:val="16"/>
              </w:rPr>
              <w:t> </w:t>
            </w:r>
          </w:p>
        </w:tc>
        <w:tc>
          <w:tcPr>
            <w:tcW w:w="105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42.7 </w:t>
            </w:r>
          </w:p>
        </w:tc>
      </w:tr>
      <w:tr w:rsidR="000D1659" w:rsidRPr="00491918" w:rsidTr="00FF7A7C">
        <w:trPr>
          <w:trHeight w:val="240"/>
        </w:trPr>
        <w:tc>
          <w:tcPr>
            <w:tcW w:w="316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Group</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0D1659" w:rsidP="003F55C4">
            <w:pPr>
              <w:jc w:val="right"/>
              <w:rPr>
                <w:b/>
                <w:color w:val="000000"/>
                <w:sz w:val="16"/>
              </w:rPr>
            </w:pPr>
            <w:r w:rsidRPr="00491918">
              <w:rPr>
                <w:b/>
                <w:color w:val="000000"/>
                <w:sz w:val="16"/>
              </w:rPr>
              <w:t>7,</w:t>
            </w:r>
            <w:r w:rsidR="003F55C4" w:rsidRPr="00491918">
              <w:rPr>
                <w:b/>
                <w:color w:val="000000"/>
                <w:sz w:val="16"/>
              </w:rPr>
              <w:t>904 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7,799 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0D1659" w:rsidP="003F55C4">
            <w:pPr>
              <w:jc w:val="right"/>
              <w:rPr>
                <w:b/>
                <w:color w:val="000000"/>
                <w:sz w:val="16"/>
              </w:rPr>
            </w:pPr>
            <w:r w:rsidRPr="00491918">
              <w:rPr>
                <w:b/>
                <w:color w:val="000000"/>
                <w:sz w:val="16"/>
              </w:rPr>
              <w:t>5</w:t>
            </w:r>
            <w:r w:rsidR="003F55C4" w:rsidRPr="00491918">
              <w:rPr>
                <w:b/>
                <w:color w:val="000000"/>
                <w:sz w:val="16"/>
              </w:rPr>
              <w:t>3.8</w:t>
            </w:r>
            <w:r w:rsidRPr="00491918">
              <w:rPr>
                <w:b/>
                <w:color w:val="000000"/>
                <w:sz w:val="16"/>
              </w:rPr>
              <w:t>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51.6 </w:t>
            </w:r>
          </w:p>
        </w:tc>
        <w:tc>
          <w:tcPr>
            <w:tcW w:w="92"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48.2</w:t>
            </w:r>
            <w:r w:rsidR="000D1659" w:rsidRPr="00491918">
              <w:rPr>
                <w:b/>
                <w:color w:val="000000"/>
                <w:sz w:val="16"/>
              </w:rPr>
              <w:t> </w:t>
            </w:r>
          </w:p>
        </w:tc>
        <w:tc>
          <w:tcPr>
            <w:tcW w:w="1050"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46.2 </w:t>
            </w:r>
          </w:p>
        </w:tc>
      </w:tr>
    </w:tbl>
    <w:p w:rsidR="000D1659" w:rsidRPr="00491918" w:rsidRDefault="000D1659"/>
    <w:p w:rsidR="000D1659" w:rsidRPr="00491918" w:rsidRDefault="000D1659" w:rsidP="000D1659">
      <w:pPr>
        <w:pStyle w:val="Level1Bullet-BarcRA19"/>
        <w:rPr>
          <w:sz w:val="18"/>
          <w:szCs w:val="18"/>
        </w:rPr>
      </w:pPr>
      <w:r w:rsidRPr="00491918">
        <w:rPr>
          <w:sz w:val="18"/>
          <w:szCs w:val="18"/>
          <w:lang w:val="en-GB"/>
        </w:rPr>
        <w:t>Credit Risk Loan (</w:t>
      </w:r>
      <w:r w:rsidRPr="00491918">
        <w:rPr>
          <w:sz w:val="18"/>
          <w:szCs w:val="18"/>
        </w:rPr>
        <w:t>CRL</w:t>
      </w:r>
      <w:r w:rsidRPr="00491918">
        <w:rPr>
          <w:sz w:val="18"/>
          <w:szCs w:val="18"/>
          <w:lang w:val="en-GB"/>
        </w:rPr>
        <w:t>)</w:t>
      </w:r>
      <w:r w:rsidRPr="00491918">
        <w:rPr>
          <w:sz w:val="18"/>
          <w:szCs w:val="18"/>
        </w:rPr>
        <w:t xml:space="preserve"> balances </w:t>
      </w:r>
      <w:r w:rsidRPr="00491918">
        <w:rPr>
          <w:sz w:val="18"/>
          <w:szCs w:val="18"/>
          <w:lang w:val="en-GB"/>
        </w:rPr>
        <w:t xml:space="preserve">decreased by 3% in </w:t>
      </w:r>
      <w:r w:rsidR="00A2085E" w:rsidRPr="00491918">
        <w:rPr>
          <w:sz w:val="18"/>
          <w:szCs w:val="18"/>
          <w:lang w:val="en-GB"/>
        </w:rPr>
        <w:t>H1</w:t>
      </w:r>
      <w:r w:rsidRPr="00491918">
        <w:rPr>
          <w:sz w:val="18"/>
          <w:szCs w:val="18"/>
          <w:lang w:val="en-GB"/>
        </w:rPr>
        <w:t xml:space="preserve">13 reflecting improvements in both the wholesale and retail portfolios. </w:t>
      </w:r>
      <w:r w:rsidRPr="00491918">
        <w:rPr>
          <w:sz w:val="18"/>
          <w:szCs w:val="18"/>
        </w:rPr>
        <w:t xml:space="preserve">The CRL coverage ratio </w:t>
      </w:r>
      <w:r w:rsidRPr="00491918">
        <w:rPr>
          <w:sz w:val="18"/>
          <w:szCs w:val="18"/>
          <w:lang w:val="en-GB"/>
        </w:rPr>
        <w:t>increased to 5</w:t>
      </w:r>
      <w:r w:rsidR="00B251B9" w:rsidRPr="00491918">
        <w:rPr>
          <w:sz w:val="18"/>
          <w:szCs w:val="18"/>
          <w:lang w:val="en-GB"/>
        </w:rPr>
        <w:t>3</w:t>
      </w:r>
      <w:r w:rsidRPr="00491918">
        <w:rPr>
          <w:sz w:val="18"/>
          <w:szCs w:val="18"/>
          <w:lang w:val="en-GB"/>
        </w:rPr>
        <w:t>.</w:t>
      </w:r>
      <w:r w:rsidR="00B251B9" w:rsidRPr="00491918">
        <w:rPr>
          <w:sz w:val="18"/>
          <w:szCs w:val="18"/>
          <w:lang w:val="en-GB"/>
        </w:rPr>
        <w:t>8</w:t>
      </w:r>
      <w:r w:rsidRPr="00491918">
        <w:rPr>
          <w:sz w:val="18"/>
          <w:szCs w:val="18"/>
        </w:rPr>
        <w:t>% (201</w:t>
      </w:r>
      <w:r w:rsidRPr="00491918">
        <w:rPr>
          <w:sz w:val="18"/>
          <w:szCs w:val="18"/>
          <w:lang w:val="en-GB"/>
        </w:rPr>
        <w:t>2</w:t>
      </w:r>
      <w:r w:rsidRPr="00491918">
        <w:rPr>
          <w:sz w:val="18"/>
          <w:szCs w:val="18"/>
        </w:rPr>
        <w:t xml:space="preserve">: </w:t>
      </w:r>
      <w:r w:rsidRPr="00491918">
        <w:rPr>
          <w:sz w:val="18"/>
          <w:szCs w:val="18"/>
          <w:lang w:val="en-GB"/>
        </w:rPr>
        <w:t>51.6</w:t>
      </w:r>
      <w:r w:rsidRPr="00491918">
        <w:rPr>
          <w:sz w:val="18"/>
          <w:szCs w:val="18"/>
        </w:rPr>
        <w:t>%)</w:t>
      </w:r>
    </w:p>
    <w:p w:rsidR="000D1659" w:rsidRPr="00491918" w:rsidRDefault="000D1659" w:rsidP="000D1659">
      <w:pPr>
        <w:pStyle w:val="Level1Bullet-BarcRA19"/>
        <w:rPr>
          <w:sz w:val="18"/>
          <w:szCs w:val="18"/>
        </w:rPr>
      </w:pPr>
      <w:r w:rsidRPr="00491918">
        <w:rPr>
          <w:sz w:val="18"/>
          <w:szCs w:val="18"/>
          <w:lang w:val="en-GB"/>
        </w:rPr>
        <w:t xml:space="preserve">Further detail can be found in the Retail and Wholesale Credit Risk sections on pages </w:t>
      </w:r>
      <w:r w:rsidR="00A63FF8" w:rsidRPr="00491918">
        <w:rPr>
          <w:sz w:val="18"/>
          <w:szCs w:val="18"/>
          <w:lang w:val="en-GB"/>
        </w:rPr>
        <w:t>7</w:t>
      </w:r>
      <w:r w:rsidR="00722D3A" w:rsidRPr="00491918">
        <w:rPr>
          <w:sz w:val="18"/>
          <w:szCs w:val="18"/>
          <w:lang w:val="en-GB"/>
        </w:rPr>
        <w:t>1</w:t>
      </w:r>
      <w:r w:rsidRPr="00491918">
        <w:rPr>
          <w:sz w:val="18"/>
          <w:szCs w:val="18"/>
          <w:lang w:val="en-GB"/>
        </w:rPr>
        <w:t xml:space="preserve"> and </w:t>
      </w:r>
      <w:r w:rsidR="00A63FF8" w:rsidRPr="00491918">
        <w:rPr>
          <w:sz w:val="18"/>
          <w:szCs w:val="18"/>
          <w:lang w:val="en-GB"/>
        </w:rPr>
        <w:t>81</w:t>
      </w:r>
      <w:r w:rsidRPr="00491918">
        <w:rPr>
          <w:sz w:val="18"/>
          <w:szCs w:val="18"/>
          <w:lang w:val="en-GB"/>
        </w:rPr>
        <w:t xml:space="preserve"> respectively</w:t>
      </w:r>
    </w:p>
    <w:p w:rsidR="000D1659" w:rsidRPr="00491918" w:rsidRDefault="000D1659" w:rsidP="000D1659">
      <w:pPr>
        <w:pStyle w:val="BodyText-BarcRA51"/>
        <w:rPr>
          <w:szCs w:val="18"/>
        </w:rPr>
      </w:pPr>
    </w:p>
    <w:p w:rsidR="000D1659" w:rsidRPr="00491918" w:rsidRDefault="000D1659" w:rsidP="000D1659">
      <w:pPr>
        <w:pStyle w:val="BodyText-BarcRA51"/>
      </w:pPr>
    </w:p>
    <w:p w:rsidR="000D1659" w:rsidRPr="00491918" w:rsidRDefault="000D1659" w:rsidP="000D1659">
      <w:pPr>
        <w:pStyle w:val="BodyText-BarcRA331"/>
      </w:pPr>
    </w:p>
    <w:p w:rsidR="000D1659" w:rsidRPr="00491918" w:rsidRDefault="000D1659">
      <w:pPr>
        <w:rPr>
          <w:lang w:val="en-GB"/>
        </w:rPr>
      </w:pPr>
    </w:p>
    <w:p w:rsidR="000D1659" w:rsidRPr="00491918" w:rsidRDefault="000D1659" w:rsidP="000D1659">
      <w:pPr>
        <w:pStyle w:val="Normal64"/>
        <w:rPr>
          <w:i/>
          <w:sz w:val="14"/>
          <w:szCs w:val="14"/>
        </w:rPr>
      </w:pPr>
    </w:p>
    <w:p w:rsidR="007A5948" w:rsidRPr="00491918" w:rsidRDefault="007A5948" w:rsidP="000D1659">
      <w:pPr>
        <w:pStyle w:val="Normal64"/>
        <w:rPr>
          <w:i/>
          <w:sz w:val="14"/>
          <w:szCs w:val="14"/>
        </w:rPr>
      </w:pPr>
    </w:p>
    <w:p w:rsidR="000D1659" w:rsidRPr="00491918" w:rsidRDefault="000D1659" w:rsidP="000D1659">
      <w:pPr>
        <w:pStyle w:val="Normal64"/>
        <w:rPr>
          <w:i/>
          <w:sz w:val="14"/>
          <w:szCs w:val="14"/>
        </w:rPr>
      </w:pPr>
    </w:p>
    <w:p w:rsidR="000D1659" w:rsidRPr="00491918" w:rsidRDefault="000D1659" w:rsidP="000D1659">
      <w:pPr>
        <w:pStyle w:val="Normal64"/>
        <w:rPr>
          <w:i/>
          <w:sz w:val="14"/>
          <w:szCs w:val="14"/>
        </w:rPr>
      </w:pPr>
    </w:p>
    <w:p w:rsidR="00A2085E" w:rsidRPr="00491918" w:rsidRDefault="00A2085E" w:rsidP="000D1659">
      <w:pPr>
        <w:pStyle w:val="Normal64"/>
        <w:rPr>
          <w:i/>
          <w:sz w:val="14"/>
          <w:szCs w:val="14"/>
        </w:rPr>
      </w:pPr>
    </w:p>
    <w:p w:rsidR="00A2085E" w:rsidRPr="00491918" w:rsidRDefault="00A2085E" w:rsidP="000D1659">
      <w:pPr>
        <w:pStyle w:val="Normal64"/>
        <w:rPr>
          <w:i/>
          <w:sz w:val="14"/>
          <w:szCs w:val="14"/>
        </w:rPr>
      </w:pPr>
    </w:p>
    <w:p w:rsidR="00A2085E" w:rsidRPr="00491918" w:rsidRDefault="00A2085E" w:rsidP="000D1659">
      <w:pPr>
        <w:pStyle w:val="Normal64"/>
        <w:rPr>
          <w:i/>
          <w:sz w:val="14"/>
          <w:szCs w:val="14"/>
        </w:rPr>
      </w:pPr>
    </w:p>
    <w:p w:rsidR="000D1659" w:rsidRPr="00491918" w:rsidRDefault="00C564A7" w:rsidP="00EC729A">
      <w:pPr>
        <w:pStyle w:val="NoteSourceText-BarcRA1"/>
        <w:numPr>
          <w:ilvl w:val="0"/>
          <w:numId w:val="120"/>
        </w:numPr>
        <w:tabs>
          <w:tab w:val="left" w:pos="0"/>
        </w:tabs>
      </w:pPr>
      <w:r w:rsidRPr="00491918">
        <w:t>Includes charges of £12m (H2</w:t>
      </w:r>
      <w:r w:rsidR="000D1659" w:rsidRPr="00491918">
        <w:t>12: £21m write back, H112: £17m charge) in respect of u</w:t>
      </w:r>
      <w:r w:rsidR="00297700" w:rsidRPr="00491918">
        <w:t>ndrawn facilities and guarantees.</w:t>
      </w:r>
    </w:p>
    <w:p w:rsidR="0007202F" w:rsidRPr="00491918" w:rsidRDefault="0007202F" w:rsidP="0007202F">
      <w:pPr>
        <w:pStyle w:val="NoteSourceText-BarcRA1"/>
        <w:tabs>
          <w:tab w:val="clear" w:pos="284"/>
          <w:tab w:val="left" w:pos="0"/>
        </w:tabs>
      </w:pPr>
    </w:p>
    <w:p w:rsidR="00DA356B" w:rsidRPr="00491918" w:rsidRDefault="00DA356B" w:rsidP="0007202F">
      <w:pPr>
        <w:pStyle w:val="HeadingLevel1-BarcRA35"/>
        <w:rPr>
          <w:lang w:val="en-GB"/>
        </w:rPr>
      </w:pPr>
    </w:p>
    <w:p w:rsidR="000D1659" w:rsidRPr="00491918" w:rsidRDefault="0007202F" w:rsidP="0007202F">
      <w:pPr>
        <w:pStyle w:val="HeadingLevel1-BarcRA35"/>
        <w:rPr>
          <w:lang w:val="en-GB"/>
        </w:rPr>
      </w:pPr>
      <w:r w:rsidRPr="00491918">
        <w:rPr>
          <w:lang w:val="en-GB"/>
        </w:rPr>
        <w:t xml:space="preserve">Credit </w:t>
      </w:r>
      <w:r w:rsidRPr="00491918">
        <w:t>Risk</w:t>
      </w:r>
    </w:p>
    <w:tbl>
      <w:tblPr>
        <w:tblW w:w="0" w:type="auto"/>
        <w:tblLayout w:type="fixed"/>
        <w:tblLook w:val="0000" w:firstRow="0" w:lastRow="0" w:firstColumn="0" w:lastColumn="0" w:noHBand="0" w:noVBand="0"/>
      </w:tblPr>
      <w:tblGrid>
        <w:gridCol w:w="2100"/>
        <w:gridCol w:w="1155"/>
        <w:gridCol w:w="1155"/>
        <w:gridCol w:w="1155"/>
        <w:gridCol w:w="1155"/>
        <w:gridCol w:w="960"/>
        <w:gridCol w:w="1050"/>
        <w:gridCol w:w="915"/>
      </w:tblGrid>
      <w:tr w:rsidR="00E9782A" w:rsidRPr="00491918" w:rsidTr="00FF7A7C">
        <w:trPr>
          <w:trHeight w:val="240"/>
        </w:trPr>
        <w:tc>
          <w:tcPr>
            <w:tcW w:w="7680" w:type="dxa"/>
            <w:gridSpan w:val="6"/>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0"/>
              </w:rPr>
              <w:t>Retail and Wholesale Loans and Advances to Customers and Banks</w:t>
            </w:r>
            <w:r w:rsidRPr="00491918">
              <w:rPr>
                <w:rFonts w:ascii="Barclays Sans" w:eastAsia="Barclays Sans" w:hAnsi="Barclays Sans" w:cs="Barclays Sans"/>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r>
      <w:tr w:rsidR="000D1659" w:rsidRPr="00491918">
        <w:trPr>
          <w:trHeight w:hRule="exact" w:val="240"/>
        </w:trPr>
        <w:tc>
          <w:tcPr>
            <w:tcW w:w="21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b/>
                <w:color w:val="000000"/>
                <w:sz w:val="20"/>
              </w:rPr>
              <w:t xml:space="preserve"> </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b/>
                <w:color w:val="000000"/>
                <w:sz w:val="20"/>
              </w:rPr>
            </w:pPr>
            <w:r w:rsidRPr="00491918">
              <w:rPr>
                <w:rFonts w:ascii="Barclays Sans" w:eastAsia="Barclays Sans" w:hAnsi="Barclays Sans" w:cs="Barclays Sans"/>
                <w:b/>
                <w:color w:val="000000"/>
                <w:sz w:val="20"/>
              </w:rPr>
              <w:t xml:space="preserve"> </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b/>
                <w:color w:val="000000"/>
                <w:sz w:val="20"/>
              </w:rPr>
            </w:pPr>
            <w:r w:rsidRPr="00491918">
              <w:rPr>
                <w:rFonts w:ascii="Barclays Sans" w:eastAsia="Barclays Sans" w:hAnsi="Barclays Sans" w:cs="Barclays Sans"/>
                <w:b/>
                <w:color w:val="000000"/>
                <w:sz w:val="20"/>
              </w:rPr>
              <w:t xml:space="preserve"> </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b/>
                <w:color w:val="000000"/>
                <w:sz w:val="20"/>
              </w:rPr>
            </w:pPr>
            <w:r w:rsidRPr="00491918">
              <w:rPr>
                <w:rFonts w:ascii="Barclays Sans" w:eastAsia="Barclays Sans" w:hAnsi="Barclays Sans" w:cs="Barclays Sans"/>
                <w:b/>
                <w:color w:val="000000"/>
                <w:sz w:val="20"/>
              </w:rPr>
              <w:t xml:space="preserve"> </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b/>
                <w:color w:val="000000"/>
                <w:sz w:val="20"/>
              </w:rPr>
            </w:pPr>
            <w:r w:rsidRPr="00491918">
              <w:rPr>
                <w:rFonts w:ascii="Barclays Sans" w:eastAsia="Barclays Sans" w:hAnsi="Barclays Sans" w:cs="Barclays Sans"/>
                <w:b/>
                <w:color w:val="000000"/>
                <w:sz w:val="20"/>
              </w:rPr>
              <w:t xml:space="preserve"> </w:t>
            </w:r>
            <w:r w:rsidRPr="00491918">
              <w:rPr>
                <w:rFonts w:ascii="Barclays Sans" w:eastAsia="Barclays Sans" w:hAnsi="Barclays Sans" w:cs="Barclays Sans"/>
                <w:b/>
                <w:color w:val="000000"/>
                <w:sz w:val="20"/>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b/>
                <w:color w:val="000000"/>
                <w:sz w:val="20"/>
                <w:vertAlign w:val="superscript"/>
              </w:rPr>
            </w:pPr>
            <w:r w:rsidRPr="00491918">
              <w:rPr>
                <w:rFonts w:ascii="Barclays Sans" w:eastAsia="Barclays Sans" w:hAnsi="Barclays Sans" w:cs="Barclays Sans"/>
                <w:b/>
                <w:color w:val="000000"/>
                <w:sz w:val="20"/>
              </w:rPr>
              <w:t xml:space="preserve"> </w:t>
            </w:r>
            <w:r w:rsidRPr="00491918">
              <w:rPr>
                <w:rFonts w:ascii="Barclays Sans" w:eastAsia="Barclays Sans" w:hAnsi="Barclays Sans" w:cs="Barclays Sans"/>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r>
      <w:tr w:rsidR="000D1659" w:rsidRPr="00491918">
        <w:trPr>
          <w:trHeight w:val="720"/>
        </w:trPr>
        <w:tc>
          <w:tcPr>
            <w:tcW w:w="21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b/>
                <w:color w:val="000000"/>
                <w:sz w:val="16"/>
              </w:rPr>
              <w:lastRenderedPageBreak/>
              <w:t>As at 30.06.13</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Gross</w:t>
            </w:r>
          </w:p>
          <w:p w:rsidR="000D1659" w:rsidRPr="00491918" w:rsidRDefault="000D1659">
            <w:pPr>
              <w:jc w:val="right"/>
              <w:rPr>
                <w:b/>
                <w:color w:val="000000"/>
                <w:sz w:val="16"/>
              </w:rPr>
            </w:pPr>
            <w:r w:rsidRPr="00491918">
              <w:rPr>
                <w:b/>
                <w:color w:val="000000"/>
                <w:sz w:val="16"/>
              </w:rPr>
              <w:t>L&amp;A</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Impairment Allowance</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L&amp;A Net of Impairment</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Credit</w:t>
            </w:r>
          </w:p>
          <w:p w:rsidR="000D1659" w:rsidRPr="00491918" w:rsidRDefault="000D1659">
            <w:pPr>
              <w:jc w:val="right"/>
              <w:rPr>
                <w:b/>
                <w:color w:val="000000"/>
                <w:sz w:val="16"/>
              </w:rPr>
            </w:pPr>
            <w:r w:rsidRPr="00491918">
              <w:rPr>
                <w:b/>
                <w:color w:val="000000"/>
                <w:sz w:val="16"/>
              </w:rPr>
              <w:t>Risk Loans</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CRLs % of Gross L&amp;A</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Loan Impairment Charges</w:t>
            </w:r>
            <w:r w:rsidRPr="00491918">
              <w:rPr>
                <w:b/>
                <w:color w:val="000000"/>
                <w:sz w:val="16"/>
                <w:vertAlign w:val="superscript"/>
              </w:rPr>
              <w:t>1 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Loan Loss Rates</w:t>
            </w:r>
            <w:r w:rsidRPr="00491918">
              <w:rPr>
                <w:b/>
                <w:color w:val="000000"/>
                <w:sz w:val="16"/>
                <w:vertAlign w:val="superscript"/>
              </w:rPr>
              <w:t xml:space="preserve"> </w:t>
            </w:r>
          </w:p>
        </w:tc>
      </w:tr>
      <w:tr w:rsidR="000D1659" w:rsidRPr="00491918">
        <w:trPr>
          <w:trHeigh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color w:val="000000"/>
                <w:sz w:val="16"/>
              </w:rPr>
              <w:t>£m</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£m</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£m</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w:t>
            </w:r>
            <w:r w:rsidRPr="00491918">
              <w:rPr>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£m</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bps</w:t>
            </w:r>
            <w:r w:rsidRPr="00491918">
              <w:rPr>
                <w:color w:val="000000"/>
                <w:sz w:val="16"/>
                <w:vertAlign w:val="superscript"/>
              </w:rPr>
              <w:t xml:space="preserve"> </w:t>
            </w:r>
          </w:p>
        </w:tc>
      </w:tr>
    </w:tbl>
    <w:p w:rsidR="00FF7A7C" w:rsidRPr="00491918" w:rsidRDefault="00FF7A7C"/>
    <w:tbl>
      <w:tblPr>
        <w:tblW w:w="0" w:type="auto"/>
        <w:tblLayout w:type="fixed"/>
        <w:tblLook w:val="0000" w:firstRow="0" w:lastRow="0" w:firstColumn="0" w:lastColumn="0" w:noHBand="0" w:noVBand="0"/>
      </w:tblPr>
      <w:tblGrid>
        <w:gridCol w:w="2100"/>
        <w:gridCol w:w="1155"/>
        <w:gridCol w:w="1155"/>
        <w:gridCol w:w="1155"/>
        <w:gridCol w:w="1155"/>
        <w:gridCol w:w="960"/>
        <w:gridCol w:w="1050"/>
        <w:gridCol w:w="915"/>
      </w:tblGrid>
      <w:tr w:rsidR="000D1659" w:rsidRPr="00491918" w:rsidTr="00FF7A7C">
        <w:trPr>
          <w:trHeight w:val="240"/>
        </w:trPr>
        <w:tc>
          <w:tcPr>
            <w:tcW w:w="2100" w:type="dxa"/>
            <w:tcBorders>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rPr>
            </w:pPr>
            <w:r w:rsidRPr="00491918">
              <w:rPr>
                <w:b/>
                <w:color w:val="000000"/>
                <w:sz w:val="16"/>
              </w:rPr>
              <w:t>Total retail</w:t>
            </w:r>
          </w:p>
        </w:tc>
        <w:tc>
          <w:tcPr>
            <w:tcW w:w="1155" w:type="dxa"/>
            <w:tcBorders>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240,079 </w:t>
            </w:r>
          </w:p>
        </w:tc>
        <w:tc>
          <w:tcPr>
            <w:tcW w:w="1155" w:type="dxa"/>
            <w:tcBorders>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4,699 </w:t>
            </w:r>
          </w:p>
        </w:tc>
        <w:tc>
          <w:tcPr>
            <w:tcW w:w="1155" w:type="dxa"/>
            <w:tcBorders>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235,380 </w:t>
            </w:r>
          </w:p>
        </w:tc>
        <w:tc>
          <w:tcPr>
            <w:tcW w:w="1155" w:type="dxa"/>
            <w:tcBorders>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8,439 </w:t>
            </w:r>
            <w:r w:rsidRPr="00491918">
              <w:rPr>
                <w:b/>
                <w:color w:val="000000"/>
                <w:sz w:val="16"/>
                <w:vertAlign w:val="superscript"/>
              </w:rPr>
              <w:t xml:space="preserve"> </w:t>
            </w:r>
          </w:p>
        </w:tc>
        <w:tc>
          <w:tcPr>
            <w:tcW w:w="960" w:type="dxa"/>
            <w:tcBorders>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3.5 </w:t>
            </w:r>
            <w:r w:rsidRPr="00491918">
              <w:rPr>
                <w:b/>
                <w:color w:val="000000"/>
                <w:sz w:val="16"/>
                <w:vertAlign w:val="superscript"/>
              </w:rPr>
              <w:t xml:space="preserve"> </w:t>
            </w:r>
          </w:p>
        </w:tc>
        <w:tc>
          <w:tcPr>
            <w:tcW w:w="1050" w:type="dxa"/>
            <w:tcBorders>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rPr>
            </w:pPr>
            <w:r w:rsidRPr="00491918">
              <w:rPr>
                <w:b/>
                <w:color w:val="000000"/>
                <w:sz w:val="16"/>
              </w:rPr>
              <w:t>1,112 </w:t>
            </w:r>
            <w:r w:rsidRPr="00491918">
              <w:rPr>
                <w:b/>
                <w:color w:val="000000"/>
                <w:sz w:val="16"/>
                <w:vertAlign w:val="superscript"/>
              </w:rPr>
              <w:t xml:space="preserve"> </w:t>
            </w:r>
          </w:p>
        </w:tc>
        <w:tc>
          <w:tcPr>
            <w:tcW w:w="915" w:type="dxa"/>
            <w:tcBorders>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93 </w:t>
            </w:r>
            <w:r w:rsidRPr="00491918">
              <w:rPr>
                <w:b/>
                <w:color w:val="000000"/>
                <w:sz w:val="16"/>
                <w:vertAlign w:val="superscript"/>
              </w:rPr>
              <w:t xml:space="preserve"> </w:t>
            </w:r>
          </w:p>
        </w:tc>
      </w:tr>
      <w:tr w:rsidR="000D1659" w:rsidRPr="00491918">
        <w:trPr>
          <w:trHeight w:hRule="exac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rFonts w:ascii="Barclays Sans" w:eastAsia="Barclays Sans" w:hAnsi="Barclays Sans" w:cs="Barclays Sans"/>
                <w:color w:val="000000"/>
                <w:sz w:val="16"/>
              </w:rPr>
              <w:t xml:space="preserve"> </w:t>
            </w:r>
            <w:r w:rsidRPr="00491918">
              <w:rPr>
                <w:b/>
                <w:color w:val="000000"/>
                <w:sz w:val="16"/>
                <w:vertAlign w:val="superscript"/>
              </w:rPr>
              <w:t xml:space="preserve"> </w:t>
            </w:r>
          </w:p>
        </w:tc>
        <w:tc>
          <w:tcPr>
            <w:tcW w:w="91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rPr>
            </w:pPr>
            <w:r w:rsidRPr="00491918">
              <w:rPr>
                <w:color w:val="000000"/>
                <w:sz w:val="16"/>
              </w:rPr>
              <w:t>Wholesale - customers</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238,457 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B251B9">
            <w:pPr>
              <w:jc w:val="right"/>
              <w:rPr>
                <w:color w:val="000000"/>
                <w:sz w:val="16"/>
              </w:rPr>
            </w:pPr>
            <w:r w:rsidRPr="00491918">
              <w:rPr>
                <w:color w:val="000000"/>
                <w:sz w:val="16"/>
              </w:rPr>
              <w:t>3,170</w:t>
            </w:r>
          </w:p>
        </w:tc>
        <w:tc>
          <w:tcPr>
            <w:tcW w:w="1155" w:type="dxa"/>
            <w:tcBorders>
              <w:top w:val="single" w:sz="6" w:space="0" w:color="969696"/>
              <w:left w:val="nil"/>
              <w:bottom w:val="nil"/>
              <w:right w:val="nil"/>
            </w:tcBorders>
            <w:shd w:val="clear" w:color="auto" w:fill="EAEAEA"/>
            <w:tcMar>
              <w:left w:w="36" w:type="dxa"/>
              <w:right w:w="36" w:type="dxa"/>
            </w:tcMar>
          </w:tcPr>
          <w:p w:rsidR="000D1659" w:rsidRPr="00491918" w:rsidRDefault="000D1659" w:rsidP="00B251B9">
            <w:pPr>
              <w:jc w:val="right"/>
              <w:rPr>
                <w:color w:val="000000"/>
                <w:sz w:val="16"/>
              </w:rPr>
            </w:pPr>
            <w:r w:rsidRPr="00491918">
              <w:rPr>
                <w:b/>
                <w:color w:val="000000"/>
                <w:sz w:val="16"/>
              </w:rPr>
              <w:t>235,</w:t>
            </w:r>
            <w:r w:rsidR="00B251B9" w:rsidRPr="00491918">
              <w:rPr>
                <w:b/>
                <w:color w:val="000000"/>
                <w:sz w:val="16"/>
              </w:rPr>
              <w:t>287 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color w:val="000000"/>
                <w:sz w:val="16"/>
              </w:rPr>
              <w:t>6,192 </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2.6 </w:t>
            </w:r>
            <w:r w:rsidRPr="00491918">
              <w:rPr>
                <w:color w:val="000000"/>
                <w:sz w:val="16"/>
                <w:vertAlign w:val="superscript"/>
              </w:rPr>
              <w:t xml:space="preserve"> </w:t>
            </w:r>
          </w:p>
        </w:tc>
        <w:tc>
          <w:tcPr>
            <w:tcW w:w="1050" w:type="dxa"/>
            <w:tcBorders>
              <w:top w:val="single" w:sz="6" w:space="0" w:color="969696"/>
              <w:left w:val="nil"/>
              <w:bottom w:val="nil"/>
              <w:right w:val="nil"/>
            </w:tcBorders>
            <w:shd w:val="clear" w:color="auto" w:fill="EAEAEA"/>
            <w:tcMar>
              <w:left w:w="36" w:type="dxa"/>
              <w:right w:w="36" w:type="dxa"/>
            </w:tcMar>
          </w:tcPr>
          <w:p w:rsidR="000D1659" w:rsidRPr="00491918" w:rsidRDefault="00B251B9">
            <w:pPr>
              <w:jc w:val="right"/>
              <w:rPr>
                <w:color w:val="000000"/>
                <w:sz w:val="16"/>
                <w:vertAlign w:val="superscript"/>
              </w:rPr>
            </w:pPr>
            <w:r w:rsidRPr="00491918">
              <w:rPr>
                <w:b/>
                <w:color w:val="000000"/>
                <w:sz w:val="16"/>
              </w:rPr>
              <w:t>534</w:t>
            </w:r>
          </w:p>
        </w:tc>
        <w:tc>
          <w:tcPr>
            <w:tcW w:w="915" w:type="dxa"/>
            <w:tcBorders>
              <w:top w:val="single" w:sz="6" w:space="0" w:color="A5A5A5"/>
              <w:left w:val="nil"/>
              <w:bottom w:val="nil"/>
              <w:right w:val="nil"/>
            </w:tcBorders>
            <w:shd w:val="clear" w:color="auto" w:fill="FFFFFF"/>
            <w:tcMar>
              <w:left w:w="36" w:type="dxa"/>
              <w:right w:w="36" w:type="dxa"/>
            </w:tcMar>
          </w:tcPr>
          <w:p w:rsidR="000D1659" w:rsidRPr="00491918" w:rsidRDefault="00B251B9">
            <w:pPr>
              <w:jc w:val="right"/>
              <w:rPr>
                <w:color w:val="000000"/>
                <w:sz w:val="16"/>
                <w:vertAlign w:val="superscript"/>
              </w:rPr>
            </w:pPr>
            <w:r w:rsidRPr="00491918">
              <w:rPr>
                <w:b/>
                <w:color w:val="000000"/>
                <w:sz w:val="16"/>
              </w:rPr>
              <w:t>45</w:t>
            </w:r>
            <w:r w:rsidRPr="00491918">
              <w:rPr>
                <w:b/>
                <w:color w:val="000000"/>
                <w:sz w:val="16"/>
                <w:vertAlign w:val="superscript"/>
              </w:rPr>
              <w:t xml:space="preserve"> </w:t>
            </w:r>
          </w:p>
        </w:tc>
      </w:tr>
      <w:tr w:rsidR="000D1659" w:rsidRPr="00491918">
        <w:trPr>
          <w:trHeigh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Wholesale - banks</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45,881 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35 </w:t>
            </w:r>
          </w:p>
        </w:tc>
        <w:tc>
          <w:tcPr>
            <w:tcW w:w="115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color w:val="000000"/>
                <w:sz w:val="16"/>
              </w:rPr>
            </w:pPr>
            <w:r w:rsidRPr="00491918">
              <w:rPr>
                <w:color w:val="000000"/>
                <w:sz w:val="16"/>
              </w:rPr>
              <w:t>45,846 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54 </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0.1 </w:t>
            </w:r>
            <w:r w:rsidRPr="00491918">
              <w:rPr>
                <w:color w:val="000000"/>
                <w:sz w:val="16"/>
                <w:vertAlign w:val="superscript"/>
              </w:rPr>
              <w:t xml:space="preserve"> </w:t>
            </w:r>
          </w:p>
        </w:tc>
        <w:tc>
          <w:tcPr>
            <w:tcW w:w="1050" w:type="dxa"/>
            <w:tcBorders>
              <w:top w:val="nil"/>
              <w:left w:val="nil"/>
              <w:bottom w:val="single" w:sz="6" w:space="0" w:color="A5A5A5"/>
              <w:right w:val="nil"/>
            </w:tcBorders>
            <w:shd w:val="clear" w:color="auto" w:fill="EAEAEA"/>
            <w:tcMar>
              <w:left w:w="36" w:type="dxa"/>
              <w:right w:w="36" w:type="dxa"/>
            </w:tcMar>
          </w:tcPr>
          <w:p w:rsidR="000D1659" w:rsidRPr="00491918" w:rsidRDefault="000D1659">
            <w:pPr>
              <w:jc w:val="right"/>
              <w:rPr>
                <w:color w:val="000000"/>
                <w:sz w:val="16"/>
                <w:vertAlign w:val="superscript"/>
              </w:rPr>
            </w:pPr>
            <w:r w:rsidRPr="00491918">
              <w:rPr>
                <w:color w:val="000000"/>
                <w:sz w:val="16"/>
              </w:rPr>
              <w:t>(12)</w:t>
            </w:r>
            <w:r w:rsidRPr="00491918">
              <w:rPr>
                <w:color w:val="000000"/>
                <w:sz w:val="16"/>
                <w:vertAlign w:val="superscript"/>
              </w:rPr>
              <w:t xml:space="preserve"> </w:t>
            </w:r>
          </w:p>
        </w:tc>
        <w:tc>
          <w:tcPr>
            <w:tcW w:w="91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(5)</w:t>
            </w:r>
            <w:r w:rsidRPr="00491918">
              <w:rPr>
                <w:color w:val="000000"/>
                <w:sz w:val="16"/>
                <w:vertAlign w:val="superscript"/>
              </w:rPr>
              <w:t xml:space="preserve"> </w:t>
            </w:r>
          </w:p>
        </w:tc>
      </w:tr>
      <w:tr w:rsidR="000D1659" w:rsidRPr="00491918">
        <w:trPr>
          <w:trHeight w:val="240"/>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rPr>
            </w:pPr>
            <w:r w:rsidRPr="00491918">
              <w:rPr>
                <w:b/>
                <w:color w:val="000000"/>
                <w:sz w:val="16"/>
              </w:rPr>
              <w:t xml:space="preserve">Total wholesale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284,338 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B251B9">
            <w:pPr>
              <w:jc w:val="right"/>
              <w:rPr>
                <w:b/>
                <w:color w:val="000000"/>
                <w:sz w:val="16"/>
              </w:rPr>
            </w:pPr>
            <w:r w:rsidRPr="00491918">
              <w:rPr>
                <w:b/>
                <w:color w:val="000000"/>
                <w:sz w:val="16"/>
              </w:rPr>
              <w:t>3,205</w:t>
            </w:r>
          </w:p>
        </w:tc>
        <w:tc>
          <w:tcPr>
            <w:tcW w:w="1155" w:type="dxa"/>
            <w:tcBorders>
              <w:top w:val="single" w:sz="6" w:space="0" w:color="969696"/>
              <w:left w:val="nil"/>
              <w:bottom w:val="nil"/>
              <w:right w:val="nil"/>
            </w:tcBorders>
            <w:shd w:val="clear" w:color="auto" w:fill="EAEAEA"/>
            <w:tcMar>
              <w:left w:w="36" w:type="dxa"/>
              <w:right w:w="36" w:type="dxa"/>
            </w:tcMar>
          </w:tcPr>
          <w:p w:rsidR="000D1659" w:rsidRPr="00491918" w:rsidRDefault="00B251B9">
            <w:pPr>
              <w:jc w:val="right"/>
              <w:rPr>
                <w:b/>
                <w:color w:val="000000"/>
                <w:sz w:val="16"/>
              </w:rPr>
            </w:pPr>
            <w:r w:rsidRPr="00491918">
              <w:rPr>
                <w:b/>
                <w:color w:val="000000"/>
                <w:sz w:val="16"/>
              </w:rPr>
              <w:t>281,133</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6,246 </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2.2 </w:t>
            </w:r>
            <w:r w:rsidRPr="00491918">
              <w:rPr>
                <w:b/>
                <w:color w:val="000000"/>
                <w:sz w:val="16"/>
                <w:vertAlign w:val="superscript"/>
              </w:rPr>
              <w:t xml:space="preserve"> </w:t>
            </w:r>
          </w:p>
        </w:tc>
        <w:tc>
          <w:tcPr>
            <w:tcW w:w="1050" w:type="dxa"/>
            <w:tcBorders>
              <w:top w:val="single" w:sz="6" w:space="0" w:color="969696"/>
              <w:left w:val="nil"/>
              <w:bottom w:val="nil"/>
              <w:right w:val="nil"/>
            </w:tcBorders>
            <w:shd w:val="clear" w:color="auto" w:fill="EAEAEA"/>
            <w:tcMar>
              <w:left w:w="36" w:type="dxa"/>
              <w:right w:w="36" w:type="dxa"/>
            </w:tcMar>
          </w:tcPr>
          <w:p w:rsidR="000D1659" w:rsidRPr="00491918" w:rsidRDefault="00B251B9">
            <w:pPr>
              <w:jc w:val="right"/>
              <w:rPr>
                <w:b/>
                <w:color w:val="000000"/>
                <w:sz w:val="16"/>
                <w:vertAlign w:val="superscript"/>
              </w:rPr>
            </w:pPr>
            <w:r w:rsidRPr="00491918">
              <w:rPr>
                <w:b/>
                <w:color w:val="000000"/>
                <w:sz w:val="16"/>
              </w:rPr>
              <w:t>522</w:t>
            </w:r>
          </w:p>
        </w:tc>
        <w:tc>
          <w:tcPr>
            <w:tcW w:w="915" w:type="dxa"/>
            <w:tcBorders>
              <w:top w:val="single" w:sz="6" w:space="0" w:color="A5A5A5"/>
              <w:left w:val="nil"/>
              <w:bottom w:val="nil"/>
              <w:right w:val="nil"/>
            </w:tcBorders>
            <w:shd w:val="clear" w:color="auto" w:fill="FFFFFF"/>
            <w:tcMar>
              <w:left w:w="36" w:type="dxa"/>
              <w:right w:w="36" w:type="dxa"/>
            </w:tcMar>
          </w:tcPr>
          <w:p w:rsidR="000D1659" w:rsidRPr="00491918" w:rsidRDefault="00B251B9">
            <w:pPr>
              <w:jc w:val="right"/>
              <w:rPr>
                <w:b/>
                <w:color w:val="000000"/>
                <w:sz w:val="16"/>
                <w:vertAlign w:val="superscript"/>
              </w:rPr>
            </w:pPr>
            <w:r w:rsidRPr="00491918">
              <w:rPr>
                <w:b/>
                <w:color w:val="000000"/>
                <w:sz w:val="16"/>
              </w:rPr>
              <w:t>37</w:t>
            </w:r>
          </w:p>
        </w:tc>
      </w:tr>
      <w:tr w:rsidR="000D1659" w:rsidRPr="00491918">
        <w:trPr>
          <w:trHeight w:hRule="exac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FFFFFF"/>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rPr>
            </w:pPr>
            <w:r w:rsidRPr="00491918">
              <w:rPr>
                <w:b/>
                <w:color w:val="FFFFFF"/>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rPr>
            </w:pPr>
            <w:r w:rsidRPr="00491918">
              <w:rPr>
                <w:b/>
                <w:color w:val="EAEAEA"/>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EAEAEA"/>
                <w:sz w:val="16"/>
              </w:rPr>
            </w:pPr>
            <w:r w:rsidRPr="00491918">
              <w:rPr>
                <w:b/>
                <w:color w:val="FFFFFF"/>
                <w:sz w:val="16"/>
              </w:rPr>
              <w:t xml:space="preserve"> </w:t>
            </w:r>
            <w:r w:rsidRPr="00491918">
              <w:rPr>
                <w:b/>
                <w:color w:val="FFFFFF"/>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vertAlign w:val="superscript"/>
              </w:rPr>
            </w:pPr>
            <w:r w:rsidRPr="00491918">
              <w:rPr>
                <w:b/>
                <w:color w:val="FFFFFF"/>
                <w:sz w:val="16"/>
              </w:rPr>
              <w:t xml:space="preserve"> </w:t>
            </w:r>
            <w:r w:rsidRPr="00491918">
              <w:rPr>
                <w:b/>
                <w:color w:val="FFFFFF"/>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vertAlign w:val="superscript"/>
              </w:rPr>
            </w:pPr>
            <w:r w:rsidRPr="00491918">
              <w:rPr>
                <w:b/>
                <w:color w:val="EAEAEA"/>
                <w:sz w:val="16"/>
              </w:rPr>
              <w:t xml:space="preserve"> </w:t>
            </w:r>
            <w:r w:rsidRPr="00491918">
              <w:rPr>
                <w:b/>
                <w:color w:val="FFFFFF"/>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vertAlign w:val="superscript"/>
              </w:rPr>
            </w:pPr>
            <w:r w:rsidRPr="00491918">
              <w:rPr>
                <w:b/>
                <w:color w:val="FFFFFF"/>
                <w:sz w:val="16"/>
              </w:rPr>
              <w:t xml:space="preserve"> </w:t>
            </w:r>
            <w:r w:rsidRPr="00491918">
              <w:rPr>
                <w:b/>
                <w:color w:val="FFFFFF"/>
                <w:sz w:val="16"/>
                <w:vertAlign w:val="superscript"/>
              </w:rPr>
              <w:t xml:space="preserve"> </w:t>
            </w:r>
          </w:p>
        </w:tc>
      </w:tr>
      <w:tr w:rsidR="000D1659" w:rsidRPr="00491918">
        <w:trPr>
          <w:trHeight w:val="255"/>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FFFFFF"/>
                <w:sz w:val="16"/>
                <w:vertAlign w:val="superscript"/>
              </w:rPr>
            </w:pPr>
            <w:r w:rsidRPr="00491918">
              <w:rPr>
                <w:b/>
                <w:color w:val="000000"/>
                <w:sz w:val="16"/>
              </w:rPr>
              <w:t>Loans and advances at</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524,417 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7,</w:t>
            </w:r>
            <w:r w:rsidR="00B251B9" w:rsidRPr="00491918">
              <w:rPr>
                <w:b/>
                <w:color w:val="000000"/>
                <w:sz w:val="16"/>
              </w:rPr>
              <w:t>904</w:t>
            </w:r>
            <w:r w:rsidRPr="00491918">
              <w:rPr>
                <w:b/>
                <w:color w:val="000000"/>
                <w:sz w:val="16"/>
              </w:rPr>
              <w:t> </w:t>
            </w:r>
          </w:p>
        </w:tc>
        <w:tc>
          <w:tcPr>
            <w:tcW w:w="1155" w:type="dxa"/>
            <w:tcBorders>
              <w:top w:val="single" w:sz="6" w:space="0" w:color="969696"/>
              <w:left w:val="nil"/>
              <w:bottom w:val="nil"/>
              <w:right w:val="nil"/>
            </w:tcBorders>
            <w:shd w:val="clear" w:color="auto" w:fill="EAEAEA"/>
            <w:tcMar>
              <w:left w:w="36" w:type="dxa"/>
              <w:right w:w="36" w:type="dxa"/>
            </w:tcMar>
          </w:tcPr>
          <w:p w:rsidR="000D1659" w:rsidRPr="00491918" w:rsidRDefault="000D1659" w:rsidP="00B251B9">
            <w:pPr>
              <w:jc w:val="right"/>
              <w:rPr>
                <w:b/>
                <w:color w:val="000000"/>
                <w:sz w:val="16"/>
              </w:rPr>
            </w:pPr>
            <w:r w:rsidRPr="00491918">
              <w:rPr>
                <w:b/>
                <w:color w:val="000000"/>
                <w:sz w:val="16"/>
              </w:rPr>
              <w:t>516,</w:t>
            </w:r>
            <w:r w:rsidR="00B251B9" w:rsidRPr="00491918">
              <w:rPr>
                <w:b/>
                <w:color w:val="000000"/>
                <w:sz w:val="16"/>
              </w:rPr>
              <w:t>513 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14,685 </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2.8 </w:t>
            </w:r>
            <w:r w:rsidRPr="00491918">
              <w:rPr>
                <w:b/>
                <w:color w:val="000000"/>
                <w:sz w:val="16"/>
                <w:vertAlign w:val="superscript"/>
              </w:rPr>
              <w:t xml:space="preserve"> </w:t>
            </w:r>
          </w:p>
        </w:tc>
        <w:tc>
          <w:tcPr>
            <w:tcW w:w="1050" w:type="dxa"/>
            <w:tcBorders>
              <w:top w:val="single" w:sz="6" w:space="0" w:color="969696"/>
              <w:left w:val="nil"/>
              <w:bottom w:val="nil"/>
              <w:right w:val="nil"/>
            </w:tcBorders>
            <w:shd w:val="clear" w:color="auto" w:fill="EAEAEA"/>
            <w:tcMar>
              <w:left w:w="36" w:type="dxa"/>
              <w:right w:w="36" w:type="dxa"/>
            </w:tcMar>
          </w:tcPr>
          <w:p w:rsidR="000D1659" w:rsidRPr="00491918" w:rsidRDefault="00B251B9">
            <w:pPr>
              <w:jc w:val="right"/>
              <w:rPr>
                <w:b/>
                <w:color w:val="000000"/>
                <w:sz w:val="16"/>
                <w:vertAlign w:val="superscript"/>
              </w:rPr>
            </w:pPr>
            <w:r w:rsidRPr="00491918">
              <w:rPr>
                <w:b/>
                <w:color w:val="000000"/>
                <w:sz w:val="16"/>
              </w:rPr>
              <w:t>1,634</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B251B9">
            <w:pPr>
              <w:jc w:val="right"/>
              <w:rPr>
                <w:b/>
                <w:color w:val="000000"/>
                <w:sz w:val="16"/>
                <w:vertAlign w:val="superscript"/>
              </w:rPr>
            </w:pPr>
            <w:r w:rsidRPr="00491918">
              <w:rPr>
                <w:b/>
                <w:color w:val="000000"/>
                <w:sz w:val="16"/>
              </w:rPr>
              <w:t>63</w:t>
            </w:r>
          </w:p>
        </w:tc>
      </w:tr>
      <w:tr w:rsidR="000D1659" w:rsidRPr="00491918">
        <w:trPr>
          <w:trHeight w:val="255"/>
        </w:trPr>
        <w:tc>
          <w:tcPr>
            <w:tcW w:w="210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amortised cost</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hRule="exact" w:val="240"/>
        </w:trPr>
        <w:tc>
          <w:tcPr>
            <w:tcW w:w="210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210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Traded Loans</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2,340 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n/a</w:t>
            </w:r>
          </w:p>
        </w:tc>
        <w:tc>
          <w:tcPr>
            <w:tcW w:w="115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color w:val="000000"/>
                <w:sz w:val="16"/>
              </w:rPr>
              <w:t>2,340 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51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Loans and advances designated at fair value</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20,144 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n/a</w:t>
            </w:r>
          </w:p>
        </w:tc>
        <w:tc>
          <w:tcPr>
            <w:tcW w:w="1155" w:type="dxa"/>
            <w:tcBorders>
              <w:top w:val="nil"/>
              <w:left w:val="nil"/>
              <w:bottom w:val="single" w:sz="6" w:space="0" w:color="A5A5A5"/>
              <w:right w:val="nil"/>
            </w:tcBorders>
            <w:shd w:val="clear" w:color="auto" w:fill="EAEAEA"/>
            <w:tcMar>
              <w:left w:w="36" w:type="dxa"/>
              <w:right w:w="36" w:type="dxa"/>
            </w:tcMar>
          </w:tcPr>
          <w:p w:rsidR="000D1659" w:rsidRPr="00491918" w:rsidRDefault="000D1659">
            <w:pPr>
              <w:jc w:val="right"/>
              <w:rPr>
                <w:color w:val="000000"/>
                <w:sz w:val="16"/>
              </w:rPr>
            </w:pPr>
            <w:r w:rsidRPr="00491918">
              <w:rPr>
                <w:color w:val="000000"/>
                <w:sz w:val="16"/>
              </w:rPr>
              <w:t>20,144 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510"/>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Loans and advances held at fair value</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22,484 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n/a</w:t>
            </w:r>
          </w:p>
        </w:tc>
        <w:tc>
          <w:tcPr>
            <w:tcW w:w="1155" w:type="dxa"/>
            <w:tcBorders>
              <w:top w:val="single" w:sz="6" w:space="0" w:color="A5A5A5"/>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22,484 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hRule="exac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Total loans and advances</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546,901 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rsidP="00B251B9">
            <w:pPr>
              <w:jc w:val="right"/>
              <w:rPr>
                <w:b/>
                <w:color w:val="000000"/>
                <w:sz w:val="16"/>
              </w:rPr>
            </w:pPr>
            <w:r w:rsidRPr="00491918">
              <w:rPr>
                <w:b/>
                <w:color w:val="000000"/>
                <w:sz w:val="16"/>
              </w:rPr>
              <w:t>7,</w:t>
            </w:r>
            <w:r w:rsidR="00B251B9" w:rsidRPr="00491918">
              <w:rPr>
                <w:b/>
                <w:color w:val="000000"/>
                <w:sz w:val="16"/>
              </w:rPr>
              <w:t>904 </w:t>
            </w:r>
          </w:p>
        </w:tc>
        <w:tc>
          <w:tcPr>
            <w:tcW w:w="1155" w:type="dxa"/>
            <w:tcBorders>
              <w:top w:val="single" w:sz="6" w:space="0" w:color="969696"/>
              <w:left w:val="nil"/>
              <w:bottom w:val="nil"/>
              <w:right w:val="nil"/>
            </w:tcBorders>
            <w:shd w:val="clear" w:color="auto" w:fill="EAEAEA"/>
            <w:tcMar>
              <w:left w:w="36" w:type="dxa"/>
              <w:right w:w="36" w:type="dxa"/>
            </w:tcMar>
          </w:tcPr>
          <w:p w:rsidR="000D1659" w:rsidRPr="00491918" w:rsidRDefault="000D1659" w:rsidP="00B251B9">
            <w:pPr>
              <w:jc w:val="right"/>
              <w:rPr>
                <w:b/>
                <w:color w:val="000000"/>
                <w:sz w:val="16"/>
              </w:rPr>
            </w:pPr>
            <w:r w:rsidRPr="00491918">
              <w:rPr>
                <w:b/>
                <w:color w:val="000000"/>
                <w:sz w:val="16"/>
              </w:rPr>
              <w:t>53</w:t>
            </w:r>
            <w:r w:rsidR="00B251B9" w:rsidRPr="00491918">
              <w:rPr>
                <w:b/>
                <w:color w:val="000000"/>
                <w:sz w:val="16"/>
              </w:rPr>
              <w:t>8,997</w:t>
            </w:r>
            <w:r w:rsidRPr="00491918">
              <w:rPr>
                <w:b/>
                <w:color w:val="000000"/>
                <w:sz w:val="16"/>
              </w:rPr>
              <w:t>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hRule="exact" w:val="240"/>
        </w:trPr>
        <w:tc>
          <w:tcPr>
            <w:tcW w:w="210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rFonts w:ascii="Barclays Sans" w:eastAsia="Barclays Sans" w:hAnsi="Barclays Sans" w:cs="Barclays Sans"/>
                <w:color w:val="000000"/>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rFonts w:ascii="Barclays Sans" w:eastAsia="Barclays Sans" w:hAnsi="Barclays Sans" w:cs="Barclays Sans"/>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As at 31.12.12</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w:t>
            </w:r>
          </w:p>
        </w:tc>
      </w:tr>
      <w:tr w:rsidR="000D1659" w:rsidRPr="00491918">
        <w:trPr>
          <w:trHeight w:val="255"/>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rPr>
            </w:pPr>
            <w:r w:rsidRPr="00491918">
              <w:rPr>
                <w:b/>
                <w:color w:val="000000"/>
                <w:sz w:val="16"/>
              </w:rPr>
              <w:t>Total retail</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232,672 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4,635 </w:t>
            </w:r>
          </w:p>
        </w:tc>
        <w:tc>
          <w:tcPr>
            <w:tcW w:w="115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228,037 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8,821 </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3.8 </w:t>
            </w:r>
            <w:r w:rsidRPr="00491918">
              <w:rPr>
                <w:b/>
                <w:color w:val="000000"/>
                <w:sz w:val="16"/>
                <w:vertAlign w:val="superscript"/>
              </w:rPr>
              <w:t xml:space="preserve"> </w:t>
            </w:r>
          </w:p>
        </w:tc>
        <w:tc>
          <w:tcPr>
            <w:tcW w:w="1050"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rPr>
            </w:pPr>
            <w:r w:rsidRPr="00491918">
              <w:rPr>
                <w:b/>
                <w:color w:val="000000"/>
                <w:sz w:val="16"/>
              </w:rPr>
              <w:t>2,075 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89 </w:t>
            </w:r>
            <w:r w:rsidRPr="00491918">
              <w:rPr>
                <w:b/>
                <w:color w:val="000000"/>
                <w:sz w:val="16"/>
                <w:vertAlign w:val="superscript"/>
              </w:rPr>
              <w:t xml:space="preserve"> </w:t>
            </w:r>
          </w:p>
        </w:tc>
      </w:tr>
      <w:tr w:rsidR="000D1659" w:rsidRPr="00491918">
        <w:trPr>
          <w:trHeight w:hRule="exac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rFonts w:ascii="Barclays Sans" w:eastAsia="Barclays Sans" w:hAnsi="Barclays Sans" w:cs="Barclays Sans"/>
                <w:color w:val="000000"/>
                <w:sz w:val="16"/>
              </w:rPr>
              <w:t xml:space="preserve"> </w:t>
            </w:r>
            <w:r w:rsidRPr="00491918">
              <w:rPr>
                <w:b/>
                <w:color w:val="000000"/>
                <w:sz w:val="16"/>
                <w:vertAlign w:val="superscript"/>
              </w:rPr>
              <w:t xml:space="preserve"> </w:t>
            </w:r>
          </w:p>
        </w:tc>
        <w:tc>
          <w:tcPr>
            <w:tcW w:w="91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rPr>
            </w:pPr>
            <w:r w:rsidRPr="00491918">
              <w:rPr>
                <w:color w:val="000000"/>
                <w:sz w:val="16"/>
              </w:rPr>
              <w:t>Wholesale - customers</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199,423 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3,123 </w:t>
            </w:r>
          </w:p>
        </w:tc>
        <w:tc>
          <w:tcPr>
            <w:tcW w:w="115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color w:val="000000"/>
                <w:sz w:val="16"/>
              </w:rPr>
              <w:t>196,300 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6,252 </w:t>
            </w:r>
            <w:r w:rsidRPr="00491918">
              <w:rPr>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3.1 </w:t>
            </w:r>
            <w:r w:rsidRPr="00491918">
              <w:rPr>
                <w:color w:val="000000"/>
                <w:sz w:val="16"/>
                <w:vertAlign w:val="superscript"/>
              </w:rPr>
              <w:t xml:space="preserve"> </w:t>
            </w:r>
          </w:p>
        </w:tc>
        <w:tc>
          <w:tcPr>
            <w:tcW w:w="1050"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rPr>
            </w:pPr>
            <w:r w:rsidRPr="00491918">
              <w:rPr>
                <w:color w:val="000000"/>
                <w:sz w:val="16"/>
              </w:rPr>
              <w:t>1,251 </w:t>
            </w:r>
            <w:r w:rsidRPr="00491918">
              <w:rPr>
                <w:color w:val="000000"/>
                <w:sz w:val="16"/>
                <w:vertAlign w:val="superscript"/>
              </w:rPr>
              <w:t xml:space="preserve"> </w:t>
            </w:r>
          </w:p>
        </w:tc>
        <w:tc>
          <w:tcPr>
            <w:tcW w:w="91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b/>
                <w:color w:val="000000"/>
                <w:sz w:val="16"/>
              </w:rPr>
              <w:t>63 </w:t>
            </w:r>
            <w:r w:rsidRPr="00491918">
              <w:rPr>
                <w:b/>
                <w:color w:val="000000"/>
                <w:sz w:val="16"/>
                <w:vertAlign w:val="superscript"/>
              </w:rPr>
              <w:t xml:space="preserve"> </w:t>
            </w:r>
          </w:p>
        </w:tc>
      </w:tr>
      <w:tr w:rsidR="000D1659" w:rsidRPr="00491918">
        <w:trPr>
          <w:trHeight w:val="24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Wholesale - banks</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40,072 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41 </w:t>
            </w:r>
          </w:p>
        </w:tc>
        <w:tc>
          <w:tcPr>
            <w:tcW w:w="1155" w:type="dxa"/>
            <w:tcBorders>
              <w:top w:val="nil"/>
              <w:left w:val="nil"/>
              <w:bottom w:val="single" w:sz="6" w:space="0" w:color="A5A5A5"/>
              <w:right w:val="nil"/>
            </w:tcBorders>
            <w:shd w:val="clear" w:color="auto" w:fill="EAEAEA"/>
            <w:tcMar>
              <w:left w:w="36" w:type="dxa"/>
              <w:right w:w="36" w:type="dxa"/>
            </w:tcMar>
          </w:tcPr>
          <w:p w:rsidR="000D1659" w:rsidRPr="00491918" w:rsidRDefault="000D1659">
            <w:pPr>
              <w:jc w:val="right"/>
              <w:rPr>
                <w:color w:val="000000"/>
                <w:sz w:val="16"/>
              </w:rPr>
            </w:pPr>
            <w:r w:rsidRPr="00491918">
              <w:rPr>
                <w:color w:val="000000"/>
                <w:sz w:val="16"/>
              </w:rPr>
              <w:t>40,031 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51 </w:t>
            </w:r>
            <w:r w:rsidRPr="00491918">
              <w:rPr>
                <w:color w:val="000000"/>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0.1 </w:t>
            </w:r>
            <w:r w:rsidRPr="00491918">
              <w:rPr>
                <w:color w:val="000000"/>
                <w:sz w:val="16"/>
                <w:vertAlign w:val="superscript"/>
              </w:rPr>
              <w:t xml:space="preserve"> </w:t>
            </w:r>
          </w:p>
        </w:tc>
        <w:tc>
          <w:tcPr>
            <w:tcW w:w="1050" w:type="dxa"/>
            <w:tcBorders>
              <w:top w:val="nil"/>
              <w:left w:val="nil"/>
              <w:bottom w:val="single" w:sz="6" w:space="0" w:color="A5A5A5"/>
              <w:right w:val="nil"/>
            </w:tcBorders>
            <w:shd w:val="clear" w:color="auto" w:fill="EAEAEA"/>
            <w:tcMar>
              <w:left w:w="36" w:type="dxa"/>
              <w:right w:w="36" w:type="dxa"/>
            </w:tcMar>
          </w:tcPr>
          <w:p w:rsidR="000D1659" w:rsidRPr="00491918" w:rsidRDefault="000D1659">
            <w:pPr>
              <w:jc w:val="right"/>
              <w:rPr>
                <w:color w:val="000000"/>
                <w:sz w:val="16"/>
                <w:vertAlign w:val="superscript"/>
              </w:rPr>
            </w:pPr>
            <w:r w:rsidRPr="00491918">
              <w:rPr>
                <w:color w:val="000000"/>
                <w:sz w:val="16"/>
              </w:rPr>
              <w:t>(23)</w:t>
            </w:r>
            <w:r w:rsidRPr="00491918">
              <w:rPr>
                <w:color w:val="000000"/>
                <w:sz w:val="16"/>
                <w:vertAlign w:val="superscript"/>
              </w:rPr>
              <w:t xml:space="preserve"> </w:t>
            </w:r>
          </w:p>
        </w:tc>
        <w:tc>
          <w:tcPr>
            <w:tcW w:w="91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vertAlign w:val="superscript"/>
              </w:rPr>
            </w:pPr>
            <w:r w:rsidRPr="00491918">
              <w:rPr>
                <w:color w:val="000000"/>
                <w:sz w:val="16"/>
              </w:rPr>
              <w:t>(6)</w:t>
            </w:r>
            <w:r w:rsidRPr="00491918">
              <w:rPr>
                <w:color w:val="000000"/>
                <w:sz w:val="16"/>
                <w:vertAlign w:val="superscript"/>
              </w:rPr>
              <w:t xml:space="preserve"> </w:t>
            </w:r>
          </w:p>
        </w:tc>
      </w:tr>
      <w:tr w:rsidR="000D1659" w:rsidRPr="00491918">
        <w:trPr>
          <w:trHeight w:val="255"/>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rPr>
            </w:pPr>
            <w:r w:rsidRPr="00491918">
              <w:rPr>
                <w:b/>
                <w:color w:val="000000"/>
                <w:sz w:val="16"/>
              </w:rPr>
              <w:t xml:space="preserve">Total wholesale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239,495 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3,164 </w:t>
            </w:r>
          </w:p>
        </w:tc>
        <w:tc>
          <w:tcPr>
            <w:tcW w:w="1155" w:type="dxa"/>
            <w:tcBorders>
              <w:top w:val="single" w:sz="6" w:space="0" w:color="A5A5A5"/>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236,331 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6,303 </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2.6 </w:t>
            </w:r>
            <w:r w:rsidRPr="00491918">
              <w:rPr>
                <w:b/>
                <w:color w:val="000000"/>
                <w:sz w:val="16"/>
                <w:vertAlign w:val="superscript"/>
              </w:rPr>
              <w:t xml:space="preserve"> </w:t>
            </w:r>
          </w:p>
        </w:tc>
        <w:tc>
          <w:tcPr>
            <w:tcW w:w="1050" w:type="dxa"/>
            <w:tcBorders>
              <w:top w:val="single" w:sz="6" w:space="0" w:color="A5A5A5"/>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rPr>
            </w:pPr>
            <w:r w:rsidRPr="00491918">
              <w:rPr>
                <w:b/>
                <w:color w:val="000000"/>
                <w:sz w:val="16"/>
              </w:rPr>
              <w:t>1,228 </w:t>
            </w:r>
            <w:r w:rsidRPr="00491918">
              <w:rPr>
                <w:b/>
                <w:color w:val="000000"/>
                <w:sz w:val="16"/>
                <w:vertAlign w:val="superscript"/>
              </w:rPr>
              <w:t xml:space="preserve"> </w:t>
            </w:r>
          </w:p>
        </w:tc>
        <w:tc>
          <w:tcPr>
            <w:tcW w:w="91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51 </w:t>
            </w:r>
            <w:r w:rsidRPr="00491918">
              <w:rPr>
                <w:b/>
                <w:color w:val="000000"/>
                <w:sz w:val="16"/>
                <w:vertAlign w:val="superscript"/>
              </w:rPr>
              <w:t xml:space="preserve"> </w:t>
            </w:r>
          </w:p>
        </w:tc>
      </w:tr>
      <w:tr w:rsidR="000D1659" w:rsidRPr="00491918">
        <w:trPr>
          <w:trHeight w:hRule="exact" w:val="255"/>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FFFFFF"/>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rPr>
            </w:pPr>
            <w:r w:rsidRPr="00491918">
              <w:rPr>
                <w:b/>
                <w:color w:val="FFFFFF"/>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rPr>
            </w:pPr>
            <w:r w:rsidRPr="00491918">
              <w:rPr>
                <w:b/>
                <w:color w:val="EAEAEA"/>
                <w:sz w:val="16"/>
              </w:rPr>
              <w:t xml:space="preserve"> </w:t>
            </w:r>
          </w:p>
        </w:tc>
        <w:tc>
          <w:tcPr>
            <w:tcW w:w="115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EAEAEA"/>
                <w:sz w:val="16"/>
              </w:rPr>
            </w:pPr>
            <w:r w:rsidRPr="00491918">
              <w:rPr>
                <w:b/>
                <w:color w:val="FFFFFF"/>
                <w:sz w:val="16"/>
              </w:rPr>
              <w:t xml:space="preserve"> </w:t>
            </w:r>
            <w:r w:rsidRPr="00491918">
              <w:rPr>
                <w:b/>
                <w:color w:val="FFFFFF"/>
                <w:sz w:val="16"/>
                <w:vertAlign w:val="superscript"/>
              </w:rPr>
              <w:t xml:space="preserve">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vertAlign w:val="superscript"/>
              </w:rPr>
            </w:pPr>
            <w:r w:rsidRPr="00491918">
              <w:rPr>
                <w:b/>
                <w:color w:val="FFFFFF"/>
                <w:sz w:val="16"/>
              </w:rPr>
              <w:t xml:space="preserve"> </w:t>
            </w:r>
            <w:r w:rsidRPr="00491918">
              <w:rPr>
                <w:b/>
                <w:color w:val="FFFFFF"/>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vertAlign w:val="superscript"/>
              </w:rPr>
            </w:pPr>
            <w:r w:rsidRPr="00491918">
              <w:rPr>
                <w:b/>
                <w:color w:val="EAEAEA"/>
                <w:sz w:val="16"/>
              </w:rPr>
              <w:t xml:space="preserve"> </w:t>
            </w:r>
            <w:r w:rsidRPr="00491918">
              <w:rPr>
                <w:b/>
                <w:color w:val="FFFFFF"/>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FFFFFF"/>
                <w:sz w:val="16"/>
                <w:vertAlign w:val="superscript"/>
              </w:rPr>
            </w:pPr>
            <w:r w:rsidRPr="00491918">
              <w:rPr>
                <w:b/>
                <w:color w:val="FFFFFF"/>
                <w:sz w:val="16"/>
              </w:rPr>
              <w:t xml:space="preserve"> </w:t>
            </w:r>
            <w:r w:rsidRPr="00491918">
              <w:rPr>
                <w:b/>
                <w:color w:val="FFFFFF"/>
                <w:sz w:val="16"/>
                <w:vertAlign w:val="superscript"/>
              </w:rPr>
              <w:t xml:space="preserve"> </w:t>
            </w:r>
          </w:p>
        </w:tc>
      </w:tr>
      <w:tr w:rsidR="000D1659" w:rsidRPr="00491918">
        <w:trPr>
          <w:trHeight w:val="255"/>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FFFFFF"/>
                <w:sz w:val="16"/>
                <w:vertAlign w:val="superscript"/>
              </w:rPr>
            </w:pPr>
            <w:r w:rsidRPr="00491918">
              <w:rPr>
                <w:b/>
                <w:color w:val="000000"/>
                <w:sz w:val="16"/>
              </w:rPr>
              <w:t>Loans and advances at</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472,167 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7,799 </w:t>
            </w:r>
          </w:p>
        </w:tc>
        <w:tc>
          <w:tcPr>
            <w:tcW w:w="115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464,368 </w:t>
            </w:r>
          </w:p>
        </w:tc>
        <w:tc>
          <w:tcPr>
            <w:tcW w:w="115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15,124 </w:t>
            </w:r>
            <w:r w:rsidRPr="00491918">
              <w:rPr>
                <w:b/>
                <w:color w:val="000000"/>
                <w:sz w:val="16"/>
                <w:vertAlign w:val="superscript"/>
              </w:rPr>
              <w:t xml:space="preserve">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3.2 </w:t>
            </w:r>
            <w:r w:rsidRPr="00491918">
              <w:rPr>
                <w:b/>
                <w:color w:val="000000"/>
                <w:sz w:val="16"/>
                <w:vertAlign w:val="superscript"/>
              </w:rPr>
              <w:t xml:space="preserve"> </w:t>
            </w:r>
          </w:p>
        </w:tc>
        <w:tc>
          <w:tcPr>
            <w:tcW w:w="1050"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rPr>
            </w:pPr>
            <w:r w:rsidRPr="00491918">
              <w:rPr>
                <w:b/>
                <w:color w:val="000000"/>
                <w:sz w:val="16"/>
              </w:rPr>
              <w:t>3,303 </w:t>
            </w:r>
            <w:r w:rsidRPr="00491918">
              <w:rPr>
                <w:b/>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70 </w:t>
            </w:r>
            <w:r w:rsidRPr="00491918">
              <w:rPr>
                <w:b/>
                <w:color w:val="000000"/>
                <w:sz w:val="16"/>
                <w:vertAlign w:val="superscript"/>
              </w:rPr>
              <w:t xml:space="preserve"> </w:t>
            </w:r>
          </w:p>
        </w:tc>
      </w:tr>
      <w:tr w:rsidR="000D1659" w:rsidRPr="00491918">
        <w:trPr>
          <w:trHeight w:val="255"/>
        </w:trPr>
        <w:tc>
          <w:tcPr>
            <w:tcW w:w="210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amortised cost</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hRule="exact" w:val="240"/>
        </w:trPr>
        <w:tc>
          <w:tcPr>
            <w:tcW w:w="210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210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Traded Loans</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2,410 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n/a</w:t>
            </w:r>
          </w:p>
        </w:tc>
        <w:tc>
          <w:tcPr>
            <w:tcW w:w="115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rPr>
            </w:pPr>
            <w:r w:rsidRPr="00491918">
              <w:rPr>
                <w:color w:val="000000"/>
                <w:sz w:val="16"/>
              </w:rPr>
              <w:t>2,410 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510"/>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Loans and advances designated at fair value</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21,996 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n/a</w:t>
            </w:r>
          </w:p>
        </w:tc>
        <w:tc>
          <w:tcPr>
            <w:tcW w:w="1155" w:type="dxa"/>
            <w:tcBorders>
              <w:top w:val="nil"/>
              <w:left w:val="nil"/>
              <w:bottom w:val="single" w:sz="6" w:space="0" w:color="A5A5A5"/>
              <w:right w:val="nil"/>
            </w:tcBorders>
            <w:shd w:val="clear" w:color="auto" w:fill="EAEAEA"/>
            <w:tcMar>
              <w:left w:w="36" w:type="dxa"/>
              <w:right w:w="36" w:type="dxa"/>
            </w:tcMar>
          </w:tcPr>
          <w:p w:rsidR="000D1659" w:rsidRPr="00491918" w:rsidRDefault="000D1659">
            <w:pPr>
              <w:jc w:val="right"/>
              <w:rPr>
                <w:color w:val="000000"/>
                <w:sz w:val="16"/>
              </w:rPr>
            </w:pPr>
            <w:r w:rsidRPr="00491918">
              <w:rPr>
                <w:color w:val="000000"/>
                <w:sz w:val="16"/>
              </w:rPr>
              <w:t>21,996 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510"/>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Loans and advances held at fair value</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24,406 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n/a</w:t>
            </w:r>
          </w:p>
        </w:tc>
        <w:tc>
          <w:tcPr>
            <w:tcW w:w="1155" w:type="dxa"/>
            <w:tcBorders>
              <w:top w:val="single" w:sz="6" w:space="0" w:color="A5A5A5"/>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24,406 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hRule="exact" w:val="255"/>
        </w:trPr>
        <w:tc>
          <w:tcPr>
            <w:tcW w:w="210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color w:val="000000"/>
                <w:sz w:val="16"/>
              </w:rPr>
              <w:t xml:space="preserve">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single" w:sz="6" w:space="0" w:color="A5A5A5"/>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single" w:sz="6" w:space="0" w:color="A5A5A5"/>
              <w:right w:val="nil"/>
            </w:tcBorders>
            <w:shd w:val="clear" w:color="auto" w:fill="EAEAEA"/>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210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rPr>
            </w:pPr>
            <w:r w:rsidRPr="00491918">
              <w:rPr>
                <w:b/>
                <w:color w:val="000000"/>
                <w:sz w:val="16"/>
              </w:rPr>
              <w:t>Total loans and advances</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496,573 </w:t>
            </w:r>
          </w:p>
        </w:tc>
        <w:tc>
          <w:tcPr>
            <w:tcW w:w="115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7,799 </w:t>
            </w:r>
          </w:p>
        </w:tc>
        <w:tc>
          <w:tcPr>
            <w:tcW w:w="1155" w:type="dxa"/>
            <w:tcBorders>
              <w:top w:val="single" w:sz="6" w:space="0" w:color="A5A5A5"/>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488,774 </w:t>
            </w:r>
          </w:p>
        </w:tc>
        <w:tc>
          <w:tcPr>
            <w:tcW w:w="115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bl>
    <w:p w:rsidR="000D1659" w:rsidRPr="00491918" w:rsidRDefault="000D1659"/>
    <w:p w:rsidR="000D1659" w:rsidRPr="00491918" w:rsidRDefault="000D1659" w:rsidP="001E7AF6">
      <w:pPr>
        <w:pStyle w:val="Level1Bullet-BarcRA16"/>
        <w:ind w:left="360"/>
        <w:rPr>
          <w:lang w:val="en-GB"/>
        </w:rPr>
      </w:pPr>
      <w:r w:rsidRPr="00491918">
        <w:rPr>
          <w:lang w:val="en-GB"/>
        </w:rPr>
        <w:t xml:space="preserve">Loans and advances to customers and banks at amortised cost net of impairment increased 11%, reflecting: </w:t>
      </w:r>
    </w:p>
    <w:p w:rsidR="000D1659" w:rsidRPr="00491918" w:rsidRDefault="000D1659" w:rsidP="001E7AF6">
      <w:pPr>
        <w:pStyle w:val="Level2Bullet-BarcRA"/>
        <w:tabs>
          <w:tab w:val="clear" w:pos="1401"/>
          <w:tab w:val="num" w:pos="633"/>
        </w:tabs>
        <w:ind w:left="633" w:hanging="284"/>
      </w:pPr>
      <w:r w:rsidRPr="00491918">
        <w:t>£</w:t>
      </w:r>
      <w:r w:rsidR="003C4FCA" w:rsidRPr="00491918">
        <w:t>4</w:t>
      </w:r>
      <w:r w:rsidR="00B251B9" w:rsidRPr="00491918">
        <w:rPr>
          <w:lang w:val="en-GB"/>
        </w:rPr>
        <w:t>4.8</w:t>
      </w:r>
      <w:r w:rsidR="003C4FCA" w:rsidRPr="00491918">
        <w:t>bn increase</w:t>
      </w:r>
      <w:r w:rsidRPr="00491918">
        <w:t xml:space="preserve"> to £281.</w:t>
      </w:r>
      <w:r w:rsidR="00B251B9" w:rsidRPr="00491918">
        <w:rPr>
          <w:lang w:val="en-GB"/>
        </w:rPr>
        <w:t>1</w:t>
      </w:r>
      <w:r w:rsidRPr="00491918">
        <w:t>bn in the wholesale portfolios principally in the Investment Bank, reflecting an increase in settlement balances d</w:t>
      </w:r>
      <w:r w:rsidR="00CB7479" w:rsidRPr="00491918">
        <w:t>riven by higher trading volumes</w:t>
      </w:r>
      <w:r w:rsidRPr="00491918">
        <w:t xml:space="preserve"> </w:t>
      </w:r>
    </w:p>
    <w:p w:rsidR="000D1659" w:rsidRPr="00491918" w:rsidRDefault="003C4FCA" w:rsidP="001E7AF6">
      <w:pPr>
        <w:pStyle w:val="Level2Bullet-BarcRA"/>
        <w:tabs>
          <w:tab w:val="clear" w:pos="1401"/>
          <w:tab w:val="num" w:pos="633"/>
        </w:tabs>
        <w:ind w:left="633" w:hanging="284"/>
      </w:pPr>
      <w:r w:rsidRPr="00491918">
        <w:t>£7.3bn increase</w:t>
      </w:r>
      <w:r w:rsidR="000D1659" w:rsidRPr="00491918">
        <w:t xml:space="preserve"> to £235.4bn in the retail portfolios, driven by increased mortgage lending and the acquisition of ING Direct UK in UK RBB and business growth in Barclaycard, offset by reductions in Africa RBB, principally reflecting currency movements </w:t>
      </w:r>
    </w:p>
    <w:p w:rsidR="000D1659" w:rsidRPr="00491918" w:rsidRDefault="000D1659" w:rsidP="001E7AF6">
      <w:pPr>
        <w:pStyle w:val="Level1Bullet-BarcRA16"/>
        <w:ind w:left="360"/>
        <w:rPr>
          <w:lang w:val="en-GB"/>
        </w:rPr>
      </w:pPr>
      <w:r w:rsidRPr="00491918">
        <w:rPr>
          <w:lang w:val="en-GB"/>
        </w:rPr>
        <w:t>This  growth, combined with lower impairment charges on loans and advances</w:t>
      </w:r>
      <w:r w:rsidR="00B251B9" w:rsidRPr="00491918">
        <w:rPr>
          <w:lang w:val="en-GB"/>
        </w:rPr>
        <w:t>,</w:t>
      </w:r>
      <w:r w:rsidRPr="00491918">
        <w:rPr>
          <w:lang w:val="en-GB"/>
        </w:rPr>
        <w:t xml:space="preserve"> resulted in a lower annualised loan loss rate of </w:t>
      </w:r>
      <w:r w:rsidR="00B251B9" w:rsidRPr="00491918">
        <w:rPr>
          <w:lang w:val="en-GB"/>
        </w:rPr>
        <w:t xml:space="preserve">63bps </w:t>
      </w:r>
      <w:r w:rsidRPr="00491918">
        <w:rPr>
          <w:lang w:val="en-GB"/>
        </w:rPr>
        <w:t>(30 June 2012: 67bps; 31 December 2012: 70bps)</w:t>
      </w:r>
    </w:p>
    <w:p w:rsidR="000D1659" w:rsidRPr="00491918" w:rsidRDefault="000D1659" w:rsidP="001E7AF6">
      <w:pPr>
        <w:pStyle w:val="Level1Bullet-BarcRA16"/>
        <w:ind w:left="360"/>
        <w:rPr>
          <w:lang w:val="en-GB"/>
        </w:rPr>
      </w:pPr>
      <w:r w:rsidRPr="00491918">
        <w:rPr>
          <w:lang w:val="en-GB"/>
        </w:rPr>
        <w:t xml:space="preserve">Further detail can be found in the Retail and Wholesale Credit Risk sections on pages </w:t>
      </w:r>
      <w:r w:rsidR="00A63FF8" w:rsidRPr="00491918">
        <w:rPr>
          <w:lang w:val="en-GB"/>
        </w:rPr>
        <w:t>69</w:t>
      </w:r>
      <w:r w:rsidRPr="00491918">
        <w:rPr>
          <w:lang w:val="en-GB"/>
        </w:rPr>
        <w:t xml:space="preserve"> and </w:t>
      </w:r>
      <w:r w:rsidR="00A63FF8" w:rsidRPr="00491918">
        <w:rPr>
          <w:lang w:val="en-GB"/>
        </w:rPr>
        <w:t>80</w:t>
      </w:r>
      <w:r w:rsidRPr="00491918">
        <w:rPr>
          <w:lang w:val="en-GB"/>
        </w:rPr>
        <w:t xml:space="preserve"> respectively</w:t>
      </w:r>
    </w:p>
    <w:p w:rsidR="000D1659" w:rsidRPr="00491918" w:rsidRDefault="000D1659" w:rsidP="000D1659">
      <w:pPr>
        <w:pStyle w:val="Level1Bullet-BarcRA16"/>
        <w:numPr>
          <w:ilvl w:val="0"/>
          <w:numId w:val="0"/>
        </w:numPr>
        <w:jc w:val="left"/>
        <w:rPr>
          <w:lang w:val="en-GB"/>
        </w:rPr>
      </w:pPr>
    </w:p>
    <w:p w:rsidR="000D1659" w:rsidRPr="00491918" w:rsidRDefault="000D1659" w:rsidP="000D1659">
      <w:pPr>
        <w:pStyle w:val="NoteandSourceText-BarcRA9"/>
        <w:ind w:left="284" w:hanging="284"/>
      </w:pPr>
      <w:r w:rsidRPr="00491918">
        <w:t>Loan impairment charge as at 31 December 2012 is the charge for the 12 month period.</w:t>
      </w:r>
    </w:p>
    <w:p w:rsidR="0007202F" w:rsidRPr="00491918" w:rsidRDefault="0007202F" w:rsidP="0007202F">
      <w:pPr>
        <w:pStyle w:val="NoteandSourceText-BarcRA9"/>
        <w:numPr>
          <w:ilvl w:val="0"/>
          <w:numId w:val="0"/>
        </w:numPr>
        <w:ind w:left="720" w:hanging="360"/>
      </w:pPr>
    </w:p>
    <w:p w:rsidR="00722D3A" w:rsidRPr="00491918" w:rsidRDefault="00722D3A" w:rsidP="0007202F">
      <w:pPr>
        <w:pStyle w:val="HeadingLevel1-BarcRA35"/>
        <w:rPr>
          <w:lang w:val="en-GB"/>
        </w:rPr>
      </w:pPr>
    </w:p>
    <w:p w:rsidR="00722D3A" w:rsidRPr="00491918" w:rsidRDefault="00722D3A" w:rsidP="0007202F">
      <w:pPr>
        <w:pStyle w:val="HeadingLevel1-BarcRA35"/>
        <w:rPr>
          <w:lang w:val="en-GB"/>
        </w:rPr>
      </w:pPr>
    </w:p>
    <w:p w:rsidR="000D1659" w:rsidRPr="00491918" w:rsidRDefault="0007202F" w:rsidP="0007202F">
      <w:pPr>
        <w:pStyle w:val="HeadingLevel1-BarcRA35"/>
      </w:pPr>
      <w:r w:rsidRPr="00491918">
        <w:rPr>
          <w:lang w:val="en-GB"/>
        </w:rPr>
        <w:t xml:space="preserve">Credit </w:t>
      </w:r>
      <w:r w:rsidRPr="00491918">
        <w:t>Risk</w:t>
      </w:r>
    </w:p>
    <w:tbl>
      <w:tblPr>
        <w:tblW w:w="0" w:type="auto"/>
        <w:tblLayout w:type="fixed"/>
        <w:tblLook w:val="0000" w:firstRow="0" w:lastRow="0" w:firstColumn="0" w:lastColumn="0" w:noHBand="0" w:noVBand="0"/>
      </w:tblPr>
      <w:tblGrid>
        <w:gridCol w:w="2895"/>
        <w:gridCol w:w="1125"/>
        <w:gridCol w:w="1125"/>
        <w:gridCol w:w="1125"/>
        <w:gridCol w:w="1125"/>
        <w:gridCol w:w="1125"/>
        <w:gridCol w:w="1125"/>
      </w:tblGrid>
      <w:tr w:rsidR="00E9782A" w:rsidRPr="00491918" w:rsidTr="00FF7A7C">
        <w:trPr>
          <w:trHeight w:val="315"/>
        </w:trPr>
        <w:tc>
          <w:tcPr>
            <w:tcW w:w="9645" w:type="dxa"/>
            <w:gridSpan w:val="7"/>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0"/>
              </w:rPr>
              <w:t>Exposure to UK Commercial Real Estate</w:t>
            </w:r>
          </w:p>
        </w:tc>
      </w:tr>
      <w:tr w:rsidR="00E9782A" w:rsidRPr="00491918" w:rsidTr="00FF7A7C">
        <w:trPr>
          <w:trHeight w:val="555"/>
        </w:trPr>
        <w:tc>
          <w:tcPr>
            <w:tcW w:w="28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lastRenderedPageBreak/>
              <w:t xml:space="preserve"> </w:t>
            </w:r>
          </w:p>
        </w:tc>
        <w:tc>
          <w:tcPr>
            <w:tcW w:w="225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20"/>
              </w:rPr>
            </w:pPr>
            <w:r w:rsidRPr="00491918">
              <w:rPr>
                <w:b/>
                <w:color w:val="000000"/>
                <w:sz w:val="16"/>
              </w:rPr>
              <w:t>Loans and advances at amortised cost</w:t>
            </w:r>
          </w:p>
        </w:tc>
        <w:tc>
          <w:tcPr>
            <w:tcW w:w="225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Balances Past Due</w:t>
            </w:r>
          </w:p>
        </w:tc>
        <w:tc>
          <w:tcPr>
            <w:tcW w:w="225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rsidP="00C564A7">
            <w:pPr>
              <w:jc w:val="center"/>
              <w:rPr>
                <w:b/>
                <w:color w:val="000000"/>
                <w:sz w:val="16"/>
              </w:rPr>
            </w:pPr>
            <w:r w:rsidRPr="00491918">
              <w:rPr>
                <w:b/>
                <w:color w:val="000000"/>
                <w:sz w:val="16"/>
              </w:rPr>
              <w:t xml:space="preserve">Impairment </w:t>
            </w:r>
            <w:r w:rsidR="00C564A7" w:rsidRPr="00491918">
              <w:rPr>
                <w:b/>
                <w:color w:val="000000"/>
                <w:sz w:val="16"/>
              </w:rPr>
              <w:t>Allowances</w:t>
            </w:r>
          </w:p>
        </w:tc>
      </w:tr>
      <w:tr w:rsidR="00E9782A" w:rsidRPr="00491918" w:rsidTr="00FF7A7C">
        <w:trPr>
          <w:trHeight w:val="300"/>
        </w:trPr>
        <w:tc>
          <w:tcPr>
            <w:tcW w:w="28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 xml:space="preserve"> </w:t>
            </w:r>
          </w:p>
        </w:tc>
        <w:tc>
          <w:tcPr>
            <w:tcW w:w="225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As at</w:t>
            </w:r>
          </w:p>
        </w:tc>
        <w:tc>
          <w:tcPr>
            <w:tcW w:w="225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As at</w:t>
            </w:r>
          </w:p>
        </w:tc>
        <w:tc>
          <w:tcPr>
            <w:tcW w:w="225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As at</w:t>
            </w:r>
          </w:p>
        </w:tc>
      </w:tr>
      <w:tr w:rsidR="000D1659" w:rsidRPr="00491918">
        <w:trPr>
          <w:trHeight w:val="300"/>
        </w:trPr>
        <w:tc>
          <w:tcPr>
            <w:tcW w:w="289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r>
      <w:tr w:rsidR="000D1659" w:rsidRPr="00491918">
        <w:trPr>
          <w:trHeight w:val="240"/>
        </w:trPr>
        <w:tc>
          <w:tcPr>
            <w:tcW w:w="28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2895"/>
        <w:gridCol w:w="1125"/>
        <w:gridCol w:w="1125"/>
        <w:gridCol w:w="1125"/>
        <w:gridCol w:w="1125"/>
        <w:gridCol w:w="1125"/>
        <w:gridCol w:w="1125"/>
      </w:tblGrid>
      <w:tr w:rsidR="000D1659" w:rsidRPr="00491918" w:rsidTr="00FF7A7C">
        <w:trPr>
          <w:trHeight w:val="300"/>
        </w:trPr>
        <w:tc>
          <w:tcPr>
            <w:tcW w:w="289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Wholesale</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9,271 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9,676 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306 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295 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134 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106 </w:t>
            </w:r>
          </w:p>
        </w:tc>
      </w:tr>
      <w:tr w:rsidR="000D1659" w:rsidRPr="00491918">
        <w:trPr>
          <w:trHeight w:val="240"/>
        </w:trPr>
        <w:tc>
          <w:tcPr>
            <w:tcW w:w="28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Retail</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1,554</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1,534 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114</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123 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18</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20 </w:t>
            </w:r>
          </w:p>
        </w:tc>
      </w:tr>
      <w:tr w:rsidR="000D1659" w:rsidRPr="00491918">
        <w:trPr>
          <w:trHeight w:val="240"/>
        </w:trPr>
        <w:tc>
          <w:tcPr>
            <w:tcW w:w="28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Group</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10,825 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11,210 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420 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418 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152 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126 </w:t>
            </w:r>
          </w:p>
        </w:tc>
      </w:tr>
    </w:tbl>
    <w:p w:rsidR="000D1659" w:rsidRPr="00491918" w:rsidRDefault="000D1659"/>
    <w:p w:rsidR="000D1659" w:rsidRPr="00491918" w:rsidRDefault="000D1659" w:rsidP="000D1659">
      <w:pPr>
        <w:pStyle w:val="Level1Bullet-BarcRA190"/>
        <w:rPr>
          <w:sz w:val="18"/>
          <w:szCs w:val="18"/>
        </w:rPr>
      </w:pPr>
      <w:r w:rsidRPr="00491918">
        <w:rPr>
          <w:sz w:val="18"/>
          <w:szCs w:val="18"/>
        </w:rPr>
        <w:t>Overall, balances to UK CRE decreased</w:t>
      </w:r>
      <w:r w:rsidR="00A2085E" w:rsidRPr="00491918">
        <w:rPr>
          <w:sz w:val="18"/>
          <w:szCs w:val="18"/>
        </w:rPr>
        <w:t xml:space="preserve"> by 3% in H113</w:t>
      </w:r>
      <w:r w:rsidRPr="00491918">
        <w:rPr>
          <w:sz w:val="18"/>
          <w:szCs w:val="18"/>
        </w:rPr>
        <w:t xml:space="preserve"> reflecting a reduction in the wholesale portfolio, with retail balances remaining stable. Balances past due remained stable reflecting increases in wholesale and decreases in retail</w:t>
      </w:r>
    </w:p>
    <w:p w:rsidR="000D1659" w:rsidRPr="00491918" w:rsidRDefault="000D1659" w:rsidP="000D1659">
      <w:pPr>
        <w:pStyle w:val="Level1Bullet-BarcRA190"/>
        <w:rPr>
          <w:sz w:val="18"/>
          <w:szCs w:val="18"/>
        </w:rPr>
      </w:pPr>
      <w:r w:rsidRPr="00491918">
        <w:rPr>
          <w:sz w:val="18"/>
          <w:szCs w:val="18"/>
        </w:rPr>
        <w:t xml:space="preserve">Further detail can be found in the Retail and Wholesale Credit Risk sections on pages </w:t>
      </w:r>
      <w:r w:rsidR="00A63FF8" w:rsidRPr="00491918">
        <w:rPr>
          <w:sz w:val="18"/>
          <w:szCs w:val="18"/>
        </w:rPr>
        <w:t>78</w:t>
      </w:r>
      <w:r w:rsidRPr="00491918">
        <w:rPr>
          <w:sz w:val="18"/>
          <w:szCs w:val="18"/>
        </w:rPr>
        <w:t xml:space="preserve"> and </w:t>
      </w:r>
      <w:r w:rsidR="00A63FF8" w:rsidRPr="00491918">
        <w:rPr>
          <w:sz w:val="18"/>
          <w:szCs w:val="18"/>
        </w:rPr>
        <w:t>84</w:t>
      </w:r>
      <w:r w:rsidR="00D423D0" w:rsidRPr="00491918">
        <w:rPr>
          <w:sz w:val="18"/>
          <w:szCs w:val="18"/>
        </w:rPr>
        <w:t xml:space="preserve"> respectively</w:t>
      </w:r>
    </w:p>
    <w:p w:rsidR="000D1659" w:rsidRPr="00491918" w:rsidRDefault="000D1659">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pPr>
    </w:p>
    <w:p w:rsidR="0007202F" w:rsidRPr="00491918" w:rsidRDefault="0007202F">
      <w:pPr>
        <w:rPr>
          <w:sz w:val="18"/>
          <w:szCs w:val="18"/>
        </w:rPr>
        <w:sectPr w:rsidR="0007202F"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1815"/>
        <w:gridCol w:w="1125"/>
        <w:gridCol w:w="1125"/>
        <w:gridCol w:w="1125"/>
        <w:gridCol w:w="1125"/>
        <w:gridCol w:w="1125"/>
        <w:gridCol w:w="1125"/>
        <w:gridCol w:w="1125"/>
      </w:tblGrid>
      <w:tr w:rsidR="00E9782A" w:rsidRPr="00491918" w:rsidTr="00FF7A7C">
        <w:trPr>
          <w:trHeight w:val="315"/>
        </w:trPr>
        <w:tc>
          <w:tcPr>
            <w:tcW w:w="5190" w:type="dxa"/>
            <w:gridSpan w:val="4"/>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35"/>
              <w:rPr>
                <w:lang w:val="en-GB"/>
              </w:rPr>
            </w:pPr>
            <w:r w:rsidRPr="00491918">
              <w:rPr>
                <w:lang w:val="en-GB"/>
              </w:rPr>
              <w:lastRenderedPageBreak/>
              <w:t xml:space="preserve">Credit </w:t>
            </w:r>
            <w:r w:rsidRPr="00491918">
              <w:t>Risk</w:t>
            </w:r>
          </w:p>
          <w:p w:rsidR="000D1659" w:rsidRPr="00491918" w:rsidRDefault="000D1659">
            <w:pPr>
              <w:rPr>
                <w:sz w:val="18"/>
                <w:szCs w:val="18"/>
              </w:rPr>
            </w:pPr>
            <w:r w:rsidRPr="00491918">
              <w:rPr>
                <w:b/>
                <w:color w:val="000000"/>
                <w:sz w:val="24"/>
                <w:szCs w:val="18"/>
              </w:rPr>
              <w:t>Retail Credit Risk</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szCs w:val="18"/>
              </w:rPr>
            </w:pPr>
            <w:r w:rsidRPr="00491918">
              <w:rPr>
                <w:rFonts w:ascii="Barclays Sans" w:eastAsia="Barclays Sans" w:hAnsi="Barclays Sans" w:cs="Barclays Sans"/>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r w:rsidRPr="00491918">
              <w:rPr>
                <w:rFonts w:ascii="Barclays Sans" w:eastAsia="Barclays Sans" w:hAnsi="Barclays Sans" w:cs="Barclays Sans"/>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vertAlign w:val="superscript"/>
              </w:rPr>
            </w:pPr>
            <w:r w:rsidRPr="00491918">
              <w:rPr>
                <w:rFonts w:ascii="Barclays Sans" w:eastAsia="Barclays Sans" w:hAnsi="Barclays Sans" w:cs="Barclays Sans"/>
                <w:color w:val="000000"/>
                <w:sz w:val="16"/>
                <w:szCs w:val="18"/>
              </w:rPr>
              <w:t xml:space="preserve"> </w:t>
            </w:r>
          </w:p>
        </w:tc>
      </w:tr>
      <w:tr w:rsidR="000D1659" w:rsidRPr="00491918">
        <w:trPr>
          <w:trHeight w:hRule="exac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r w:rsidRPr="00491918">
              <w:rPr>
                <w:rFonts w:ascii="Barclays Sans" w:eastAsia="Barclays Sans" w:hAnsi="Barclays Sans" w:cs="Barclays Sans"/>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vertAlign w:val="superscript"/>
              </w:rPr>
            </w:pPr>
            <w:r w:rsidRPr="00491918">
              <w:rPr>
                <w:rFonts w:ascii="Barclays Sans" w:eastAsia="Barclays Sans" w:hAnsi="Barclays Sans" w:cs="Barclays Sans"/>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rFonts w:ascii="Barclays Sans" w:eastAsia="Barclays Sans" w:hAnsi="Barclays Sans" w:cs="Barclays Sans"/>
                <w:color w:val="000000"/>
                <w:sz w:val="16"/>
                <w:szCs w:val="18"/>
              </w:rPr>
              <w:t xml:space="preserve"> </w:t>
            </w:r>
            <w:r w:rsidRPr="00491918">
              <w:rPr>
                <w:rFonts w:ascii="Barclays Sans" w:eastAsia="Barclays Sans" w:hAnsi="Barclays Sans" w:cs="Barclays Sans"/>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vertAlign w:val="superscript"/>
              </w:rPr>
            </w:pPr>
            <w:r w:rsidRPr="00491918">
              <w:rPr>
                <w:rFonts w:ascii="Barclays Sans" w:eastAsia="Barclays Sans" w:hAnsi="Barclays Sans" w:cs="Barclays Sans"/>
                <w:color w:val="000000"/>
                <w:sz w:val="16"/>
                <w:szCs w:val="18"/>
              </w:rPr>
              <w:t xml:space="preserve"> </w:t>
            </w:r>
          </w:p>
        </w:tc>
      </w:tr>
      <w:tr w:rsidR="00E9782A" w:rsidRPr="00491918" w:rsidTr="00FF7A7C">
        <w:trPr>
          <w:trHeight w:val="240"/>
        </w:trPr>
        <w:tc>
          <w:tcPr>
            <w:tcW w:w="7440" w:type="dxa"/>
            <w:gridSpan w:val="6"/>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rPr>
            </w:pPr>
            <w:r w:rsidRPr="00491918">
              <w:rPr>
                <w:b/>
                <w:color w:val="000000"/>
                <w:sz w:val="20"/>
                <w:szCs w:val="18"/>
              </w:rPr>
              <w:t>Retail Loans and Advances at Amortised Cost</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szCs w:val="18"/>
              </w:rPr>
            </w:pPr>
            <w:r w:rsidRPr="00491918">
              <w:rPr>
                <w:rFonts w:ascii="Barclays Sans" w:eastAsia="Barclays Sans" w:hAnsi="Barclays Sans" w:cs="Barclays Sans"/>
                <w:color w:val="000000"/>
                <w:sz w:val="16"/>
                <w:szCs w:val="18"/>
              </w:rPr>
              <w:t xml:space="preserve"> </w:t>
            </w:r>
            <w:r w:rsidRPr="00491918">
              <w:rPr>
                <w:rFonts w:ascii="Barclays Sans" w:eastAsia="Barclays Sans" w:hAnsi="Barclays Sans" w:cs="Barclays Sans"/>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18"/>
                <w:vertAlign w:val="superscript"/>
              </w:rPr>
            </w:pPr>
            <w:r w:rsidRPr="00491918">
              <w:rPr>
                <w:rFonts w:ascii="Barclays Sans" w:eastAsia="Barclays Sans" w:hAnsi="Barclays Sans" w:cs="Barclays Sans"/>
                <w:color w:val="000000"/>
                <w:sz w:val="16"/>
                <w:szCs w:val="18"/>
              </w:rPr>
              <w:t xml:space="preserve"> </w:t>
            </w:r>
          </w:p>
        </w:tc>
      </w:tr>
      <w:tr w:rsidR="000D1659" w:rsidRPr="00491918">
        <w:trPr>
          <w:trHeight w:val="720"/>
        </w:trPr>
        <w:tc>
          <w:tcPr>
            <w:tcW w:w="181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18"/>
              </w:rPr>
            </w:pP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Gross L&amp;A</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Impairment Allowance</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L&amp;A Net of Impairment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Credit Risk Loans</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CRLs % of Gross L&amp;A</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Loan Impairment Charges</w:t>
            </w:r>
            <w:r w:rsidRPr="00491918">
              <w:rPr>
                <w:b/>
                <w:color w:val="000000"/>
                <w:sz w:val="16"/>
                <w:szCs w:val="18"/>
                <w:vertAlign w:val="superscript"/>
              </w:rPr>
              <w:t>2 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Loan Loss  Rates</w:t>
            </w:r>
          </w:p>
        </w:tc>
      </w:tr>
      <w:tr w:rsidR="000D1659" w:rsidRPr="00491918">
        <w:trPr>
          <w:trHeight w:val="240"/>
        </w:trPr>
        <w:tc>
          <w:tcPr>
            <w:tcW w:w="18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297700">
            <w:pPr>
              <w:rPr>
                <w:b/>
                <w:color w:val="000000"/>
                <w:sz w:val="16"/>
                <w:szCs w:val="18"/>
              </w:rPr>
            </w:pPr>
            <w:r w:rsidRPr="00491918">
              <w:rPr>
                <w:b/>
                <w:color w:val="000000"/>
                <w:sz w:val="16"/>
                <w:szCs w:val="18"/>
              </w:rPr>
              <w:t>As at 30.06.13</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r w:rsidRPr="00491918">
              <w:rPr>
                <w:color w:val="000000"/>
                <w:sz w:val="16"/>
                <w:szCs w:val="18"/>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bps</w:t>
            </w:r>
          </w:p>
        </w:tc>
      </w:tr>
    </w:tbl>
    <w:p w:rsidR="00FF7A7C" w:rsidRPr="00491918" w:rsidRDefault="00FF7A7C"/>
    <w:tbl>
      <w:tblPr>
        <w:tblW w:w="0" w:type="auto"/>
        <w:tblLayout w:type="fixed"/>
        <w:tblLook w:val="0000" w:firstRow="0" w:lastRow="0" w:firstColumn="0" w:lastColumn="0" w:noHBand="0" w:noVBand="0"/>
      </w:tblPr>
      <w:tblGrid>
        <w:gridCol w:w="1815"/>
        <w:gridCol w:w="1125"/>
        <w:gridCol w:w="1125"/>
        <w:gridCol w:w="1125"/>
        <w:gridCol w:w="1125"/>
        <w:gridCol w:w="1125"/>
        <w:gridCol w:w="1125"/>
        <w:gridCol w:w="1125"/>
      </w:tblGrid>
      <w:tr w:rsidR="000D1659" w:rsidRPr="00491918" w:rsidTr="00FF7A7C">
        <w:trPr>
          <w:trHeight w:val="240"/>
        </w:trPr>
        <w:tc>
          <w:tcPr>
            <w:tcW w:w="18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UK RBB</w:t>
            </w:r>
            <w:r w:rsidRPr="00491918">
              <w:rPr>
                <w:color w:val="000000"/>
                <w:sz w:val="16"/>
                <w:szCs w:val="18"/>
                <w:vertAlign w:val="superscript"/>
              </w:rPr>
              <w:t xml:space="preserve">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137,135 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1,337 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135,798 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2,770 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178 </w:t>
            </w:r>
            <w:r w:rsidRPr="00491918">
              <w:rPr>
                <w:color w:val="000000"/>
                <w:sz w:val="16"/>
                <w:szCs w:val="18"/>
                <w:vertAlign w:val="superscript"/>
              </w:rPr>
              <w:t xml:space="preserve">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26 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Europe RBB</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40,661 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638 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40,023 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1,807 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142 </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70 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Africa RBB</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A2085E">
            <w:pPr>
              <w:jc w:val="right"/>
              <w:rPr>
                <w:color w:val="000000"/>
                <w:sz w:val="16"/>
                <w:szCs w:val="18"/>
                <w:vertAlign w:val="superscript"/>
              </w:rPr>
            </w:pPr>
            <w:r w:rsidRPr="00491918">
              <w:rPr>
                <w:color w:val="000000"/>
                <w:sz w:val="16"/>
                <w:szCs w:val="18"/>
              </w:rPr>
              <w:t xml:space="preserve"> 22,297</w:t>
            </w:r>
            <w:r w:rsidR="000D1659" w:rsidRPr="00491918">
              <w:rPr>
                <w:color w:val="000000"/>
                <w:sz w:val="16"/>
                <w:szCs w:val="18"/>
              </w:rPr>
              <w:t>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A2085E">
            <w:pPr>
              <w:jc w:val="right"/>
              <w:rPr>
                <w:color w:val="000000"/>
                <w:sz w:val="16"/>
                <w:szCs w:val="18"/>
              </w:rPr>
            </w:pPr>
            <w:r w:rsidRPr="00491918">
              <w:rPr>
                <w:color w:val="000000"/>
                <w:sz w:val="16"/>
                <w:szCs w:val="18"/>
              </w:rPr>
              <w:t xml:space="preserve"> 656</w:t>
            </w:r>
            <w:r w:rsidR="000D1659" w:rsidRPr="00491918">
              <w:rPr>
                <w:color w:val="000000"/>
                <w:sz w:val="16"/>
                <w:szCs w:val="18"/>
              </w:rPr>
              <w:t>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A2085E">
            <w:pPr>
              <w:jc w:val="right"/>
              <w:rPr>
                <w:color w:val="000000"/>
                <w:sz w:val="16"/>
                <w:szCs w:val="18"/>
              </w:rPr>
            </w:pPr>
            <w:r w:rsidRPr="00491918">
              <w:rPr>
                <w:color w:val="000000"/>
                <w:sz w:val="16"/>
                <w:szCs w:val="18"/>
              </w:rPr>
              <w:t xml:space="preserve"> 21,641</w:t>
            </w:r>
            <w:r w:rsidR="000D1659" w:rsidRPr="00491918">
              <w:rPr>
                <w:color w:val="000000"/>
                <w:sz w:val="16"/>
                <w:szCs w:val="18"/>
              </w:rPr>
              <w:t>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A2085E">
            <w:pPr>
              <w:jc w:val="right"/>
              <w:rPr>
                <w:color w:val="000000"/>
                <w:sz w:val="16"/>
                <w:szCs w:val="18"/>
              </w:rPr>
            </w:pPr>
            <w:r w:rsidRPr="00491918">
              <w:rPr>
                <w:color w:val="000000"/>
                <w:sz w:val="16"/>
                <w:szCs w:val="18"/>
              </w:rPr>
              <w:t xml:space="preserve"> 1,469</w:t>
            </w:r>
            <w:r w:rsidR="000D1659" w:rsidRPr="00491918">
              <w:rPr>
                <w:color w:val="000000"/>
                <w:sz w:val="16"/>
                <w:szCs w:val="18"/>
              </w:rPr>
              <w:t>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A2085E">
            <w:pPr>
              <w:jc w:val="right"/>
              <w:rPr>
                <w:color w:val="000000"/>
                <w:sz w:val="16"/>
                <w:szCs w:val="18"/>
              </w:rPr>
            </w:pPr>
            <w:r w:rsidRPr="00491918">
              <w:rPr>
                <w:color w:val="000000"/>
                <w:sz w:val="16"/>
                <w:szCs w:val="18"/>
              </w:rPr>
              <w:t xml:space="preserve"> 6.6</w:t>
            </w:r>
            <w:r w:rsidR="000D1659" w:rsidRPr="00491918">
              <w:rPr>
                <w:color w:val="000000"/>
                <w:sz w:val="16"/>
                <w:szCs w:val="18"/>
              </w:rPr>
              <w:t>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A2085E">
            <w:pPr>
              <w:jc w:val="right"/>
              <w:rPr>
                <w:color w:val="000000"/>
                <w:sz w:val="16"/>
                <w:szCs w:val="18"/>
              </w:rPr>
            </w:pPr>
            <w:r w:rsidRPr="00491918">
              <w:rPr>
                <w:color w:val="000000"/>
                <w:sz w:val="16"/>
                <w:szCs w:val="18"/>
              </w:rPr>
              <w:t xml:space="preserve"> 176</w:t>
            </w:r>
            <w:r w:rsidR="000D1659" w:rsidRPr="00491918">
              <w:rPr>
                <w:color w:val="000000"/>
                <w:sz w:val="16"/>
                <w:szCs w:val="18"/>
              </w:rPr>
              <w:t> </w:t>
            </w:r>
            <w:r w:rsidR="000D1659"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A2085E">
            <w:pPr>
              <w:jc w:val="right"/>
              <w:rPr>
                <w:color w:val="000000"/>
                <w:sz w:val="16"/>
                <w:szCs w:val="18"/>
                <w:vertAlign w:val="superscript"/>
              </w:rPr>
            </w:pPr>
            <w:r w:rsidRPr="00491918">
              <w:rPr>
                <w:color w:val="000000"/>
                <w:sz w:val="16"/>
                <w:szCs w:val="18"/>
              </w:rPr>
              <w:t xml:space="preserve"> 159</w:t>
            </w:r>
            <w:r w:rsidR="000D1659" w:rsidRPr="00491918">
              <w:rPr>
                <w:color w:val="000000"/>
                <w:sz w:val="16"/>
                <w:szCs w:val="18"/>
              </w:rPr>
              <w:t>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Barclaycard</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36,666 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2,004 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34,662 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2,296 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6.3 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616 </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339 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Corporate Banking</w:t>
            </w:r>
            <w:r w:rsidRPr="00491918">
              <w:rPr>
                <w:color w:val="000000"/>
                <w:sz w:val="16"/>
                <w:szCs w:val="18"/>
                <w:vertAlign w:val="superscript"/>
              </w:rPr>
              <w:t>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607 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48 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559 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8.9 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3C28AA">
            <w:pPr>
              <w:jc w:val="right"/>
              <w:rPr>
                <w:color w:val="000000"/>
                <w:sz w:val="16"/>
                <w:szCs w:val="18"/>
                <w:vertAlign w:val="superscript"/>
              </w:rPr>
            </w:pPr>
            <w:r w:rsidRPr="00491918">
              <w:rPr>
                <w:color w:val="000000"/>
                <w:sz w:val="16"/>
                <w:szCs w:val="18"/>
              </w:rPr>
              <w:t>(</w:t>
            </w:r>
            <w:r w:rsidR="000D1659" w:rsidRPr="00491918">
              <w:rPr>
                <w:color w:val="000000"/>
                <w:sz w:val="16"/>
                <w:szCs w:val="18"/>
              </w:rPr>
              <w:t>166</w:t>
            </w:r>
            <w:r w:rsidRPr="00491918">
              <w:rPr>
                <w:color w:val="000000"/>
                <w:sz w:val="16"/>
                <w:szCs w:val="18"/>
              </w:rPr>
              <w:t>)</w:t>
            </w:r>
          </w:p>
        </w:tc>
      </w:tr>
      <w:tr w:rsidR="000D1659" w:rsidRPr="00491918">
        <w:trPr>
          <w:trHeight w:val="510"/>
        </w:trPr>
        <w:tc>
          <w:tcPr>
            <w:tcW w:w="18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Wealth and Investment Management</w:t>
            </w:r>
            <w:r w:rsidRPr="00491918">
              <w:rPr>
                <w:color w:val="000000"/>
                <w:sz w:val="16"/>
                <w:szCs w:val="18"/>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2,713 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2,697 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43 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5 </w:t>
            </w:r>
            <w:r w:rsidRPr="00491918">
              <w:rPr>
                <w:color w:val="000000"/>
                <w:sz w:val="16"/>
                <w:szCs w:val="18"/>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37 </w:t>
            </w:r>
          </w:p>
        </w:tc>
      </w:tr>
      <w:tr w:rsidR="000D1659" w:rsidRPr="00491918">
        <w:trPr>
          <w:trHeight w:val="240"/>
        </w:trPr>
        <w:tc>
          <w:tcPr>
            <w:tcW w:w="18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Total</w:t>
            </w:r>
            <w:r w:rsidRPr="00491918">
              <w:rPr>
                <w:b/>
                <w:color w:val="000000"/>
                <w:sz w:val="16"/>
                <w:szCs w:val="18"/>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b/>
                <w:color w:val="000000"/>
                <w:sz w:val="16"/>
                <w:szCs w:val="18"/>
              </w:rPr>
              <w:t xml:space="preserve"> 24</w:t>
            </w:r>
            <w:r w:rsidR="00A2085E" w:rsidRPr="00491918">
              <w:rPr>
                <w:b/>
                <w:color w:val="000000"/>
                <w:sz w:val="16"/>
                <w:szCs w:val="18"/>
              </w:rPr>
              <w:t>0,079</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A2085E">
            <w:pPr>
              <w:jc w:val="right"/>
              <w:rPr>
                <w:b/>
                <w:color w:val="000000"/>
                <w:sz w:val="16"/>
                <w:szCs w:val="18"/>
              </w:rPr>
            </w:pPr>
            <w:r w:rsidRPr="00491918">
              <w:rPr>
                <w:b/>
                <w:color w:val="000000"/>
                <w:sz w:val="16"/>
                <w:szCs w:val="18"/>
              </w:rPr>
              <w:t xml:space="preserve"> 4,699</w:t>
            </w:r>
            <w:r w:rsidR="000D1659" w:rsidRPr="00491918">
              <w:rPr>
                <w:b/>
                <w:color w:val="000000"/>
                <w:sz w:val="16"/>
                <w:szCs w:val="18"/>
              </w:rPr>
              <w:t>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A2085E" w:rsidP="00A24F51">
            <w:pPr>
              <w:jc w:val="right"/>
              <w:rPr>
                <w:b/>
                <w:color w:val="000000"/>
                <w:sz w:val="16"/>
                <w:szCs w:val="18"/>
              </w:rPr>
            </w:pPr>
            <w:r w:rsidRPr="00491918">
              <w:rPr>
                <w:b/>
                <w:color w:val="000000"/>
                <w:sz w:val="16"/>
                <w:szCs w:val="18"/>
              </w:rPr>
              <w:t xml:space="preserve"> 23</w:t>
            </w:r>
            <w:r w:rsidR="00A24F51" w:rsidRPr="00491918">
              <w:rPr>
                <w:b/>
                <w:color w:val="000000"/>
                <w:sz w:val="16"/>
                <w:szCs w:val="18"/>
              </w:rPr>
              <w:t>5</w:t>
            </w:r>
            <w:r w:rsidRPr="00491918">
              <w:rPr>
                <w:b/>
                <w:color w:val="000000"/>
                <w:sz w:val="16"/>
                <w:szCs w:val="18"/>
              </w:rPr>
              <w:t>,380</w:t>
            </w:r>
            <w:r w:rsidR="000D1659" w:rsidRPr="00491918">
              <w:rPr>
                <w:b/>
                <w:color w:val="000000"/>
                <w:sz w:val="16"/>
                <w:szCs w:val="18"/>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A2085E">
            <w:pPr>
              <w:jc w:val="right"/>
              <w:rPr>
                <w:b/>
                <w:color w:val="000000"/>
                <w:sz w:val="16"/>
                <w:szCs w:val="18"/>
              </w:rPr>
            </w:pPr>
            <w:r w:rsidRPr="00491918">
              <w:rPr>
                <w:b/>
                <w:color w:val="000000"/>
                <w:sz w:val="16"/>
                <w:szCs w:val="18"/>
              </w:rPr>
              <w:t xml:space="preserve"> 8,439</w:t>
            </w:r>
            <w:r w:rsidR="000D1659" w:rsidRPr="00491918">
              <w:rPr>
                <w:b/>
                <w:color w:val="000000"/>
                <w:sz w:val="16"/>
                <w:szCs w:val="18"/>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3.5 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A2085E">
            <w:pPr>
              <w:jc w:val="right"/>
              <w:rPr>
                <w:b/>
                <w:color w:val="000000"/>
                <w:sz w:val="16"/>
                <w:szCs w:val="18"/>
              </w:rPr>
            </w:pPr>
            <w:r w:rsidRPr="00491918">
              <w:rPr>
                <w:b/>
                <w:color w:val="000000"/>
                <w:sz w:val="16"/>
                <w:szCs w:val="18"/>
              </w:rPr>
              <w:t xml:space="preserve"> 1,112</w:t>
            </w:r>
            <w:r w:rsidR="000D1659" w:rsidRPr="00491918">
              <w:rPr>
                <w:b/>
                <w:color w:val="000000"/>
                <w:sz w:val="16"/>
                <w:szCs w:val="18"/>
              </w:rPr>
              <w:t> </w:t>
            </w:r>
            <w:r w:rsidR="000D1659" w:rsidRPr="00491918">
              <w:rPr>
                <w:b/>
                <w:color w:val="000000"/>
                <w:sz w:val="16"/>
                <w:szCs w:val="18"/>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b/>
                <w:color w:val="000000"/>
                <w:sz w:val="16"/>
                <w:szCs w:val="18"/>
              </w:rPr>
              <w:t xml:space="preserve"> 93 </w:t>
            </w:r>
          </w:p>
        </w:tc>
      </w:tr>
      <w:tr w:rsidR="000D1659" w:rsidRPr="00491918">
        <w:trPr>
          <w:trHeight w:hRule="exac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b/>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r w:rsidRPr="00491918">
              <w:rPr>
                <w:b/>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b/>
                <w:color w:val="000000"/>
                <w:sz w:val="16"/>
                <w:szCs w:val="18"/>
              </w:rPr>
              <w:t xml:space="preserve"> </w:t>
            </w:r>
          </w:p>
        </w:tc>
      </w:tr>
      <w:tr w:rsidR="000D1659" w:rsidRPr="00491918">
        <w:trPr>
          <w:trHeight w:val="255"/>
        </w:trPr>
        <w:tc>
          <w:tcPr>
            <w:tcW w:w="18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As at 31.12.12</w:t>
            </w:r>
            <w:r w:rsidRPr="00491918">
              <w:rPr>
                <w:b/>
                <w:color w:val="000000"/>
                <w:sz w:val="16"/>
                <w:szCs w:val="18"/>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r>
      <w:tr w:rsidR="000D1659" w:rsidRPr="00491918">
        <w:trPr>
          <w:trHeight w:val="240"/>
        </w:trPr>
        <w:tc>
          <w:tcPr>
            <w:tcW w:w="18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UK RBB</w:t>
            </w:r>
            <w:r w:rsidRPr="00491918">
              <w:rPr>
                <w:color w:val="000000"/>
                <w:sz w:val="16"/>
                <w:szCs w:val="18"/>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129,682 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1,369 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128,313 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2,883 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2.2 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269 </w:t>
            </w:r>
            <w:r w:rsidRPr="00491918">
              <w:rPr>
                <w:color w:val="000000"/>
                <w:sz w:val="16"/>
                <w:szCs w:val="18"/>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21 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Europe RBB</w:t>
            </w:r>
            <w:r w:rsidRPr="00491918">
              <w:rPr>
                <w:color w:val="000000"/>
                <w:sz w:val="16"/>
                <w:szCs w:val="18"/>
                <w:vertAlign w:val="superscript"/>
              </w:rPr>
              <w:t>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39,997 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560 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39,437 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1,734 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4.3 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257 </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64 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Africa RBB</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23,987 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700 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23,287 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1,790 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7.5 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472 </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197 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Barclaycard</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35,732 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1,911 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33,821 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2,288 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6.4 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1,050 </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294 </w:t>
            </w:r>
          </w:p>
        </w:tc>
      </w:tr>
      <w:tr w:rsidR="000D1659" w:rsidRPr="00491918">
        <w:trPr>
          <w:trHeight w:val="240"/>
        </w:trPr>
        <w:tc>
          <w:tcPr>
            <w:tcW w:w="18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Corporate Banking</w:t>
            </w:r>
            <w:r w:rsidRPr="00491918">
              <w:rPr>
                <w:color w:val="000000"/>
                <w:sz w:val="16"/>
                <w:szCs w:val="18"/>
                <w:vertAlign w:val="superscript"/>
              </w:rPr>
              <w:t>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739 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79 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660 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92 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12.4 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27 </w:t>
            </w:r>
            <w:r w:rsidRPr="00491918">
              <w:rPr>
                <w:color w:val="000000"/>
                <w:sz w:val="16"/>
                <w:szCs w:val="18"/>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365 </w:t>
            </w:r>
          </w:p>
        </w:tc>
      </w:tr>
      <w:tr w:rsidR="000D1659" w:rsidRPr="00491918">
        <w:trPr>
          <w:trHeight w:val="510"/>
        </w:trPr>
        <w:tc>
          <w:tcPr>
            <w:tcW w:w="18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Wealth and Investment Management</w:t>
            </w:r>
            <w:r w:rsidRPr="00491918">
              <w:rPr>
                <w:color w:val="000000"/>
                <w:sz w:val="16"/>
                <w:szCs w:val="18"/>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2,535 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2,519 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34 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1.3 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r w:rsidRPr="00491918">
              <w:rPr>
                <w:color w:val="000000"/>
                <w:sz w:val="16"/>
                <w:szCs w:val="18"/>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 </w:t>
            </w:r>
          </w:p>
        </w:tc>
      </w:tr>
      <w:tr w:rsidR="000D1659" w:rsidRPr="00491918">
        <w:trPr>
          <w:trHeight w:val="240"/>
        </w:trPr>
        <w:tc>
          <w:tcPr>
            <w:tcW w:w="18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Total</w:t>
            </w:r>
            <w:r w:rsidRPr="00491918">
              <w:rPr>
                <w:b/>
                <w:color w:val="000000"/>
                <w:sz w:val="16"/>
                <w:szCs w:val="18"/>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b/>
                <w:color w:val="000000"/>
                <w:sz w:val="16"/>
                <w:szCs w:val="18"/>
              </w:rPr>
              <w:t xml:space="preserve"> 232,672 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4,635 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228,037 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8,821 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3.8 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2,075 </w:t>
            </w:r>
            <w:r w:rsidRPr="00491918">
              <w:rPr>
                <w:b/>
                <w:color w:val="000000"/>
                <w:sz w:val="16"/>
                <w:szCs w:val="18"/>
                <w:vertAlign w:val="superscript"/>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b/>
                <w:color w:val="000000"/>
                <w:sz w:val="16"/>
                <w:szCs w:val="18"/>
              </w:rPr>
              <w:t xml:space="preserve"> 89 </w:t>
            </w:r>
          </w:p>
        </w:tc>
      </w:tr>
    </w:tbl>
    <w:p w:rsidR="000D1659" w:rsidRPr="00491918" w:rsidRDefault="000D1659">
      <w:pPr>
        <w:rPr>
          <w:sz w:val="18"/>
          <w:szCs w:val="18"/>
        </w:rPr>
      </w:pPr>
    </w:p>
    <w:p w:rsidR="000D1659" w:rsidRPr="00491918" w:rsidRDefault="000D1659" w:rsidP="00EC729A">
      <w:pPr>
        <w:pStyle w:val="Normal67"/>
        <w:numPr>
          <w:ilvl w:val="0"/>
          <w:numId w:val="125"/>
        </w:numPr>
        <w:spacing w:before="120" w:after="120"/>
        <w:jc w:val="both"/>
        <w:rPr>
          <w:szCs w:val="20"/>
          <w:lang w:val="la-Latn"/>
        </w:rPr>
      </w:pPr>
      <w:r w:rsidRPr="00491918">
        <w:rPr>
          <w:szCs w:val="20"/>
        </w:rPr>
        <w:t>Gross</w:t>
      </w:r>
      <w:r w:rsidRPr="00491918">
        <w:rPr>
          <w:szCs w:val="20"/>
          <w:lang w:val="la-Latn"/>
        </w:rPr>
        <w:t xml:space="preserve"> loans and advances to customers</w:t>
      </w:r>
      <w:r w:rsidRPr="00491918">
        <w:rPr>
          <w:szCs w:val="20"/>
        </w:rPr>
        <w:t xml:space="preserve"> and banks</w:t>
      </w:r>
      <w:r w:rsidRPr="00491918">
        <w:rPr>
          <w:szCs w:val="20"/>
          <w:lang w:val="la-Latn"/>
        </w:rPr>
        <w:t xml:space="preserve"> in the retail portfolios increased </w:t>
      </w:r>
      <w:r w:rsidR="009824EA" w:rsidRPr="00491918">
        <w:rPr>
          <w:szCs w:val="20"/>
        </w:rPr>
        <w:t>3% to £240.1</w:t>
      </w:r>
      <w:r w:rsidRPr="00491918">
        <w:rPr>
          <w:szCs w:val="20"/>
        </w:rPr>
        <w:t>bn</w:t>
      </w:r>
      <w:r w:rsidRPr="00491918">
        <w:rPr>
          <w:szCs w:val="20"/>
          <w:lang w:val="la-Latn"/>
        </w:rPr>
        <w:t xml:space="preserve"> </w:t>
      </w:r>
      <w:r w:rsidRPr="00491918">
        <w:rPr>
          <w:szCs w:val="20"/>
          <w:lang w:val="en-US"/>
        </w:rPr>
        <w:t xml:space="preserve">during </w:t>
      </w:r>
      <w:r w:rsidRPr="00491918">
        <w:rPr>
          <w:szCs w:val="20"/>
        </w:rPr>
        <w:t>H113 principally reflecting movements in:</w:t>
      </w:r>
    </w:p>
    <w:p w:rsidR="000D1659" w:rsidRPr="00491918" w:rsidRDefault="000D1659" w:rsidP="000D1659">
      <w:pPr>
        <w:pStyle w:val="Level2Bullet-BarcRA2"/>
        <w:tabs>
          <w:tab w:val="clear" w:pos="1401"/>
        </w:tabs>
        <w:ind w:left="567" w:hanging="283"/>
        <w:rPr>
          <w:lang w:val="en-GB"/>
        </w:rPr>
      </w:pPr>
      <w:r w:rsidRPr="00491918">
        <w:rPr>
          <w:lang w:val="en-GB"/>
        </w:rPr>
        <w:t>UK RBB, where a 6% increase to £137.1bn primarily reflected the purchase of ING Direct UK and growth in home loans balances</w:t>
      </w:r>
    </w:p>
    <w:p w:rsidR="000D1659" w:rsidRPr="00491918" w:rsidRDefault="000D1659" w:rsidP="000D1659">
      <w:pPr>
        <w:pStyle w:val="Level2Bullet-BarcRA2"/>
        <w:tabs>
          <w:tab w:val="clear" w:pos="1401"/>
        </w:tabs>
        <w:ind w:left="567" w:hanging="283"/>
        <w:rPr>
          <w:lang w:val="en-GB"/>
        </w:rPr>
      </w:pPr>
      <w:r w:rsidRPr="00491918">
        <w:rPr>
          <w:lang w:val="en-GB"/>
        </w:rPr>
        <w:t xml:space="preserve">Barclaycard, where an 3% increase to </w:t>
      </w:r>
      <w:r w:rsidRPr="00491918">
        <w:t>£</w:t>
      </w:r>
      <w:r w:rsidRPr="00491918">
        <w:rPr>
          <w:lang w:val="en-US"/>
        </w:rPr>
        <w:t>36.7bn</w:t>
      </w:r>
      <w:r w:rsidRPr="00491918">
        <w:rPr>
          <w:lang w:val="en-GB"/>
        </w:rPr>
        <w:t xml:space="preserve"> primarily reflected business growth across UK and International businesses</w:t>
      </w:r>
    </w:p>
    <w:p w:rsidR="000D1659" w:rsidRPr="00491918" w:rsidRDefault="000D1659" w:rsidP="000D1659">
      <w:pPr>
        <w:pStyle w:val="Level2Bullet-BarcRA2"/>
        <w:tabs>
          <w:tab w:val="clear" w:pos="1401"/>
        </w:tabs>
        <w:ind w:left="567" w:hanging="283"/>
        <w:rPr>
          <w:lang w:val="en-GB"/>
        </w:rPr>
      </w:pPr>
      <w:r w:rsidRPr="00491918">
        <w:rPr>
          <w:lang w:val="en-GB"/>
        </w:rPr>
        <w:t xml:space="preserve"> Wealth and Investment Management, where a 7% increase to </w:t>
      </w:r>
      <w:r w:rsidRPr="00491918">
        <w:t>£</w:t>
      </w:r>
      <w:r w:rsidRPr="00491918">
        <w:rPr>
          <w:lang w:val="en-GB"/>
        </w:rPr>
        <w:t>2.7bn mainly reflected growth in the Wealth International home loans portfolio</w:t>
      </w:r>
    </w:p>
    <w:p w:rsidR="000D1659" w:rsidRPr="00491918" w:rsidRDefault="000D1659" w:rsidP="00EC729A">
      <w:pPr>
        <w:pStyle w:val="Normal67"/>
        <w:numPr>
          <w:ilvl w:val="0"/>
          <w:numId w:val="125"/>
        </w:numPr>
        <w:spacing w:before="120" w:after="120"/>
        <w:jc w:val="both"/>
        <w:rPr>
          <w:szCs w:val="20"/>
          <w:lang w:val="la-Latn"/>
        </w:rPr>
      </w:pPr>
      <w:r w:rsidRPr="00491918">
        <w:rPr>
          <w:szCs w:val="20"/>
          <w:lang w:val="la-Latn"/>
        </w:rPr>
        <w:t xml:space="preserve">The loan impairment charge </w:t>
      </w:r>
      <w:r w:rsidRPr="00491918">
        <w:rPr>
          <w:szCs w:val="20"/>
        </w:rPr>
        <w:t>increased</w:t>
      </w:r>
      <w:r w:rsidRPr="00491918">
        <w:rPr>
          <w:szCs w:val="20"/>
          <w:lang w:val="la-Latn"/>
        </w:rPr>
        <w:t xml:space="preserve"> 1</w:t>
      </w:r>
      <w:r w:rsidRPr="00491918">
        <w:rPr>
          <w:szCs w:val="20"/>
        </w:rPr>
        <w:t>2</w:t>
      </w:r>
      <w:r w:rsidRPr="00491918">
        <w:rPr>
          <w:szCs w:val="20"/>
          <w:lang w:val="la-Latn"/>
        </w:rPr>
        <w:t>%</w:t>
      </w:r>
      <w:r w:rsidRPr="00491918">
        <w:rPr>
          <w:szCs w:val="20"/>
          <w:lang w:val="en-US"/>
        </w:rPr>
        <w:t xml:space="preserve"> to </w:t>
      </w:r>
      <w:r w:rsidRPr="00491918">
        <w:rPr>
          <w:szCs w:val="20"/>
        </w:rPr>
        <w:t>£</w:t>
      </w:r>
      <w:r w:rsidRPr="00491918">
        <w:rPr>
          <w:szCs w:val="20"/>
          <w:lang w:val="en-US"/>
        </w:rPr>
        <w:t>1,112m</w:t>
      </w:r>
      <w:r w:rsidRPr="00491918">
        <w:rPr>
          <w:szCs w:val="20"/>
          <w:lang w:val="la-Latn"/>
        </w:rPr>
        <w:t xml:space="preserve"> </w:t>
      </w:r>
      <w:r w:rsidRPr="00491918">
        <w:rPr>
          <w:szCs w:val="20"/>
        </w:rPr>
        <w:t>(H112: £994m) principally the</w:t>
      </w:r>
      <w:r w:rsidRPr="00491918">
        <w:rPr>
          <w:szCs w:val="20"/>
          <w:lang w:val="la-Latn"/>
        </w:rPr>
        <w:t xml:space="preserve"> result of</w:t>
      </w:r>
      <w:r w:rsidRPr="00491918">
        <w:rPr>
          <w:szCs w:val="20"/>
        </w:rPr>
        <w:t>:</w:t>
      </w:r>
      <w:r w:rsidRPr="00491918">
        <w:rPr>
          <w:szCs w:val="20"/>
          <w:lang w:val="la-Latn"/>
        </w:rPr>
        <w:t xml:space="preserve"> </w:t>
      </w:r>
    </w:p>
    <w:p w:rsidR="000D1659" w:rsidRPr="00491918" w:rsidRDefault="000D1659" w:rsidP="000D1659">
      <w:pPr>
        <w:pStyle w:val="Level2Bullet-BarcRA5"/>
        <w:tabs>
          <w:tab w:val="clear" w:pos="1401"/>
        </w:tabs>
        <w:ind w:left="567" w:hanging="283"/>
        <w:rPr>
          <w:lang w:val="en-GB"/>
        </w:rPr>
      </w:pPr>
      <w:r w:rsidRPr="00491918">
        <w:rPr>
          <w:lang w:val="en-GB"/>
        </w:rPr>
        <w:t xml:space="preserve">Barclaycard increased  25% to £616m reflecting </w:t>
      </w:r>
      <w:r w:rsidRPr="00491918">
        <w:rPr>
          <w:lang w:val="en-US"/>
        </w:rPr>
        <w:t xml:space="preserve">higher charges in </w:t>
      </w:r>
      <w:r w:rsidR="009824EA" w:rsidRPr="00491918">
        <w:rPr>
          <w:lang w:val="en-US"/>
        </w:rPr>
        <w:t>South Africa Card portfolios which</w:t>
      </w:r>
      <w:r w:rsidRPr="00491918">
        <w:rPr>
          <w:lang w:val="en-US"/>
        </w:rPr>
        <w:t xml:space="preserve"> included the impact of recent acquisitions, and the non-recurrence of provision releases in 2012</w:t>
      </w:r>
    </w:p>
    <w:p w:rsidR="000D1659" w:rsidRPr="00491918" w:rsidRDefault="000D1659" w:rsidP="000D1659">
      <w:pPr>
        <w:pStyle w:val="Level2Bullet-BarcRA5"/>
        <w:tabs>
          <w:tab w:val="clear" w:pos="1401"/>
        </w:tabs>
        <w:ind w:left="567" w:hanging="283"/>
        <w:rPr>
          <w:lang w:val="en-GB"/>
        </w:rPr>
      </w:pPr>
      <w:r w:rsidRPr="00491918">
        <w:rPr>
          <w:lang w:val="en-GB"/>
        </w:rPr>
        <w:t xml:space="preserve">UK RBB  increased 46%  to </w:t>
      </w:r>
      <w:r w:rsidRPr="00491918">
        <w:t>£</w:t>
      </w:r>
      <w:r w:rsidRPr="00491918">
        <w:rPr>
          <w:lang w:val="en-US"/>
        </w:rPr>
        <w:t xml:space="preserve">178m </w:t>
      </w:r>
      <w:r w:rsidRPr="00491918">
        <w:rPr>
          <w:lang w:val="en-GB"/>
        </w:rPr>
        <w:t xml:space="preserve">primarily due to provision releases in 2012 </w:t>
      </w:r>
      <w:r w:rsidR="00A24F51" w:rsidRPr="00491918">
        <w:rPr>
          <w:lang w:val="en-GB"/>
        </w:rPr>
        <w:t>as a result of improved recoveries in consumer lending and resolution of backlogs in litigation in home loans</w:t>
      </w:r>
      <w:r w:rsidRPr="00491918">
        <w:rPr>
          <w:lang w:val="en-GB"/>
        </w:rPr>
        <w:t xml:space="preserve"> </w:t>
      </w:r>
    </w:p>
    <w:p w:rsidR="000D1659" w:rsidRPr="00491918" w:rsidRDefault="000D1659" w:rsidP="000D1659">
      <w:pPr>
        <w:pStyle w:val="Level2Bullet-BarcRA5"/>
        <w:tabs>
          <w:tab w:val="clear" w:pos="1401"/>
        </w:tabs>
        <w:ind w:left="567" w:hanging="283"/>
        <w:rPr>
          <w:lang w:val="en-GB"/>
        </w:rPr>
      </w:pPr>
      <w:r w:rsidRPr="00491918">
        <w:t>Europe RBB</w:t>
      </w:r>
      <w:r w:rsidRPr="00491918">
        <w:rPr>
          <w:lang w:val="en-US"/>
        </w:rPr>
        <w:t xml:space="preserve"> increased 14% to </w:t>
      </w:r>
      <w:r w:rsidRPr="00491918">
        <w:t>£</w:t>
      </w:r>
      <w:r w:rsidRPr="00491918">
        <w:rPr>
          <w:lang w:val="en-US"/>
        </w:rPr>
        <w:t>142m</w:t>
      </w:r>
      <w:r w:rsidRPr="00491918">
        <w:t xml:space="preserve"> </w:t>
      </w:r>
      <w:r w:rsidRPr="00491918">
        <w:rPr>
          <w:lang w:val="en-GB"/>
        </w:rPr>
        <w:t>due to foreign currency movements and deterioration in recoveries performance within mortgages reflecting current economic conditions across Europe</w:t>
      </w:r>
    </w:p>
    <w:p w:rsidR="000D1659" w:rsidRPr="00491918" w:rsidRDefault="000D1659" w:rsidP="00EC729A">
      <w:pPr>
        <w:pStyle w:val="Normal6000"/>
        <w:numPr>
          <w:ilvl w:val="0"/>
          <w:numId w:val="127"/>
        </w:numPr>
        <w:spacing w:before="120" w:after="120"/>
        <w:jc w:val="both"/>
        <w:rPr>
          <w:szCs w:val="20"/>
          <w:lang w:val="la-Latn"/>
        </w:rPr>
      </w:pPr>
      <w:r w:rsidRPr="00491918">
        <w:rPr>
          <w:szCs w:val="20"/>
        </w:rPr>
        <w:t>Higher</w:t>
      </w:r>
      <w:r w:rsidRPr="00491918">
        <w:rPr>
          <w:szCs w:val="20"/>
          <w:lang w:val="la-Latn"/>
        </w:rPr>
        <w:t xml:space="preserve"> overall impairment charges coupled with slightly higher loan balances led to a </w:t>
      </w:r>
      <w:r w:rsidRPr="00491918">
        <w:rPr>
          <w:szCs w:val="20"/>
        </w:rPr>
        <w:t>rise</w:t>
      </w:r>
      <w:r w:rsidRPr="00491918">
        <w:rPr>
          <w:szCs w:val="20"/>
          <w:lang w:val="la-Latn"/>
        </w:rPr>
        <w:t xml:space="preserve"> in the </w:t>
      </w:r>
      <w:r w:rsidRPr="00491918">
        <w:rPr>
          <w:szCs w:val="20"/>
          <w:lang w:val="en-US"/>
        </w:rPr>
        <w:t xml:space="preserve">retail </w:t>
      </w:r>
      <w:r w:rsidRPr="00491918">
        <w:rPr>
          <w:szCs w:val="20"/>
          <w:lang w:val="la-Latn"/>
        </w:rPr>
        <w:t>annualised loan loss rate to 9</w:t>
      </w:r>
      <w:r w:rsidRPr="00491918">
        <w:rPr>
          <w:szCs w:val="20"/>
        </w:rPr>
        <w:t>3</w:t>
      </w:r>
      <w:r w:rsidRPr="00491918">
        <w:rPr>
          <w:szCs w:val="20"/>
          <w:lang w:val="la-Latn"/>
        </w:rPr>
        <w:t>bps (</w:t>
      </w:r>
      <w:r w:rsidR="000B1BD5" w:rsidRPr="00491918">
        <w:rPr>
          <w:szCs w:val="20"/>
        </w:rPr>
        <w:t>H112: 87bps; FY</w:t>
      </w:r>
      <w:r w:rsidRPr="00491918">
        <w:rPr>
          <w:szCs w:val="20"/>
          <w:lang w:val="la-Latn"/>
        </w:rPr>
        <w:t>1</w:t>
      </w:r>
      <w:r w:rsidRPr="00491918">
        <w:rPr>
          <w:szCs w:val="20"/>
        </w:rPr>
        <w:t>2</w:t>
      </w:r>
      <w:r w:rsidRPr="00491918">
        <w:rPr>
          <w:szCs w:val="20"/>
          <w:lang w:val="la-Latn"/>
        </w:rPr>
        <w:t xml:space="preserve">: </w:t>
      </w:r>
      <w:r w:rsidRPr="00491918">
        <w:rPr>
          <w:szCs w:val="20"/>
        </w:rPr>
        <w:t>89</w:t>
      </w:r>
      <w:r w:rsidRPr="00491918">
        <w:rPr>
          <w:szCs w:val="20"/>
          <w:lang w:val="la-Latn"/>
        </w:rPr>
        <w:t>bps)</w:t>
      </w:r>
    </w:p>
    <w:p w:rsidR="000D1659" w:rsidRPr="00491918" w:rsidRDefault="000D1659" w:rsidP="000D1659">
      <w:pPr>
        <w:pStyle w:val="Normal67"/>
        <w:spacing w:before="120" w:after="120"/>
        <w:ind w:left="284"/>
        <w:jc w:val="both"/>
      </w:pPr>
    </w:p>
    <w:p w:rsidR="000D1659" w:rsidRPr="00491918" w:rsidRDefault="000D1659" w:rsidP="000D1659">
      <w:pPr>
        <w:pStyle w:val="BodyText-BarcRA370"/>
      </w:pPr>
    </w:p>
    <w:p w:rsidR="0070784B" w:rsidRPr="00491918" w:rsidRDefault="0070784B" w:rsidP="000D1659">
      <w:pPr>
        <w:pStyle w:val="BodyText-BarcRA370"/>
      </w:pPr>
    </w:p>
    <w:p w:rsidR="000D1659" w:rsidRPr="00491918" w:rsidRDefault="000D1659" w:rsidP="000D1659">
      <w:pPr>
        <w:pStyle w:val="NoteSourceText-BarcRA3"/>
        <w:ind w:left="0" w:firstLine="0"/>
      </w:pPr>
    </w:p>
    <w:p w:rsidR="000D1659" w:rsidRPr="00491918" w:rsidRDefault="000D1659" w:rsidP="000D1659">
      <w:pPr>
        <w:pStyle w:val="NoteandSourceText-BarcRA10"/>
        <w:ind w:left="284" w:hanging="284"/>
      </w:pPr>
      <w:r w:rsidRPr="00491918">
        <w:t>Primarily comprises UAE retail portfolios.</w:t>
      </w:r>
    </w:p>
    <w:p w:rsidR="00751636" w:rsidRPr="00491918" w:rsidRDefault="000D1659" w:rsidP="000D1659">
      <w:pPr>
        <w:pStyle w:val="NoteandSourceText-BarcRA10"/>
        <w:ind w:left="284" w:hanging="284"/>
      </w:pPr>
      <w:r w:rsidRPr="00491918">
        <w:t>Loan impairment charge as at December 2012 is the charge for the 12 month period.</w:t>
      </w:r>
    </w:p>
    <w:p w:rsidR="0007202F" w:rsidRPr="00491918" w:rsidRDefault="0007202F" w:rsidP="0007202F">
      <w:pPr>
        <w:pStyle w:val="NoteandSourceText-BarcRA10"/>
        <w:numPr>
          <w:ilvl w:val="0"/>
          <w:numId w:val="0"/>
        </w:numPr>
        <w:ind w:left="720" w:hanging="360"/>
      </w:pPr>
    </w:p>
    <w:p w:rsidR="00DA356B" w:rsidRPr="00491918" w:rsidRDefault="00DA356B" w:rsidP="0007202F">
      <w:pPr>
        <w:pStyle w:val="HeadingLevel1-BarcRA35"/>
        <w:rPr>
          <w:lang w:val="en-GB"/>
        </w:rPr>
      </w:pPr>
    </w:p>
    <w:p w:rsidR="00DA356B" w:rsidRPr="00491918" w:rsidRDefault="00DA356B" w:rsidP="0007202F">
      <w:pPr>
        <w:pStyle w:val="HeadingLevel1-BarcRA35"/>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p w:rsidR="000D1659" w:rsidRPr="00491918" w:rsidRDefault="000D1659"/>
    <w:tbl>
      <w:tblPr>
        <w:tblW w:w="0" w:type="auto"/>
        <w:tblLayout w:type="fixed"/>
        <w:tblLook w:val="0000" w:firstRow="0" w:lastRow="0" w:firstColumn="0" w:lastColumn="0" w:noHBand="0" w:noVBand="0"/>
      </w:tblPr>
      <w:tblGrid>
        <w:gridCol w:w="1770"/>
        <w:gridCol w:w="1575"/>
        <w:gridCol w:w="1575"/>
        <w:gridCol w:w="1575"/>
        <w:gridCol w:w="1575"/>
        <w:gridCol w:w="1575"/>
      </w:tblGrid>
      <w:tr w:rsidR="00E9782A" w:rsidRPr="00491918" w:rsidTr="00FF7A7C">
        <w:trPr>
          <w:trHeight w:val="300"/>
        </w:trPr>
        <w:tc>
          <w:tcPr>
            <w:tcW w:w="6495"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0"/>
              </w:rPr>
              <w:lastRenderedPageBreak/>
              <w:t>Analysis of Retail Gross Loans &amp; Advances to Customers</w:t>
            </w:r>
            <w:r w:rsidRPr="00491918">
              <w:rPr>
                <w:rFonts w:ascii="Calibri" w:eastAsia="Calibri" w:hAnsi="Calibri" w:cs="Calibri"/>
                <w:color w:val="000000"/>
                <w:sz w:val="22"/>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vertAlign w:val="superscript"/>
              </w:rPr>
            </w:pPr>
            <w:r w:rsidRPr="00491918">
              <w:rPr>
                <w:rFonts w:ascii="Calibri" w:eastAsia="Calibri" w:hAnsi="Calibri" w:cs="Calibri"/>
                <w:color w:val="000000"/>
                <w:sz w:val="22"/>
              </w:rPr>
              <w:t xml:space="preserve">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Calibri" w:eastAsia="Calibri" w:hAnsi="Calibri" w:cs="Calibri"/>
                <w:color w:val="000000"/>
                <w:sz w:val="22"/>
              </w:rPr>
            </w:pPr>
            <w:r w:rsidRPr="00491918">
              <w:rPr>
                <w:color w:val="000000"/>
                <w:sz w:val="16"/>
              </w:rPr>
              <w:t xml:space="preserve"> </w:t>
            </w:r>
          </w:p>
        </w:tc>
      </w:tr>
      <w:tr w:rsidR="000D1659" w:rsidRPr="00491918">
        <w:trPr>
          <w:trHeight w:hRule="exact" w:val="255"/>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trPr>
          <w:trHeight w:val="765"/>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Secured Home Loans</w:t>
            </w:r>
            <w:r w:rsidRPr="00491918">
              <w:rPr>
                <w:b/>
                <w:color w:val="000000"/>
                <w:sz w:val="16"/>
                <w:vertAlign w:val="superscript"/>
              </w:rPr>
              <w:t>1 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Credit Cards,</w:t>
            </w:r>
          </w:p>
          <w:p w:rsidR="000D1659" w:rsidRPr="00491918" w:rsidRDefault="000D1659">
            <w:pPr>
              <w:jc w:val="right"/>
              <w:rPr>
                <w:b/>
                <w:color w:val="000000"/>
                <w:sz w:val="16"/>
              </w:rPr>
            </w:pPr>
            <w:r w:rsidRPr="00491918">
              <w:rPr>
                <w:b/>
                <w:color w:val="000000"/>
                <w:sz w:val="16"/>
              </w:rPr>
              <w:t>Overdrafts and</w:t>
            </w:r>
          </w:p>
          <w:p w:rsidR="000D1659" w:rsidRPr="00491918" w:rsidRDefault="000D1659">
            <w:pPr>
              <w:jc w:val="right"/>
              <w:rPr>
                <w:b/>
                <w:color w:val="000000"/>
                <w:sz w:val="16"/>
              </w:rPr>
            </w:pPr>
            <w:r w:rsidRPr="00491918">
              <w:rPr>
                <w:b/>
                <w:color w:val="000000"/>
                <w:sz w:val="16"/>
              </w:rPr>
              <w:t>Unsecured Loans</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Other Secured Retail</w:t>
            </w:r>
          </w:p>
          <w:p w:rsidR="000D1659" w:rsidRPr="00491918" w:rsidRDefault="000D1659">
            <w:pPr>
              <w:jc w:val="right"/>
              <w:rPr>
                <w:b/>
                <w:color w:val="000000"/>
                <w:sz w:val="16"/>
              </w:rPr>
            </w:pPr>
            <w:r w:rsidRPr="00491918">
              <w:rPr>
                <w:b/>
                <w:color w:val="000000"/>
                <w:sz w:val="16"/>
              </w:rPr>
              <w:t>Lending</w:t>
            </w:r>
            <w:r w:rsidRPr="00491918">
              <w:rPr>
                <w:b/>
                <w:color w:val="000000"/>
                <w:sz w:val="16"/>
                <w:vertAlign w:val="superscript"/>
              </w:rPr>
              <w:t>2 </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Business Lending</w:t>
            </w:r>
          </w:p>
        </w:tc>
        <w:tc>
          <w:tcPr>
            <w:tcW w:w="157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 Retail</w:t>
            </w:r>
          </w:p>
        </w:tc>
      </w:tr>
      <w:tr w:rsidR="000D1659" w:rsidRPr="00491918">
        <w:trPr>
          <w:trHeight w:val="240"/>
        </w:trPr>
        <w:tc>
          <w:tcPr>
            <w:tcW w:w="17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CE2452">
            <w:pPr>
              <w:rPr>
                <w:b/>
                <w:color w:val="000000"/>
                <w:sz w:val="16"/>
              </w:rPr>
            </w:pPr>
            <w:r w:rsidRPr="00491918">
              <w:rPr>
                <w:b/>
                <w:color w:val="000000"/>
                <w:sz w:val="16"/>
              </w:rPr>
              <w:t>As at 30.06.13</w:t>
            </w:r>
          </w:p>
        </w:tc>
        <w:tc>
          <w:tcPr>
            <w:tcW w:w="15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£m</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£m</w:t>
            </w:r>
          </w:p>
        </w:tc>
        <w:tc>
          <w:tcPr>
            <w:tcW w:w="15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£m</w:t>
            </w:r>
          </w:p>
        </w:tc>
        <w:tc>
          <w:tcPr>
            <w:tcW w:w="157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1770"/>
        <w:gridCol w:w="1575"/>
        <w:gridCol w:w="1575"/>
        <w:gridCol w:w="1575"/>
        <w:gridCol w:w="1575"/>
        <w:gridCol w:w="1575"/>
      </w:tblGrid>
      <w:tr w:rsidR="000D1659" w:rsidRPr="00491918" w:rsidTr="00FF7A7C">
        <w:trPr>
          <w:trHeight w:val="240"/>
        </w:trPr>
        <w:tc>
          <w:tcPr>
            <w:tcW w:w="177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 RBB</w:t>
            </w:r>
            <w:r w:rsidRPr="00491918">
              <w:rPr>
                <w:color w:val="000000"/>
                <w:sz w:val="16"/>
                <w:vertAlign w:val="superscript"/>
              </w:rPr>
              <w:t xml:space="preserve"> </w:t>
            </w:r>
          </w:p>
        </w:tc>
        <w:tc>
          <w:tcPr>
            <w:tcW w:w="15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121,784 </w:t>
            </w:r>
            <w:r w:rsidRPr="00491918">
              <w:rPr>
                <w:color w:val="000000"/>
                <w:sz w:val="16"/>
                <w:vertAlign w:val="superscript"/>
              </w:rPr>
              <w:t xml:space="preserve"> </w:t>
            </w:r>
          </w:p>
        </w:tc>
        <w:tc>
          <w:tcPr>
            <w:tcW w:w="15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7,002 </w:t>
            </w:r>
          </w:p>
        </w:tc>
        <w:tc>
          <w:tcPr>
            <w:tcW w:w="15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15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8,349 </w:t>
            </w:r>
          </w:p>
        </w:tc>
        <w:tc>
          <w:tcPr>
            <w:tcW w:w="157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137,135 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Europe RBB</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35,795 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3,193 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1,673 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40,661 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Africa RBB</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15,956 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2,696 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C5152E">
            <w:pPr>
              <w:jc w:val="right"/>
              <w:rPr>
                <w:color w:val="000000"/>
                <w:sz w:val="16"/>
              </w:rPr>
            </w:pPr>
            <w:r w:rsidRPr="00491918">
              <w:rPr>
                <w:color w:val="000000"/>
                <w:sz w:val="16"/>
              </w:rPr>
              <w:t xml:space="preserve"> 2,839</w:t>
            </w:r>
            <w:r w:rsidR="000D1659" w:rsidRPr="00491918">
              <w:rPr>
                <w:color w:val="000000"/>
                <w:sz w:val="16"/>
              </w:rPr>
              <w:t> </w:t>
            </w:r>
            <w:r w:rsidR="000D1659"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806 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C5152E">
            <w:pPr>
              <w:jc w:val="right"/>
              <w:rPr>
                <w:color w:val="000000"/>
                <w:sz w:val="16"/>
              </w:rPr>
            </w:pPr>
            <w:r w:rsidRPr="00491918">
              <w:rPr>
                <w:color w:val="000000"/>
                <w:sz w:val="16"/>
              </w:rPr>
              <w:t>22,297</w:t>
            </w:r>
            <w:r w:rsidR="000D1659" w:rsidRPr="00491918">
              <w:rPr>
                <w:color w:val="000000"/>
                <w:sz w:val="16"/>
              </w:rPr>
              <w:t>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Barclaycard</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33,472 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2,475 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719 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36,666 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Corporate Banking</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294 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245 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59 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9 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607 </w:t>
            </w:r>
          </w:p>
        </w:tc>
      </w:tr>
      <w:tr w:rsidR="000D1659" w:rsidRPr="00491918">
        <w:trPr>
          <w:trHeight w:val="240"/>
        </w:trPr>
        <w:tc>
          <w:tcPr>
            <w:tcW w:w="17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Wealth and Investment Management</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2,418 </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74 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221 </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c>
          <w:tcPr>
            <w:tcW w:w="157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2,713 </w:t>
            </w:r>
          </w:p>
        </w:tc>
      </w:tr>
      <w:tr w:rsidR="000D1659" w:rsidRPr="00491918">
        <w:trPr>
          <w:trHeight w:val="240"/>
        </w:trPr>
        <w:tc>
          <w:tcPr>
            <w:tcW w:w="17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176,247 </w:t>
            </w:r>
            <w:r w:rsidRPr="00491918">
              <w:rPr>
                <w:b/>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46,682 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C5152E">
            <w:pPr>
              <w:jc w:val="right"/>
              <w:rPr>
                <w:b/>
                <w:color w:val="000000"/>
                <w:sz w:val="16"/>
              </w:rPr>
            </w:pPr>
            <w:r w:rsidRPr="00491918">
              <w:rPr>
                <w:b/>
                <w:color w:val="000000"/>
                <w:sz w:val="16"/>
              </w:rPr>
              <w:t xml:space="preserve"> 5,594</w:t>
            </w:r>
            <w:r w:rsidR="000D1659" w:rsidRPr="00491918">
              <w:rPr>
                <w:b/>
                <w:color w:val="000000"/>
                <w:sz w:val="16"/>
              </w:rPr>
              <w:t> </w:t>
            </w:r>
            <w:r w:rsidR="000D1659" w:rsidRPr="00491918">
              <w:rPr>
                <w:b/>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11,556 </w:t>
            </w:r>
          </w:p>
        </w:tc>
        <w:tc>
          <w:tcPr>
            <w:tcW w:w="157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8C206C">
            <w:pPr>
              <w:jc w:val="right"/>
              <w:rPr>
                <w:b/>
                <w:color w:val="000000"/>
                <w:sz w:val="16"/>
              </w:rPr>
            </w:pPr>
            <w:r w:rsidRPr="00491918">
              <w:rPr>
                <w:b/>
                <w:color w:val="000000"/>
                <w:sz w:val="16"/>
              </w:rPr>
              <w:t>240,079</w:t>
            </w:r>
            <w:r w:rsidR="000D1659" w:rsidRPr="00491918">
              <w:rPr>
                <w:b/>
                <w:color w:val="000000"/>
                <w:sz w:val="16"/>
              </w:rPr>
              <w:t> </w:t>
            </w:r>
          </w:p>
        </w:tc>
      </w:tr>
      <w:tr w:rsidR="000D1659" w:rsidRPr="00491918">
        <w:trPr>
          <w:trHeight w:hRule="exac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40"/>
        </w:trPr>
        <w:tc>
          <w:tcPr>
            <w:tcW w:w="17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As at 31.12.12</w:t>
            </w:r>
            <w:r w:rsidRPr="00491918">
              <w:rPr>
                <w:b/>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r w:rsidRPr="00491918">
              <w:rPr>
                <w:b/>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b/>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17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 RBB</w:t>
            </w:r>
            <w:r w:rsidRPr="00491918">
              <w:rPr>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114,766 </w:t>
            </w:r>
            <w:r w:rsidRPr="00491918">
              <w:rPr>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6,863 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8,053 </w:t>
            </w:r>
          </w:p>
        </w:tc>
        <w:tc>
          <w:tcPr>
            <w:tcW w:w="157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129,682 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Europe RBB</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34,825 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3,430 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1,742 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39,997 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Africa RBB</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17,422 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2,792 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3,086 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687 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23,987 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Barclaycard</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32,432 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2,730 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570 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35,732 </w:t>
            </w:r>
          </w:p>
        </w:tc>
      </w:tr>
      <w:tr w:rsidR="000D1659" w:rsidRPr="00491918">
        <w:trPr>
          <w:trHeight w:val="240"/>
        </w:trPr>
        <w:tc>
          <w:tcPr>
            <w:tcW w:w="17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Corporate Banking</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274 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336 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117 </w:t>
            </w:r>
            <w:r w:rsidRPr="00491918">
              <w:rPr>
                <w:color w:val="000000"/>
                <w:sz w:val="16"/>
                <w:vertAlign w:val="superscript"/>
              </w:rPr>
              <w:t xml:space="preserve"> </w:t>
            </w:r>
          </w:p>
        </w:tc>
        <w:tc>
          <w:tcPr>
            <w:tcW w:w="15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12 </w:t>
            </w:r>
          </w:p>
        </w:tc>
        <w:tc>
          <w:tcPr>
            <w:tcW w:w="15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739 </w:t>
            </w:r>
          </w:p>
        </w:tc>
      </w:tr>
      <w:tr w:rsidR="000D1659" w:rsidRPr="00491918">
        <w:trPr>
          <w:trHeight w:val="240"/>
        </w:trPr>
        <w:tc>
          <w:tcPr>
            <w:tcW w:w="17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Wealth and Investment Management</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2,267 </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63 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205 </w:t>
            </w:r>
            <w:r w:rsidRPr="00491918">
              <w:rPr>
                <w:color w:val="000000"/>
                <w:sz w:val="16"/>
                <w:vertAlign w:val="superscript"/>
              </w:rPr>
              <w:t xml:space="preserve"> </w:t>
            </w:r>
          </w:p>
        </w:tc>
        <w:tc>
          <w:tcPr>
            <w:tcW w:w="15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c>
          <w:tcPr>
            <w:tcW w:w="157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2,535 </w:t>
            </w:r>
          </w:p>
        </w:tc>
      </w:tr>
      <w:tr w:rsidR="000D1659" w:rsidRPr="00491918">
        <w:trPr>
          <w:trHeight w:val="240"/>
        </w:trPr>
        <w:tc>
          <w:tcPr>
            <w:tcW w:w="17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169,554 </w:t>
            </w:r>
            <w:r w:rsidRPr="00491918">
              <w:rPr>
                <w:b/>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45,916 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6,138 </w:t>
            </w:r>
            <w:r w:rsidRPr="00491918">
              <w:rPr>
                <w:b/>
                <w:color w:val="000000"/>
                <w:sz w:val="16"/>
                <w:vertAlign w:val="superscript"/>
              </w:rPr>
              <w:t xml:space="preserve"> </w:t>
            </w:r>
          </w:p>
        </w:tc>
        <w:tc>
          <w:tcPr>
            <w:tcW w:w="15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11,064 </w:t>
            </w:r>
          </w:p>
        </w:tc>
        <w:tc>
          <w:tcPr>
            <w:tcW w:w="157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232,672 </w:t>
            </w:r>
          </w:p>
        </w:tc>
      </w:tr>
    </w:tbl>
    <w:p w:rsidR="000D1659" w:rsidRPr="00491918" w:rsidRDefault="000D1659"/>
    <w:p w:rsidR="000D1659" w:rsidRPr="00491918" w:rsidRDefault="000D1659" w:rsidP="000D1659">
      <w:pPr>
        <w:pStyle w:val="Level1Bullet-BarcRA110"/>
        <w:numPr>
          <w:ilvl w:val="0"/>
          <w:numId w:val="0"/>
        </w:numPr>
        <w:ind w:left="284" w:hanging="284"/>
        <w:rPr>
          <w:lang w:val="en-GB"/>
        </w:rPr>
      </w:pPr>
    </w:p>
    <w:p w:rsidR="00A63FF8" w:rsidRPr="00491918" w:rsidRDefault="00A63FF8"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ind w:left="284" w:hanging="284"/>
        <w:rPr>
          <w:lang w:val="en-GB"/>
        </w:rPr>
      </w:pPr>
    </w:p>
    <w:p w:rsidR="000D1659" w:rsidRPr="00491918" w:rsidRDefault="000D1659" w:rsidP="000D1659">
      <w:pPr>
        <w:pStyle w:val="Level1Bullet-BarcRA110"/>
        <w:numPr>
          <w:ilvl w:val="0"/>
          <w:numId w:val="0"/>
        </w:numPr>
        <w:rPr>
          <w:lang w:val="en-GB"/>
        </w:rPr>
      </w:pPr>
    </w:p>
    <w:p w:rsidR="000D1659" w:rsidRPr="00491918" w:rsidRDefault="000D1659" w:rsidP="000D1659">
      <w:pPr>
        <w:pStyle w:val="Level1Bullet-BarcRA110"/>
        <w:numPr>
          <w:ilvl w:val="0"/>
          <w:numId w:val="0"/>
        </w:numPr>
        <w:rPr>
          <w:lang w:val="en-GB"/>
        </w:rPr>
      </w:pPr>
    </w:p>
    <w:p w:rsidR="008C206C" w:rsidRPr="00491918" w:rsidRDefault="008C206C" w:rsidP="000D1659">
      <w:pPr>
        <w:pStyle w:val="Level1Bullet-BarcRA110"/>
        <w:numPr>
          <w:ilvl w:val="0"/>
          <w:numId w:val="0"/>
        </w:numPr>
        <w:rPr>
          <w:lang w:val="en-GB"/>
        </w:rPr>
      </w:pPr>
    </w:p>
    <w:p w:rsidR="0070784B" w:rsidRPr="00491918" w:rsidRDefault="0070784B" w:rsidP="000D1659">
      <w:pPr>
        <w:pStyle w:val="Level1Bullet-BarcRA110"/>
        <w:numPr>
          <w:ilvl w:val="0"/>
          <w:numId w:val="0"/>
        </w:numPr>
        <w:rPr>
          <w:lang w:val="en-GB"/>
        </w:rPr>
      </w:pPr>
    </w:p>
    <w:p w:rsidR="000D1659" w:rsidRPr="00491918" w:rsidRDefault="000D1659" w:rsidP="000D1659">
      <w:pPr>
        <w:pStyle w:val="NoteandSourceText-BarcRA11"/>
        <w:ind w:left="284" w:hanging="284"/>
      </w:pPr>
      <w:r w:rsidRPr="00491918">
        <w:t>All portfolios under Secured Home Loans are primarily first lien mortgages. Other Secured Retail Lending under Barclaycard is a second lien mortgage portfolio.</w:t>
      </w:r>
    </w:p>
    <w:p w:rsidR="0070784B" w:rsidRPr="00491918" w:rsidRDefault="000D1659" w:rsidP="0070784B">
      <w:pPr>
        <w:pStyle w:val="NoteandSourceText-BarcRA11"/>
        <w:ind w:left="284" w:hanging="284"/>
      </w:pPr>
      <w:r w:rsidRPr="00491918">
        <w:t>Other Secured Lending includes Vehicle Auto Finance in Africa RBB and UK Secured Lending in Barclaycard</w:t>
      </w:r>
      <w:r w:rsidR="008C206C" w:rsidRPr="00491918">
        <w:t>.</w:t>
      </w:r>
    </w:p>
    <w:p w:rsidR="0007202F" w:rsidRPr="00491918" w:rsidRDefault="0007202F" w:rsidP="0007202F">
      <w:pPr>
        <w:pStyle w:val="NoteandSourceText-BarcRA11"/>
        <w:numPr>
          <w:ilvl w:val="0"/>
          <w:numId w:val="0"/>
        </w:numPr>
        <w:ind w:left="360" w:hanging="360"/>
      </w:pPr>
    </w:p>
    <w:p w:rsidR="00DA356B" w:rsidRPr="00491918" w:rsidRDefault="00DA356B" w:rsidP="0007202F">
      <w:pPr>
        <w:pStyle w:val="HeadingLevel1-BarcRA35"/>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p w:rsidR="000D1659" w:rsidRPr="00491918" w:rsidRDefault="000D1659"/>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E9782A" w:rsidRPr="00491918" w:rsidTr="00FF7A7C">
        <w:trPr>
          <w:trHeight w:val="300"/>
        </w:trPr>
        <w:tc>
          <w:tcPr>
            <w:tcW w:w="5745"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0"/>
              </w:rPr>
              <w:t>Analysis of Potential Credit Risk Loans and Coverage Ratios</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r>
      <w:tr w:rsidR="000D1659" w:rsidRPr="00491918">
        <w:trPr>
          <w:trHeight w:hRule="exact" w:val="285"/>
        </w:trPr>
        <w:tc>
          <w:tcPr>
            <w:tcW w:w="394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b/>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b/>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b/>
                <w:color w:val="000000"/>
                <w:sz w:val="20"/>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r>
      <w:tr w:rsidR="00E9782A" w:rsidRPr="00491918" w:rsidTr="00FF7A7C">
        <w:trPr>
          <w:trHeight w:val="270"/>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PPLs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PCRLs</w:t>
            </w:r>
          </w:p>
        </w:tc>
      </w:tr>
      <w:tr w:rsidR="000D1659" w:rsidRPr="00491918">
        <w:trPr>
          <w:trHeight w:val="240"/>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lastRenderedPageBreak/>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40"/>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r>
      <w:tr w:rsidR="000D1659" w:rsidRPr="00491918">
        <w:trPr>
          <w:trHeight w:val="240"/>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0D1659" w:rsidRPr="00491918" w:rsidTr="00FF7A7C">
        <w:trPr>
          <w:trHeight w:val="240"/>
        </w:trPr>
        <w:tc>
          <w:tcPr>
            <w:tcW w:w="394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Home loans</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3,167 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3,397 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244 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262 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3,411 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3,659 </w:t>
            </w:r>
          </w:p>
        </w:tc>
      </w:tr>
      <w:tr w:rsidR="000D1659" w:rsidRPr="00491918">
        <w:trPr>
          <w:trHeight w:val="240"/>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Credit cards and unsecured lending</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3,861 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3,954 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298 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295 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4,159 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4,249 </w:t>
            </w:r>
          </w:p>
        </w:tc>
      </w:tr>
      <w:tr w:rsidR="000D1659" w:rsidRPr="00491918">
        <w:trPr>
          <w:trHeight w:val="240"/>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 and business banking</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1,411 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1,470 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87 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1,498 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1,569 </w:t>
            </w:r>
          </w:p>
        </w:tc>
      </w:tr>
      <w:tr w:rsidR="000D1659" w:rsidRPr="00491918">
        <w:trPr>
          <w:trHeight w:val="240"/>
        </w:trPr>
        <w:tc>
          <w:tcPr>
            <w:tcW w:w="3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retail</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8,439 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8,821 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629 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656 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9,068 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9,477 </w:t>
            </w:r>
          </w:p>
        </w:tc>
      </w:tr>
      <w:tr w:rsidR="000D1659" w:rsidRPr="00491918">
        <w:trPr>
          <w:trHeight w:hRule="exact" w:val="240"/>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E9782A" w:rsidRPr="00491918" w:rsidTr="00FF7A7C">
        <w:trPr>
          <w:trHeight w:val="240"/>
        </w:trPr>
        <w:tc>
          <w:tcPr>
            <w:tcW w:w="394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Impairment allowance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 coverage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 coverage</w:t>
            </w:r>
          </w:p>
        </w:tc>
      </w:tr>
      <w:tr w:rsidR="000D1659" w:rsidRPr="00491918">
        <w:trPr>
          <w:trHeight w:val="240"/>
        </w:trPr>
        <w:tc>
          <w:tcPr>
            <w:tcW w:w="394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40"/>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r>
      <w:tr w:rsidR="000D1659" w:rsidRPr="00491918">
        <w:trPr>
          <w:trHeight w:val="240"/>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bl>
    <w:p w:rsidR="00FF7A7C" w:rsidRPr="00491918" w:rsidRDefault="00FF7A7C"/>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0D1659" w:rsidRPr="00491918" w:rsidTr="00FF7A7C">
        <w:trPr>
          <w:trHeight w:val="240"/>
        </w:trPr>
        <w:tc>
          <w:tcPr>
            <w:tcW w:w="394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Home loans</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866 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849 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27.3 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25.0 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25.4 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23.2 </w:t>
            </w:r>
          </w:p>
        </w:tc>
      </w:tr>
      <w:tr w:rsidR="000D1659" w:rsidRPr="00491918">
        <w:trPr>
          <w:trHeight w:val="240"/>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Credit cards and unsecured lending</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3,224 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3,212 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83.5 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81.2 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77.5 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75.6 </w:t>
            </w:r>
          </w:p>
        </w:tc>
      </w:tr>
      <w:tr w:rsidR="000D1659" w:rsidRPr="00491918">
        <w:trPr>
          <w:trHeight w:val="240"/>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 and business banking</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609 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574 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43.2 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39.0 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40.7 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36.6 </w:t>
            </w:r>
          </w:p>
        </w:tc>
      </w:tr>
      <w:tr w:rsidR="000D1659" w:rsidRPr="00491918">
        <w:trPr>
          <w:trHeight w:val="240"/>
        </w:trPr>
        <w:tc>
          <w:tcPr>
            <w:tcW w:w="3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retail</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4,699 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4,635 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55.7 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52.5 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51.8 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48.9 </w:t>
            </w:r>
          </w:p>
        </w:tc>
      </w:tr>
    </w:tbl>
    <w:p w:rsidR="000D1659" w:rsidRPr="00491918" w:rsidRDefault="000D1659"/>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E9782A" w:rsidRPr="00491918" w:rsidTr="00FF7A7C">
        <w:trPr>
          <w:trHeight w:val="255"/>
        </w:trPr>
        <w:tc>
          <w:tcPr>
            <w:tcW w:w="6795" w:type="dxa"/>
            <w:gridSpan w:val="5"/>
            <w:tcBorders>
              <w:top w:val="nil"/>
              <w:left w:val="nil"/>
              <w:bottom w:val="nil"/>
              <w:right w:val="nil"/>
            </w:tcBorders>
            <w:shd w:val="clear" w:color="auto" w:fill="FFFFFF"/>
            <w:tcMar>
              <w:left w:w="36" w:type="dxa"/>
              <w:right w:w="36" w:type="dxa"/>
            </w:tcMar>
            <w:vAlign w:val="bottom"/>
          </w:tcPr>
          <w:p w:rsidR="00131A67" w:rsidRPr="00491918" w:rsidRDefault="00131A67">
            <w:pPr>
              <w:rPr>
                <w:b/>
                <w:color w:val="000000"/>
                <w:sz w:val="20"/>
              </w:rPr>
            </w:pPr>
          </w:p>
          <w:p w:rsidR="000D1659" w:rsidRPr="00491918" w:rsidRDefault="000D1659">
            <w:r w:rsidRPr="00491918">
              <w:rPr>
                <w:b/>
                <w:color w:val="000000"/>
                <w:sz w:val="20"/>
              </w:rPr>
              <w:t>Potential Credit Risk Loans and Coverage Ratios by business</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Arial" w:eastAsia="Arial" w:hAnsi="Arial" w:cs="Arial"/>
                <w:color w:val="000000"/>
                <w:sz w:val="20"/>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r>
      <w:tr w:rsidR="00E9782A" w:rsidRPr="00491918" w:rsidTr="00FF7A7C">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PPLs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PCRLs</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r>
      <w:tr w:rsidR="000D1659" w:rsidRPr="00491918">
        <w:trPr>
          <w:trHeight w:val="255"/>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0D1659" w:rsidRPr="00491918" w:rsidTr="00FF7A7C">
        <w:trPr>
          <w:trHeight w:val="255"/>
        </w:trPr>
        <w:tc>
          <w:tcPr>
            <w:tcW w:w="394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RBB</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2,770 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2,883 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251 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283 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3,021 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3,166 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Europe RBB</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1,807 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1,734 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98 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1,892 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1,832 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Africa RBB</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1,469 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1,790 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1,533 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1,851 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Barclaycard</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2,296 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2,288 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223 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208 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2,519 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2,496 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 Banking</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92 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97 </w:t>
            </w:r>
          </w:p>
        </w:tc>
      </w:tr>
      <w:tr w:rsidR="000D1659" w:rsidRPr="00491918">
        <w:trPr>
          <w:trHeight w:val="255"/>
        </w:trPr>
        <w:tc>
          <w:tcPr>
            <w:tcW w:w="394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Wealth and Investment Management</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43 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45 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35 </w:t>
            </w:r>
          </w:p>
        </w:tc>
      </w:tr>
      <w:tr w:rsidR="000D1659" w:rsidRPr="00491918">
        <w:trPr>
          <w:trHeight w:val="255"/>
        </w:trPr>
        <w:tc>
          <w:tcPr>
            <w:tcW w:w="394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retail</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8,439 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8,821 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629 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656 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9,068 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9,477 </w:t>
            </w:r>
          </w:p>
        </w:tc>
      </w:tr>
      <w:tr w:rsidR="000D1659" w:rsidRPr="00491918">
        <w:trPr>
          <w:trHeight w:hRule="exac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E9782A" w:rsidRPr="00491918" w:rsidTr="00FF7A7C">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Impairment allowance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 coverage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 coverage</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r>
      <w:tr w:rsidR="000D1659" w:rsidRPr="00491918">
        <w:trPr>
          <w:trHeight w:val="255"/>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bl>
    <w:p w:rsidR="00FF7A7C" w:rsidRPr="00491918" w:rsidRDefault="00FF7A7C"/>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0D1659" w:rsidRPr="00491918" w:rsidTr="00FF7A7C">
        <w:trPr>
          <w:trHeight w:val="255"/>
        </w:trPr>
        <w:tc>
          <w:tcPr>
            <w:tcW w:w="394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RBB</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1,337 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1,369 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48.3 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47.5 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44.3 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43.2 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Europe RBB</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638 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560 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35.3 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32.3 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33.7 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30.6 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Africa RBB</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656 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700 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44.7 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42.8 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37.8 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Barclaycard</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2,004 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1,911 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87.3 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83.5 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79.6 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76.6 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 Banking</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79 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88.9 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85.9 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82.8 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81.4 </w:t>
            </w:r>
          </w:p>
        </w:tc>
      </w:tr>
      <w:tr w:rsidR="000D1659" w:rsidRPr="00491918">
        <w:trPr>
          <w:trHeight w:val="255"/>
        </w:trPr>
        <w:tc>
          <w:tcPr>
            <w:tcW w:w="394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Wealth and Investment Management</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37.2 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47.1 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35.6 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45.7 </w:t>
            </w:r>
          </w:p>
        </w:tc>
      </w:tr>
      <w:tr w:rsidR="000D1659" w:rsidRPr="00491918">
        <w:trPr>
          <w:trHeight w:val="255"/>
        </w:trPr>
        <w:tc>
          <w:tcPr>
            <w:tcW w:w="394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retail</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4,699 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4,635 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55.7 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52.5 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51.8 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48.9 </w:t>
            </w:r>
          </w:p>
        </w:tc>
      </w:tr>
    </w:tbl>
    <w:p w:rsidR="000D1659" w:rsidRPr="00491918" w:rsidRDefault="000D1659"/>
    <w:p w:rsidR="000D1659" w:rsidRPr="00491918" w:rsidRDefault="000D1659" w:rsidP="00EC729A">
      <w:pPr>
        <w:pStyle w:val="Level1Bullet-BarcRA201"/>
        <w:numPr>
          <w:ilvl w:val="0"/>
          <w:numId w:val="133"/>
        </w:numPr>
      </w:pPr>
      <w:r w:rsidRPr="00491918">
        <w:t xml:space="preserve">CRL balances in retail portfolios decreased </w:t>
      </w:r>
      <w:r w:rsidRPr="00491918">
        <w:rPr>
          <w:lang w:val="en-GB"/>
        </w:rPr>
        <w:t>4</w:t>
      </w:r>
      <w:r w:rsidRPr="00491918">
        <w:t xml:space="preserve">%, primarily in: </w:t>
      </w:r>
    </w:p>
    <w:p w:rsidR="000D1659" w:rsidRPr="00491918" w:rsidRDefault="000D1659" w:rsidP="00EC729A">
      <w:pPr>
        <w:pStyle w:val="Level2Bullet-BarcRA6"/>
        <w:numPr>
          <w:ilvl w:val="2"/>
          <w:numId w:val="135"/>
        </w:numPr>
        <w:tabs>
          <w:tab w:val="num" w:pos="567"/>
        </w:tabs>
        <w:ind w:left="567" w:hanging="283"/>
      </w:pPr>
      <w:r w:rsidRPr="00491918">
        <w:rPr>
          <w:lang w:val="en-GB"/>
        </w:rPr>
        <w:t xml:space="preserve"> </w:t>
      </w:r>
      <w:r w:rsidRPr="00491918">
        <w:t xml:space="preserve">Africa RBB, </w:t>
      </w:r>
      <w:r w:rsidRPr="00491918">
        <w:rPr>
          <w:lang w:val="en-GB"/>
        </w:rPr>
        <w:t xml:space="preserve">principally due to improved recoveries in South Africa home loans and depreciation of ZAR against GBP </w:t>
      </w:r>
    </w:p>
    <w:p w:rsidR="000D1659" w:rsidRPr="00491918" w:rsidRDefault="000D1659" w:rsidP="00EC729A">
      <w:pPr>
        <w:pStyle w:val="Level2Bullet-BarcRA6"/>
        <w:numPr>
          <w:ilvl w:val="2"/>
          <w:numId w:val="135"/>
        </w:numPr>
        <w:tabs>
          <w:tab w:val="num" w:pos="567"/>
        </w:tabs>
        <w:ind w:left="567" w:hanging="283"/>
      </w:pPr>
      <w:r w:rsidRPr="00491918">
        <w:t>UK RBB,</w:t>
      </w:r>
      <w:r w:rsidRPr="00491918">
        <w:rPr>
          <w:lang w:val="en-US"/>
        </w:rPr>
        <w:t xml:space="preserve"> </w:t>
      </w:r>
      <w:r w:rsidRPr="00491918">
        <w:rPr>
          <w:lang w:val="en-GB"/>
        </w:rPr>
        <w:t>where reductions reflected</w:t>
      </w:r>
      <w:r w:rsidRPr="00491918">
        <w:rPr>
          <w:lang w:val="en-US"/>
        </w:rPr>
        <w:t xml:space="preserve"> </w:t>
      </w:r>
      <w:r w:rsidRPr="00491918">
        <w:t>lower recovery balances</w:t>
      </w:r>
      <w:r w:rsidRPr="00491918">
        <w:rPr>
          <w:lang w:val="en-US"/>
        </w:rPr>
        <w:t xml:space="preserve"> </w:t>
      </w:r>
      <w:r w:rsidRPr="00491918">
        <w:rPr>
          <w:lang w:val="en-GB"/>
        </w:rPr>
        <w:t xml:space="preserve">across portfolios primarily due to improved performance in Business Banking and in Consumer Lending </w:t>
      </w:r>
    </w:p>
    <w:p w:rsidR="000D1659" w:rsidRPr="00491918" w:rsidRDefault="000D1659" w:rsidP="00EC729A">
      <w:pPr>
        <w:pStyle w:val="Level2Bullet-BarcRA60"/>
        <w:numPr>
          <w:ilvl w:val="2"/>
          <w:numId w:val="137"/>
        </w:numPr>
        <w:tabs>
          <w:tab w:val="num" w:pos="567"/>
        </w:tabs>
        <w:ind w:left="567" w:hanging="283"/>
        <w:rPr>
          <w:lang w:val="en-GB"/>
        </w:rPr>
      </w:pPr>
      <w:r w:rsidRPr="00491918">
        <w:t>This was partially offset by higher balances in Europe RBB primarily due to an increase in</w:t>
      </w:r>
      <w:r w:rsidRPr="00491918">
        <w:rPr>
          <w:lang w:val="en-US"/>
        </w:rPr>
        <w:t xml:space="preserve"> </w:t>
      </w:r>
      <w:r w:rsidRPr="00491918">
        <w:rPr>
          <w:lang w:val="en-GB"/>
        </w:rPr>
        <w:t xml:space="preserve">mortgage recovery balances across all home loans portfolios reflecting </w:t>
      </w:r>
      <w:r w:rsidR="00333D40" w:rsidRPr="00491918">
        <w:rPr>
          <w:lang w:val="en-GB"/>
        </w:rPr>
        <w:t xml:space="preserve">challenging </w:t>
      </w:r>
      <w:r w:rsidRPr="00491918">
        <w:rPr>
          <w:lang w:val="en-GB"/>
        </w:rPr>
        <w:t>economic conditions</w:t>
      </w:r>
    </w:p>
    <w:p w:rsidR="0007202F" w:rsidRPr="00491918" w:rsidRDefault="00844B98" w:rsidP="0007202F">
      <w:pPr>
        <w:pStyle w:val="HeadingLevel1-BarcRA35"/>
        <w:rPr>
          <w:lang w:val="en-GB"/>
        </w:rPr>
      </w:pPr>
      <w:r w:rsidRPr="00491918">
        <w:rPr>
          <w:color w:val="auto"/>
          <w:lang w:val="en-GB"/>
        </w:rPr>
        <w:br w:type="page"/>
      </w:r>
      <w:r w:rsidR="0007202F" w:rsidRPr="00491918">
        <w:rPr>
          <w:lang w:val="en-GB"/>
        </w:rPr>
        <w:lastRenderedPageBreak/>
        <w:t xml:space="preserve">Credit </w:t>
      </w:r>
      <w:r w:rsidR="0007202F" w:rsidRPr="00491918">
        <w:t>Risk</w:t>
      </w:r>
    </w:p>
    <w:p w:rsidR="000D1659" w:rsidRPr="00491918" w:rsidRDefault="000D1659" w:rsidP="008D6001">
      <w:pPr>
        <w:pStyle w:val="HeadingLevel2-BarcRA12"/>
        <w:outlineLvl w:val="0"/>
        <w:rPr>
          <w:color w:val="auto"/>
        </w:rPr>
      </w:pPr>
      <w:r w:rsidRPr="00491918">
        <w:rPr>
          <w:color w:val="auto"/>
          <w:lang w:val="en-GB"/>
        </w:rPr>
        <w:t xml:space="preserve">Secured </w:t>
      </w:r>
      <w:r w:rsidRPr="00491918">
        <w:rPr>
          <w:color w:val="auto"/>
          <w:lang w:val="en-US"/>
        </w:rPr>
        <w:t>h</w:t>
      </w:r>
      <w:r w:rsidRPr="00491918">
        <w:rPr>
          <w:color w:val="auto"/>
        </w:rPr>
        <w:t xml:space="preserve">ome </w:t>
      </w:r>
      <w:r w:rsidRPr="00491918">
        <w:rPr>
          <w:color w:val="auto"/>
          <w:lang w:val="en-US"/>
        </w:rPr>
        <w:t>l</w:t>
      </w:r>
      <w:r w:rsidRPr="00491918">
        <w:rPr>
          <w:color w:val="auto"/>
        </w:rPr>
        <w:t>oans</w:t>
      </w:r>
    </w:p>
    <w:p w:rsidR="000D1659" w:rsidRPr="00491918" w:rsidRDefault="000D1659" w:rsidP="00EC729A">
      <w:pPr>
        <w:pStyle w:val="Level1Bullet-BarcRA201"/>
        <w:numPr>
          <w:ilvl w:val="0"/>
          <w:numId w:val="133"/>
        </w:numPr>
      </w:pPr>
      <w:r w:rsidRPr="00491918">
        <w:t>The principal home loan portfolios listed below account for 96% (2012: 96%) of total home loans in the Group’s retail portfolios</w:t>
      </w:r>
    </w:p>
    <w:p w:rsidR="000D1659" w:rsidRPr="00491918" w:rsidRDefault="000D1659" w:rsidP="00EC729A">
      <w:pPr>
        <w:pStyle w:val="Level1Bullet-BarcRA201"/>
        <w:numPr>
          <w:ilvl w:val="0"/>
          <w:numId w:val="133"/>
        </w:numPr>
      </w:pPr>
      <w:r w:rsidRPr="00491918">
        <w:t>Total home loans to retail customers increased 4% to £176,247m (2012: £169,554m)</w:t>
      </w:r>
    </w:p>
    <w:p w:rsidR="000D1659" w:rsidRPr="00491918" w:rsidRDefault="000D1659"/>
    <w:tbl>
      <w:tblPr>
        <w:tblW w:w="0" w:type="auto"/>
        <w:tblLayout w:type="fixed"/>
        <w:tblLook w:val="0000" w:firstRow="0" w:lastRow="0" w:firstColumn="0" w:lastColumn="0" w:noHBand="0" w:noVBand="0"/>
      </w:tblPr>
      <w:tblGrid>
        <w:gridCol w:w="1200"/>
        <w:gridCol w:w="1395"/>
        <w:gridCol w:w="1395"/>
        <w:gridCol w:w="1395"/>
        <w:gridCol w:w="1395"/>
        <w:gridCol w:w="1395"/>
        <w:gridCol w:w="1395"/>
      </w:tblGrid>
      <w:tr w:rsidR="00E9782A" w:rsidRPr="00491918" w:rsidTr="00FF7A7C">
        <w:trPr>
          <w:trHeight w:val="240"/>
        </w:trPr>
        <w:tc>
          <w:tcPr>
            <w:tcW w:w="3990" w:type="dxa"/>
            <w:gridSpan w:val="3"/>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18"/>
              </w:rPr>
              <w:t>Home loans principal portfolios</w:t>
            </w:r>
            <w:r w:rsidRPr="00491918">
              <w:rPr>
                <w:b/>
                <w:color w:val="000000"/>
                <w:sz w:val="16"/>
                <w:vertAlign w:val="superscript"/>
              </w:rPr>
              <w:t>1 </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color w:val="000000"/>
                <w:sz w:val="16"/>
              </w:rPr>
              <w:t xml:space="preserve"> </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1020"/>
        </w:trPr>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b/>
                <w:color w:val="000000"/>
                <w:sz w:val="16"/>
              </w:rPr>
              <w:t>As at 30.06.13</w:t>
            </w:r>
            <w:r w:rsidRPr="00491918">
              <w:rPr>
                <w:b/>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Gross loans and advances</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&gt; 90 Day</w:t>
            </w:r>
          </w:p>
          <w:p w:rsidR="000D1659" w:rsidRPr="00491918" w:rsidRDefault="000D1659">
            <w:pPr>
              <w:jc w:val="right"/>
              <w:rPr>
                <w:b/>
                <w:color w:val="000000"/>
                <w:sz w:val="16"/>
              </w:rPr>
            </w:pPr>
            <w:r w:rsidRPr="00491918">
              <w:rPr>
                <w:b/>
                <w:color w:val="000000"/>
                <w:sz w:val="16"/>
              </w:rPr>
              <w:t>arrears</w:t>
            </w:r>
            <w:r w:rsidRPr="00491918">
              <w:rPr>
                <w:b/>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&gt; 90 Day</w:t>
            </w:r>
          </w:p>
          <w:p w:rsidR="000D1659" w:rsidRPr="00491918" w:rsidRDefault="000D1659">
            <w:pPr>
              <w:jc w:val="right"/>
              <w:rPr>
                <w:b/>
                <w:color w:val="000000"/>
                <w:sz w:val="16"/>
              </w:rPr>
            </w:pPr>
            <w:r w:rsidRPr="00491918">
              <w:rPr>
                <w:b/>
                <w:color w:val="000000"/>
                <w:sz w:val="16"/>
              </w:rPr>
              <w:t>arrears,</w:t>
            </w:r>
          </w:p>
          <w:p w:rsidR="000D1659" w:rsidRPr="00491918" w:rsidRDefault="000D1659">
            <w:pPr>
              <w:jc w:val="right"/>
              <w:rPr>
                <w:b/>
                <w:color w:val="000000"/>
                <w:sz w:val="16"/>
              </w:rPr>
            </w:pPr>
            <w:r w:rsidRPr="00491918">
              <w:rPr>
                <w:b/>
                <w:color w:val="000000"/>
                <w:sz w:val="16"/>
              </w:rPr>
              <w:t xml:space="preserve">including </w:t>
            </w:r>
          </w:p>
          <w:p w:rsidR="000D1659" w:rsidRPr="00491918" w:rsidRDefault="000D1659">
            <w:pPr>
              <w:jc w:val="right"/>
              <w:rPr>
                <w:b/>
                <w:color w:val="000000"/>
                <w:sz w:val="16"/>
              </w:rPr>
            </w:pPr>
            <w:r w:rsidRPr="00491918">
              <w:rPr>
                <w:b/>
                <w:color w:val="000000"/>
                <w:sz w:val="16"/>
              </w:rPr>
              <w:t>recoveries</w:t>
            </w:r>
            <w:r w:rsidRPr="00491918">
              <w:rPr>
                <w:b/>
                <w:color w:val="000000"/>
                <w:sz w:val="16"/>
                <w:vertAlign w:val="superscript"/>
              </w:rPr>
              <w:t>2 </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Gross</w:t>
            </w:r>
          </w:p>
          <w:p w:rsidR="000D1659" w:rsidRPr="00491918" w:rsidRDefault="000D1659">
            <w:pPr>
              <w:jc w:val="right"/>
              <w:rPr>
                <w:b/>
                <w:color w:val="000000"/>
                <w:sz w:val="16"/>
              </w:rPr>
            </w:pPr>
            <w:r w:rsidRPr="00491918">
              <w:rPr>
                <w:b/>
                <w:color w:val="000000"/>
                <w:sz w:val="16"/>
              </w:rPr>
              <w:t xml:space="preserve">charge-off </w:t>
            </w:r>
          </w:p>
          <w:p w:rsidR="000D1659" w:rsidRPr="00491918" w:rsidRDefault="000D1659">
            <w:pPr>
              <w:jc w:val="right"/>
              <w:rPr>
                <w:b/>
                <w:color w:val="000000"/>
                <w:sz w:val="16"/>
              </w:rPr>
            </w:pPr>
            <w:r w:rsidRPr="00491918">
              <w:rPr>
                <w:b/>
                <w:color w:val="000000"/>
                <w:sz w:val="16"/>
              </w:rPr>
              <w:t>rates</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Recoveries </w:t>
            </w:r>
          </w:p>
          <w:p w:rsidR="000D1659" w:rsidRPr="00491918" w:rsidRDefault="000D1659">
            <w:pPr>
              <w:jc w:val="right"/>
              <w:rPr>
                <w:b/>
                <w:color w:val="000000"/>
                <w:sz w:val="16"/>
              </w:rPr>
            </w:pPr>
            <w:r w:rsidRPr="00491918">
              <w:rPr>
                <w:b/>
                <w:color w:val="000000"/>
                <w:sz w:val="16"/>
              </w:rPr>
              <w:t xml:space="preserve">proportion of </w:t>
            </w:r>
          </w:p>
          <w:p w:rsidR="000D1659" w:rsidRPr="00491918" w:rsidRDefault="000D1659">
            <w:pPr>
              <w:jc w:val="right"/>
              <w:rPr>
                <w:b/>
                <w:color w:val="000000"/>
                <w:sz w:val="16"/>
              </w:rPr>
            </w:pPr>
            <w:r w:rsidRPr="00491918">
              <w:rPr>
                <w:b/>
                <w:color w:val="000000"/>
                <w:sz w:val="16"/>
              </w:rPr>
              <w:t xml:space="preserve">outstanding </w:t>
            </w:r>
          </w:p>
          <w:p w:rsidR="000D1659" w:rsidRPr="00491918" w:rsidRDefault="000D1659">
            <w:pPr>
              <w:jc w:val="right"/>
              <w:rPr>
                <w:b/>
                <w:color w:val="000000"/>
                <w:sz w:val="16"/>
              </w:rPr>
            </w:pPr>
            <w:r w:rsidRPr="00491918">
              <w:rPr>
                <w:b/>
                <w:color w:val="000000"/>
                <w:sz w:val="16"/>
              </w:rPr>
              <w:t>balances</w:t>
            </w:r>
          </w:p>
        </w:tc>
        <w:tc>
          <w:tcPr>
            <w:tcW w:w="13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Recoveries</w:t>
            </w:r>
          </w:p>
          <w:p w:rsidR="000D1659" w:rsidRPr="00491918" w:rsidRDefault="000D1659">
            <w:pPr>
              <w:jc w:val="right"/>
              <w:rPr>
                <w:b/>
                <w:color w:val="000000"/>
                <w:sz w:val="16"/>
              </w:rPr>
            </w:pPr>
            <w:r w:rsidRPr="00491918">
              <w:rPr>
                <w:b/>
                <w:color w:val="000000"/>
                <w:sz w:val="16"/>
              </w:rPr>
              <w:t>impairment</w:t>
            </w:r>
          </w:p>
          <w:p w:rsidR="000D1659" w:rsidRPr="00491918" w:rsidRDefault="000D1659">
            <w:pPr>
              <w:jc w:val="right"/>
              <w:rPr>
                <w:b/>
                <w:color w:val="000000"/>
                <w:sz w:val="16"/>
              </w:rPr>
            </w:pPr>
            <w:r w:rsidRPr="00491918">
              <w:rPr>
                <w:b/>
                <w:color w:val="000000"/>
                <w:sz w:val="16"/>
              </w:rPr>
              <w:t>coverage ratio</w:t>
            </w:r>
            <w:r w:rsidRPr="00491918">
              <w:rPr>
                <w:b/>
                <w:color w:val="000000"/>
                <w:sz w:val="16"/>
                <w:vertAlign w:val="superscript"/>
              </w:rPr>
              <w:t xml:space="preserve"> </w:t>
            </w:r>
          </w:p>
        </w:tc>
      </w:tr>
      <w:tr w:rsidR="000D1659" w:rsidRPr="00491918">
        <w:trPr>
          <w:trHeight w:val="240"/>
        </w:trPr>
        <w:tc>
          <w:tcPr>
            <w:tcW w:w="12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£m</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w:t>
            </w:r>
            <w:r w:rsidRPr="00491918">
              <w:rPr>
                <w:color w:val="000000"/>
                <w:sz w:val="16"/>
                <w:vertAlign w:val="superscript"/>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r>
    </w:tbl>
    <w:p w:rsidR="00FF7A7C" w:rsidRPr="00491918" w:rsidRDefault="00FF7A7C"/>
    <w:tbl>
      <w:tblPr>
        <w:tblW w:w="0" w:type="auto"/>
        <w:tblLayout w:type="fixed"/>
        <w:tblLook w:val="0000" w:firstRow="0" w:lastRow="0" w:firstColumn="0" w:lastColumn="0" w:noHBand="0" w:noVBand="0"/>
      </w:tblPr>
      <w:tblGrid>
        <w:gridCol w:w="1200"/>
        <w:gridCol w:w="1395"/>
        <w:gridCol w:w="1395"/>
        <w:gridCol w:w="1395"/>
        <w:gridCol w:w="1395"/>
        <w:gridCol w:w="1395"/>
        <w:gridCol w:w="1395"/>
      </w:tblGrid>
      <w:tr w:rsidR="000D1659" w:rsidRPr="00491918" w:rsidTr="00FF7A7C">
        <w:trPr>
          <w:trHeight w:val="240"/>
        </w:trPr>
        <w:tc>
          <w:tcPr>
            <w:tcW w:w="120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UK</w:t>
            </w:r>
            <w:r w:rsidRPr="00491918">
              <w:rPr>
                <w:color w:val="000000"/>
                <w:sz w:val="16"/>
                <w:vertAlign w:val="superscript"/>
              </w:rPr>
              <w:t xml:space="preserve"> </w:t>
            </w:r>
          </w:p>
        </w:tc>
        <w:tc>
          <w:tcPr>
            <w:tcW w:w="13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121,784 </w:t>
            </w:r>
          </w:p>
        </w:tc>
        <w:tc>
          <w:tcPr>
            <w:tcW w:w="13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0.3 </w:t>
            </w:r>
            <w:r w:rsidRPr="00491918">
              <w:rPr>
                <w:color w:val="000000"/>
                <w:sz w:val="16"/>
                <w:vertAlign w:val="superscript"/>
              </w:rPr>
              <w:t xml:space="preserve"> </w:t>
            </w:r>
          </w:p>
        </w:tc>
        <w:tc>
          <w:tcPr>
            <w:tcW w:w="13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0.8 </w:t>
            </w:r>
            <w:r w:rsidRPr="00491918">
              <w:rPr>
                <w:color w:val="000000"/>
                <w:sz w:val="16"/>
                <w:vertAlign w:val="superscript"/>
              </w:rPr>
              <w:t xml:space="preserve"> </w:t>
            </w:r>
          </w:p>
        </w:tc>
        <w:tc>
          <w:tcPr>
            <w:tcW w:w="13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0.5 </w:t>
            </w:r>
          </w:p>
        </w:tc>
        <w:tc>
          <w:tcPr>
            <w:tcW w:w="13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0.5 </w:t>
            </w:r>
          </w:p>
        </w:tc>
        <w:tc>
          <w:tcPr>
            <w:tcW w:w="139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13.7 </w:t>
            </w:r>
            <w:r w:rsidRPr="00491918">
              <w:rPr>
                <w:b/>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South Africa</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14,156 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7.8 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2.9 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36.0 </w:t>
            </w:r>
            <w:r w:rsidRPr="00491918">
              <w:rPr>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Spain</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13,756 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2.8 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36.5 </w:t>
            </w:r>
            <w:r w:rsidRPr="00491918">
              <w:rPr>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Italy</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16,248 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3.1 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0.7 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25.8 </w:t>
            </w:r>
            <w:r w:rsidRPr="00491918">
              <w:rPr>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Portugal</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3,814 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3.5 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30.0 </w:t>
            </w:r>
            <w:r w:rsidRPr="00491918">
              <w:rPr>
                <w:color w:val="000000"/>
                <w:sz w:val="16"/>
                <w:vertAlign w:val="superscript"/>
              </w:rPr>
              <w:t xml:space="preserve"> </w:t>
            </w:r>
          </w:p>
        </w:tc>
      </w:tr>
      <w:tr w:rsidR="000D1659" w:rsidRPr="00491918">
        <w:trPr>
          <w:trHeight w:hRule="exac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240"/>
        </w:trPr>
        <w:tc>
          <w:tcPr>
            <w:tcW w:w="12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As at 31.12.12</w:t>
            </w:r>
            <w:r w:rsidRPr="00491918">
              <w:rPr>
                <w:b/>
                <w:color w:val="000000"/>
                <w:sz w:val="16"/>
                <w:vertAlign w:val="superscript"/>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3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r>
      <w:tr w:rsidR="000D1659" w:rsidRPr="00491918">
        <w:trPr>
          <w:trHeight w:val="240"/>
        </w:trPr>
        <w:tc>
          <w:tcPr>
            <w:tcW w:w="12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UK</w:t>
            </w:r>
            <w:r w:rsidRPr="00491918">
              <w:rPr>
                <w:color w:val="000000"/>
                <w:sz w:val="16"/>
                <w:vertAlign w:val="superscript"/>
              </w:rPr>
              <w:t xml:space="preserve"> </w:t>
            </w:r>
          </w:p>
        </w:tc>
        <w:tc>
          <w:tcPr>
            <w:tcW w:w="13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114,766 </w:t>
            </w:r>
          </w:p>
        </w:tc>
        <w:tc>
          <w:tcPr>
            <w:tcW w:w="13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0.3 </w:t>
            </w:r>
            <w:r w:rsidRPr="00491918">
              <w:rPr>
                <w:color w:val="000000"/>
                <w:sz w:val="16"/>
                <w:vertAlign w:val="superscript"/>
              </w:rPr>
              <w:t xml:space="preserve"> </w:t>
            </w:r>
          </w:p>
        </w:tc>
        <w:tc>
          <w:tcPr>
            <w:tcW w:w="13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0.8 </w:t>
            </w:r>
            <w:r w:rsidRPr="00491918">
              <w:rPr>
                <w:color w:val="000000"/>
                <w:sz w:val="16"/>
                <w:vertAlign w:val="superscript"/>
              </w:rPr>
              <w:t xml:space="preserve"> </w:t>
            </w:r>
          </w:p>
        </w:tc>
        <w:tc>
          <w:tcPr>
            <w:tcW w:w="13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0.6 </w:t>
            </w:r>
          </w:p>
        </w:tc>
        <w:tc>
          <w:tcPr>
            <w:tcW w:w="139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0.5 </w:t>
            </w:r>
          </w:p>
        </w:tc>
        <w:tc>
          <w:tcPr>
            <w:tcW w:w="139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13.4 </w:t>
            </w:r>
            <w:r w:rsidRPr="00491918">
              <w:rPr>
                <w:b/>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South Africa</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15,773 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8.4 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3.9 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6.9 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34.6 </w:t>
            </w:r>
            <w:r w:rsidRPr="00491918">
              <w:rPr>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Spain</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13,551 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2.6 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1.1 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34.0 </w:t>
            </w:r>
            <w:r w:rsidRPr="00491918">
              <w:rPr>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Italy</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15,529 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2.9 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0.8 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25.4 </w:t>
            </w:r>
            <w:r w:rsidRPr="00491918">
              <w:rPr>
                <w:color w:val="000000"/>
                <w:sz w:val="16"/>
                <w:vertAlign w:val="superscript"/>
              </w:rPr>
              <w:t xml:space="preserve"> </w:t>
            </w:r>
          </w:p>
        </w:tc>
      </w:tr>
      <w:tr w:rsidR="000D1659" w:rsidRPr="00491918">
        <w:trPr>
          <w:trHeight w:val="240"/>
        </w:trPr>
        <w:tc>
          <w:tcPr>
            <w:tcW w:w="12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Portugal</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3,710 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0.7 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3.4 </w:t>
            </w:r>
            <w:r w:rsidRPr="00491918">
              <w:rPr>
                <w:color w:val="000000"/>
                <w:sz w:val="16"/>
                <w:vertAlign w:val="superscript"/>
              </w:rPr>
              <w:t xml:space="preserve">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1.4 </w:t>
            </w:r>
          </w:p>
        </w:tc>
        <w:tc>
          <w:tcPr>
            <w:tcW w:w="13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2.8 </w:t>
            </w:r>
          </w:p>
        </w:tc>
        <w:tc>
          <w:tcPr>
            <w:tcW w:w="139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25.6 </w:t>
            </w:r>
            <w:r w:rsidRPr="00491918">
              <w:rPr>
                <w:color w:val="000000"/>
                <w:sz w:val="16"/>
                <w:vertAlign w:val="superscript"/>
              </w:rPr>
              <w:t xml:space="preserve"> </w:t>
            </w:r>
          </w:p>
        </w:tc>
      </w:tr>
    </w:tbl>
    <w:p w:rsidR="000D1659" w:rsidRPr="00491918" w:rsidRDefault="000D1659"/>
    <w:p w:rsidR="000D1659" w:rsidRPr="00491918" w:rsidRDefault="000D1659" w:rsidP="00EC729A">
      <w:pPr>
        <w:pStyle w:val="Level1Bullet-BarcRA201"/>
        <w:numPr>
          <w:ilvl w:val="0"/>
          <w:numId w:val="133"/>
        </w:numPr>
      </w:pPr>
      <w:r w:rsidRPr="00491918">
        <w:t>Arrears rates remained steady in the UK due to targeted balance growth and improved customer affordability that continued</w:t>
      </w:r>
      <w:r w:rsidR="008C206C" w:rsidRPr="00491918">
        <w:t xml:space="preserve"> to be supported by the low interest</w:t>
      </w:r>
      <w:r w:rsidRPr="00491918">
        <w:t xml:space="preserve"> rate environment. The recoveries impairment coverage ratio also remained stable in line with the recoveries balances</w:t>
      </w:r>
    </w:p>
    <w:p w:rsidR="000D1659" w:rsidRPr="00491918" w:rsidRDefault="000D1659" w:rsidP="00EC729A">
      <w:pPr>
        <w:pStyle w:val="Level1Bullet-BarcRA201"/>
        <w:numPr>
          <w:ilvl w:val="0"/>
          <w:numId w:val="133"/>
        </w:numPr>
      </w:pPr>
      <w:r w:rsidRPr="00491918">
        <w:t xml:space="preserve">In the UK, of the total home loans portfolio of £121,784m </w:t>
      </w:r>
    </w:p>
    <w:p w:rsidR="000D1659" w:rsidRPr="00491918" w:rsidRDefault="000D1659" w:rsidP="00EC729A">
      <w:pPr>
        <w:pStyle w:val="Level2Bullet-BarcRA61"/>
        <w:numPr>
          <w:ilvl w:val="2"/>
          <w:numId w:val="140"/>
        </w:numPr>
        <w:tabs>
          <w:tab w:val="num" w:pos="567"/>
        </w:tabs>
        <w:ind w:left="567" w:hanging="283"/>
      </w:pPr>
      <w:r w:rsidRPr="00491918">
        <w:rPr>
          <w:lang w:val="en-GB"/>
        </w:rPr>
        <w:t>O</w:t>
      </w:r>
      <w:r w:rsidRPr="00491918">
        <w:t xml:space="preserve">wner-occupied interest only balances of £46.1bn (2012: £45.7bn) represented 37.9% of total </w:t>
      </w:r>
      <w:r w:rsidRPr="00491918">
        <w:rPr>
          <w:lang w:val="en-GB"/>
        </w:rPr>
        <w:t>home loan balances</w:t>
      </w:r>
      <w:r w:rsidRPr="00491918">
        <w:t xml:space="preserve"> (see page </w:t>
      </w:r>
      <w:r w:rsidR="001E7AF6" w:rsidRPr="00491918">
        <w:rPr>
          <w:lang w:val="en-GB"/>
        </w:rPr>
        <w:t>75</w:t>
      </w:r>
      <w:r w:rsidRPr="00491918">
        <w:t xml:space="preserve"> for more detail). </w:t>
      </w:r>
      <w:r w:rsidRPr="00491918">
        <w:rPr>
          <w:lang w:val="en-GB"/>
        </w:rPr>
        <w:t>The average balance weighted LTV for interest only balances remained low at 57.3% (2012: 58.9%) and with 90 day arrears rates were flat at 30bps (2012: 30bps) and in line with overall portfolio performance</w:t>
      </w:r>
    </w:p>
    <w:p w:rsidR="000D1659" w:rsidRPr="00491918" w:rsidRDefault="000D1659" w:rsidP="00EC729A">
      <w:pPr>
        <w:pStyle w:val="Level2Bullet-BarcRA61"/>
        <w:numPr>
          <w:ilvl w:val="2"/>
          <w:numId w:val="140"/>
        </w:numPr>
        <w:tabs>
          <w:tab w:val="num" w:pos="567"/>
        </w:tabs>
        <w:ind w:left="567" w:hanging="283"/>
      </w:pPr>
      <w:r w:rsidRPr="00491918">
        <w:t xml:space="preserve">Buy to let home loans comprised 7% of the total stock (2012: 7%).  For buy to let home loans, arrears rates improved marginally from 0.54% to 0.49% while </w:t>
      </w:r>
      <w:r w:rsidRPr="00491918">
        <w:rPr>
          <w:lang w:val="en-GB"/>
        </w:rPr>
        <w:t xml:space="preserve">balance weighted </w:t>
      </w:r>
      <w:r w:rsidRPr="00491918">
        <w:t xml:space="preserve">portfolio LTV remained broadly stable at </w:t>
      </w:r>
      <w:r w:rsidRPr="00491918">
        <w:rPr>
          <w:lang w:val="en-GB"/>
        </w:rPr>
        <w:t>64.7</w:t>
      </w:r>
      <w:r w:rsidRPr="00491918">
        <w:t xml:space="preserve">% (2012: </w:t>
      </w:r>
      <w:r w:rsidRPr="00491918">
        <w:rPr>
          <w:lang w:val="en-GB"/>
        </w:rPr>
        <w:t>65</w:t>
      </w:r>
      <w:r w:rsidRPr="00491918">
        <w:t>.</w:t>
      </w:r>
      <w:r w:rsidRPr="00491918">
        <w:rPr>
          <w:lang w:val="en-GB"/>
        </w:rPr>
        <w:t>7</w:t>
      </w:r>
      <w:r w:rsidRPr="00491918">
        <w:t xml:space="preserve">%) </w:t>
      </w:r>
    </w:p>
    <w:p w:rsidR="000D1659" w:rsidRPr="00491918" w:rsidRDefault="000D1659" w:rsidP="00EC729A">
      <w:pPr>
        <w:pStyle w:val="Level1Bullet-BarcRA201"/>
        <w:numPr>
          <w:ilvl w:val="0"/>
          <w:numId w:val="133"/>
        </w:numPr>
      </w:pPr>
      <w:r w:rsidRPr="00491918">
        <w:t>South African home loans arrears decreased and charge off rates improved due to continued focus on collection strategies. Recovery impairment coverage ratio increased in part due to an increase in ageing within the recovery book</w:t>
      </w:r>
    </w:p>
    <w:p w:rsidR="000D1659" w:rsidRPr="00491918" w:rsidRDefault="00E05735" w:rsidP="00EC729A">
      <w:pPr>
        <w:pStyle w:val="Level1Bullet-BarcRA201"/>
        <w:numPr>
          <w:ilvl w:val="0"/>
          <w:numId w:val="133"/>
        </w:numPr>
      </w:pPr>
      <w:r w:rsidRPr="00491918">
        <w:t>Recoveries</w:t>
      </w:r>
      <w:r w:rsidR="000D1659" w:rsidRPr="00491918">
        <w:t xml:space="preserve"> performance of home loans in Europe continued to decline as reflected in the increase in the </w:t>
      </w:r>
      <w:r w:rsidRPr="00491918">
        <w:t xml:space="preserve">recoveries proportion of outstanding balances </w:t>
      </w:r>
      <w:r w:rsidR="00844B98" w:rsidRPr="00491918">
        <w:t>for Spain, Italy and Portugal and the increase in recoveries impairment coverage ratio</w:t>
      </w:r>
    </w:p>
    <w:p w:rsidR="000D1659" w:rsidRPr="00491918" w:rsidRDefault="000D1659" w:rsidP="000D1659">
      <w:pPr>
        <w:pStyle w:val="NoteSourceText-BarcRA10"/>
      </w:pPr>
    </w:p>
    <w:p w:rsidR="000D1659" w:rsidRPr="00491918" w:rsidRDefault="000D1659" w:rsidP="000D1659">
      <w:pPr>
        <w:pStyle w:val="NoteSourceText-BarcRA100"/>
        <w:ind w:left="0" w:firstLine="0"/>
      </w:pPr>
    </w:p>
    <w:p w:rsidR="003A77C8" w:rsidRPr="00491918" w:rsidRDefault="003A77C8" w:rsidP="000D1659">
      <w:pPr>
        <w:pStyle w:val="NoteSourceText-BarcRA100"/>
        <w:ind w:left="0" w:firstLine="0"/>
      </w:pPr>
    </w:p>
    <w:p w:rsidR="000D1659" w:rsidRPr="00491918" w:rsidRDefault="000D1659" w:rsidP="000D1659">
      <w:pPr>
        <w:pStyle w:val="NoteandSourceText-BarcRA120"/>
        <w:numPr>
          <w:ilvl w:val="0"/>
          <w:numId w:val="0"/>
        </w:numPr>
        <w:ind w:left="720" w:hanging="360"/>
      </w:pPr>
    </w:p>
    <w:p w:rsidR="008C206C" w:rsidRPr="00491918" w:rsidRDefault="008C206C" w:rsidP="008C206C">
      <w:pPr>
        <w:pStyle w:val="NoteandSourceText-BarcRA120"/>
        <w:numPr>
          <w:ilvl w:val="0"/>
          <w:numId w:val="0"/>
        </w:numPr>
      </w:pPr>
    </w:p>
    <w:p w:rsidR="008C206C" w:rsidRPr="00491918" w:rsidRDefault="008C206C" w:rsidP="008C206C">
      <w:pPr>
        <w:pStyle w:val="NoteandSourceText-BarcRA120"/>
        <w:numPr>
          <w:ilvl w:val="0"/>
          <w:numId w:val="0"/>
        </w:numPr>
      </w:pPr>
    </w:p>
    <w:p w:rsidR="008C206C" w:rsidRPr="00491918" w:rsidRDefault="008C206C" w:rsidP="008C206C">
      <w:pPr>
        <w:pStyle w:val="NoteandSourceText-BarcRA120"/>
        <w:numPr>
          <w:ilvl w:val="0"/>
          <w:numId w:val="0"/>
        </w:numPr>
      </w:pPr>
    </w:p>
    <w:p w:rsidR="008C206C" w:rsidRPr="00491918" w:rsidRDefault="008C206C" w:rsidP="008C206C">
      <w:pPr>
        <w:pStyle w:val="NoteandSourceText-BarcRA120"/>
        <w:numPr>
          <w:ilvl w:val="0"/>
          <w:numId w:val="0"/>
        </w:numPr>
      </w:pPr>
    </w:p>
    <w:p w:rsidR="008C206C" w:rsidRPr="00491918" w:rsidRDefault="008C206C" w:rsidP="008C206C">
      <w:pPr>
        <w:pStyle w:val="NoteandSourceText-BarcRA120"/>
        <w:numPr>
          <w:ilvl w:val="0"/>
          <w:numId w:val="0"/>
        </w:numPr>
      </w:pPr>
    </w:p>
    <w:p w:rsidR="008C206C" w:rsidRPr="00491918" w:rsidRDefault="008C206C" w:rsidP="008C206C">
      <w:pPr>
        <w:pStyle w:val="NoteandSourceText-BarcRA11"/>
        <w:numPr>
          <w:ilvl w:val="0"/>
          <w:numId w:val="0"/>
        </w:numPr>
        <w:ind w:left="284"/>
      </w:pPr>
    </w:p>
    <w:p w:rsidR="0070784B" w:rsidRPr="00491918" w:rsidRDefault="0070784B" w:rsidP="008C206C">
      <w:pPr>
        <w:pStyle w:val="NoteandSourceText-BarcRA11"/>
        <w:numPr>
          <w:ilvl w:val="0"/>
          <w:numId w:val="0"/>
        </w:numPr>
        <w:ind w:left="284"/>
      </w:pPr>
    </w:p>
    <w:p w:rsidR="008C206C" w:rsidRPr="00491918" w:rsidRDefault="000D1659" w:rsidP="00CC41A9">
      <w:pPr>
        <w:pStyle w:val="NoteandSourceText-BarcRA11"/>
        <w:numPr>
          <w:ilvl w:val="0"/>
          <w:numId w:val="237"/>
        </w:numPr>
        <w:ind w:left="284" w:hanging="284"/>
      </w:pPr>
      <w:r w:rsidRPr="00491918">
        <w:t>Excluded from the above analysis are Wealth International home loans, which are managed on an individual customer exposure basis, France home loans and other small home loans portfolios</w:t>
      </w:r>
      <w:r w:rsidR="00C10958" w:rsidRPr="00491918">
        <w:t>.</w:t>
      </w:r>
    </w:p>
    <w:p w:rsidR="000D1659" w:rsidRPr="00491918" w:rsidRDefault="008C206C" w:rsidP="00CC41A9">
      <w:pPr>
        <w:pStyle w:val="NoteandSourceText-BarcRA11"/>
        <w:numPr>
          <w:ilvl w:val="0"/>
          <w:numId w:val="237"/>
        </w:numPr>
        <w:ind w:left="284" w:hanging="284"/>
      </w:pPr>
      <w:r w:rsidRPr="00491918">
        <w:t>90 days Arrears including recoveries is sum of balances more than 90 days in arrears and balances charged off to recoveries, expressed as a percentage of total outstanding balances.</w:t>
      </w:r>
    </w:p>
    <w:p w:rsidR="0007202F" w:rsidRPr="00491918" w:rsidRDefault="0007202F" w:rsidP="0007202F">
      <w:pPr>
        <w:pStyle w:val="NoteandSourceText-BarcRA11"/>
        <w:numPr>
          <w:ilvl w:val="0"/>
          <w:numId w:val="0"/>
        </w:numPr>
        <w:ind w:left="360" w:hanging="360"/>
      </w:pPr>
    </w:p>
    <w:p w:rsidR="00DA356B" w:rsidRPr="00491918" w:rsidRDefault="00DA356B" w:rsidP="0007202F">
      <w:pPr>
        <w:pStyle w:val="HeadingLevel1-BarcRA35"/>
        <w:rPr>
          <w:lang w:val="en-GB"/>
        </w:rPr>
      </w:pPr>
    </w:p>
    <w:p w:rsidR="00DA356B" w:rsidRPr="00491918" w:rsidRDefault="00DA356B" w:rsidP="0007202F">
      <w:pPr>
        <w:pStyle w:val="HeadingLevel1-BarcRA35"/>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tbl>
      <w:tblPr>
        <w:tblW w:w="0" w:type="auto"/>
        <w:tblLayout w:type="fixed"/>
        <w:tblLook w:val="0000" w:firstRow="0" w:lastRow="0" w:firstColumn="0" w:lastColumn="0" w:noHBand="0" w:noVBand="0"/>
      </w:tblPr>
      <w:tblGrid>
        <w:gridCol w:w="1950"/>
        <w:gridCol w:w="750"/>
        <w:gridCol w:w="750"/>
        <w:gridCol w:w="750"/>
        <w:gridCol w:w="750"/>
        <w:gridCol w:w="750"/>
        <w:gridCol w:w="750"/>
        <w:gridCol w:w="750"/>
        <w:gridCol w:w="750"/>
        <w:gridCol w:w="750"/>
        <w:gridCol w:w="750"/>
      </w:tblGrid>
      <w:tr w:rsidR="00E9782A" w:rsidRPr="00491918" w:rsidTr="007A5948">
        <w:trPr>
          <w:trHeight w:val="270"/>
        </w:trPr>
        <w:tc>
          <w:tcPr>
            <w:tcW w:w="9450" w:type="dxa"/>
            <w:gridSpan w:val="11"/>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18"/>
              </w:rPr>
              <w:t>Home loans principal portfolios - distribution of balances by LTV</w:t>
            </w:r>
            <w:r w:rsidRPr="00491918">
              <w:rPr>
                <w:b/>
                <w:color w:val="000000"/>
                <w:sz w:val="18"/>
                <w:vertAlign w:val="superscript"/>
              </w:rPr>
              <w:t>1 </w:t>
            </w:r>
          </w:p>
        </w:tc>
      </w:tr>
      <w:tr w:rsidR="000D1659" w:rsidRPr="00491918">
        <w:trPr>
          <w:trHeight w:hRule="exact" w:val="270"/>
        </w:trPr>
        <w:tc>
          <w:tcPr>
            <w:tcW w:w="19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vertAlign w:val="superscript"/>
              </w:rPr>
            </w:pPr>
            <w:r w:rsidRPr="00491918">
              <w:rPr>
                <w:b/>
                <w:color w:val="000000"/>
                <w:sz w:val="18"/>
              </w:rPr>
              <w:t xml:space="preserve"> </w:t>
            </w:r>
            <w:r w:rsidRPr="00491918">
              <w:rPr>
                <w:b/>
                <w:color w:val="000000"/>
                <w:sz w:val="18"/>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vertAlign w:val="superscript"/>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r w:rsidRPr="00491918">
              <w:rPr>
                <w:b/>
                <w:color w:val="000000"/>
                <w:sz w:val="18"/>
                <w:vertAlign w:val="superscript"/>
              </w:rPr>
              <w:t xml:space="preserve"> </w:t>
            </w:r>
          </w:p>
        </w:tc>
      </w:tr>
      <w:tr w:rsidR="00E9782A" w:rsidRPr="00491918" w:rsidTr="007A5948">
        <w:trPr>
          <w:trHeight w:val="255"/>
        </w:trPr>
        <w:tc>
          <w:tcPr>
            <w:tcW w:w="19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vertAlign w:val="superscript"/>
              </w:rPr>
            </w:pPr>
            <w:r w:rsidRPr="00491918">
              <w:rPr>
                <w:b/>
                <w:color w:val="000000"/>
                <w:sz w:val="16"/>
              </w:rPr>
              <w:lastRenderedPageBreak/>
              <w:t xml:space="preserve"> </w:t>
            </w:r>
            <w:r w:rsidRPr="00491918">
              <w:rPr>
                <w:b/>
                <w:color w:val="000000"/>
                <w:sz w:val="16"/>
                <w:vertAlign w:val="superscript"/>
              </w:rPr>
              <w:t xml:space="preserve"> </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vertAlign w:val="superscript"/>
              </w:rPr>
            </w:pPr>
            <w:r w:rsidRPr="00491918">
              <w:rPr>
                <w:b/>
                <w:color w:val="000000"/>
                <w:sz w:val="16"/>
              </w:rPr>
              <w:t>UK</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South Africa</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Spain</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Italy</w:t>
            </w:r>
          </w:p>
        </w:tc>
        <w:tc>
          <w:tcPr>
            <w:tcW w:w="150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Portugal</w:t>
            </w:r>
            <w:r w:rsidRPr="00491918">
              <w:rPr>
                <w:b/>
                <w:color w:val="000000"/>
                <w:sz w:val="16"/>
                <w:vertAlign w:val="superscript"/>
              </w:rPr>
              <w:t xml:space="preserve"> </w:t>
            </w:r>
          </w:p>
        </w:tc>
      </w:tr>
      <w:tr w:rsidR="000D1659" w:rsidRPr="00491918">
        <w:trPr>
          <w:trHeight w:val="255"/>
        </w:trPr>
        <w:tc>
          <w:tcPr>
            <w:tcW w:w="19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r w:rsidRPr="00491918">
              <w:rPr>
                <w:b/>
                <w:color w:val="000000"/>
                <w:sz w:val="16"/>
                <w:vertAlign w:val="superscript"/>
              </w:rPr>
              <w:t xml:space="preserve"> </w:t>
            </w:r>
          </w:p>
        </w:tc>
      </w:tr>
      <w:tr w:rsidR="000D1659" w:rsidRPr="00491918">
        <w:trPr>
          <w:trHeight w:val="240"/>
        </w:trPr>
        <w:tc>
          <w:tcPr>
            <w:tcW w:w="19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7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r>
    </w:tbl>
    <w:p w:rsidR="00FF7A7C" w:rsidRPr="00491918" w:rsidRDefault="00FF7A7C"/>
    <w:tbl>
      <w:tblPr>
        <w:tblW w:w="0" w:type="auto"/>
        <w:tblLayout w:type="fixed"/>
        <w:tblLook w:val="0000" w:firstRow="0" w:lastRow="0" w:firstColumn="0" w:lastColumn="0" w:noHBand="0" w:noVBand="0"/>
      </w:tblPr>
      <w:tblGrid>
        <w:gridCol w:w="1950"/>
        <w:gridCol w:w="750"/>
        <w:gridCol w:w="750"/>
        <w:gridCol w:w="750"/>
        <w:gridCol w:w="750"/>
        <w:gridCol w:w="750"/>
        <w:gridCol w:w="750"/>
        <w:gridCol w:w="750"/>
        <w:gridCol w:w="750"/>
        <w:gridCol w:w="750"/>
        <w:gridCol w:w="750"/>
      </w:tblGrid>
      <w:tr w:rsidR="000D1659" w:rsidRPr="00491918" w:rsidTr="00FF7A7C">
        <w:trPr>
          <w:trHeight w:val="240"/>
        </w:trPr>
        <w:tc>
          <w:tcPr>
            <w:tcW w:w="195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&lt;=75%</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80.4 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76.1 </w:t>
            </w:r>
          </w:p>
        </w:tc>
        <w:tc>
          <w:tcPr>
            <w:tcW w:w="750"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66.7 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62.8 </w:t>
            </w:r>
          </w:p>
        </w:tc>
        <w:tc>
          <w:tcPr>
            <w:tcW w:w="750"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62.3 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64.2 </w:t>
            </w:r>
          </w:p>
        </w:tc>
        <w:tc>
          <w:tcPr>
            <w:tcW w:w="750"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74.4 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74.3 </w:t>
            </w:r>
          </w:p>
        </w:tc>
        <w:tc>
          <w:tcPr>
            <w:tcW w:w="750"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37.6 </w:t>
            </w:r>
          </w:p>
        </w:tc>
        <w:tc>
          <w:tcPr>
            <w:tcW w:w="7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40.3 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&gt;75% and &lt;=80%</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8.4 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9.2 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9.0 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6.5 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15.3 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16.0 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8.3 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&gt;80% and &lt;=85%</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4.1 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8.2 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6.1 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5.5 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10.6 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&gt;85% and &lt;=90%</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5.5 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10.8 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11.1 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&gt;90% and &lt;=95%</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1.7 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3.5 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4.8 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0.8 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0.9 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10.2 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&gt;95% and &lt;=100%</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1.0 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2.8 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0.6 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0.6 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&gt;100%</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1.8 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11.1 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10.0 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1.3 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15.4 </w:t>
            </w:r>
          </w:p>
        </w:tc>
        <w:tc>
          <w:tcPr>
            <w:tcW w:w="7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11.9 </w:t>
            </w:r>
            <w:r w:rsidRPr="00491918">
              <w:rPr>
                <w:color w:val="000000"/>
                <w:sz w:val="16"/>
                <w:vertAlign w:val="superscript"/>
              </w:rPr>
              <w:t xml:space="preserve"> </w:t>
            </w:r>
          </w:p>
        </w:tc>
      </w:tr>
      <w:tr w:rsidR="000D1659" w:rsidRPr="00491918">
        <w:trPr>
          <w:trHeight w:hRule="exact" w:val="240"/>
        </w:trPr>
        <w:tc>
          <w:tcPr>
            <w:tcW w:w="19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0D1659" w:rsidRPr="00491918">
        <w:trPr>
          <w:trHeight w:val="495"/>
        </w:trPr>
        <w:tc>
          <w:tcPr>
            <w:tcW w:w="19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Marked to market LTV:</w:t>
            </w:r>
          </w:p>
          <w:p w:rsidR="000D1659" w:rsidRPr="00491918" w:rsidRDefault="000D1659">
            <w:pPr>
              <w:rPr>
                <w:color w:val="000000"/>
                <w:sz w:val="16"/>
              </w:rPr>
            </w:pPr>
            <w:r w:rsidRPr="00491918">
              <w:rPr>
                <w:color w:val="000000"/>
                <w:sz w:val="16"/>
              </w:rPr>
              <w:t>valuation weighted %</w:t>
            </w:r>
            <w:r w:rsidRPr="00491918">
              <w:rPr>
                <w:b/>
                <w:color w:val="000000"/>
                <w:sz w:val="16"/>
                <w:vertAlign w:val="superscript"/>
              </w:rPr>
              <w:t>2 </w:t>
            </w:r>
          </w:p>
        </w:tc>
        <w:tc>
          <w:tcPr>
            <w:tcW w:w="7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44.8 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45.5 </w:t>
            </w:r>
          </w:p>
        </w:tc>
        <w:tc>
          <w:tcPr>
            <w:tcW w:w="7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43.0 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44.2 </w:t>
            </w:r>
          </w:p>
        </w:tc>
        <w:tc>
          <w:tcPr>
            <w:tcW w:w="7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46.5 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45.4 </w:t>
            </w:r>
          </w:p>
        </w:tc>
        <w:tc>
          <w:tcPr>
            <w:tcW w:w="7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46.6 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46.7 </w:t>
            </w:r>
          </w:p>
        </w:tc>
        <w:tc>
          <w:tcPr>
            <w:tcW w:w="7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69.3 </w:t>
            </w:r>
          </w:p>
        </w:tc>
        <w:tc>
          <w:tcPr>
            <w:tcW w:w="75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67.7 </w:t>
            </w:r>
            <w:r w:rsidRPr="00491918">
              <w:rPr>
                <w:color w:val="000000"/>
                <w:sz w:val="16"/>
                <w:vertAlign w:val="superscript"/>
              </w:rPr>
              <w:t xml:space="preserve"> </w:t>
            </w:r>
          </w:p>
        </w:tc>
      </w:tr>
      <w:tr w:rsidR="000D1659" w:rsidRPr="00491918">
        <w:trPr>
          <w:trHeight w:val="495"/>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70784B">
            <w:pPr>
              <w:rPr>
                <w:color w:val="000000"/>
                <w:sz w:val="16"/>
                <w:vertAlign w:val="superscript"/>
              </w:rPr>
            </w:pPr>
            <w:r w:rsidRPr="00491918">
              <w:rPr>
                <w:color w:val="000000"/>
                <w:sz w:val="16"/>
              </w:rPr>
              <w:t>M</w:t>
            </w:r>
            <w:r w:rsidR="000D1659" w:rsidRPr="00491918">
              <w:rPr>
                <w:color w:val="000000"/>
                <w:sz w:val="16"/>
              </w:rPr>
              <w:t>arked to market LTV:</w:t>
            </w:r>
          </w:p>
          <w:p w:rsidR="000D1659" w:rsidRPr="00491918" w:rsidRDefault="000D1659">
            <w:pPr>
              <w:rPr>
                <w:color w:val="000000"/>
                <w:sz w:val="16"/>
              </w:rPr>
            </w:pPr>
            <w:r w:rsidRPr="00491918">
              <w:rPr>
                <w:color w:val="000000"/>
                <w:sz w:val="16"/>
              </w:rPr>
              <w:t>balance weighted %</w:t>
            </w:r>
            <w:r w:rsidRPr="00491918">
              <w:rPr>
                <w:b/>
                <w:color w:val="000000"/>
                <w:sz w:val="16"/>
                <w:vertAlign w:val="superscript"/>
              </w:rPr>
              <w:t>2 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57.9 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59.1 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63.7 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65.6 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65.7 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64.6 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59.8 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59.6 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79.7 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77.6 </w:t>
            </w:r>
            <w:r w:rsidRPr="00491918">
              <w:rPr>
                <w:color w:val="000000"/>
                <w:sz w:val="16"/>
                <w:vertAlign w:val="superscript"/>
              </w:rPr>
              <w:t xml:space="preserve"> </w:t>
            </w:r>
          </w:p>
        </w:tc>
      </w:tr>
      <w:tr w:rsidR="000D1659" w:rsidRPr="00491918">
        <w:trPr>
          <w:trHeight w:hRule="exac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For &gt;100% LTVs:</w:t>
            </w:r>
            <w:r w:rsidRPr="00491918">
              <w:rPr>
                <w:b/>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8"/>
              </w:rPr>
              <w:t xml:space="preserve"> </w:t>
            </w:r>
            <w:r w:rsidRPr="00491918">
              <w:rPr>
                <w:color w:val="000000"/>
                <w:sz w:val="16"/>
                <w:vertAlign w:val="superscript"/>
              </w:rPr>
              <w:t xml:space="preserve"> </w:t>
            </w:r>
          </w:p>
        </w:tc>
      </w:tr>
      <w:tr w:rsidR="000D1659" w:rsidRPr="00491918">
        <w:trPr>
          <w:trHeight w:val="240"/>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balances (£m)</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2,223 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 xml:space="preserve"> 2,698 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739 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1,064 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1,523 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1,343 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215 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203 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587 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440 </w:t>
            </w:r>
            <w:r w:rsidRPr="00491918">
              <w:rPr>
                <w:color w:val="000000"/>
                <w:sz w:val="16"/>
                <w:vertAlign w:val="superscript"/>
              </w:rPr>
              <w:t xml:space="preserve"> </w:t>
            </w:r>
          </w:p>
        </w:tc>
      </w:tr>
      <w:tr w:rsidR="000D1659" w:rsidRPr="00491918">
        <w:trPr>
          <w:trHeight w:val="495"/>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Marked to market</w:t>
            </w:r>
          </w:p>
          <w:p w:rsidR="000D1659" w:rsidRPr="00491918" w:rsidRDefault="000D1659">
            <w:pPr>
              <w:rPr>
                <w:color w:val="000000"/>
                <w:sz w:val="16"/>
              </w:rPr>
            </w:pPr>
            <w:r w:rsidRPr="00491918">
              <w:rPr>
                <w:color w:val="000000"/>
                <w:sz w:val="16"/>
              </w:rPr>
              <w:t>collateral (£m)</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2,006 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 xml:space="preserve"> 2,478 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618 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898 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1,305 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1,136 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172 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167 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538 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405 </w:t>
            </w:r>
            <w:r w:rsidRPr="00491918">
              <w:rPr>
                <w:color w:val="000000"/>
                <w:sz w:val="16"/>
                <w:vertAlign w:val="superscript"/>
              </w:rPr>
              <w:t xml:space="preserve"> </w:t>
            </w:r>
          </w:p>
        </w:tc>
      </w:tr>
      <w:tr w:rsidR="000D1659" w:rsidRPr="00491918">
        <w:trPr>
          <w:trHeight w:val="495"/>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Average LTV:</w:t>
            </w:r>
          </w:p>
          <w:p w:rsidR="000D1659" w:rsidRPr="00491918" w:rsidRDefault="000D1659">
            <w:pPr>
              <w:rPr>
                <w:color w:val="000000"/>
                <w:sz w:val="16"/>
              </w:rPr>
            </w:pPr>
            <w:r w:rsidRPr="00491918">
              <w:rPr>
                <w:color w:val="000000"/>
                <w:sz w:val="16"/>
              </w:rPr>
              <w:t>valuation weighted %</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110.8 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 xml:space="preserve"> 108.9 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119.6 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118.4 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116.8 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3E1CDE">
            <w:pPr>
              <w:jc w:val="right"/>
              <w:rPr>
                <w:color w:val="000000"/>
                <w:sz w:val="16"/>
              </w:rPr>
            </w:pPr>
            <w:r w:rsidRPr="00491918">
              <w:rPr>
                <w:color w:val="000000"/>
                <w:sz w:val="16"/>
              </w:rPr>
              <w:t xml:space="preserve"> 118.2</w:t>
            </w:r>
            <w:r w:rsidR="000D1659" w:rsidRPr="00491918">
              <w:rPr>
                <w:color w:val="000000"/>
                <w:sz w:val="16"/>
              </w:rPr>
              <w:t>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3E1CDE">
            <w:pPr>
              <w:jc w:val="right"/>
              <w:rPr>
                <w:color w:val="000000"/>
                <w:sz w:val="16"/>
              </w:rPr>
            </w:pPr>
            <w:r w:rsidRPr="00491918">
              <w:rPr>
                <w:color w:val="000000"/>
                <w:sz w:val="16"/>
              </w:rPr>
              <w:t>125</w:t>
            </w:r>
            <w:r w:rsidR="000D1659" w:rsidRPr="00491918">
              <w:rPr>
                <w:color w:val="000000"/>
                <w:sz w:val="16"/>
              </w:rPr>
              <w:t>.4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3E1CDE" w:rsidP="000B1BD5">
            <w:pPr>
              <w:jc w:val="right"/>
              <w:rPr>
                <w:color w:val="000000"/>
                <w:sz w:val="16"/>
              </w:rPr>
            </w:pPr>
            <w:r w:rsidRPr="00491918">
              <w:rPr>
                <w:color w:val="000000"/>
                <w:sz w:val="16"/>
              </w:rPr>
              <w:t xml:space="preserve"> 121</w:t>
            </w:r>
            <w:r w:rsidR="000D1659" w:rsidRPr="00491918">
              <w:rPr>
                <w:color w:val="000000"/>
                <w:sz w:val="16"/>
              </w:rPr>
              <w:t>.</w:t>
            </w:r>
            <w:r w:rsidR="000B1BD5" w:rsidRPr="00491918">
              <w:rPr>
                <w:color w:val="000000"/>
                <w:sz w:val="16"/>
              </w:rPr>
              <w:t>1</w:t>
            </w:r>
            <w:r w:rsidR="000D1659" w:rsidRPr="00491918">
              <w:rPr>
                <w:color w:val="000000"/>
                <w:sz w:val="16"/>
              </w:rPr>
              <w:t>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3E1CDE">
            <w:pPr>
              <w:jc w:val="right"/>
              <w:rPr>
                <w:color w:val="000000"/>
                <w:sz w:val="16"/>
              </w:rPr>
            </w:pPr>
            <w:r w:rsidRPr="00491918">
              <w:rPr>
                <w:color w:val="000000"/>
                <w:sz w:val="16"/>
              </w:rPr>
              <w:t>109.2</w:t>
            </w:r>
            <w:r w:rsidR="000D1659" w:rsidRPr="00491918">
              <w:rPr>
                <w:color w:val="000000"/>
                <w:sz w:val="16"/>
              </w:rPr>
              <w:t>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3E1CDE">
            <w:pPr>
              <w:jc w:val="right"/>
              <w:rPr>
                <w:color w:val="000000"/>
                <w:sz w:val="16"/>
              </w:rPr>
            </w:pPr>
            <w:r w:rsidRPr="00491918">
              <w:rPr>
                <w:color w:val="000000"/>
                <w:sz w:val="16"/>
              </w:rPr>
              <w:t>108.5</w:t>
            </w:r>
            <w:r w:rsidR="000D1659" w:rsidRPr="00491918">
              <w:rPr>
                <w:color w:val="000000"/>
                <w:sz w:val="16"/>
              </w:rPr>
              <w:t> </w:t>
            </w:r>
            <w:r w:rsidR="000D1659" w:rsidRPr="00491918">
              <w:rPr>
                <w:color w:val="000000"/>
                <w:sz w:val="16"/>
                <w:vertAlign w:val="superscript"/>
              </w:rPr>
              <w:t xml:space="preserve"> </w:t>
            </w:r>
          </w:p>
        </w:tc>
      </w:tr>
      <w:tr w:rsidR="000D1659" w:rsidRPr="00491918">
        <w:trPr>
          <w:trHeight w:val="495"/>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Average LTV:</w:t>
            </w:r>
          </w:p>
          <w:p w:rsidR="000D1659" w:rsidRPr="00491918" w:rsidRDefault="000D1659">
            <w:pPr>
              <w:rPr>
                <w:color w:val="000000"/>
                <w:sz w:val="16"/>
              </w:rPr>
            </w:pPr>
            <w:r w:rsidRPr="00491918">
              <w:rPr>
                <w:color w:val="000000"/>
                <w:sz w:val="16"/>
              </w:rPr>
              <w:t>balance weighted %</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115.8 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 xml:space="preserve"> 112.3 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123.1 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121.7 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3E1CDE">
            <w:pPr>
              <w:jc w:val="right"/>
              <w:rPr>
                <w:color w:val="000000"/>
                <w:sz w:val="16"/>
              </w:rPr>
            </w:pPr>
            <w:r w:rsidRPr="00491918">
              <w:rPr>
                <w:color w:val="000000"/>
                <w:sz w:val="16"/>
              </w:rPr>
              <w:t>116.8</w:t>
            </w:r>
            <w:r w:rsidR="000D1659"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3E1CDE" w:rsidP="000B1BD5">
            <w:pPr>
              <w:jc w:val="right"/>
              <w:rPr>
                <w:color w:val="000000"/>
                <w:sz w:val="16"/>
              </w:rPr>
            </w:pPr>
            <w:r w:rsidRPr="00491918">
              <w:rPr>
                <w:color w:val="000000"/>
                <w:sz w:val="16"/>
              </w:rPr>
              <w:t>11</w:t>
            </w:r>
            <w:r w:rsidR="000B1BD5" w:rsidRPr="00491918">
              <w:rPr>
                <w:color w:val="000000"/>
                <w:sz w:val="16"/>
              </w:rPr>
              <w:t>8</w:t>
            </w:r>
            <w:r w:rsidRPr="00491918">
              <w:rPr>
                <w:color w:val="000000"/>
                <w:sz w:val="16"/>
              </w:rPr>
              <w:t>.1</w:t>
            </w:r>
            <w:r w:rsidR="000D1659"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E05735">
            <w:pPr>
              <w:jc w:val="right"/>
              <w:rPr>
                <w:color w:val="000000"/>
                <w:sz w:val="16"/>
              </w:rPr>
            </w:pPr>
            <w:r w:rsidRPr="00491918">
              <w:rPr>
                <w:color w:val="000000"/>
                <w:sz w:val="16"/>
              </w:rPr>
              <w:t>145.3</w:t>
            </w:r>
            <w:r w:rsidR="000D1659"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3E1CDE" w:rsidP="00E05735">
            <w:pPr>
              <w:jc w:val="right"/>
              <w:rPr>
                <w:color w:val="000000"/>
                <w:sz w:val="16"/>
              </w:rPr>
            </w:pPr>
            <w:r w:rsidRPr="00491918">
              <w:rPr>
                <w:color w:val="000000"/>
                <w:sz w:val="16"/>
              </w:rPr>
              <w:t>1</w:t>
            </w:r>
            <w:r w:rsidR="00E05735" w:rsidRPr="00491918">
              <w:rPr>
                <w:color w:val="000000"/>
                <w:sz w:val="16"/>
              </w:rPr>
              <w:t>37.0</w:t>
            </w:r>
            <w:r w:rsidR="000D1659" w:rsidRPr="00491918">
              <w:rPr>
                <w:color w:val="000000"/>
                <w:sz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3E1CDE">
            <w:pPr>
              <w:jc w:val="right"/>
              <w:rPr>
                <w:color w:val="000000"/>
                <w:sz w:val="16"/>
              </w:rPr>
            </w:pPr>
            <w:r w:rsidRPr="00491918">
              <w:rPr>
                <w:color w:val="000000"/>
                <w:sz w:val="16"/>
              </w:rPr>
              <w:t>111.6</w:t>
            </w:r>
            <w:r w:rsidR="000D1659"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3E1CDE">
            <w:pPr>
              <w:jc w:val="right"/>
              <w:rPr>
                <w:color w:val="000000"/>
                <w:sz w:val="16"/>
              </w:rPr>
            </w:pPr>
            <w:r w:rsidRPr="00491918">
              <w:rPr>
                <w:color w:val="000000"/>
                <w:sz w:val="16"/>
              </w:rPr>
              <w:t>110.7</w:t>
            </w:r>
            <w:r w:rsidR="000D1659" w:rsidRPr="00491918">
              <w:rPr>
                <w:color w:val="000000"/>
                <w:sz w:val="16"/>
              </w:rPr>
              <w:t xml:space="preserve"> </w:t>
            </w:r>
            <w:r w:rsidR="000D1659" w:rsidRPr="00491918">
              <w:rPr>
                <w:color w:val="000000"/>
                <w:sz w:val="16"/>
                <w:vertAlign w:val="superscript"/>
              </w:rPr>
              <w:t xml:space="preserve"> </w:t>
            </w:r>
          </w:p>
        </w:tc>
      </w:tr>
      <w:tr w:rsidR="000D1659" w:rsidRPr="00491918">
        <w:trPr>
          <w:trHeight w:val="495"/>
        </w:trPr>
        <w:tc>
          <w:tcPr>
            <w:tcW w:w="19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of balances in recoveries</w:t>
            </w:r>
            <w:r w:rsidRPr="00491918">
              <w:rPr>
                <w:b/>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2.7 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 xml:space="preserve"> 2.6 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50.1 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16"/>
              </w:rPr>
            </w:pPr>
            <w:r w:rsidRPr="00491918">
              <w:rPr>
                <w:color w:val="000000"/>
                <w:sz w:val="16"/>
              </w:rPr>
              <w:t xml:space="preserve"> 46.2 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11.3 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12.0 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58.1 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51.2 </w:t>
            </w:r>
          </w:p>
        </w:tc>
        <w:tc>
          <w:tcPr>
            <w:tcW w:w="75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11.4 </w:t>
            </w:r>
          </w:p>
        </w:tc>
        <w:tc>
          <w:tcPr>
            <w:tcW w:w="7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12.5 </w:t>
            </w:r>
            <w:r w:rsidRPr="00491918">
              <w:rPr>
                <w:color w:val="000000"/>
                <w:sz w:val="16"/>
                <w:vertAlign w:val="superscript"/>
              </w:rPr>
              <w:t xml:space="preserve"> </w:t>
            </w:r>
          </w:p>
        </w:tc>
      </w:tr>
    </w:tbl>
    <w:p w:rsidR="000D1659" w:rsidRPr="00491918" w:rsidRDefault="000D1659"/>
    <w:p w:rsidR="000D1659" w:rsidRPr="00491918" w:rsidRDefault="000D1659" w:rsidP="00EC729A">
      <w:pPr>
        <w:pStyle w:val="Level1Bullet-BarcRA201"/>
        <w:numPr>
          <w:ilvl w:val="0"/>
          <w:numId w:val="133"/>
        </w:numPr>
      </w:pPr>
      <w:r w:rsidRPr="00491918">
        <w:t>Credit quality of the principal home loan portfolios reflected relatively conservative</w:t>
      </w:r>
      <w:r w:rsidR="003E1CDE" w:rsidRPr="00491918">
        <w:t xml:space="preserve"> credit criteria resulting in low levels of high LTV lending as well as</w:t>
      </w:r>
      <w:r w:rsidRPr="00491918">
        <w:t xml:space="preserve"> moderate LTV on existing portfolios</w:t>
      </w:r>
    </w:p>
    <w:p w:rsidR="000D1659" w:rsidRPr="00491918" w:rsidRDefault="000D1659" w:rsidP="00EC729A">
      <w:pPr>
        <w:pStyle w:val="Level1Bullet-BarcRA201"/>
        <w:numPr>
          <w:ilvl w:val="0"/>
          <w:numId w:val="133"/>
        </w:numPr>
      </w:pPr>
      <w:r w:rsidRPr="00491918">
        <w:t xml:space="preserve">During H113, the average </w:t>
      </w:r>
      <w:r w:rsidR="00E05735" w:rsidRPr="00491918">
        <w:t xml:space="preserve">marked to market </w:t>
      </w:r>
      <w:r w:rsidRPr="00491918">
        <w:t xml:space="preserve">LTV (both balance weighted and valuation weighted) of UK decreased due to appreciating house prices. The increase in Spain </w:t>
      </w:r>
      <w:r w:rsidR="00E05735" w:rsidRPr="00491918">
        <w:t>and Portugal wa</w:t>
      </w:r>
      <w:r w:rsidRPr="00491918">
        <w:t>s as a result of continued decline in house prices</w:t>
      </w:r>
      <w:r w:rsidR="003E1CDE" w:rsidRPr="00491918">
        <w:t>.</w:t>
      </w:r>
      <w:r w:rsidRPr="00491918">
        <w:t xml:space="preserve"> </w:t>
      </w:r>
      <w:r w:rsidR="003E1CDE" w:rsidRPr="00491918">
        <w:t>The marked to market</w:t>
      </w:r>
      <w:r w:rsidRPr="00491918">
        <w:t xml:space="preserve"> LTV in Italy remained broadly stable</w:t>
      </w:r>
    </w:p>
    <w:p w:rsidR="000D1659" w:rsidRPr="00491918" w:rsidRDefault="000D1659" w:rsidP="00EC729A">
      <w:pPr>
        <w:pStyle w:val="Level1Bullet-BarcRA201"/>
        <w:numPr>
          <w:ilvl w:val="0"/>
          <w:numId w:val="133"/>
        </w:numPr>
      </w:pPr>
      <w:r w:rsidRPr="00491918">
        <w:t>In UK, balances &gt;100% LTV reduced in the first half of 2013. However, the balance weighted LTV for the same period increased due to  the remaining balances having higher LTVs  than those paid down</w:t>
      </w:r>
    </w:p>
    <w:p w:rsidR="000D1659" w:rsidRPr="00491918" w:rsidRDefault="000D1659" w:rsidP="00EC729A">
      <w:pPr>
        <w:pStyle w:val="Level1Bullet-BarcRA201"/>
        <w:numPr>
          <w:ilvl w:val="0"/>
          <w:numId w:val="133"/>
        </w:numPr>
      </w:pPr>
      <w:r w:rsidRPr="00491918">
        <w:t>In South Africa Home Loans, whilst balances with &gt;100% LTV reduced to £739m (2012: £1,064m) the percentage of balances in recoveries with &gt;100% LTV increased to 50.1% (2012: 46.2%) due to longer resolution time for recovery balances</w:t>
      </w:r>
    </w:p>
    <w:p w:rsidR="007A5948" w:rsidRPr="00491918" w:rsidRDefault="007A5948" w:rsidP="007A5948">
      <w:pPr>
        <w:pStyle w:val="BodyText-BarcRA380"/>
        <w:rPr>
          <w:color w:val="000000"/>
        </w:rPr>
      </w:pPr>
    </w:p>
    <w:p w:rsidR="007A5948" w:rsidRPr="00491918" w:rsidRDefault="007A5948" w:rsidP="007A5948">
      <w:pPr>
        <w:pStyle w:val="BodyText-BarcRA380"/>
        <w:rPr>
          <w:color w:val="000000"/>
        </w:rPr>
      </w:pPr>
    </w:p>
    <w:p w:rsidR="007A5948" w:rsidRPr="00491918" w:rsidRDefault="007A5948" w:rsidP="007A5948">
      <w:pPr>
        <w:pStyle w:val="BodyText-BarcRA380"/>
        <w:rPr>
          <w:color w:val="000000"/>
        </w:rPr>
      </w:pPr>
    </w:p>
    <w:p w:rsidR="007A5948" w:rsidRPr="00491918" w:rsidRDefault="007A5948" w:rsidP="007A5948">
      <w:pPr>
        <w:pStyle w:val="BodyText-BarcRA380"/>
        <w:rPr>
          <w:color w:val="000000"/>
        </w:rPr>
      </w:pPr>
    </w:p>
    <w:p w:rsidR="00822955" w:rsidRPr="00491918" w:rsidRDefault="00822955" w:rsidP="007A5948">
      <w:pPr>
        <w:pStyle w:val="BodyText-BarcRA380"/>
        <w:rPr>
          <w:color w:val="000000"/>
        </w:rPr>
      </w:pPr>
    </w:p>
    <w:p w:rsidR="003E1CDE" w:rsidRPr="00491918" w:rsidRDefault="003E1CDE" w:rsidP="003E1CDE">
      <w:pPr>
        <w:pStyle w:val="NoteandSourceText-BarcRA11"/>
        <w:numPr>
          <w:ilvl w:val="0"/>
          <w:numId w:val="0"/>
        </w:numPr>
        <w:ind w:left="360"/>
      </w:pPr>
    </w:p>
    <w:p w:rsidR="003E1CDE" w:rsidRPr="00491918" w:rsidRDefault="003E1CDE" w:rsidP="003E1CDE">
      <w:pPr>
        <w:pStyle w:val="NoteandSourceText-BarcRA11"/>
        <w:numPr>
          <w:ilvl w:val="0"/>
          <w:numId w:val="0"/>
        </w:numPr>
        <w:ind w:left="360"/>
      </w:pPr>
    </w:p>
    <w:p w:rsidR="00DF44D1" w:rsidRPr="00491918" w:rsidRDefault="00DF44D1" w:rsidP="003E1CDE">
      <w:pPr>
        <w:pStyle w:val="NoteandSourceText-BarcRA11"/>
        <w:numPr>
          <w:ilvl w:val="0"/>
          <w:numId w:val="0"/>
        </w:numPr>
        <w:ind w:left="360"/>
      </w:pPr>
    </w:p>
    <w:p w:rsidR="0070784B" w:rsidRPr="00491918" w:rsidRDefault="0070784B" w:rsidP="003E1CDE">
      <w:pPr>
        <w:pStyle w:val="NoteandSourceText-BarcRA11"/>
        <w:numPr>
          <w:ilvl w:val="0"/>
          <w:numId w:val="0"/>
        </w:numPr>
        <w:ind w:left="360"/>
      </w:pPr>
    </w:p>
    <w:p w:rsidR="00C8461B" w:rsidRPr="00491918" w:rsidRDefault="000D1659" w:rsidP="00CC41A9">
      <w:pPr>
        <w:pStyle w:val="NoteandSourceText-BarcRA11"/>
        <w:numPr>
          <w:ilvl w:val="0"/>
          <w:numId w:val="238"/>
        </w:numPr>
        <w:ind w:left="284" w:hanging="284"/>
      </w:pPr>
      <w:r w:rsidRPr="00491918">
        <w:t>Portfolio marked to market based on the most updated valuation</w:t>
      </w:r>
      <w:r w:rsidR="003E1CDE" w:rsidRPr="00491918">
        <w:t xml:space="preserve">s and includes </w:t>
      </w:r>
      <w:r w:rsidRPr="00491918">
        <w:t>recoveries balances. Updated valuations reflec</w:t>
      </w:r>
      <w:r w:rsidR="003E1CDE" w:rsidRPr="00491918">
        <w:t xml:space="preserve">t the application of the latest </w:t>
      </w:r>
      <w:r w:rsidRPr="00491918">
        <w:t xml:space="preserve">house price index available in the country as at 30 June 2013. </w:t>
      </w:r>
    </w:p>
    <w:p w:rsidR="0070784B" w:rsidRPr="00491918" w:rsidRDefault="000D1659" w:rsidP="00CC41A9">
      <w:pPr>
        <w:pStyle w:val="NoteandSourceText-BarcRA11"/>
        <w:numPr>
          <w:ilvl w:val="0"/>
          <w:numId w:val="238"/>
        </w:numPr>
        <w:ind w:left="284" w:hanging="284"/>
      </w:pPr>
      <w:r w:rsidRPr="00491918">
        <w:t xml:space="preserve">Valuation weighted LTV is the ratio between total outstanding balances and the value of total collateral held against these balances. Balance weighted LTV approach is derived by calculating individual LTVs at account level and weighting by the individual loan balances to arrive at the average position.  </w:t>
      </w:r>
    </w:p>
    <w:p w:rsidR="0007202F" w:rsidRPr="00491918" w:rsidRDefault="0007202F" w:rsidP="0007202F">
      <w:pPr>
        <w:pStyle w:val="NoteandSourceText-BarcRA11"/>
        <w:numPr>
          <w:ilvl w:val="0"/>
          <w:numId w:val="0"/>
        </w:numPr>
        <w:ind w:left="360" w:hanging="360"/>
      </w:pPr>
    </w:p>
    <w:p w:rsidR="00DA356B" w:rsidRPr="00491918" w:rsidRDefault="00DA356B" w:rsidP="0007202F">
      <w:pPr>
        <w:pStyle w:val="HeadingLevel1-BarcRA35"/>
        <w:rPr>
          <w:lang w:val="en-GB"/>
        </w:rPr>
      </w:pPr>
    </w:p>
    <w:p w:rsidR="00DA356B" w:rsidRPr="00491918" w:rsidRDefault="00DA356B" w:rsidP="0007202F">
      <w:pPr>
        <w:pStyle w:val="HeadingLevel1-BarcRA35"/>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tbl>
      <w:tblPr>
        <w:tblW w:w="0" w:type="auto"/>
        <w:tblLayout w:type="fixed"/>
        <w:tblLook w:val="0000" w:firstRow="0" w:lastRow="0" w:firstColumn="0" w:lastColumn="0" w:noHBand="0" w:noVBand="0"/>
      </w:tblPr>
      <w:tblGrid>
        <w:gridCol w:w="2130"/>
        <w:gridCol w:w="750"/>
        <w:gridCol w:w="750"/>
        <w:gridCol w:w="750"/>
        <w:gridCol w:w="750"/>
        <w:gridCol w:w="750"/>
        <w:gridCol w:w="750"/>
        <w:gridCol w:w="735"/>
        <w:gridCol w:w="750"/>
        <w:gridCol w:w="750"/>
        <w:gridCol w:w="750"/>
      </w:tblGrid>
      <w:tr w:rsidR="00A24F51" w:rsidRPr="00491918" w:rsidTr="00A24F51">
        <w:trPr>
          <w:trHeight w:val="269"/>
        </w:trPr>
        <w:tc>
          <w:tcPr>
            <w:tcW w:w="4380" w:type="dxa"/>
            <w:gridSpan w:val="4"/>
            <w:tcBorders>
              <w:top w:val="nil"/>
              <w:left w:val="nil"/>
              <w:bottom w:val="nil"/>
              <w:right w:val="nil"/>
            </w:tcBorders>
            <w:shd w:val="clear" w:color="auto" w:fill="FFFFFF"/>
            <w:tcMar>
              <w:left w:w="36" w:type="dxa"/>
              <w:right w:w="36" w:type="dxa"/>
            </w:tcMar>
            <w:vAlign w:val="bottom"/>
          </w:tcPr>
          <w:p w:rsidR="00A24F51" w:rsidRPr="00491918" w:rsidRDefault="00A24F51" w:rsidP="00CB3E2C">
            <w:r w:rsidRPr="00491918">
              <w:rPr>
                <w:b/>
                <w:color w:val="000000"/>
                <w:sz w:val="18"/>
              </w:rPr>
              <w:t>Home loans principal portfolios - new lending</w:t>
            </w:r>
            <w:r w:rsidRPr="00491918">
              <w:rPr>
                <w:b/>
                <w:color w:val="000000"/>
                <w:sz w:val="18"/>
                <w:vertAlign w:val="superscript"/>
              </w:rPr>
              <w:t>1 </w:t>
            </w:r>
          </w:p>
          <w:p w:rsidR="00A24F51" w:rsidRPr="00491918" w:rsidRDefault="00A24F51" w:rsidP="00CB3E2C">
            <w:pPr>
              <w:rPr>
                <w:b/>
                <w:color w:val="000000"/>
                <w:sz w:val="18"/>
                <w:vertAlign w:val="superscript"/>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24F51" w:rsidRPr="00491918" w:rsidRDefault="00A24F51" w:rsidP="00CB3E2C">
            <w:pPr>
              <w:rPr>
                <w:b/>
                <w:color w:val="000000"/>
                <w:sz w:val="18"/>
              </w:rPr>
            </w:pPr>
            <w:r w:rsidRPr="00491918">
              <w:rPr>
                <w:b/>
                <w:color w:val="000000"/>
                <w:sz w:val="18"/>
              </w:rPr>
              <w:t xml:space="preserve"> </w:t>
            </w:r>
            <w:r w:rsidRPr="00491918">
              <w:rPr>
                <w:b/>
                <w:color w:val="000000"/>
                <w:sz w:val="18"/>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A24F51" w:rsidRPr="00491918" w:rsidRDefault="00A24F51" w:rsidP="00CB3E2C">
            <w:pPr>
              <w:rPr>
                <w:b/>
                <w:color w:val="000000"/>
                <w:sz w:val="18"/>
                <w:vertAlign w:val="superscript"/>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24F51" w:rsidRPr="00491918" w:rsidRDefault="00A24F51" w:rsidP="00CB3E2C">
            <w:pPr>
              <w:rPr>
                <w:b/>
                <w:color w:val="000000"/>
                <w:sz w:val="18"/>
              </w:rPr>
            </w:pPr>
            <w:r w:rsidRPr="00491918">
              <w:rPr>
                <w:b/>
                <w:color w:val="000000"/>
                <w:sz w:val="18"/>
              </w:rPr>
              <w:t xml:space="preserve"> </w:t>
            </w:r>
            <w:r w:rsidRPr="00491918">
              <w:rPr>
                <w:b/>
                <w:color w:val="000000"/>
                <w:sz w:val="18"/>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bottom"/>
          </w:tcPr>
          <w:p w:rsidR="00A24F51" w:rsidRPr="00491918" w:rsidRDefault="00A24F51" w:rsidP="00CB3E2C">
            <w:pPr>
              <w:rPr>
                <w:b/>
                <w:color w:val="000000"/>
                <w:sz w:val="18"/>
                <w:vertAlign w:val="superscript"/>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24F51" w:rsidRPr="00491918" w:rsidRDefault="00A24F51" w:rsidP="00CB3E2C">
            <w:pPr>
              <w:rPr>
                <w:b/>
                <w:color w:val="000000"/>
                <w:sz w:val="18"/>
              </w:rPr>
            </w:pPr>
            <w:r w:rsidRPr="00491918">
              <w:rPr>
                <w:b/>
                <w:color w:val="000000"/>
                <w:sz w:val="18"/>
              </w:rPr>
              <w:t xml:space="preserve"> </w:t>
            </w:r>
            <w:r w:rsidRPr="00491918">
              <w:rPr>
                <w:b/>
                <w:color w:val="000000"/>
                <w:sz w:val="18"/>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bottom"/>
          </w:tcPr>
          <w:p w:rsidR="00A24F51" w:rsidRPr="00491918" w:rsidRDefault="00A24F51" w:rsidP="00CB3E2C">
            <w:pPr>
              <w:rPr>
                <w:b/>
                <w:color w:val="000000"/>
                <w:sz w:val="18"/>
                <w:vertAlign w:val="superscript"/>
              </w:rPr>
            </w:pPr>
            <w:r w:rsidRPr="00491918">
              <w:rPr>
                <w:b/>
                <w:color w:val="000000"/>
                <w:sz w:val="18"/>
              </w:rPr>
              <w:t xml:space="preserve"> </w:t>
            </w:r>
          </w:p>
        </w:tc>
        <w:tc>
          <w:tcPr>
            <w:tcW w:w="750" w:type="dxa"/>
            <w:tcBorders>
              <w:top w:val="nil"/>
              <w:left w:val="nil"/>
              <w:bottom w:val="nil"/>
              <w:right w:val="nil"/>
            </w:tcBorders>
            <w:shd w:val="clear" w:color="auto" w:fill="FFFFFF"/>
            <w:tcMar>
              <w:left w:w="36" w:type="dxa"/>
              <w:right w:w="36" w:type="dxa"/>
            </w:tcMar>
            <w:vAlign w:val="bottom"/>
          </w:tcPr>
          <w:p w:rsidR="00A24F51" w:rsidRPr="00491918" w:rsidRDefault="00A24F51" w:rsidP="00CB3E2C">
            <w:pPr>
              <w:rPr>
                <w:b/>
                <w:color w:val="000000"/>
                <w:sz w:val="18"/>
              </w:rPr>
            </w:pPr>
            <w:r w:rsidRPr="00491918">
              <w:rPr>
                <w:b/>
                <w:color w:val="000000"/>
                <w:sz w:val="18"/>
              </w:rPr>
              <w:t xml:space="preserve"> </w:t>
            </w:r>
            <w:r w:rsidRPr="00491918">
              <w:rPr>
                <w:color w:val="000000"/>
                <w:sz w:val="16"/>
                <w:vertAlign w:val="superscript"/>
              </w:rPr>
              <w:t xml:space="preserve"> </w:t>
            </w:r>
          </w:p>
        </w:tc>
      </w:tr>
      <w:tr w:rsidR="003E1CDE" w:rsidRPr="00491918" w:rsidTr="00A24F51">
        <w:trPr>
          <w:trHeight w:val="255"/>
        </w:trPr>
        <w:tc>
          <w:tcPr>
            <w:tcW w:w="2130" w:type="dxa"/>
            <w:tcBorders>
              <w:top w:val="nil"/>
              <w:left w:val="nil"/>
              <w:bottom w:val="nil"/>
              <w:right w:val="nil"/>
            </w:tcBorders>
            <w:shd w:val="clear" w:color="auto" w:fill="FFFFFF"/>
            <w:tcMar>
              <w:left w:w="36" w:type="dxa"/>
              <w:right w:w="36" w:type="dxa"/>
            </w:tcMar>
            <w:vAlign w:val="bottom"/>
          </w:tcPr>
          <w:p w:rsidR="003E1CDE" w:rsidRPr="00491918" w:rsidRDefault="003E1CDE" w:rsidP="00CB3E2C">
            <w:pPr>
              <w:rPr>
                <w:color w:val="000000"/>
                <w:sz w:val="16"/>
                <w:vertAlign w:val="superscript"/>
              </w:rPr>
            </w:pPr>
            <w:r w:rsidRPr="00491918">
              <w:rPr>
                <w:b/>
                <w:color w:val="000000"/>
                <w:sz w:val="18"/>
              </w:rPr>
              <w:t xml:space="preserve"> </w:t>
            </w:r>
            <w:r w:rsidRPr="00491918">
              <w:rPr>
                <w:b/>
                <w:color w:val="000000"/>
                <w:sz w:val="16"/>
                <w:vertAlign w:val="superscript"/>
              </w:rPr>
              <w:t xml:space="preserve"> </w:t>
            </w:r>
          </w:p>
        </w:tc>
        <w:tc>
          <w:tcPr>
            <w:tcW w:w="1500" w:type="dxa"/>
            <w:gridSpan w:val="2"/>
            <w:tcBorders>
              <w:top w:val="nil"/>
              <w:left w:val="nil"/>
              <w:bottom w:val="single" w:sz="6" w:space="0" w:color="7F7F7F"/>
              <w:right w:val="nil"/>
            </w:tcBorders>
            <w:shd w:val="clear" w:color="auto" w:fill="FFFFFF"/>
            <w:tcMar>
              <w:left w:w="36" w:type="dxa"/>
              <w:right w:w="36" w:type="dxa"/>
            </w:tcMar>
            <w:vAlign w:val="bottom"/>
          </w:tcPr>
          <w:p w:rsidR="003E1CDE" w:rsidRPr="00491918" w:rsidRDefault="003E1CDE" w:rsidP="00CB3E2C">
            <w:pPr>
              <w:jc w:val="center"/>
              <w:rPr>
                <w:b/>
                <w:color w:val="000000"/>
                <w:sz w:val="16"/>
                <w:vertAlign w:val="superscript"/>
              </w:rPr>
            </w:pPr>
            <w:r w:rsidRPr="00491918">
              <w:rPr>
                <w:b/>
                <w:color w:val="000000"/>
                <w:sz w:val="16"/>
              </w:rPr>
              <w:t>UK</w:t>
            </w:r>
            <w:r w:rsidRPr="00491918">
              <w:rPr>
                <w:b/>
                <w:color w:val="000000"/>
                <w:sz w:val="16"/>
                <w:vertAlign w:val="superscript"/>
              </w:rPr>
              <w:t xml:space="preserve"> </w:t>
            </w:r>
          </w:p>
        </w:tc>
        <w:tc>
          <w:tcPr>
            <w:tcW w:w="1500" w:type="dxa"/>
            <w:gridSpan w:val="2"/>
            <w:tcBorders>
              <w:top w:val="nil"/>
              <w:left w:val="nil"/>
              <w:bottom w:val="single" w:sz="6" w:space="0" w:color="7F7F7F"/>
              <w:right w:val="nil"/>
            </w:tcBorders>
            <w:shd w:val="clear" w:color="auto" w:fill="FFFFFF"/>
            <w:tcMar>
              <w:left w:w="36" w:type="dxa"/>
              <w:right w:w="36" w:type="dxa"/>
            </w:tcMar>
            <w:vAlign w:val="bottom"/>
          </w:tcPr>
          <w:p w:rsidR="003E1CDE" w:rsidRPr="00491918" w:rsidRDefault="003E1CDE" w:rsidP="00CB3E2C">
            <w:pPr>
              <w:jc w:val="center"/>
              <w:rPr>
                <w:b/>
                <w:color w:val="000000"/>
                <w:sz w:val="16"/>
                <w:vertAlign w:val="superscript"/>
              </w:rPr>
            </w:pPr>
            <w:r w:rsidRPr="00491918">
              <w:rPr>
                <w:b/>
                <w:color w:val="000000"/>
                <w:sz w:val="16"/>
              </w:rPr>
              <w:t>South Africa</w:t>
            </w:r>
            <w:r w:rsidRPr="00491918">
              <w:rPr>
                <w:b/>
                <w:color w:val="000000"/>
                <w:sz w:val="16"/>
                <w:vertAlign w:val="superscript"/>
              </w:rPr>
              <w:t xml:space="preserve"> </w:t>
            </w:r>
          </w:p>
        </w:tc>
        <w:tc>
          <w:tcPr>
            <w:tcW w:w="1500" w:type="dxa"/>
            <w:gridSpan w:val="2"/>
            <w:tcBorders>
              <w:top w:val="nil"/>
              <w:left w:val="nil"/>
              <w:bottom w:val="single" w:sz="6" w:space="0" w:color="7F7F7F"/>
              <w:right w:val="nil"/>
            </w:tcBorders>
            <w:shd w:val="clear" w:color="auto" w:fill="FFFFFF"/>
            <w:tcMar>
              <w:left w:w="36" w:type="dxa"/>
              <w:right w:w="36" w:type="dxa"/>
            </w:tcMar>
            <w:vAlign w:val="bottom"/>
          </w:tcPr>
          <w:p w:rsidR="003E1CDE" w:rsidRPr="00491918" w:rsidRDefault="003E1CDE" w:rsidP="00CB3E2C">
            <w:pPr>
              <w:jc w:val="center"/>
              <w:rPr>
                <w:b/>
                <w:color w:val="000000"/>
                <w:sz w:val="16"/>
                <w:vertAlign w:val="superscript"/>
              </w:rPr>
            </w:pPr>
            <w:r w:rsidRPr="00491918">
              <w:rPr>
                <w:b/>
                <w:color w:val="000000"/>
                <w:sz w:val="16"/>
              </w:rPr>
              <w:t>Spain</w:t>
            </w:r>
            <w:r w:rsidRPr="00491918">
              <w:rPr>
                <w:b/>
                <w:color w:val="000000"/>
                <w:sz w:val="16"/>
                <w:vertAlign w:val="superscript"/>
              </w:rPr>
              <w:t xml:space="preserve"> </w:t>
            </w:r>
          </w:p>
        </w:tc>
        <w:tc>
          <w:tcPr>
            <w:tcW w:w="1485" w:type="dxa"/>
            <w:gridSpan w:val="2"/>
            <w:tcBorders>
              <w:top w:val="nil"/>
              <w:left w:val="nil"/>
              <w:bottom w:val="single" w:sz="6" w:space="0" w:color="7F7F7F"/>
              <w:right w:val="nil"/>
            </w:tcBorders>
            <w:shd w:val="clear" w:color="auto" w:fill="FFFFFF"/>
            <w:tcMar>
              <w:left w:w="36" w:type="dxa"/>
              <w:right w:w="36" w:type="dxa"/>
            </w:tcMar>
            <w:vAlign w:val="bottom"/>
          </w:tcPr>
          <w:p w:rsidR="003E1CDE" w:rsidRPr="00491918" w:rsidRDefault="003E1CDE" w:rsidP="00CB3E2C">
            <w:pPr>
              <w:jc w:val="center"/>
              <w:rPr>
                <w:b/>
                <w:color w:val="000000"/>
                <w:sz w:val="16"/>
                <w:vertAlign w:val="superscript"/>
              </w:rPr>
            </w:pPr>
            <w:r w:rsidRPr="00491918">
              <w:rPr>
                <w:b/>
                <w:color w:val="000000"/>
                <w:sz w:val="16"/>
              </w:rPr>
              <w:t>Italy</w:t>
            </w:r>
            <w:r w:rsidRPr="00491918">
              <w:rPr>
                <w:b/>
                <w:color w:val="000000"/>
                <w:sz w:val="16"/>
                <w:vertAlign w:val="superscript"/>
              </w:rPr>
              <w:t xml:space="preserve"> </w:t>
            </w:r>
          </w:p>
        </w:tc>
        <w:tc>
          <w:tcPr>
            <w:tcW w:w="1500" w:type="dxa"/>
            <w:gridSpan w:val="2"/>
            <w:tcBorders>
              <w:top w:val="nil"/>
              <w:left w:val="nil"/>
              <w:bottom w:val="single" w:sz="6" w:space="0" w:color="7F7F7F"/>
              <w:right w:val="nil"/>
            </w:tcBorders>
            <w:shd w:val="clear" w:color="auto" w:fill="FFFFFF"/>
            <w:tcMar>
              <w:left w:w="36" w:type="dxa"/>
              <w:right w:w="36" w:type="dxa"/>
            </w:tcMar>
            <w:vAlign w:val="bottom"/>
          </w:tcPr>
          <w:p w:rsidR="003E1CDE" w:rsidRPr="00491918" w:rsidRDefault="003E1CDE" w:rsidP="00CB3E2C">
            <w:pPr>
              <w:jc w:val="center"/>
              <w:rPr>
                <w:b/>
                <w:color w:val="000000"/>
                <w:sz w:val="16"/>
                <w:vertAlign w:val="superscript"/>
              </w:rPr>
            </w:pPr>
            <w:r w:rsidRPr="00491918">
              <w:rPr>
                <w:b/>
                <w:color w:val="000000"/>
                <w:sz w:val="16"/>
              </w:rPr>
              <w:t>Portugal</w:t>
            </w:r>
            <w:r w:rsidRPr="00491918">
              <w:rPr>
                <w:color w:val="000000"/>
                <w:sz w:val="16"/>
                <w:vertAlign w:val="superscript"/>
              </w:rPr>
              <w:t xml:space="preserve"> </w:t>
            </w:r>
          </w:p>
        </w:tc>
      </w:tr>
      <w:tr w:rsidR="003E1CDE" w:rsidRPr="00491918" w:rsidTr="00CB3E2C">
        <w:trPr>
          <w:trHeight w:val="300"/>
        </w:trPr>
        <w:tc>
          <w:tcPr>
            <w:tcW w:w="2130" w:type="dxa"/>
            <w:tcBorders>
              <w:top w:val="nil"/>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rPr>
                <w:color w:val="000000"/>
                <w:sz w:val="16"/>
                <w:vertAlign w:val="superscript"/>
              </w:rPr>
            </w:pPr>
            <w:r w:rsidRPr="00491918">
              <w:rPr>
                <w:b/>
                <w:color w:val="000000"/>
                <w:sz w:val="16"/>
              </w:rPr>
              <w:t>As at 30 June</w:t>
            </w:r>
            <w:r w:rsidRPr="00491918">
              <w:rPr>
                <w:b/>
                <w:color w:val="000000"/>
                <w:sz w:val="16"/>
                <w:vertAlign w:val="superscript"/>
              </w:rPr>
              <w:t xml:space="preserve">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vertAlign w:val="superscript"/>
              </w:rPr>
            </w:pPr>
            <w:r w:rsidRPr="00491918">
              <w:rPr>
                <w:b/>
                <w:color w:val="000000"/>
                <w:sz w:val="16"/>
              </w:rPr>
              <w:t>2013 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rPr>
            </w:pPr>
            <w:r w:rsidRPr="00491918">
              <w:rPr>
                <w:b/>
                <w:color w:val="000000"/>
                <w:sz w:val="16"/>
              </w:rPr>
              <w:t>2012 </w:t>
            </w:r>
            <w:r w:rsidRPr="00491918">
              <w:rPr>
                <w:b/>
                <w:color w:val="000000"/>
                <w:sz w:val="16"/>
                <w:vertAlign w:val="superscript"/>
              </w:rPr>
              <w:t xml:space="preserve">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vertAlign w:val="superscript"/>
              </w:rPr>
            </w:pPr>
            <w:r w:rsidRPr="00491918">
              <w:rPr>
                <w:b/>
                <w:color w:val="000000"/>
                <w:sz w:val="16"/>
              </w:rPr>
              <w:t>2013 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rPr>
            </w:pPr>
            <w:r w:rsidRPr="00491918">
              <w:rPr>
                <w:b/>
                <w:color w:val="000000"/>
                <w:sz w:val="16"/>
              </w:rPr>
              <w:t>2012 </w:t>
            </w:r>
            <w:r w:rsidRPr="00491918">
              <w:rPr>
                <w:b/>
                <w:color w:val="000000"/>
                <w:sz w:val="16"/>
                <w:vertAlign w:val="superscript"/>
              </w:rPr>
              <w:t xml:space="preserve">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vertAlign w:val="superscript"/>
              </w:rPr>
            </w:pPr>
            <w:r w:rsidRPr="00491918">
              <w:rPr>
                <w:b/>
                <w:color w:val="000000"/>
                <w:sz w:val="16"/>
              </w:rPr>
              <w:t>2013 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rPr>
            </w:pPr>
            <w:r w:rsidRPr="00491918">
              <w:rPr>
                <w:b/>
                <w:color w:val="000000"/>
                <w:sz w:val="16"/>
              </w:rPr>
              <w:t>2012 </w:t>
            </w:r>
            <w:r w:rsidRPr="00491918">
              <w:rPr>
                <w:b/>
                <w:color w:val="000000"/>
                <w:sz w:val="16"/>
                <w:vertAlign w:val="superscript"/>
              </w:rPr>
              <w:t xml:space="preserve"> </w:t>
            </w:r>
          </w:p>
        </w:tc>
        <w:tc>
          <w:tcPr>
            <w:tcW w:w="735"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vertAlign w:val="superscript"/>
              </w:rPr>
            </w:pPr>
            <w:r w:rsidRPr="00491918">
              <w:rPr>
                <w:b/>
                <w:color w:val="000000"/>
                <w:sz w:val="16"/>
              </w:rPr>
              <w:t>2013 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rPr>
            </w:pPr>
            <w:r w:rsidRPr="00491918">
              <w:rPr>
                <w:b/>
                <w:color w:val="000000"/>
                <w:sz w:val="16"/>
              </w:rPr>
              <w:t>2012 </w:t>
            </w:r>
            <w:r w:rsidRPr="00491918">
              <w:rPr>
                <w:b/>
                <w:color w:val="000000"/>
                <w:sz w:val="16"/>
                <w:vertAlign w:val="superscript"/>
              </w:rPr>
              <w:t xml:space="preserve">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vertAlign w:val="superscript"/>
              </w:rPr>
            </w:pPr>
            <w:r w:rsidRPr="00491918">
              <w:rPr>
                <w:b/>
                <w:color w:val="000000"/>
                <w:sz w:val="16"/>
              </w:rPr>
              <w:t>2013 </w:t>
            </w:r>
          </w:p>
        </w:tc>
        <w:tc>
          <w:tcPr>
            <w:tcW w:w="750" w:type="dxa"/>
            <w:tcBorders>
              <w:top w:val="single" w:sz="6" w:space="0" w:color="7F7F7F"/>
              <w:left w:val="nil"/>
              <w:bottom w:val="single" w:sz="6" w:space="0" w:color="969696"/>
              <w:right w:val="nil"/>
            </w:tcBorders>
            <w:shd w:val="clear" w:color="auto" w:fill="FFFFFF"/>
            <w:tcMar>
              <w:left w:w="36" w:type="dxa"/>
              <w:right w:w="36" w:type="dxa"/>
            </w:tcMar>
            <w:vAlign w:val="bottom"/>
          </w:tcPr>
          <w:p w:rsidR="003E1CDE" w:rsidRPr="00491918" w:rsidRDefault="003E1CDE" w:rsidP="00CB3E2C">
            <w:pPr>
              <w:jc w:val="right"/>
              <w:rPr>
                <w:b/>
                <w:color w:val="000000"/>
                <w:sz w:val="16"/>
              </w:rPr>
            </w:pPr>
            <w:r w:rsidRPr="00491918">
              <w:rPr>
                <w:b/>
                <w:color w:val="000000"/>
                <w:sz w:val="16"/>
              </w:rPr>
              <w:t>2012 </w:t>
            </w:r>
            <w:r w:rsidRPr="00491918">
              <w:rPr>
                <w:color w:val="000000"/>
                <w:sz w:val="16"/>
                <w:vertAlign w:val="superscript"/>
              </w:rPr>
              <w:t xml:space="preserve"> </w:t>
            </w:r>
          </w:p>
        </w:tc>
      </w:tr>
    </w:tbl>
    <w:p w:rsidR="00FF7A7C" w:rsidRPr="00491918" w:rsidRDefault="00FF7A7C"/>
    <w:tbl>
      <w:tblPr>
        <w:tblW w:w="0" w:type="auto"/>
        <w:tblLayout w:type="fixed"/>
        <w:tblLook w:val="0000" w:firstRow="0" w:lastRow="0" w:firstColumn="0" w:lastColumn="0" w:noHBand="0" w:noVBand="0"/>
      </w:tblPr>
      <w:tblGrid>
        <w:gridCol w:w="2130"/>
        <w:gridCol w:w="750"/>
        <w:gridCol w:w="750"/>
        <w:gridCol w:w="750"/>
        <w:gridCol w:w="750"/>
        <w:gridCol w:w="750"/>
        <w:gridCol w:w="750"/>
        <w:gridCol w:w="735"/>
        <w:gridCol w:w="750"/>
        <w:gridCol w:w="750"/>
        <w:gridCol w:w="750"/>
      </w:tblGrid>
      <w:tr w:rsidR="003E1CDE" w:rsidRPr="00491918" w:rsidTr="00FF7A7C">
        <w:trPr>
          <w:trHeight w:val="240"/>
        </w:trPr>
        <w:tc>
          <w:tcPr>
            <w:tcW w:w="2130" w:type="dxa"/>
            <w:tcBorders>
              <w:left w:val="nil"/>
              <w:bottom w:val="nil"/>
              <w:right w:val="nil"/>
            </w:tcBorders>
            <w:shd w:val="clear" w:color="auto" w:fill="FFFFFF"/>
            <w:tcMar>
              <w:left w:w="36" w:type="dxa"/>
              <w:right w:w="36" w:type="dxa"/>
            </w:tcMar>
            <w:vAlign w:val="center"/>
          </w:tcPr>
          <w:p w:rsidR="003E1CDE" w:rsidRPr="00491918" w:rsidRDefault="003E1CDE" w:rsidP="00CB3E2C">
            <w:pPr>
              <w:rPr>
                <w:color w:val="000000"/>
                <w:sz w:val="16"/>
                <w:vertAlign w:val="superscript"/>
              </w:rPr>
            </w:pPr>
            <w:r w:rsidRPr="00491918">
              <w:rPr>
                <w:color w:val="000000"/>
                <w:sz w:val="16"/>
              </w:rPr>
              <w:lastRenderedPageBreak/>
              <w:t>New home loans (£m)</w:t>
            </w:r>
            <w:r w:rsidRPr="00491918">
              <w:rPr>
                <w:b/>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3E1CDE" w:rsidRPr="00491918" w:rsidRDefault="003E1CDE" w:rsidP="00CB3E2C">
            <w:pPr>
              <w:jc w:val="right"/>
              <w:rPr>
                <w:b/>
                <w:color w:val="000000"/>
                <w:sz w:val="16"/>
                <w:vertAlign w:val="superscript"/>
              </w:rPr>
            </w:pPr>
            <w:r w:rsidRPr="00491918">
              <w:rPr>
                <w:color w:val="000000"/>
                <w:sz w:val="16"/>
              </w:rPr>
              <w:t xml:space="preserve"> 7,700 </w:t>
            </w:r>
          </w:p>
        </w:tc>
        <w:tc>
          <w:tcPr>
            <w:tcW w:w="750" w:type="dxa"/>
            <w:tcBorders>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7,800 </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532 </w:t>
            </w:r>
          </w:p>
        </w:tc>
        <w:tc>
          <w:tcPr>
            <w:tcW w:w="750" w:type="dxa"/>
            <w:tcBorders>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504 </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221 </w:t>
            </w:r>
          </w:p>
        </w:tc>
        <w:tc>
          <w:tcPr>
            <w:tcW w:w="750" w:type="dxa"/>
            <w:tcBorders>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96 </w:t>
            </w:r>
            <w:r w:rsidRPr="00491918">
              <w:rPr>
                <w:color w:val="000000"/>
                <w:sz w:val="16"/>
                <w:vertAlign w:val="superscript"/>
              </w:rPr>
              <w:t xml:space="preserve"> </w:t>
            </w:r>
          </w:p>
        </w:tc>
        <w:tc>
          <w:tcPr>
            <w:tcW w:w="735" w:type="dxa"/>
            <w:tcBorders>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374 </w:t>
            </w:r>
          </w:p>
        </w:tc>
        <w:tc>
          <w:tcPr>
            <w:tcW w:w="750" w:type="dxa"/>
            <w:tcBorders>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516 </w:t>
            </w:r>
            <w:r w:rsidRPr="00491918">
              <w:rPr>
                <w:color w:val="000000"/>
                <w:sz w:val="16"/>
                <w:vertAlign w:val="superscript"/>
              </w:rPr>
              <w:t xml:space="preserve"> </w:t>
            </w:r>
          </w:p>
        </w:tc>
        <w:tc>
          <w:tcPr>
            <w:tcW w:w="750" w:type="dxa"/>
            <w:tcBorders>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11 </w:t>
            </w:r>
          </w:p>
        </w:tc>
        <w:tc>
          <w:tcPr>
            <w:tcW w:w="750" w:type="dxa"/>
            <w:tcBorders>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68 </w:t>
            </w:r>
            <w:r w:rsidRPr="00491918">
              <w:rPr>
                <w:color w:val="000000"/>
                <w:sz w:val="16"/>
                <w:vertAlign w:val="superscript"/>
              </w:rPr>
              <w:t xml:space="preserve"> </w:t>
            </w:r>
          </w:p>
        </w:tc>
      </w:tr>
      <w:tr w:rsidR="003E1CDE" w:rsidRPr="00491918" w:rsidTr="00CB3E2C">
        <w:trPr>
          <w:trHeight w:hRule="exact" w:val="240"/>
        </w:trPr>
        <w:tc>
          <w:tcPr>
            <w:tcW w:w="213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 xml:space="preserve">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 xml:space="preserve"> </w:t>
            </w:r>
            <w:r w:rsidRPr="00491918">
              <w:rPr>
                <w:color w:val="000000"/>
                <w:sz w:val="16"/>
                <w:vertAlign w:val="superscript"/>
              </w:rPr>
              <w:t xml:space="preserve"> </w:t>
            </w:r>
          </w:p>
        </w:tc>
      </w:tr>
      <w:tr w:rsidR="003E1CDE" w:rsidRPr="00491918" w:rsidTr="00CB3E2C">
        <w:trPr>
          <w:trHeight w:val="510"/>
        </w:trPr>
        <w:tc>
          <w:tcPr>
            <w:tcW w:w="213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rPr>
                <w:color w:val="000000"/>
                <w:sz w:val="16"/>
                <w:vertAlign w:val="superscript"/>
              </w:rPr>
            </w:pPr>
            <w:r w:rsidRPr="00491918">
              <w:rPr>
                <w:color w:val="000000"/>
                <w:sz w:val="16"/>
              </w:rPr>
              <w:t>New home loans proportion above 85% LTV</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2.6 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4.8 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28.1 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33.3 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0.6 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5.2 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17.6 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4.6 </w:t>
            </w:r>
            <w:r w:rsidRPr="00491918">
              <w:rPr>
                <w:color w:val="000000"/>
                <w:sz w:val="16"/>
                <w:vertAlign w:val="superscript"/>
              </w:rPr>
              <w:t xml:space="preserve"> </w:t>
            </w:r>
          </w:p>
        </w:tc>
      </w:tr>
      <w:tr w:rsidR="003E1CDE" w:rsidRPr="00491918" w:rsidTr="00CB3E2C">
        <w:trPr>
          <w:trHeight w:val="510"/>
        </w:trPr>
        <w:tc>
          <w:tcPr>
            <w:tcW w:w="213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rPr>
                <w:color w:val="000000"/>
                <w:sz w:val="16"/>
                <w:vertAlign w:val="superscript"/>
              </w:rPr>
            </w:pPr>
            <w:r w:rsidRPr="00491918">
              <w:rPr>
                <w:color w:val="000000"/>
                <w:sz w:val="16"/>
              </w:rPr>
              <w:t>Average LTV:</w:t>
            </w:r>
          </w:p>
          <w:p w:rsidR="003E1CDE" w:rsidRPr="00491918" w:rsidRDefault="003E1CDE" w:rsidP="00CB3E2C">
            <w:pPr>
              <w:rPr>
                <w:color w:val="000000"/>
                <w:sz w:val="16"/>
              </w:rPr>
            </w:pPr>
            <w:r w:rsidRPr="00491918">
              <w:rPr>
                <w:color w:val="000000"/>
                <w:sz w:val="16"/>
              </w:rPr>
              <w:t>Valuation weighted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53.8 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55.3 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63.8 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62.9 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56.1 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54.1 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53.3 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56.2 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53.5 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57.4 </w:t>
            </w:r>
            <w:r w:rsidRPr="00491918">
              <w:rPr>
                <w:color w:val="000000"/>
                <w:sz w:val="16"/>
                <w:vertAlign w:val="superscript"/>
              </w:rPr>
              <w:t xml:space="preserve"> </w:t>
            </w:r>
          </w:p>
        </w:tc>
      </w:tr>
      <w:tr w:rsidR="003E1CDE" w:rsidRPr="00491918" w:rsidTr="00CB3E2C">
        <w:trPr>
          <w:trHeight w:val="510"/>
        </w:trPr>
        <w:tc>
          <w:tcPr>
            <w:tcW w:w="213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rPr>
                <w:color w:val="000000"/>
                <w:sz w:val="16"/>
                <w:vertAlign w:val="superscript"/>
              </w:rPr>
            </w:pPr>
            <w:r w:rsidRPr="00491918">
              <w:rPr>
                <w:color w:val="000000"/>
                <w:sz w:val="16"/>
              </w:rPr>
              <w:t>Average LTV:</w:t>
            </w:r>
          </w:p>
          <w:p w:rsidR="003E1CDE" w:rsidRPr="00491918" w:rsidRDefault="003E1CDE" w:rsidP="00CB3E2C">
            <w:pPr>
              <w:rPr>
                <w:color w:val="000000"/>
                <w:sz w:val="16"/>
              </w:rPr>
            </w:pPr>
            <w:r w:rsidRPr="00491918">
              <w:rPr>
                <w:color w:val="000000"/>
                <w:sz w:val="16"/>
              </w:rPr>
              <w:t>Balance weighted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60.6 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63.6 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74.1 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73.8 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61.6 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62.5 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60.2 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63.7 </w:t>
            </w:r>
            <w:r w:rsidRPr="00491918">
              <w:rPr>
                <w:color w:val="000000"/>
                <w:sz w:val="16"/>
                <w:vertAlign w:val="superscript"/>
              </w:rPr>
              <w:t xml:space="preserve"> </w:t>
            </w:r>
          </w:p>
        </w:tc>
        <w:tc>
          <w:tcPr>
            <w:tcW w:w="750" w:type="dxa"/>
            <w:tcBorders>
              <w:top w:val="nil"/>
              <w:left w:val="nil"/>
              <w:bottom w:val="nil"/>
              <w:right w:val="nil"/>
            </w:tcBorders>
            <w:shd w:val="clear" w:color="auto" w:fill="EAEAEA"/>
            <w:tcMar>
              <w:left w:w="36" w:type="dxa"/>
              <w:right w:w="36" w:type="dxa"/>
            </w:tcMar>
            <w:vAlign w:val="center"/>
          </w:tcPr>
          <w:p w:rsidR="003E1CDE" w:rsidRPr="00491918" w:rsidRDefault="003E1CDE" w:rsidP="00CB3E2C">
            <w:pPr>
              <w:jc w:val="right"/>
              <w:rPr>
                <w:color w:val="000000"/>
                <w:sz w:val="16"/>
                <w:vertAlign w:val="superscript"/>
              </w:rPr>
            </w:pPr>
            <w:r w:rsidRPr="00491918">
              <w:rPr>
                <w:color w:val="000000"/>
                <w:sz w:val="16"/>
              </w:rPr>
              <w:t>63.3 </w:t>
            </w:r>
          </w:p>
        </w:tc>
        <w:tc>
          <w:tcPr>
            <w:tcW w:w="750" w:type="dxa"/>
            <w:tcBorders>
              <w:top w:val="nil"/>
              <w:left w:val="nil"/>
              <w:bottom w:val="nil"/>
              <w:right w:val="nil"/>
            </w:tcBorders>
            <w:shd w:val="clear" w:color="auto" w:fill="FFFFFF"/>
            <w:tcMar>
              <w:left w:w="36" w:type="dxa"/>
              <w:right w:w="36" w:type="dxa"/>
            </w:tcMar>
            <w:vAlign w:val="center"/>
          </w:tcPr>
          <w:p w:rsidR="003E1CDE" w:rsidRPr="00491918" w:rsidRDefault="003E1CDE" w:rsidP="00CB3E2C">
            <w:pPr>
              <w:jc w:val="right"/>
              <w:rPr>
                <w:color w:val="000000"/>
                <w:sz w:val="16"/>
              </w:rPr>
            </w:pPr>
            <w:r w:rsidRPr="00491918">
              <w:rPr>
                <w:color w:val="000000"/>
                <w:sz w:val="16"/>
              </w:rPr>
              <w:t>60.6 </w:t>
            </w:r>
            <w:r w:rsidRPr="00491918">
              <w:rPr>
                <w:color w:val="000000"/>
                <w:sz w:val="16"/>
                <w:vertAlign w:val="superscript"/>
              </w:rPr>
              <w:t xml:space="preserve"> </w:t>
            </w:r>
          </w:p>
        </w:tc>
      </w:tr>
    </w:tbl>
    <w:p w:rsidR="003E1CDE" w:rsidRPr="00491918" w:rsidRDefault="003E1CDE" w:rsidP="003E1CDE">
      <w:pPr>
        <w:pStyle w:val="NoteandSourceText-BarcRA11"/>
        <w:numPr>
          <w:ilvl w:val="0"/>
          <w:numId w:val="0"/>
        </w:numPr>
        <w:ind w:left="360" w:hanging="360"/>
      </w:pPr>
    </w:p>
    <w:p w:rsidR="000D1659" w:rsidRPr="00491918" w:rsidRDefault="000D1659"/>
    <w:p w:rsidR="000D1659" w:rsidRPr="00491918" w:rsidRDefault="000D1659" w:rsidP="00EC729A">
      <w:pPr>
        <w:pStyle w:val="Level1Bullet-BarcRA201"/>
        <w:numPr>
          <w:ilvl w:val="0"/>
          <w:numId w:val="133"/>
        </w:numPr>
      </w:pPr>
      <w:r w:rsidRPr="00491918">
        <w:t xml:space="preserve">New lending in principal </w:t>
      </w:r>
      <w:r w:rsidR="00CB3E2C" w:rsidRPr="00491918">
        <w:t>home loan portfolios decreased 2% to £8,838</w:t>
      </w:r>
      <w:r w:rsidRPr="00491918">
        <w:t>m (2012: £8,98</w:t>
      </w:r>
      <w:r w:rsidR="00CB3E2C" w:rsidRPr="00491918">
        <w:t>4</w:t>
      </w:r>
      <w:r w:rsidRPr="00491918">
        <w:t>m)</w:t>
      </w:r>
    </w:p>
    <w:p w:rsidR="000D1659" w:rsidRPr="00491918" w:rsidRDefault="000D1659" w:rsidP="00EC729A">
      <w:pPr>
        <w:pStyle w:val="Level1Bullet-BarcRA201"/>
        <w:numPr>
          <w:ilvl w:val="0"/>
          <w:numId w:val="133"/>
        </w:numPr>
      </w:pPr>
      <w:r w:rsidRPr="00491918">
        <w:t>The decrease in average valuation weighted LTV in the UK to 53.8% (2012: 55.3%) was driven by an increased proportion of lower LTV originations. The volume in  the UK is constrained by</w:t>
      </w:r>
      <w:r w:rsidR="00CB3E2C" w:rsidRPr="00491918">
        <w:t xml:space="preserve"> conservative</w:t>
      </w:r>
      <w:r w:rsidRPr="00491918">
        <w:t xml:space="preserve"> credit criteria and risk limits, as evidenced by the decrease in the new home loans proportion above 85%</w:t>
      </w:r>
    </w:p>
    <w:p w:rsidR="000D1659" w:rsidRPr="00491918" w:rsidRDefault="000D1659" w:rsidP="00EC729A">
      <w:pPr>
        <w:pStyle w:val="Level1Bullet-BarcRA201"/>
        <w:numPr>
          <w:ilvl w:val="0"/>
          <w:numId w:val="133"/>
        </w:numPr>
      </w:pPr>
      <w:r w:rsidRPr="00491918">
        <w:t xml:space="preserve">In South Africa, new home loans above 85% LTV decreased from 33.3% to 28.1% due to stricter lending criteria </w:t>
      </w:r>
    </w:p>
    <w:p w:rsidR="000D1659" w:rsidRPr="00491918" w:rsidRDefault="000D1659" w:rsidP="00EC729A">
      <w:pPr>
        <w:pStyle w:val="Level1Bullet-BarcRA201"/>
        <w:numPr>
          <w:ilvl w:val="0"/>
          <w:numId w:val="133"/>
        </w:numPr>
      </w:pPr>
      <w:r w:rsidRPr="00491918">
        <w:t>During H113, new lending was red</w:t>
      </w:r>
      <w:r w:rsidR="00CB3E2C" w:rsidRPr="00491918">
        <w:t>uced in Europe home loans as conservative</w:t>
      </w:r>
      <w:r w:rsidRPr="00491918">
        <w:t xml:space="preserve"> credit criteria</w:t>
      </w:r>
      <w:r w:rsidR="00CB3E2C" w:rsidRPr="00491918">
        <w:t xml:space="preserve"> were maintained</w:t>
      </w:r>
      <w:r w:rsidRPr="00491918">
        <w:t>. Average LTV on new home loans in Spain remained broadly stable. Whilst the proportion of new home loans above 85% LTV decreased from 5.2% to 0.6%</w:t>
      </w:r>
    </w:p>
    <w:p w:rsidR="000D1659" w:rsidRPr="00491918" w:rsidRDefault="000D1659"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A24F51" w:rsidRPr="00491918" w:rsidRDefault="00A24F51"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DA356B" w:rsidRPr="00491918" w:rsidRDefault="00DA356B" w:rsidP="000D1659">
      <w:pPr>
        <w:pStyle w:val="BodyText-BarcRA3800"/>
      </w:pPr>
    </w:p>
    <w:p w:rsidR="00DA356B" w:rsidRPr="00491918" w:rsidRDefault="00DA356B" w:rsidP="000D1659">
      <w:pPr>
        <w:pStyle w:val="BodyText-BarcRA3800"/>
      </w:pPr>
    </w:p>
    <w:p w:rsidR="00DA356B" w:rsidRPr="00491918" w:rsidRDefault="00DA356B" w:rsidP="000D1659">
      <w:pPr>
        <w:pStyle w:val="BodyText-BarcRA3800"/>
      </w:pPr>
    </w:p>
    <w:p w:rsidR="00DA356B" w:rsidRPr="00491918" w:rsidRDefault="00DA356B" w:rsidP="000D1659">
      <w:pPr>
        <w:pStyle w:val="BodyText-BarcRA3800"/>
      </w:pPr>
    </w:p>
    <w:p w:rsidR="000D1659" w:rsidRPr="00491918" w:rsidRDefault="000D1659" w:rsidP="000D1659">
      <w:pPr>
        <w:pStyle w:val="BodyText-BarcRA3800"/>
      </w:pPr>
    </w:p>
    <w:p w:rsidR="000D1659" w:rsidRPr="00491918" w:rsidRDefault="000D1659" w:rsidP="000D1659">
      <w:pPr>
        <w:pStyle w:val="BodyText-BarcRA3800"/>
      </w:pPr>
    </w:p>
    <w:p w:rsidR="00527749" w:rsidRPr="00491918" w:rsidRDefault="00527749" w:rsidP="000D1659">
      <w:pPr>
        <w:pStyle w:val="BodyText-BarcRA3800"/>
      </w:pPr>
    </w:p>
    <w:p w:rsidR="00DF44D1" w:rsidRPr="00491918" w:rsidRDefault="00DF44D1" w:rsidP="000D1659">
      <w:pPr>
        <w:pStyle w:val="BodyText-BarcRA3800"/>
      </w:pPr>
    </w:p>
    <w:p w:rsidR="000D1659" w:rsidRPr="00491918" w:rsidRDefault="00A24F51" w:rsidP="00CC41A9">
      <w:pPr>
        <w:pStyle w:val="BodyText-BarcRA3800"/>
        <w:numPr>
          <w:ilvl w:val="0"/>
          <w:numId w:val="247"/>
        </w:numPr>
        <w:rPr>
          <w:i/>
          <w:iCs/>
          <w:sz w:val="14"/>
          <w:szCs w:val="14"/>
        </w:rPr>
      </w:pPr>
      <w:r w:rsidRPr="00491918">
        <w:rPr>
          <w:i/>
          <w:iCs/>
          <w:sz w:val="14"/>
          <w:szCs w:val="14"/>
        </w:rPr>
        <w:t>New home loans for 2013 and 2012 is total for the first half of the year</w:t>
      </w:r>
      <w:r w:rsidR="00C564A7" w:rsidRPr="00491918">
        <w:rPr>
          <w:i/>
          <w:iCs/>
          <w:sz w:val="14"/>
          <w:szCs w:val="14"/>
        </w:rPr>
        <w:t>.</w:t>
      </w:r>
    </w:p>
    <w:p w:rsidR="00F32242" w:rsidRPr="00491918" w:rsidRDefault="00F32242" w:rsidP="008D6001">
      <w:pPr>
        <w:pStyle w:val="HeadingLevel3-AR0"/>
        <w:outlineLvl w:val="0"/>
        <w:rPr>
          <w:color w:val="auto"/>
          <w:sz w:val="20"/>
          <w:szCs w:val="20"/>
        </w:rPr>
      </w:pPr>
    </w:p>
    <w:p w:rsidR="0007202F" w:rsidRPr="00491918" w:rsidRDefault="0007202F" w:rsidP="0007202F">
      <w:pPr>
        <w:pStyle w:val="HeadingLevel1-BarcRA35"/>
        <w:rPr>
          <w:lang w:val="en-GB"/>
        </w:rPr>
      </w:pPr>
      <w:r w:rsidRPr="00491918">
        <w:rPr>
          <w:lang w:val="en-GB"/>
        </w:rPr>
        <w:t xml:space="preserve">Credit </w:t>
      </w:r>
      <w:r w:rsidRPr="00491918">
        <w:t>Risk</w:t>
      </w:r>
    </w:p>
    <w:p w:rsidR="007A5948" w:rsidRPr="00491918" w:rsidRDefault="007A5948" w:rsidP="008D6001">
      <w:pPr>
        <w:pStyle w:val="HeadingLevel3-AR0"/>
        <w:outlineLvl w:val="0"/>
        <w:rPr>
          <w:color w:val="auto"/>
          <w:sz w:val="20"/>
          <w:szCs w:val="20"/>
        </w:rPr>
      </w:pPr>
      <w:r w:rsidRPr="00491918">
        <w:rPr>
          <w:color w:val="auto"/>
          <w:sz w:val="20"/>
          <w:szCs w:val="20"/>
        </w:rPr>
        <w:t>Exposures to interest only home loans</w:t>
      </w:r>
    </w:p>
    <w:p w:rsidR="007A5948" w:rsidRPr="00491918" w:rsidRDefault="007A5948" w:rsidP="00EC729A">
      <w:pPr>
        <w:pStyle w:val="Level1Bullet-BarcRA201"/>
        <w:numPr>
          <w:ilvl w:val="0"/>
          <w:numId w:val="133"/>
        </w:numPr>
      </w:pPr>
      <w:r w:rsidRPr="00491918">
        <w:t>The Group provides interest only mortgages to customers, mainly in the UK. Under the terms of these loans, the customer makes payments of interest only for the entire term of the mortgage, although customers may make early repayments of the principal provided that these are no more than 5% of the principal balance in any year</w:t>
      </w:r>
    </w:p>
    <w:p w:rsidR="007A5948" w:rsidRPr="00491918" w:rsidRDefault="007A5948" w:rsidP="00EC729A">
      <w:pPr>
        <w:pStyle w:val="Level1Bullet-BarcRA201"/>
        <w:numPr>
          <w:ilvl w:val="0"/>
          <w:numId w:val="133"/>
        </w:numPr>
      </w:pPr>
      <w:r w:rsidRPr="00491918">
        <w:t>Subject to such overpayments, the entire principal remains outstanding until the end of the loan term and the customer is responsible for repaying this on maturity. The means of repayment may include the sale of the mortgaged property</w:t>
      </w:r>
    </w:p>
    <w:p w:rsidR="007A5948" w:rsidRPr="00491918" w:rsidRDefault="007A5948" w:rsidP="00EC729A">
      <w:pPr>
        <w:pStyle w:val="Level1Bullet-BarcRA201"/>
        <w:numPr>
          <w:ilvl w:val="0"/>
          <w:numId w:val="133"/>
        </w:numPr>
      </w:pPr>
      <w:r w:rsidRPr="00491918">
        <w:lastRenderedPageBreak/>
        <w:t>Interest only lending is subject to underwriting criteria that includes: a maximum size of loan, maximum LTV ratios, affordability and maximum loan term amongst other criteria. Borrowers on interest only terms must have a repayment strategy in place to repay the loan at maturity and a customer contact strategy has been developed to ensure ongoing communications are in place with interest only customers at various points during the term of the mortgage. The contact strategy is varied dependent on our view of the risk of the customer</w:t>
      </w:r>
    </w:p>
    <w:p w:rsidR="007A5948" w:rsidRPr="00491918" w:rsidRDefault="007A5948" w:rsidP="00EC729A">
      <w:pPr>
        <w:pStyle w:val="Level1Bullet-BarcRA201"/>
        <w:numPr>
          <w:ilvl w:val="0"/>
          <w:numId w:val="133"/>
        </w:numPr>
      </w:pPr>
      <w:r w:rsidRPr="00491918">
        <w:t>Interest only mortga</w:t>
      </w:r>
      <w:r w:rsidR="00D9311C" w:rsidRPr="00491918">
        <w:t>ges comprise £53bn (</w:t>
      </w:r>
      <w:r w:rsidRPr="00491918">
        <w:t>2012: £53bn) of</w:t>
      </w:r>
      <w:r w:rsidR="00D9311C" w:rsidRPr="00491918">
        <w:t xml:space="preserve"> the total £122bn (</w:t>
      </w:r>
      <w:r w:rsidR="00D9311C" w:rsidRPr="00491918">
        <w:rPr>
          <w:lang w:val="en-GB"/>
        </w:rPr>
        <w:t>2</w:t>
      </w:r>
      <w:r w:rsidRPr="00491918">
        <w:t>012: £115bn) UK home loans portfoli</w:t>
      </w:r>
      <w:r w:rsidR="00D9311C" w:rsidRPr="00491918">
        <w:t>o. Of these, £46bn (</w:t>
      </w:r>
      <w:r w:rsidRPr="00491918">
        <w:t xml:space="preserve">2012: £46bn) are owner-occupied with </w:t>
      </w:r>
      <w:r w:rsidR="00D9311C" w:rsidRPr="00491918">
        <w:t>the remaining £7bn (</w:t>
      </w:r>
      <w:r w:rsidRPr="00491918">
        <w:t>2012: £7bn) buy-to-let</w:t>
      </w:r>
    </w:p>
    <w:p w:rsidR="007A5948" w:rsidRPr="00491918" w:rsidRDefault="007A5948" w:rsidP="007A5948"/>
    <w:p w:rsidR="007A5948" w:rsidRPr="00491918" w:rsidRDefault="007A5948" w:rsidP="007A5948"/>
    <w:p w:rsidR="007A5948" w:rsidRPr="00491918" w:rsidRDefault="007A5948" w:rsidP="007A5948"/>
    <w:p w:rsidR="007A5948" w:rsidRPr="00491918" w:rsidRDefault="007A5948" w:rsidP="007A5948"/>
    <w:p w:rsidR="007A5948" w:rsidRPr="00491918" w:rsidRDefault="007A5948" w:rsidP="007A5948"/>
    <w:p w:rsidR="007A5948" w:rsidRPr="00491918" w:rsidRDefault="007A5948" w:rsidP="007A5948"/>
    <w:p w:rsidR="007A5948" w:rsidRPr="00491918" w:rsidRDefault="007A5948" w:rsidP="007A5948"/>
    <w:tbl>
      <w:tblPr>
        <w:tblW w:w="0" w:type="auto"/>
        <w:tblLayout w:type="fixed"/>
        <w:tblLook w:val="0000" w:firstRow="0" w:lastRow="0" w:firstColumn="0" w:lastColumn="0" w:noHBand="0" w:noVBand="0"/>
      </w:tblPr>
      <w:tblGrid>
        <w:gridCol w:w="7395"/>
        <w:gridCol w:w="1125"/>
        <w:gridCol w:w="1125"/>
      </w:tblGrid>
      <w:tr w:rsidR="007A5948" w:rsidRPr="00491918" w:rsidTr="007A5948">
        <w:trPr>
          <w:trHeight w:val="240"/>
        </w:trPr>
        <w:tc>
          <w:tcPr>
            <w:tcW w:w="7395" w:type="dxa"/>
            <w:tcBorders>
              <w:top w:val="nil"/>
              <w:left w:val="nil"/>
              <w:bottom w:val="nil"/>
              <w:right w:val="nil"/>
            </w:tcBorders>
            <w:shd w:val="clear" w:color="auto" w:fill="FFFFFF"/>
            <w:tcMar>
              <w:left w:w="36" w:type="dxa"/>
              <w:right w:w="36" w:type="dxa"/>
            </w:tcMar>
          </w:tcPr>
          <w:p w:rsidR="007A5948" w:rsidRPr="00491918" w:rsidRDefault="007A5948" w:rsidP="007A5948">
            <w:r w:rsidRPr="00491918">
              <w:rPr>
                <w:b/>
                <w:color w:val="000000"/>
                <w:sz w:val="16"/>
              </w:rPr>
              <w:t>Exposure to interest only owner-occupied home loans</w:t>
            </w:r>
          </w:p>
        </w:tc>
        <w:tc>
          <w:tcPr>
            <w:tcW w:w="1125" w:type="dxa"/>
            <w:tcBorders>
              <w:top w:val="nil"/>
              <w:left w:val="nil"/>
              <w:bottom w:val="nil"/>
              <w:right w:val="nil"/>
            </w:tcBorders>
            <w:shd w:val="clear" w:color="auto" w:fill="FFFFFF"/>
            <w:tcMar>
              <w:left w:w="36" w:type="dxa"/>
              <w:right w:w="36" w:type="dxa"/>
            </w:tcMar>
            <w:vAlign w:val="bottom"/>
          </w:tcPr>
          <w:p w:rsidR="007A5948" w:rsidRPr="00491918" w:rsidRDefault="007A5948" w:rsidP="007A5948">
            <w:pPr>
              <w:jc w:val="right"/>
              <w:rPr>
                <w:b/>
                <w:color w:val="000000"/>
                <w:sz w:val="16"/>
              </w:rPr>
            </w:pPr>
            <w:r w:rsidRPr="00491918">
              <w:rPr>
                <w:color w:val="000000"/>
                <w:sz w:val="16"/>
              </w:rPr>
              <w:t>As at</w:t>
            </w:r>
          </w:p>
        </w:tc>
        <w:tc>
          <w:tcPr>
            <w:tcW w:w="1125" w:type="dxa"/>
            <w:tcBorders>
              <w:top w:val="nil"/>
              <w:left w:val="nil"/>
              <w:bottom w:val="nil"/>
              <w:right w:val="nil"/>
            </w:tcBorders>
            <w:shd w:val="clear" w:color="auto" w:fill="FFFFFF"/>
            <w:tcMar>
              <w:left w:w="36" w:type="dxa"/>
              <w:right w:w="36" w:type="dxa"/>
            </w:tcMar>
            <w:vAlign w:val="bottom"/>
          </w:tcPr>
          <w:p w:rsidR="007A5948" w:rsidRPr="00491918" w:rsidRDefault="007A5948" w:rsidP="007A5948">
            <w:pPr>
              <w:jc w:val="right"/>
              <w:rPr>
                <w:color w:val="000000"/>
                <w:sz w:val="16"/>
              </w:rPr>
            </w:pPr>
            <w:r w:rsidRPr="00491918">
              <w:rPr>
                <w:color w:val="000000"/>
                <w:sz w:val="16"/>
              </w:rPr>
              <w:t>As at</w:t>
            </w:r>
          </w:p>
        </w:tc>
      </w:tr>
      <w:tr w:rsidR="007A5948" w:rsidRPr="00491918" w:rsidTr="007A5948">
        <w:trPr>
          <w:trHeight w:val="240"/>
        </w:trPr>
        <w:tc>
          <w:tcPr>
            <w:tcW w:w="7395" w:type="dxa"/>
            <w:tcBorders>
              <w:top w:val="nil"/>
              <w:left w:val="nil"/>
              <w:bottom w:val="single" w:sz="6" w:space="0" w:color="000000"/>
              <w:right w:val="nil"/>
            </w:tcBorders>
            <w:shd w:val="clear" w:color="auto" w:fill="FFFFFF"/>
            <w:tcMar>
              <w:left w:w="36" w:type="dxa"/>
              <w:right w:w="36" w:type="dxa"/>
            </w:tcMar>
            <w:vAlign w:val="bottom"/>
          </w:tcPr>
          <w:p w:rsidR="007A5948" w:rsidRPr="00491918" w:rsidRDefault="007A5948" w:rsidP="007A5948">
            <w:pPr>
              <w:rPr>
                <w:color w:val="000000"/>
                <w:sz w:val="16"/>
              </w:rPr>
            </w:pPr>
            <w:r w:rsidRPr="00491918">
              <w:rPr>
                <w:b/>
                <w:color w:val="000000"/>
                <w:sz w:val="16"/>
              </w:rPr>
              <w:t xml:space="preserve"> </w:t>
            </w:r>
          </w:p>
        </w:tc>
        <w:tc>
          <w:tcPr>
            <w:tcW w:w="1125" w:type="dxa"/>
            <w:tcBorders>
              <w:top w:val="nil"/>
              <w:left w:val="nil"/>
              <w:bottom w:val="single" w:sz="6" w:space="0" w:color="000000"/>
              <w:right w:val="nil"/>
            </w:tcBorders>
            <w:shd w:val="clear" w:color="auto" w:fill="FFFFFF"/>
            <w:tcMar>
              <w:left w:w="36" w:type="dxa"/>
              <w:right w:w="36" w:type="dxa"/>
            </w:tcMar>
            <w:vAlign w:val="bottom"/>
          </w:tcPr>
          <w:p w:rsidR="007A5948" w:rsidRPr="00491918" w:rsidRDefault="007A5948" w:rsidP="007A5948">
            <w:pPr>
              <w:jc w:val="right"/>
              <w:rPr>
                <w:b/>
                <w:color w:val="000000"/>
                <w:sz w:val="16"/>
              </w:rPr>
            </w:pPr>
            <w:r w:rsidRPr="00491918">
              <w:rPr>
                <w:b/>
                <w:color w:val="000000"/>
                <w:sz w:val="16"/>
              </w:rPr>
              <w:t>30.06.13</w:t>
            </w:r>
          </w:p>
        </w:tc>
        <w:tc>
          <w:tcPr>
            <w:tcW w:w="1125" w:type="dxa"/>
            <w:tcBorders>
              <w:top w:val="nil"/>
              <w:left w:val="nil"/>
              <w:bottom w:val="single" w:sz="6" w:space="0" w:color="000000"/>
              <w:right w:val="nil"/>
            </w:tcBorders>
            <w:shd w:val="clear" w:color="auto" w:fill="FFFFFF"/>
            <w:tcMar>
              <w:left w:w="36" w:type="dxa"/>
              <w:right w:w="36" w:type="dxa"/>
            </w:tcMar>
            <w:vAlign w:val="bottom"/>
          </w:tcPr>
          <w:p w:rsidR="007A5948" w:rsidRPr="00491918" w:rsidRDefault="007A5948" w:rsidP="007A5948">
            <w:pPr>
              <w:jc w:val="right"/>
              <w:rPr>
                <w:b/>
                <w:color w:val="000000"/>
                <w:sz w:val="16"/>
              </w:rPr>
            </w:pPr>
            <w:r w:rsidRPr="00491918">
              <w:rPr>
                <w:b/>
                <w:color w:val="000000"/>
                <w:sz w:val="16"/>
              </w:rPr>
              <w:t>31.12.12</w:t>
            </w:r>
          </w:p>
        </w:tc>
      </w:tr>
      <w:tr w:rsidR="007A5948" w:rsidRPr="00491918" w:rsidTr="007A5948">
        <w:trPr>
          <w:trHeight w:val="240"/>
        </w:trPr>
        <w:tc>
          <w:tcPr>
            <w:tcW w:w="7395" w:type="dxa"/>
            <w:tcBorders>
              <w:top w:val="single" w:sz="6" w:space="0" w:color="000000"/>
              <w:left w:val="nil"/>
              <w:bottom w:val="nil"/>
              <w:right w:val="nil"/>
            </w:tcBorders>
            <w:shd w:val="clear" w:color="auto" w:fill="FFFFFF"/>
            <w:tcMar>
              <w:left w:w="36" w:type="dxa"/>
              <w:right w:w="36" w:type="dxa"/>
            </w:tcMar>
          </w:tcPr>
          <w:p w:rsidR="007A5948" w:rsidRPr="00491918" w:rsidRDefault="007A5948" w:rsidP="007A5948">
            <w:pPr>
              <w:rPr>
                <w:b/>
                <w:color w:val="000000"/>
                <w:sz w:val="16"/>
              </w:rPr>
            </w:pPr>
            <w:r w:rsidRPr="00491918">
              <w:rPr>
                <w:color w:val="000000"/>
                <w:sz w:val="16"/>
              </w:rPr>
              <w:t>Interest only balances (£m)</w:t>
            </w:r>
          </w:p>
        </w:tc>
        <w:tc>
          <w:tcPr>
            <w:tcW w:w="1125" w:type="dxa"/>
            <w:tcBorders>
              <w:top w:val="single" w:sz="6" w:space="0" w:color="000000"/>
              <w:left w:val="nil"/>
              <w:bottom w:val="nil"/>
              <w:right w:val="nil"/>
            </w:tcBorders>
            <w:shd w:val="clear" w:color="auto" w:fill="EAEAEA"/>
            <w:tcMar>
              <w:left w:w="36" w:type="dxa"/>
              <w:right w:w="36" w:type="dxa"/>
            </w:tcMar>
          </w:tcPr>
          <w:p w:rsidR="007A5948" w:rsidRPr="00491918" w:rsidRDefault="007A5948" w:rsidP="007A5948">
            <w:pPr>
              <w:jc w:val="right"/>
              <w:rPr>
                <w:color w:val="000000"/>
                <w:sz w:val="16"/>
              </w:rPr>
            </w:pPr>
            <w:r w:rsidRPr="00491918">
              <w:rPr>
                <w:b/>
                <w:color w:val="000000"/>
                <w:sz w:val="16"/>
              </w:rPr>
              <w:t>46,080 </w:t>
            </w:r>
          </w:p>
        </w:tc>
        <w:tc>
          <w:tcPr>
            <w:tcW w:w="1125" w:type="dxa"/>
            <w:tcBorders>
              <w:top w:val="single" w:sz="6" w:space="0" w:color="000000"/>
              <w:left w:val="nil"/>
              <w:bottom w:val="nil"/>
              <w:right w:val="nil"/>
            </w:tcBorders>
            <w:shd w:val="clear" w:color="auto" w:fill="FFFFFF"/>
            <w:tcMar>
              <w:left w:w="36" w:type="dxa"/>
              <w:right w:w="36" w:type="dxa"/>
            </w:tcMar>
          </w:tcPr>
          <w:p w:rsidR="007A5948" w:rsidRPr="00491918" w:rsidRDefault="007A5948" w:rsidP="007A5948">
            <w:pPr>
              <w:jc w:val="right"/>
              <w:rPr>
                <w:b/>
                <w:color w:val="000000"/>
                <w:sz w:val="16"/>
              </w:rPr>
            </w:pPr>
            <w:r w:rsidRPr="00491918">
              <w:rPr>
                <w:b/>
                <w:color w:val="000000"/>
                <w:sz w:val="16"/>
              </w:rPr>
              <w:t xml:space="preserve"> 45,693 </w:t>
            </w:r>
          </w:p>
        </w:tc>
      </w:tr>
      <w:tr w:rsidR="007A5948" w:rsidRPr="00491918" w:rsidTr="007A5948">
        <w:trPr>
          <w:trHeight w:val="240"/>
        </w:trPr>
        <w:tc>
          <w:tcPr>
            <w:tcW w:w="7395" w:type="dxa"/>
            <w:tcBorders>
              <w:top w:val="nil"/>
              <w:left w:val="nil"/>
              <w:bottom w:val="nil"/>
              <w:right w:val="nil"/>
            </w:tcBorders>
            <w:shd w:val="clear" w:color="auto" w:fill="FFFFFF"/>
            <w:tcMar>
              <w:left w:w="36" w:type="dxa"/>
              <w:right w:w="36" w:type="dxa"/>
            </w:tcMar>
          </w:tcPr>
          <w:p w:rsidR="007A5948" w:rsidRPr="00491918" w:rsidRDefault="007A5948" w:rsidP="007A5948">
            <w:pPr>
              <w:rPr>
                <w:b/>
                <w:color w:val="000000"/>
                <w:sz w:val="16"/>
              </w:rPr>
            </w:pPr>
            <w:r w:rsidRPr="00491918">
              <w:rPr>
                <w:color w:val="000000"/>
                <w:sz w:val="16"/>
              </w:rPr>
              <w:t>90 days arrears (%)</w:t>
            </w:r>
          </w:p>
        </w:tc>
        <w:tc>
          <w:tcPr>
            <w:tcW w:w="1125" w:type="dxa"/>
            <w:tcBorders>
              <w:top w:val="nil"/>
              <w:left w:val="nil"/>
              <w:bottom w:val="nil"/>
              <w:right w:val="nil"/>
            </w:tcBorders>
            <w:shd w:val="clear" w:color="auto" w:fill="EAEAEA"/>
            <w:tcMar>
              <w:left w:w="36" w:type="dxa"/>
              <w:right w:w="36" w:type="dxa"/>
            </w:tcMar>
          </w:tcPr>
          <w:p w:rsidR="007A5948" w:rsidRPr="00491918" w:rsidRDefault="007A5948" w:rsidP="007A5948">
            <w:pPr>
              <w:jc w:val="right"/>
              <w:rPr>
                <w:color w:val="000000"/>
                <w:sz w:val="16"/>
              </w:rPr>
            </w:pPr>
            <w:r w:rsidRPr="00491918">
              <w:rPr>
                <w:b/>
                <w:color w:val="000000"/>
                <w:sz w:val="16"/>
              </w:rPr>
              <w:t>0.3 </w:t>
            </w:r>
          </w:p>
        </w:tc>
        <w:tc>
          <w:tcPr>
            <w:tcW w:w="1125" w:type="dxa"/>
            <w:tcBorders>
              <w:top w:val="nil"/>
              <w:left w:val="nil"/>
              <w:bottom w:val="nil"/>
              <w:right w:val="nil"/>
            </w:tcBorders>
            <w:shd w:val="clear" w:color="auto" w:fill="FFFFFF"/>
            <w:tcMar>
              <w:left w:w="36" w:type="dxa"/>
              <w:right w:w="36" w:type="dxa"/>
            </w:tcMar>
          </w:tcPr>
          <w:p w:rsidR="007A5948" w:rsidRPr="00491918" w:rsidRDefault="007A5948" w:rsidP="007A5948">
            <w:pPr>
              <w:jc w:val="right"/>
              <w:rPr>
                <w:b/>
                <w:color w:val="000000"/>
                <w:sz w:val="16"/>
              </w:rPr>
            </w:pPr>
            <w:r w:rsidRPr="00491918">
              <w:rPr>
                <w:b/>
                <w:color w:val="000000"/>
                <w:sz w:val="16"/>
              </w:rPr>
              <w:t>0.3 </w:t>
            </w:r>
          </w:p>
        </w:tc>
      </w:tr>
      <w:tr w:rsidR="007A5948" w:rsidRPr="00491918" w:rsidTr="007A5948">
        <w:trPr>
          <w:trHeight w:val="240"/>
        </w:trPr>
        <w:tc>
          <w:tcPr>
            <w:tcW w:w="7395" w:type="dxa"/>
            <w:tcBorders>
              <w:top w:val="nil"/>
              <w:left w:val="nil"/>
              <w:bottom w:val="nil"/>
              <w:right w:val="nil"/>
            </w:tcBorders>
            <w:shd w:val="clear" w:color="auto" w:fill="FFFFFF"/>
            <w:tcMar>
              <w:left w:w="36" w:type="dxa"/>
              <w:right w:w="36" w:type="dxa"/>
            </w:tcMar>
          </w:tcPr>
          <w:p w:rsidR="007A5948" w:rsidRPr="00491918" w:rsidRDefault="007A5948" w:rsidP="007A5948">
            <w:pPr>
              <w:rPr>
                <w:b/>
                <w:color w:val="000000"/>
                <w:sz w:val="16"/>
              </w:rPr>
            </w:pPr>
            <w:r w:rsidRPr="00491918">
              <w:rPr>
                <w:color w:val="000000"/>
                <w:sz w:val="16"/>
              </w:rPr>
              <w:t>Marked to market LTV: Valuation weighted %</w:t>
            </w:r>
          </w:p>
        </w:tc>
        <w:tc>
          <w:tcPr>
            <w:tcW w:w="1125" w:type="dxa"/>
            <w:tcBorders>
              <w:top w:val="nil"/>
              <w:left w:val="nil"/>
              <w:bottom w:val="nil"/>
              <w:right w:val="nil"/>
            </w:tcBorders>
            <w:shd w:val="clear" w:color="auto" w:fill="EAEAEA"/>
            <w:tcMar>
              <w:left w:w="36" w:type="dxa"/>
              <w:right w:w="36" w:type="dxa"/>
            </w:tcMar>
          </w:tcPr>
          <w:p w:rsidR="007A5948" w:rsidRPr="00491918" w:rsidRDefault="007A5948" w:rsidP="007A5948">
            <w:pPr>
              <w:jc w:val="right"/>
              <w:rPr>
                <w:color w:val="000000"/>
                <w:sz w:val="16"/>
              </w:rPr>
            </w:pPr>
            <w:r w:rsidRPr="00491918">
              <w:rPr>
                <w:b/>
                <w:color w:val="000000"/>
                <w:sz w:val="16"/>
              </w:rPr>
              <w:t>44.2 </w:t>
            </w:r>
          </w:p>
        </w:tc>
        <w:tc>
          <w:tcPr>
            <w:tcW w:w="1125" w:type="dxa"/>
            <w:tcBorders>
              <w:top w:val="nil"/>
              <w:left w:val="nil"/>
              <w:bottom w:val="nil"/>
              <w:right w:val="nil"/>
            </w:tcBorders>
            <w:shd w:val="clear" w:color="auto" w:fill="FFFFFF"/>
            <w:tcMar>
              <w:left w:w="36" w:type="dxa"/>
              <w:right w:w="36" w:type="dxa"/>
            </w:tcMar>
          </w:tcPr>
          <w:p w:rsidR="007A5948" w:rsidRPr="00491918" w:rsidRDefault="007A5948" w:rsidP="007A5948">
            <w:pPr>
              <w:jc w:val="right"/>
              <w:rPr>
                <w:b/>
                <w:color w:val="000000"/>
                <w:sz w:val="16"/>
              </w:rPr>
            </w:pPr>
            <w:r w:rsidRPr="00491918">
              <w:rPr>
                <w:b/>
                <w:color w:val="000000"/>
                <w:sz w:val="16"/>
              </w:rPr>
              <w:t>45.2 </w:t>
            </w:r>
          </w:p>
        </w:tc>
      </w:tr>
      <w:tr w:rsidR="007A5948" w:rsidRPr="00491918" w:rsidTr="007A5948">
        <w:trPr>
          <w:trHeight w:val="240"/>
        </w:trPr>
        <w:tc>
          <w:tcPr>
            <w:tcW w:w="7395" w:type="dxa"/>
            <w:tcBorders>
              <w:top w:val="nil"/>
              <w:left w:val="nil"/>
              <w:bottom w:val="nil"/>
              <w:right w:val="nil"/>
            </w:tcBorders>
            <w:shd w:val="clear" w:color="auto" w:fill="FFFFFF"/>
            <w:tcMar>
              <w:left w:w="36" w:type="dxa"/>
              <w:right w:w="36" w:type="dxa"/>
            </w:tcMar>
          </w:tcPr>
          <w:p w:rsidR="007A5948" w:rsidRPr="00491918" w:rsidRDefault="007A5948" w:rsidP="007A5948">
            <w:pPr>
              <w:rPr>
                <w:b/>
                <w:color w:val="000000"/>
                <w:sz w:val="16"/>
              </w:rPr>
            </w:pPr>
            <w:r w:rsidRPr="00491918">
              <w:rPr>
                <w:color w:val="000000"/>
                <w:sz w:val="16"/>
              </w:rPr>
              <w:t>Marked to market LTV: Balance weighted %</w:t>
            </w:r>
          </w:p>
        </w:tc>
        <w:tc>
          <w:tcPr>
            <w:tcW w:w="1125" w:type="dxa"/>
            <w:tcBorders>
              <w:top w:val="nil"/>
              <w:left w:val="nil"/>
              <w:bottom w:val="nil"/>
              <w:right w:val="nil"/>
            </w:tcBorders>
            <w:shd w:val="clear" w:color="auto" w:fill="EAEAEA"/>
            <w:tcMar>
              <w:left w:w="36" w:type="dxa"/>
              <w:right w:w="36" w:type="dxa"/>
            </w:tcMar>
          </w:tcPr>
          <w:p w:rsidR="007A5948" w:rsidRPr="00491918" w:rsidRDefault="007A5948" w:rsidP="007A5948">
            <w:pPr>
              <w:jc w:val="right"/>
              <w:rPr>
                <w:color w:val="000000"/>
                <w:sz w:val="16"/>
              </w:rPr>
            </w:pPr>
            <w:r w:rsidRPr="00491918">
              <w:rPr>
                <w:b/>
                <w:color w:val="000000"/>
                <w:sz w:val="16"/>
              </w:rPr>
              <w:t>57.3 </w:t>
            </w:r>
          </w:p>
        </w:tc>
        <w:tc>
          <w:tcPr>
            <w:tcW w:w="1125" w:type="dxa"/>
            <w:tcBorders>
              <w:top w:val="nil"/>
              <w:left w:val="nil"/>
              <w:bottom w:val="nil"/>
              <w:right w:val="nil"/>
            </w:tcBorders>
            <w:shd w:val="clear" w:color="auto" w:fill="FFFFFF"/>
            <w:tcMar>
              <w:left w:w="36" w:type="dxa"/>
              <w:right w:w="36" w:type="dxa"/>
            </w:tcMar>
          </w:tcPr>
          <w:p w:rsidR="007A5948" w:rsidRPr="00491918" w:rsidRDefault="007A5948" w:rsidP="007A5948">
            <w:pPr>
              <w:jc w:val="right"/>
              <w:rPr>
                <w:b/>
                <w:color w:val="000000"/>
                <w:sz w:val="16"/>
              </w:rPr>
            </w:pPr>
            <w:r w:rsidRPr="00491918">
              <w:rPr>
                <w:b/>
                <w:color w:val="000000"/>
                <w:sz w:val="16"/>
              </w:rPr>
              <w:t>58.9 </w:t>
            </w:r>
          </w:p>
        </w:tc>
      </w:tr>
      <w:tr w:rsidR="007A5948" w:rsidRPr="00491918" w:rsidTr="007A5948">
        <w:trPr>
          <w:trHeight w:val="240"/>
        </w:trPr>
        <w:tc>
          <w:tcPr>
            <w:tcW w:w="7395" w:type="dxa"/>
            <w:tcBorders>
              <w:top w:val="nil"/>
              <w:left w:val="nil"/>
              <w:bottom w:val="nil"/>
              <w:right w:val="nil"/>
            </w:tcBorders>
            <w:shd w:val="clear" w:color="auto" w:fill="FFFFFF"/>
            <w:tcMar>
              <w:left w:w="36" w:type="dxa"/>
              <w:right w:w="36" w:type="dxa"/>
            </w:tcMar>
          </w:tcPr>
          <w:p w:rsidR="007A5948" w:rsidRPr="00491918" w:rsidRDefault="007A5948" w:rsidP="007A5948">
            <w:pPr>
              <w:rPr>
                <w:b/>
                <w:color w:val="000000"/>
                <w:sz w:val="16"/>
              </w:rPr>
            </w:pPr>
            <w:r w:rsidRPr="00491918">
              <w:rPr>
                <w:color w:val="000000"/>
                <w:sz w:val="16"/>
              </w:rPr>
              <w:t>Interest only mortgages maturing during:</w:t>
            </w:r>
          </w:p>
        </w:tc>
        <w:tc>
          <w:tcPr>
            <w:tcW w:w="1125" w:type="dxa"/>
            <w:tcBorders>
              <w:top w:val="nil"/>
              <w:left w:val="nil"/>
              <w:bottom w:val="nil"/>
              <w:right w:val="nil"/>
            </w:tcBorders>
            <w:shd w:val="clear" w:color="auto" w:fill="FFFFFF"/>
            <w:tcMar>
              <w:left w:w="36" w:type="dxa"/>
              <w:right w:w="36" w:type="dxa"/>
            </w:tcMar>
          </w:tcPr>
          <w:p w:rsidR="007A5948" w:rsidRPr="00491918" w:rsidRDefault="007A5948" w:rsidP="007A5948">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7A5948" w:rsidRPr="00491918" w:rsidRDefault="007A5948" w:rsidP="007A5948">
            <w:pPr>
              <w:jc w:val="right"/>
              <w:rPr>
                <w:color w:val="000000"/>
                <w:sz w:val="16"/>
              </w:rPr>
            </w:pPr>
            <w:r w:rsidRPr="00491918">
              <w:rPr>
                <w:b/>
                <w:color w:val="000000"/>
                <w:sz w:val="16"/>
              </w:rPr>
              <w:t xml:space="preserve"> </w:t>
            </w:r>
          </w:p>
        </w:tc>
      </w:tr>
      <w:tr w:rsidR="007A5948" w:rsidRPr="00491918" w:rsidTr="007A5948">
        <w:trPr>
          <w:trHeight w:val="300"/>
        </w:trPr>
        <w:tc>
          <w:tcPr>
            <w:tcW w:w="7395" w:type="dxa"/>
            <w:tcBorders>
              <w:top w:val="nil"/>
              <w:left w:val="nil"/>
              <w:bottom w:val="nil"/>
              <w:right w:val="nil"/>
            </w:tcBorders>
            <w:shd w:val="clear" w:color="auto" w:fill="FFFFFF"/>
            <w:tcMar>
              <w:left w:w="36" w:type="dxa"/>
              <w:right w:w="36" w:type="dxa"/>
            </w:tcMar>
          </w:tcPr>
          <w:p w:rsidR="007A5948" w:rsidRPr="00491918" w:rsidRDefault="007A5948" w:rsidP="007A5948">
            <w:pPr>
              <w:rPr>
                <w:b/>
                <w:color w:val="000000"/>
                <w:sz w:val="16"/>
              </w:rPr>
            </w:pPr>
            <w:r w:rsidRPr="00491918">
              <w:rPr>
                <w:color w:val="000000"/>
                <w:sz w:val="16"/>
              </w:rPr>
              <w:t>2013 </w:t>
            </w:r>
          </w:p>
        </w:tc>
        <w:tc>
          <w:tcPr>
            <w:tcW w:w="1125" w:type="dxa"/>
            <w:tcBorders>
              <w:top w:val="nil"/>
              <w:left w:val="nil"/>
              <w:bottom w:val="nil"/>
              <w:right w:val="nil"/>
            </w:tcBorders>
            <w:shd w:val="clear" w:color="auto" w:fill="EAEAEA"/>
            <w:tcMar>
              <w:left w:w="36" w:type="dxa"/>
              <w:right w:w="36" w:type="dxa"/>
            </w:tcMar>
          </w:tcPr>
          <w:p w:rsidR="007A5948" w:rsidRPr="00491918" w:rsidRDefault="007A5948" w:rsidP="007A5948">
            <w:pPr>
              <w:jc w:val="right"/>
              <w:rPr>
                <w:color w:val="000000"/>
                <w:sz w:val="16"/>
              </w:rPr>
            </w:pPr>
            <w:r w:rsidRPr="00491918">
              <w:rPr>
                <w:b/>
                <w:color w:val="000000"/>
                <w:sz w:val="16"/>
              </w:rPr>
              <w:t>£350m</w:t>
            </w:r>
          </w:p>
        </w:tc>
        <w:tc>
          <w:tcPr>
            <w:tcW w:w="1125" w:type="dxa"/>
            <w:tcBorders>
              <w:top w:val="nil"/>
              <w:left w:val="nil"/>
              <w:bottom w:val="nil"/>
              <w:right w:val="nil"/>
            </w:tcBorders>
            <w:shd w:val="clear" w:color="auto" w:fill="FFFFFF"/>
            <w:tcMar>
              <w:left w:w="36" w:type="dxa"/>
              <w:right w:w="36" w:type="dxa"/>
            </w:tcMar>
          </w:tcPr>
          <w:p w:rsidR="007A5948" w:rsidRPr="00491918" w:rsidRDefault="007A5948" w:rsidP="007A5948">
            <w:pPr>
              <w:jc w:val="right"/>
              <w:rPr>
                <w:b/>
                <w:color w:val="000000"/>
                <w:sz w:val="16"/>
              </w:rPr>
            </w:pPr>
            <w:r w:rsidRPr="00491918">
              <w:rPr>
                <w:color w:val="000000"/>
                <w:sz w:val="16"/>
              </w:rPr>
              <w:t>£710m</w:t>
            </w:r>
          </w:p>
        </w:tc>
      </w:tr>
      <w:tr w:rsidR="007A5948" w:rsidRPr="00491918" w:rsidTr="007A5948">
        <w:trPr>
          <w:trHeight w:val="300"/>
        </w:trPr>
        <w:tc>
          <w:tcPr>
            <w:tcW w:w="7395" w:type="dxa"/>
            <w:tcBorders>
              <w:top w:val="nil"/>
              <w:left w:val="nil"/>
              <w:bottom w:val="nil"/>
              <w:right w:val="nil"/>
            </w:tcBorders>
            <w:shd w:val="clear" w:color="auto" w:fill="FFFFFF"/>
            <w:tcMar>
              <w:left w:w="36" w:type="dxa"/>
              <w:right w:w="36" w:type="dxa"/>
            </w:tcMar>
          </w:tcPr>
          <w:p w:rsidR="007A5948" w:rsidRPr="00491918" w:rsidRDefault="007A5948" w:rsidP="007A5948">
            <w:pPr>
              <w:rPr>
                <w:color w:val="000000"/>
                <w:sz w:val="16"/>
              </w:rPr>
            </w:pPr>
            <w:r w:rsidRPr="00491918">
              <w:rPr>
                <w:color w:val="000000"/>
                <w:sz w:val="16"/>
              </w:rPr>
              <w:t>2014 </w:t>
            </w:r>
          </w:p>
        </w:tc>
        <w:tc>
          <w:tcPr>
            <w:tcW w:w="1125" w:type="dxa"/>
            <w:tcBorders>
              <w:top w:val="nil"/>
              <w:left w:val="nil"/>
              <w:bottom w:val="nil"/>
              <w:right w:val="nil"/>
            </w:tcBorders>
            <w:shd w:val="clear" w:color="auto" w:fill="EAEAEA"/>
            <w:tcMar>
              <w:left w:w="36" w:type="dxa"/>
              <w:right w:w="36" w:type="dxa"/>
            </w:tcMar>
          </w:tcPr>
          <w:p w:rsidR="007A5948" w:rsidRPr="00491918" w:rsidRDefault="007A5948" w:rsidP="007A5948">
            <w:pPr>
              <w:jc w:val="right"/>
              <w:rPr>
                <w:color w:val="000000"/>
                <w:sz w:val="16"/>
              </w:rPr>
            </w:pPr>
            <w:r w:rsidRPr="00491918">
              <w:rPr>
                <w:b/>
                <w:color w:val="000000"/>
                <w:sz w:val="16"/>
              </w:rPr>
              <w:t>£923m</w:t>
            </w:r>
          </w:p>
        </w:tc>
        <w:tc>
          <w:tcPr>
            <w:tcW w:w="1125" w:type="dxa"/>
            <w:tcBorders>
              <w:top w:val="nil"/>
              <w:left w:val="nil"/>
              <w:bottom w:val="nil"/>
              <w:right w:val="nil"/>
            </w:tcBorders>
            <w:shd w:val="clear" w:color="auto" w:fill="FFFFFF"/>
            <w:tcMar>
              <w:left w:w="36" w:type="dxa"/>
              <w:right w:w="36" w:type="dxa"/>
            </w:tcMar>
          </w:tcPr>
          <w:p w:rsidR="007A5948" w:rsidRPr="00491918" w:rsidRDefault="007A5948" w:rsidP="007A5948">
            <w:pPr>
              <w:jc w:val="right"/>
              <w:rPr>
                <w:b/>
                <w:color w:val="000000"/>
                <w:sz w:val="16"/>
              </w:rPr>
            </w:pPr>
            <w:r w:rsidRPr="00491918">
              <w:rPr>
                <w:color w:val="000000"/>
                <w:sz w:val="16"/>
              </w:rPr>
              <w:t>£872m</w:t>
            </w:r>
          </w:p>
        </w:tc>
      </w:tr>
      <w:tr w:rsidR="007A5948" w:rsidRPr="00491918" w:rsidTr="007A5948">
        <w:trPr>
          <w:trHeight w:val="300"/>
        </w:trPr>
        <w:tc>
          <w:tcPr>
            <w:tcW w:w="7395" w:type="dxa"/>
            <w:tcBorders>
              <w:top w:val="nil"/>
              <w:left w:val="nil"/>
              <w:bottom w:val="single" w:sz="6" w:space="0" w:color="000000"/>
              <w:right w:val="nil"/>
            </w:tcBorders>
            <w:shd w:val="clear" w:color="auto" w:fill="FFFFFF"/>
            <w:tcMar>
              <w:left w:w="36" w:type="dxa"/>
              <w:right w:w="36" w:type="dxa"/>
            </w:tcMar>
          </w:tcPr>
          <w:p w:rsidR="007A5948" w:rsidRPr="00491918" w:rsidRDefault="007A5948" w:rsidP="007A5948">
            <w:pPr>
              <w:rPr>
                <w:color w:val="000000"/>
                <w:sz w:val="16"/>
              </w:rPr>
            </w:pPr>
            <w:r w:rsidRPr="00491918">
              <w:rPr>
                <w:color w:val="000000"/>
                <w:sz w:val="16"/>
              </w:rPr>
              <w:t>2015 </w:t>
            </w:r>
          </w:p>
        </w:tc>
        <w:tc>
          <w:tcPr>
            <w:tcW w:w="1125" w:type="dxa"/>
            <w:tcBorders>
              <w:top w:val="nil"/>
              <w:left w:val="nil"/>
              <w:bottom w:val="single" w:sz="6" w:space="0" w:color="000000"/>
              <w:right w:val="nil"/>
            </w:tcBorders>
            <w:shd w:val="clear" w:color="auto" w:fill="EAEAEA"/>
            <w:tcMar>
              <w:left w:w="36" w:type="dxa"/>
              <w:right w:w="36" w:type="dxa"/>
            </w:tcMar>
          </w:tcPr>
          <w:p w:rsidR="007A5948" w:rsidRPr="00491918" w:rsidRDefault="007A5948" w:rsidP="007A5948">
            <w:pPr>
              <w:jc w:val="right"/>
              <w:rPr>
                <w:color w:val="000000"/>
                <w:sz w:val="16"/>
              </w:rPr>
            </w:pPr>
            <w:r w:rsidRPr="00491918">
              <w:rPr>
                <w:b/>
                <w:color w:val="000000"/>
                <w:sz w:val="16"/>
              </w:rPr>
              <w:t>£928m</w:t>
            </w:r>
          </w:p>
        </w:tc>
        <w:tc>
          <w:tcPr>
            <w:tcW w:w="1125" w:type="dxa"/>
            <w:tcBorders>
              <w:top w:val="nil"/>
              <w:left w:val="nil"/>
              <w:bottom w:val="single" w:sz="6" w:space="0" w:color="000000"/>
              <w:right w:val="nil"/>
            </w:tcBorders>
            <w:shd w:val="clear" w:color="auto" w:fill="FFFFFF"/>
            <w:tcMar>
              <w:left w:w="36" w:type="dxa"/>
              <w:right w:w="36" w:type="dxa"/>
            </w:tcMar>
          </w:tcPr>
          <w:p w:rsidR="007A5948" w:rsidRPr="00491918" w:rsidRDefault="007A5948" w:rsidP="007A5948">
            <w:pPr>
              <w:jc w:val="right"/>
              <w:rPr>
                <w:b/>
                <w:color w:val="000000"/>
                <w:sz w:val="16"/>
              </w:rPr>
            </w:pPr>
            <w:r w:rsidRPr="00491918">
              <w:rPr>
                <w:color w:val="000000"/>
                <w:sz w:val="16"/>
              </w:rPr>
              <w:t>£1046m</w:t>
            </w:r>
          </w:p>
        </w:tc>
      </w:tr>
    </w:tbl>
    <w:p w:rsidR="007A5948" w:rsidRPr="00491918" w:rsidRDefault="007A5948" w:rsidP="007A5948"/>
    <w:p w:rsidR="007A5948" w:rsidRPr="00491918" w:rsidRDefault="007A5948" w:rsidP="00EC729A">
      <w:pPr>
        <w:pStyle w:val="Level1Bullet-BarcRA201"/>
        <w:numPr>
          <w:ilvl w:val="0"/>
          <w:numId w:val="133"/>
        </w:numPr>
      </w:pPr>
      <w:r w:rsidRPr="00491918">
        <w:t xml:space="preserve">The average valuation weighted LTV for interest only balances remained low at </w:t>
      </w:r>
      <w:r w:rsidR="000A77B6" w:rsidRPr="00491918">
        <w:t>44.2</w:t>
      </w:r>
      <w:r w:rsidRPr="00491918">
        <w:t>% (2012: 45.2%) and overall 90 days arrears rates was flat at 30bps (2012: 30bps) and in line with overall portfolio performance</w:t>
      </w:r>
    </w:p>
    <w:p w:rsidR="007A5948" w:rsidRPr="00491918" w:rsidRDefault="007A5948" w:rsidP="007A5948">
      <w:pPr>
        <w:pStyle w:val="NoteSourceText-BarcRA1000"/>
      </w:pPr>
    </w:p>
    <w:p w:rsidR="00FF5B67" w:rsidRPr="00491918" w:rsidRDefault="00FF5B67" w:rsidP="008D6001">
      <w:pPr>
        <w:pStyle w:val="HeadingLevel3-AR0"/>
        <w:outlineLvl w:val="0"/>
        <w:rPr>
          <w:color w:val="auto"/>
          <w:sz w:val="20"/>
          <w:szCs w:val="20"/>
        </w:rPr>
      </w:pPr>
      <w:r w:rsidRPr="00491918">
        <w:rPr>
          <w:color w:val="auto"/>
          <w:sz w:val="20"/>
          <w:szCs w:val="20"/>
        </w:rPr>
        <w:t>Exposures to Mortgage Current Accounts Reserves</w:t>
      </w:r>
    </w:p>
    <w:p w:rsidR="00FF5B67" w:rsidRPr="00491918" w:rsidRDefault="00FF5B67" w:rsidP="00FF5B67">
      <w:pPr>
        <w:pStyle w:val="NoteSourceText-BarcRA1000"/>
        <w:rPr>
          <w:b/>
          <w:bCs/>
          <w:i w:val="0"/>
          <w:iCs w:val="0"/>
        </w:rPr>
      </w:pPr>
    </w:p>
    <w:p w:rsidR="00FF5B67" w:rsidRPr="00491918" w:rsidRDefault="00FF5B67" w:rsidP="00EC729A">
      <w:pPr>
        <w:pStyle w:val="Level1Bullet-BarcRA201"/>
        <w:numPr>
          <w:ilvl w:val="0"/>
          <w:numId w:val="133"/>
        </w:numPr>
      </w:pPr>
      <w:r w:rsidRPr="00491918">
        <w:t>A Mortgage Current Account (MCA) Reserve is a secured overdraft facility available to a home loan customer which allows them to borrow against the equity in their home. It allows draw-down up to an agreed available limit. The balance drawn must be repai</w:t>
      </w:r>
      <w:r w:rsidR="000A77B6" w:rsidRPr="00491918">
        <w:t>d on redemption of the mortgage</w:t>
      </w:r>
    </w:p>
    <w:p w:rsidR="00FF5B67" w:rsidRPr="00491918" w:rsidRDefault="00FF5B67" w:rsidP="00EC729A">
      <w:pPr>
        <w:pStyle w:val="Level1Bullet-BarcRA201"/>
        <w:numPr>
          <w:ilvl w:val="0"/>
          <w:numId w:val="133"/>
        </w:numPr>
      </w:pPr>
      <w:r w:rsidRPr="00491918">
        <w:t>Of total 920k home loan customers, 611k have Mortgage Current Account (MCA) reserves, with total reserve limits of £18.5bn. Utilisation of these limits was 31.5% at June 2013 (2012: 30.9%)</w:t>
      </w:r>
    </w:p>
    <w:p w:rsidR="00FF5B67" w:rsidRPr="00491918" w:rsidRDefault="00FF5B67" w:rsidP="00EC729A">
      <w:pPr>
        <w:pStyle w:val="Level1Bullet-BarcRA201"/>
        <w:numPr>
          <w:ilvl w:val="0"/>
          <w:numId w:val="133"/>
        </w:numPr>
      </w:pPr>
      <w:r w:rsidRPr="00491918">
        <w:t>While the MCA reserve was withdrawn from sale in December 2012, as existing customers, including those in potential financial difficulty, can continue to draw down against the available reserve (£13.0bn of un</w:t>
      </w:r>
      <w:r w:rsidR="000A77B6" w:rsidRPr="00491918">
        <w:t>drawn limits as at June 2013)</w:t>
      </w:r>
      <w:r w:rsidRPr="00491918">
        <w:t> </w:t>
      </w:r>
    </w:p>
    <w:p w:rsidR="00FF5B67" w:rsidRPr="00491918" w:rsidRDefault="00FF5B67" w:rsidP="00EC729A">
      <w:pPr>
        <w:pStyle w:val="Level1Bullet-BarcRA201"/>
        <w:numPr>
          <w:ilvl w:val="0"/>
          <w:numId w:val="133"/>
        </w:numPr>
      </w:pPr>
      <w:r w:rsidRPr="00491918">
        <w:t>Including the drawn down proportion of MCA reserves, these accounts represent £78.1bn (2012: £82.2bn) of the total UK Home Loans exposur</w:t>
      </w:r>
      <w:r w:rsidR="000A77B6" w:rsidRPr="00491918">
        <w:t>e of £121.8bn (2012: £114.8bn)</w:t>
      </w:r>
    </w:p>
    <w:p w:rsidR="00FF5B67" w:rsidRPr="00491918" w:rsidRDefault="00FF5B67" w:rsidP="00EC729A">
      <w:pPr>
        <w:pStyle w:val="Level1Bullet-BarcRA201"/>
        <w:numPr>
          <w:ilvl w:val="0"/>
          <w:numId w:val="133"/>
        </w:numPr>
      </w:pPr>
      <w:r w:rsidRPr="00491918">
        <w:t>Using current valuations, the average balance weighted LTV of accounts with a mortgage current accoun</w:t>
      </w:r>
      <w:r w:rsidR="00D9311C" w:rsidRPr="00491918">
        <w:t>t reserve is 58.3% (</w:t>
      </w:r>
      <w:r w:rsidR="00D9311C" w:rsidRPr="00491918">
        <w:rPr>
          <w:lang w:val="en-GB"/>
        </w:rPr>
        <w:t>20</w:t>
      </w:r>
      <w:r w:rsidRPr="00491918">
        <w:t>12: 59.7%). This compares with a portfolio average balance weighted LTV of 57.9%</w:t>
      </w:r>
    </w:p>
    <w:p w:rsidR="000D1659" w:rsidRPr="00491918" w:rsidRDefault="000D1659" w:rsidP="000D1659">
      <w:pPr>
        <w:pStyle w:val="NoteSourceText-BarcRA1000"/>
      </w:pPr>
    </w:p>
    <w:p w:rsidR="007A5948" w:rsidRPr="00491918" w:rsidRDefault="007A5948" w:rsidP="000D1659">
      <w:pPr>
        <w:pStyle w:val="NoteSourceText-BarcRA1000"/>
      </w:pPr>
    </w:p>
    <w:p w:rsidR="000D1659" w:rsidRPr="00491918" w:rsidRDefault="000D1659" w:rsidP="000D1659">
      <w:pPr>
        <w:pStyle w:val="NoteandSourceText-BarcRA15"/>
        <w:numPr>
          <w:ilvl w:val="0"/>
          <w:numId w:val="0"/>
        </w:numPr>
        <w:rPr>
          <w:rFonts w:eastAsia="Times New Roman"/>
        </w:rPr>
      </w:pPr>
    </w:p>
    <w:p w:rsidR="000D1659" w:rsidRPr="00491918" w:rsidRDefault="000D1659" w:rsidP="000D1659">
      <w:pPr>
        <w:pStyle w:val="NoteandSourceText-BarcRA15"/>
        <w:numPr>
          <w:ilvl w:val="0"/>
          <w:numId w:val="0"/>
        </w:numPr>
        <w:rPr>
          <w:rFonts w:eastAsia="Times New Roman"/>
        </w:rPr>
      </w:pPr>
    </w:p>
    <w:p w:rsidR="000A77B6" w:rsidRPr="00491918" w:rsidRDefault="000A77B6" w:rsidP="000D1659">
      <w:pPr>
        <w:pStyle w:val="NoteandSourceText-BarcRA15"/>
        <w:numPr>
          <w:ilvl w:val="0"/>
          <w:numId w:val="0"/>
        </w:numPr>
        <w:rPr>
          <w:rFonts w:eastAsia="Times New Roman"/>
        </w:rPr>
      </w:pPr>
    </w:p>
    <w:p w:rsidR="000A77B6" w:rsidRPr="00491918" w:rsidRDefault="000A77B6" w:rsidP="000D1659">
      <w:pPr>
        <w:pStyle w:val="NoteandSourceText-BarcRA15"/>
        <w:numPr>
          <w:ilvl w:val="0"/>
          <w:numId w:val="0"/>
        </w:numPr>
        <w:rPr>
          <w:rFonts w:eastAsia="Times New Roman"/>
        </w:rPr>
      </w:pPr>
    </w:p>
    <w:p w:rsidR="000D1659" w:rsidRPr="00491918" w:rsidRDefault="000D1659" w:rsidP="00A24F51">
      <w:pPr>
        <w:pStyle w:val="NoteandSourceText-BarcRA15"/>
        <w:numPr>
          <w:ilvl w:val="0"/>
          <w:numId w:val="0"/>
        </w:numPr>
        <w:ind w:left="720"/>
        <w:rPr>
          <w:rFonts w:eastAsia="Times New Roman"/>
        </w:rPr>
      </w:pPr>
    </w:p>
    <w:p w:rsidR="000D1659" w:rsidRPr="00491918" w:rsidRDefault="000D1659">
      <w:pPr>
        <w:spacing w:line="14" w:lineRule="exact"/>
      </w:pPr>
      <w:r w:rsidRPr="00491918">
        <w:br w:type="page"/>
      </w:r>
    </w:p>
    <w:p w:rsidR="0007202F" w:rsidRPr="00491918" w:rsidRDefault="0007202F" w:rsidP="0007202F">
      <w:pPr>
        <w:pStyle w:val="HeadingLevel1-BarcRA35"/>
        <w:rPr>
          <w:lang w:val="en-GB"/>
        </w:rPr>
      </w:pPr>
      <w:r w:rsidRPr="00491918">
        <w:rPr>
          <w:lang w:val="en-GB"/>
        </w:rPr>
        <w:lastRenderedPageBreak/>
        <w:t xml:space="preserve">Credit </w:t>
      </w:r>
      <w:r w:rsidRPr="00491918">
        <w:t>Risk</w:t>
      </w:r>
    </w:p>
    <w:p w:rsidR="000D1659" w:rsidRPr="00491918" w:rsidRDefault="000D1659" w:rsidP="008D6001">
      <w:pPr>
        <w:pStyle w:val="HeadingLevel3-AR0"/>
        <w:outlineLvl w:val="0"/>
        <w:rPr>
          <w:color w:val="auto"/>
          <w:sz w:val="20"/>
          <w:szCs w:val="20"/>
        </w:rPr>
      </w:pPr>
      <w:r w:rsidRPr="00491918">
        <w:rPr>
          <w:color w:val="auto"/>
          <w:sz w:val="20"/>
          <w:szCs w:val="20"/>
        </w:rPr>
        <w:t>Credit cards, overdrafts and unsecured loans</w:t>
      </w:r>
    </w:p>
    <w:p w:rsidR="000D1659" w:rsidRPr="00491918" w:rsidRDefault="000D1659" w:rsidP="000D1659">
      <w:pPr>
        <w:pStyle w:val="Level1Bullet-BarcRA24"/>
      </w:pPr>
      <w:r w:rsidRPr="00491918">
        <w:t xml:space="preserve">The principal portfolios listed below account for </w:t>
      </w:r>
      <w:r w:rsidRPr="00491918">
        <w:rPr>
          <w:lang w:val="en-GB"/>
        </w:rPr>
        <w:t>90</w:t>
      </w:r>
      <w:r w:rsidR="00D9311C" w:rsidRPr="00491918">
        <w:t>% (</w:t>
      </w:r>
      <w:r w:rsidRPr="00491918">
        <w:t xml:space="preserve">2012: </w:t>
      </w:r>
      <w:r w:rsidRPr="00491918">
        <w:rPr>
          <w:lang w:val="en-GB"/>
        </w:rPr>
        <w:t>90</w:t>
      </w:r>
      <w:r w:rsidRPr="00491918">
        <w:t>%) of total credit cards, overdrafts and unsecured loans in the Group’s retail portfolios</w:t>
      </w:r>
    </w:p>
    <w:p w:rsidR="000D1659" w:rsidRPr="00491918" w:rsidRDefault="000D1659"/>
    <w:tbl>
      <w:tblPr>
        <w:tblW w:w="0" w:type="auto"/>
        <w:tblLayout w:type="fixed"/>
        <w:tblLook w:val="0000" w:firstRow="0" w:lastRow="0" w:firstColumn="0" w:lastColumn="0" w:noHBand="0" w:noVBand="0"/>
      </w:tblPr>
      <w:tblGrid>
        <w:gridCol w:w="2445"/>
        <w:gridCol w:w="1200"/>
        <w:gridCol w:w="1200"/>
        <w:gridCol w:w="1200"/>
        <w:gridCol w:w="1200"/>
        <w:gridCol w:w="1200"/>
        <w:gridCol w:w="1200"/>
      </w:tblGrid>
      <w:tr w:rsidR="000D1659" w:rsidRPr="00491918">
        <w:trPr>
          <w:trHeight w:val="96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16"/>
              </w:rPr>
              <w:t>Principal Portfolios</w:t>
            </w:r>
          </w:p>
          <w:p w:rsidR="000D1659" w:rsidRPr="00491918" w:rsidRDefault="000D1659">
            <w:pPr>
              <w:rPr>
                <w:b/>
                <w:color w:val="000000"/>
                <w:sz w:val="16"/>
              </w:rPr>
            </w:pPr>
            <w:r w:rsidRPr="00491918">
              <w:rPr>
                <w:b/>
                <w:color w:val="000000"/>
                <w:sz w:val="16"/>
              </w:rPr>
              <w:t>As at 30.06.13</w:t>
            </w:r>
            <w:r w:rsidRPr="00491918">
              <w:rPr>
                <w:b/>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Gross Loans and Advances</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30 Day </w:t>
            </w:r>
          </w:p>
          <w:p w:rsidR="000D1659" w:rsidRPr="00491918" w:rsidRDefault="000D1659">
            <w:pPr>
              <w:jc w:val="right"/>
              <w:rPr>
                <w:b/>
                <w:color w:val="000000"/>
                <w:sz w:val="16"/>
              </w:rPr>
            </w:pPr>
            <w:r w:rsidRPr="00491918">
              <w:rPr>
                <w:b/>
                <w:color w:val="000000"/>
                <w:sz w:val="16"/>
              </w:rPr>
              <w:t>Arrears</w:t>
            </w:r>
            <w:r w:rsidRPr="00491918">
              <w:rPr>
                <w:b/>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90 Day</w:t>
            </w:r>
          </w:p>
          <w:p w:rsidR="000D1659" w:rsidRPr="00491918" w:rsidRDefault="000D1659">
            <w:pPr>
              <w:jc w:val="right"/>
              <w:rPr>
                <w:b/>
                <w:color w:val="000000"/>
                <w:sz w:val="16"/>
              </w:rPr>
            </w:pPr>
            <w:r w:rsidRPr="00491918">
              <w:rPr>
                <w:b/>
                <w:color w:val="000000"/>
                <w:sz w:val="16"/>
              </w:rPr>
              <w:t>Arrears</w:t>
            </w:r>
            <w:r w:rsidRPr="00491918">
              <w:rPr>
                <w:b/>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Gross</w:t>
            </w:r>
          </w:p>
          <w:p w:rsidR="000D1659" w:rsidRPr="00491918" w:rsidRDefault="000D1659">
            <w:pPr>
              <w:jc w:val="right"/>
              <w:rPr>
                <w:b/>
                <w:color w:val="000000"/>
                <w:sz w:val="16"/>
              </w:rPr>
            </w:pPr>
            <w:r w:rsidRPr="00491918">
              <w:rPr>
                <w:b/>
                <w:color w:val="000000"/>
                <w:sz w:val="16"/>
              </w:rPr>
              <w:t xml:space="preserve">Charge-off </w:t>
            </w:r>
          </w:p>
          <w:p w:rsidR="000D1659" w:rsidRPr="00491918" w:rsidRDefault="000D1659">
            <w:pPr>
              <w:jc w:val="right"/>
              <w:rPr>
                <w:b/>
                <w:color w:val="000000"/>
                <w:sz w:val="16"/>
              </w:rPr>
            </w:pPr>
            <w:r w:rsidRPr="00491918">
              <w:rPr>
                <w:b/>
                <w:color w:val="000000"/>
                <w:sz w:val="16"/>
              </w:rPr>
              <w:t>Rates</w:t>
            </w:r>
            <w:r w:rsidRPr="00491918">
              <w:rPr>
                <w:b/>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Recoveries</w:t>
            </w:r>
          </w:p>
          <w:p w:rsidR="000D1659" w:rsidRPr="00491918" w:rsidRDefault="000D1659">
            <w:pPr>
              <w:jc w:val="right"/>
              <w:rPr>
                <w:b/>
                <w:color w:val="000000"/>
                <w:sz w:val="16"/>
              </w:rPr>
            </w:pPr>
            <w:r w:rsidRPr="00491918">
              <w:rPr>
                <w:b/>
                <w:color w:val="000000"/>
                <w:sz w:val="16"/>
              </w:rPr>
              <w:t>Proportion of</w:t>
            </w:r>
          </w:p>
          <w:p w:rsidR="000D1659" w:rsidRPr="00491918" w:rsidRDefault="000D1659">
            <w:pPr>
              <w:jc w:val="right"/>
              <w:rPr>
                <w:b/>
                <w:color w:val="000000"/>
                <w:sz w:val="16"/>
              </w:rPr>
            </w:pPr>
            <w:r w:rsidRPr="00491918">
              <w:rPr>
                <w:b/>
                <w:color w:val="000000"/>
                <w:sz w:val="16"/>
              </w:rPr>
              <w:t>Outstanding Balances</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Recoveries Impairment Coverage Ratio</w:t>
            </w:r>
          </w:p>
        </w:tc>
      </w:tr>
      <w:tr w:rsidR="000D1659" w:rsidRPr="00491918">
        <w:trPr>
          <w:trHeight w:val="240"/>
        </w:trPr>
        <w:tc>
          <w:tcPr>
            <w:tcW w:w="244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£m</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w:t>
            </w:r>
            <w:r w:rsidRPr="00491918">
              <w:rPr>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w:t>
            </w:r>
            <w:r w:rsidRPr="00491918">
              <w:rPr>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r>
      <w:tr w:rsidR="000D1659" w:rsidRPr="00491918">
        <w:trPr>
          <w:trHeight w:val="240"/>
        </w:trPr>
        <w:tc>
          <w:tcPr>
            <w:tcW w:w="244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 cards</w:t>
            </w:r>
            <w:r w:rsidRPr="00491918">
              <w:rPr>
                <w:color w:val="000000"/>
                <w:sz w:val="16"/>
                <w:vertAlign w:val="superscript"/>
              </w:rPr>
              <w:t>1 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15,695 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2.5 </w:t>
            </w:r>
            <w:r w:rsidRPr="00491918">
              <w:rPr>
                <w:color w:val="000000"/>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1.2 </w:t>
            </w:r>
            <w:r w:rsidRPr="00491918">
              <w:rPr>
                <w:color w:val="000000"/>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4.4 </w:t>
            </w:r>
            <w:r w:rsidRPr="00491918">
              <w:rPr>
                <w:color w:val="000000"/>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6.1 </w:t>
            </w:r>
          </w:p>
        </w:tc>
        <w:tc>
          <w:tcPr>
            <w:tcW w:w="120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82.9 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US cards</w:t>
            </w:r>
            <w:r w:rsidR="009145D8" w:rsidRPr="00491918">
              <w:rPr>
                <w:color w:val="000000"/>
                <w:sz w:val="16"/>
                <w:vertAlign w:val="superscript"/>
              </w:rPr>
              <w:t>2 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9,672 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4.4 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2.2 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88.4 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 personal loans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4,942 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1.3 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5.0 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16.6 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78.7 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Barclays Partner Finance</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2,508 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1.8 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0.9 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3.1 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4.4 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80.2 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South Africa cards</w:t>
            </w:r>
            <w:r w:rsidRPr="00491918">
              <w:rPr>
                <w:color w:val="000000"/>
                <w:sz w:val="16"/>
                <w:vertAlign w:val="superscript"/>
              </w:rPr>
              <w:t>2 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2,409 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9.1 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4.7 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6.7 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4.7 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73.1 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Germany cards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2,071 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2.4 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3.7 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82.1 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 overdrafts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1,283 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5.4 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3.6 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8.0 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15.6 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95.1 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Italy salary advance loans</w:t>
            </w:r>
            <w:r w:rsidRPr="00491918">
              <w:rPr>
                <w:color w:val="000000"/>
                <w:sz w:val="16"/>
                <w:vertAlign w:val="superscript"/>
              </w:rPr>
              <w:t>3 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1,214 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4.1 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7.7 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10.9 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15.8 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Iberia cards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1,174 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7.5 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3.6 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9.8 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9.8 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88.0 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South Africa personal loans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1,017 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5.7 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7.8 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7.7 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75.3 </w:t>
            </w:r>
          </w:p>
        </w:tc>
      </w:tr>
      <w:tr w:rsidR="000D1659" w:rsidRPr="00491918">
        <w:trPr>
          <w:trHeight w:hRule="exac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44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As at 31.12.12</w:t>
            </w:r>
            <w:r w:rsidRPr="00491918">
              <w:rPr>
                <w:b/>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color w:val="000000"/>
                <w:sz w:val="16"/>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120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244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 cards</w:t>
            </w:r>
            <w:r w:rsidRPr="00491918">
              <w:rPr>
                <w:color w:val="000000"/>
                <w:sz w:val="16"/>
                <w:vertAlign w:val="superscript"/>
              </w:rPr>
              <w:t>1 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15,434 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2.5 </w:t>
            </w:r>
            <w:r w:rsidRPr="00491918">
              <w:rPr>
                <w:color w:val="000000"/>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1.1 </w:t>
            </w:r>
            <w:r w:rsidRPr="00491918">
              <w:rPr>
                <w:color w:val="000000"/>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4.9 </w:t>
            </w:r>
            <w:r w:rsidRPr="00491918">
              <w:rPr>
                <w:color w:val="000000"/>
                <w:sz w:val="16"/>
                <w:vertAlign w:val="superscript"/>
              </w:rPr>
              <w:t xml:space="preserve"> </w:t>
            </w:r>
          </w:p>
        </w:tc>
        <w:tc>
          <w:tcPr>
            <w:tcW w:w="12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6.2 </w:t>
            </w:r>
          </w:p>
        </w:tc>
        <w:tc>
          <w:tcPr>
            <w:tcW w:w="120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80.4 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US cards</w:t>
            </w:r>
            <w:r w:rsidR="009145D8" w:rsidRPr="00491918">
              <w:rPr>
                <w:color w:val="000000"/>
                <w:sz w:val="16"/>
                <w:vertAlign w:val="superscript"/>
              </w:rPr>
              <w:t>2 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9,296 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2.4 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1.1 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5.0 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2.3 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90.7 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 personal loans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4,861 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1.3 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5.1 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17.4 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78.9 </w:t>
            </w:r>
          </w:p>
        </w:tc>
      </w:tr>
      <w:tr w:rsidR="000D1659"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Barclays Partner Finance</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2,323 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1.0 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4.8 </w:t>
            </w:r>
          </w:p>
        </w:tc>
        <w:tc>
          <w:tcPr>
            <w:tcW w:w="120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78.1 </w:t>
            </w:r>
          </w:p>
        </w:tc>
      </w:tr>
      <w:tr w:rsidR="004850E8"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4850E8" w:rsidRPr="00491918" w:rsidRDefault="004850E8">
            <w:pPr>
              <w:rPr>
                <w:color w:val="000000"/>
                <w:sz w:val="16"/>
              </w:rPr>
            </w:pPr>
            <w:r w:rsidRPr="00491918">
              <w:rPr>
                <w:color w:val="000000"/>
                <w:sz w:val="16"/>
              </w:rPr>
              <w:t>South Africa cards</w:t>
            </w:r>
            <w:r w:rsidRPr="00491918">
              <w:rPr>
                <w:color w:val="000000"/>
                <w:sz w:val="16"/>
                <w:vertAlign w:val="superscript"/>
              </w:rPr>
              <w:t>2 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2,511 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7.4 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3.9 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4.7 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4.7 </w:t>
            </w:r>
          </w:p>
        </w:tc>
        <w:tc>
          <w:tcPr>
            <w:tcW w:w="1200" w:type="dxa"/>
            <w:tcBorders>
              <w:top w:val="nil"/>
              <w:left w:val="nil"/>
              <w:bottom w:val="nil"/>
              <w:right w:val="nil"/>
            </w:tcBorders>
            <w:shd w:val="clear" w:color="auto" w:fill="EAEAEA"/>
            <w:tcMar>
              <w:left w:w="36" w:type="dxa"/>
              <w:right w:w="36" w:type="dxa"/>
            </w:tcMar>
            <w:vAlign w:val="bottom"/>
          </w:tcPr>
          <w:p w:rsidR="004850E8" w:rsidRPr="00491918" w:rsidRDefault="004850E8">
            <w:pPr>
              <w:jc w:val="right"/>
              <w:rPr>
                <w:color w:val="000000"/>
                <w:sz w:val="16"/>
              </w:rPr>
            </w:pPr>
            <w:r w:rsidRPr="00491918">
              <w:rPr>
                <w:color w:val="000000"/>
                <w:sz w:val="16"/>
              </w:rPr>
              <w:t>70.9 </w:t>
            </w:r>
          </w:p>
        </w:tc>
      </w:tr>
      <w:tr w:rsidR="004850E8"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4850E8" w:rsidRPr="00491918" w:rsidRDefault="004850E8">
            <w:pPr>
              <w:rPr>
                <w:color w:val="000000"/>
                <w:sz w:val="16"/>
              </w:rPr>
            </w:pPr>
            <w:r w:rsidRPr="00491918">
              <w:rPr>
                <w:color w:val="000000"/>
                <w:sz w:val="16"/>
              </w:rPr>
              <w:t>Germany cards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1,778 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2.5 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0.9 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3.6 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3.2 </w:t>
            </w:r>
          </w:p>
        </w:tc>
        <w:tc>
          <w:tcPr>
            <w:tcW w:w="1200" w:type="dxa"/>
            <w:tcBorders>
              <w:top w:val="nil"/>
              <w:left w:val="nil"/>
              <w:bottom w:val="nil"/>
              <w:right w:val="nil"/>
            </w:tcBorders>
            <w:shd w:val="clear" w:color="auto" w:fill="EAEAEA"/>
            <w:tcMar>
              <w:left w:w="36" w:type="dxa"/>
              <w:right w:w="36" w:type="dxa"/>
            </w:tcMar>
            <w:vAlign w:val="bottom"/>
          </w:tcPr>
          <w:p w:rsidR="004850E8" w:rsidRPr="00491918" w:rsidRDefault="004850E8">
            <w:pPr>
              <w:jc w:val="right"/>
              <w:rPr>
                <w:color w:val="000000"/>
                <w:sz w:val="16"/>
              </w:rPr>
            </w:pPr>
            <w:r w:rsidRPr="00491918">
              <w:rPr>
                <w:color w:val="000000"/>
                <w:sz w:val="16"/>
              </w:rPr>
              <w:t>79.4 </w:t>
            </w:r>
          </w:p>
        </w:tc>
      </w:tr>
      <w:tr w:rsidR="004850E8"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4850E8" w:rsidRPr="00491918" w:rsidRDefault="004850E8">
            <w:pPr>
              <w:rPr>
                <w:color w:val="000000"/>
                <w:sz w:val="16"/>
              </w:rPr>
            </w:pPr>
            <w:r w:rsidRPr="00491918">
              <w:rPr>
                <w:color w:val="000000"/>
                <w:sz w:val="16"/>
              </w:rPr>
              <w:t>UK overdrafts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1,382 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5.3 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3.5 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8.2 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14.6 </w:t>
            </w:r>
          </w:p>
        </w:tc>
        <w:tc>
          <w:tcPr>
            <w:tcW w:w="1200" w:type="dxa"/>
            <w:tcBorders>
              <w:top w:val="nil"/>
              <w:left w:val="nil"/>
              <w:bottom w:val="nil"/>
              <w:right w:val="nil"/>
            </w:tcBorders>
            <w:shd w:val="clear" w:color="auto" w:fill="EAEAEA"/>
            <w:tcMar>
              <w:left w:w="36" w:type="dxa"/>
              <w:right w:w="36" w:type="dxa"/>
            </w:tcMar>
            <w:vAlign w:val="bottom"/>
          </w:tcPr>
          <w:p w:rsidR="004850E8" w:rsidRPr="00491918" w:rsidRDefault="004850E8">
            <w:pPr>
              <w:jc w:val="right"/>
              <w:rPr>
                <w:color w:val="000000"/>
                <w:sz w:val="16"/>
              </w:rPr>
            </w:pPr>
            <w:r w:rsidRPr="00491918">
              <w:rPr>
                <w:color w:val="000000"/>
                <w:sz w:val="16"/>
              </w:rPr>
              <w:t>92.7 </w:t>
            </w:r>
          </w:p>
        </w:tc>
      </w:tr>
      <w:tr w:rsidR="004850E8"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4850E8" w:rsidRPr="00491918" w:rsidRDefault="004850E8">
            <w:pPr>
              <w:rPr>
                <w:color w:val="000000"/>
                <w:sz w:val="16"/>
              </w:rPr>
            </w:pPr>
            <w:r w:rsidRPr="00491918">
              <w:rPr>
                <w:color w:val="000000"/>
                <w:sz w:val="16"/>
              </w:rPr>
              <w:t>Italy salary advance loans</w:t>
            </w:r>
            <w:r w:rsidRPr="00491918">
              <w:rPr>
                <w:color w:val="000000"/>
                <w:sz w:val="16"/>
                <w:vertAlign w:val="superscript"/>
              </w:rPr>
              <w:t>3 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1,354 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2.3 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0.9 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8.4 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9.4 </w:t>
            </w:r>
          </w:p>
        </w:tc>
        <w:tc>
          <w:tcPr>
            <w:tcW w:w="1200" w:type="dxa"/>
            <w:tcBorders>
              <w:top w:val="nil"/>
              <w:left w:val="nil"/>
              <w:bottom w:val="nil"/>
              <w:right w:val="nil"/>
            </w:tcBorders>
            <w:shd w:val="clear" w:color="auto" w:fill="EAEAEA"/>
            <w:tcMar>
              <w:left w:w="36" w:type="dxa"/>
              <w:right w:w="36" w:type="dxa"/>
            </w:tcMar>
            <w:vAlign w:val="bottom"/>
          </w:tcPr>
          <w:p w:rsidR="004850E8" w:rsidRPr="00491918" w:rsidRDefault="004850E8">
            <w:pPr>
              <w:jc w:val="right"/>
              <w:rPr>
                <w:color w:val="000000"/>
                <w:sz w:val="16"/>
              </w:rPr>
            </w:pPr>
            <w:r w:rsidRPr="00491918">
              <w:rPr>
                <w:color w:val="000000"/>
                <w:sz w:val="16"/>
              </w:rPr>
              <w:t>12.5 </w:t>
            </w:r>
          </w:p>
        </w:tc>
      </w:tr>
      <w:tr w:rsidR="004850E8"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4850E8" w:rsidRPr="00491918" w:rsidRDefault="004850E8">
            <w:pPr>
              <w:rPr>
                <w:color w:val="000000"/>
                <w:sz w:val="16"/>
              </w:rPr>
            </w:pPr>
            <w:r w:rsidRPr="00491918">
              <w:rPr>
                <w:color w:val="000000"/>
                <w:sz w:val="16"/>
              </w:rPr>
              <w:t>Iberia cards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1,140 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7.5 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3.5 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9.6 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12.4 </w:t>
            </w:r>
          </w:p>
        </w:tc>
        <w:tc>
          <w:tcPr>
            <w:tcW w:w="1200" w:type="dxa"/>
            <w:tcBorders>
              <w:top w:val="nil"/>
              <w:left w:val="nil"/>
              <w:bottom w:val="nil"/>
              <w:right w:val="nil"/>
            </w:tcBorders>
            <w:shd w:val="clear" w:color="auto" w:fill="EAEAEA"/>
            <w:tcMar>
              <w:left w:w="36" w:type="dxa"/>
              <w:right w:w="36" w:type="dxa"/>
            </w:tcMar>
            <w:vAlign w:val="bottom"/>
          </w:tcPr>
          <w:p w:rsidR="004850E8" w:rsidRPr="00491918" w:rsidRDefault="004850E8">
            <w:pPr>
              <w:jc w:val="right"/>
              <w:rPr>
                <w:color w:val="000000"/>
                <w:sz w:val="16"/>
              </w:rPr>
            </w:pPr>
            <w:r w:rsidRPr="00491918">
              <w:rPr>
                <w:color w:val="000000"/>
                <w:sz w:val="16"/>
              </w:rPr>
              <w:t>88.2 </w:t>
            </w:r>
          </w:p>
        </w:tc>
      </w:tr>
      <w:tr w:rsidR="004850E8" w:rsidRPr="00491918">
        <w:trPr>
          <w:trHeight w:val="240"/>
        </w:trPr>
        <w:tc>
          <w:tcPr>
            <w:tcW w:w="2445" w:type="dxa"/>
            <w:tcBorders>
              <w:top w:val="nil"/>
              <w:left w:val="nil"/>
              <w:bottom w:val="nil"/>
              <w:right w:val="nil"/>
            </w:tcBorders>
            <w:shd w:val="clear" w:color="auto" w:fill="FFFFFF"/>
            <w:tcMar>
              <w:left w:w="36" w:type="dxa"/>
              <w:right w:w="36" w:type="dxa"/>
            </w:tcMar>
            <w:vAlign w:val="bottom"/>
          </w:tcPr>
          <w:p w:rsidR="004850E8" w:rsidRPr="00491918" w:rsidRDefault="004850E8">
            <w:pPr>
              <w:rPr>
                <w:color w:val="000000"/>
                <w:sz w:val="16"/>
              </w:rPr>
            </w:pPr>
            <w:r w:rsidRPr="00491918">
              <w:rPr>
                <w:color w:val="000000"/>
                <w:sz w:val="16"/>
              </w:rPr>
              <w:t>South Africa personal loans</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1,061 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rPr>
            </w:pPr>
            <w:r w:rsidRPr="00491918">
              <w:rPr>
                <w:color w:val="000000"/>
                <w:sz w:val="16"/>
              </w:rPr>
              <w:t>5.6 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3.1 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8.5 </w:t>
            </w:r>
            <w:r w:rsidRPr="00491918">
              <w:rPr>
                <w:color w:val="000000"/>
                <w:sz w:val="16"/>
                <w:vertAlign w:val="superscript"/>
              </w:rPr>
              <w:t xml:space="preserve"> </w:t>
            </w:r>
          </w:p>
        </w:tc>
        <w:tc>
          <w:tcPr>
            <w:tcW w:w="1200" w:type="dxa"/>
            <w:tcBorders>
              <w:top w:val="nil"/>
              <w:left w:val="nil"/>
              <w:bottom w:val="nil"/>
              <w:right w:val="nil"/>
            </w:tcBorders>
            <w:shd w:val="clear" w:color="auto" w:fill="FFFFFF"/>
            <w:tcMar>
              <w:left w:w="36" w:type="dxa"/>
              <w:right w:w="36" w:type="dxa"/>
            </w:tcMar>
            <w:vAlign w:val="bottom"/>
          </w:tcPr>
          <w:p w:rsidR="004850E8" w:rsidRPr="00491918" w:rsidRDefault="004850E8">
            <w:pPr>
              <w:jc w:val="right"/>
              <w:rPr>
                <w:color w:val="000000"/>
                <w:sz w:val="16"/>
                <w:vertAlign w:val="superscript"/>
              </w:rPr>
            </w:pPr>
            <w:r w:rsidRPr="00491918">
              <w:rPr>
                <w:color w:val="000000"/>
                <w:sz w:val="16"/>
              </w:rPr>
              <w:t>7.6 </w:t>
            </w:r>
          </w:p>
        </w:tc>
        <w:tc>
          <w:tcPr>
            <w:tcW w:w="1200" w:type="dxa"/>
            <w:tcBorders>
              <w:top w:val="nil"/>
              <w:left w:val="nil"/>
              <w:bottom w:val="nil"/>
              <w:right w:val="nil"/>
            </w:tcBorders>
            <w:shd w:val="clear" w:color="auto" w:fill="EAEAEA"/>
            <w:tcMar>
              <w:left w:w="36" w:type="dxa"/>
              <w:right w:w="36" w:type="dxa"/>
            </w:tcMar>
            <w:vAlign w:val="bottom"/>
          </w:tcPr>
          <w:p w:rsidR="004850E8" w:rsidRPr="00491918" w:rsidRDefault="004850E8">
            <w:pPr>
              <w:jc w:val="right"/>
              <w:rPr>
                <w:color w:val="000000"/>
                <w:sz w:val="16"/>
              </w:rPr>
            </w:pPr>
            <w:r w:rsidRPr="00491918">
              <w:rPr>
                <w:color w:val="000000"/>
                <w:sz w:val="16"/>
              </w:rPr>
              <w:t>72.3 </w:t>
            </w:r>
          </w:p>
        </w:tc>
      </w:tr>
    </w:tbl>
    <w:p w:rsidR="000D1659" w:rsidRPr="00491918" w:rsidRDefault="000D1659"/>
    <w:p w:rsidR="000D1659" w:rsidRPr="00491918" w:rsidRDefault="000D1659" w:rsidP="00EC729A">
      <w:pPr>
        <w:pStyle w:val="Level1Bullet-BarcRA201"/>
        <w:numPr>
          <w:ilvl w:val="0"/>
          <w:numId w:val="133"/>
        </w:numPr>
      </w:pPr>
      <w:r w:rsidRPr="00491918">
        <w:t>Gross loans and advances in credit cards, overdrafts and unsecured loans remained broadly stable with the increase in Germany, Barclays Partner Finance and US card portfolios being offset by decreases in Italy salary advance loans and UK overdrafts</w:t>
      </w:r>
    </w:p>
    <w:p w:rsidR="000D1659" w:rsidRPr="00491918" w:rsidRDefault="000D1659" w:rsidP="00EC729A">
      <w:pPr>
        <w:pStyle w:val="Level1Bullet-BarcRA201"/>
        <w:numPr>
          <w:ilvl w:val="0"/>
          <w:numId w:val="133"/>
        </w:numPr>
      </w:pPr>
      <w:r w:rsidRPr="00491918">
        <w:t xml:space="preserve">With the exception of South Africa cards and Italy salary advance loans, arrears rates remained broadly stable. In Iberia cards portfolios </w:t>
      </w:r>
      <w:r w:rsidR="009145D8" w:rsidRPr="00491918">
        <w:t xml:space="preserve">recoveries proportion of outstanding balances </w:t>
      </w:r>
      <w:r w:rsidRPr="00491918">
        <w:t>have been actively reduced during the period following a tightening in write off policy</w:t>
      </w:r>
    </w:p>
    <w:p w:rsidR="000D1659" w:rsidRPr="00491918" w:rsidRDefault="000D1659" w:rsidP="00EC729A">
      <w:pPr>
        <w:pStyle w:val="Level1Bullet-BarcRA201"/>
        <w:numPr>
          <w:ilvl w:val="0"/>
          <w:numId w:val="133"/>
        </w:numPr>
      </w:pPr>
      <w:r w:rsidRPr="00491918">
        <w:t>In South Africa, delinquency and charge off rates deteriorated due to the difficult macroeconomic environment</w:t>
      </w:r>
    </w:p>
    <w:p w:rsidR="00A24F51" w:rsidRPr="00491918" w:rsidRDefault="00A24F51" w:rsidP="00EC729A">
      <w:pPr>
        <w:pStyle w:val="Level1Bullet-BarcRA201"/>
        <w:numPr>
          <w:ilvl w:val="0"/>
          <w:numId w:val="133"/>
        </w:numPr>
      </w:pPr>
      <w:r w:rsidRPr="00491918">
        <w:t xml:space="preserve">The deterioration in arrears rates in Italy salary advance loans </w:t>
      </w:r>
      <w:r w:rsidR="003A77C8" w:rsidRPr="00491918">
        <w:t>wa</w:t>
      </w:r>
      <w:r w:rsidRPr="00491918">
        <w:t xml:space="preserve">s driven by one </w:t>
      </w:r>
      <w:r w:rsidR="003A77C8" w:rsidRPr="00491918">
        <w:t>intermediary</w:t>
      </w:r>
      <w:r w:rsidRPr="00491918">
        <w:t xml:space="preserve"> otherwise underlying performance </w:t>
      </w:r>
      <w:r w:rsidR="003A77C8" w:rsidRPr="00491918">
        <w:t>wa</w:t>
      </w:r>
      <w:r w:rsidRPr="00491918">
        <w:t xml:space="preserve">s broadly stable. The increase in recoveries proportion of outstanding balances and coverage </w:t>
      </w:r>
      <w:r w:rsidR="003A77C8" w:rsidRPr="00491918">
        <w:t>ratio reflected</w:t>
      </w:r>
      <w:r w:rsidRPr="00491918">
        <w:t xml:space="preserve"> the difficult economic environment and insurance claims experience </w:t>
      </w:r>
      <w:r w:rsidR="003A77C8" w:rsidRPr="00491918">
        <w:t xml:space="preserve">which resulted in the </w:t>
      </w:r>
      <w:r w:rsidRPr="00491918">
        <w:t>lower recovery of outstanding balances</w:t>
      </w:r>
    </w:p>
    <w:p w:rsidR="000D1659" w:rsidRPr="00491918" w:rsidRDefault="000D1659" w:rsidP="000D1659">
      <w:pPr>
        <w:pStyle w:val="NoteSourceText-BarcRA710"/>
        <w:rPr>
          <w:iCs w:val="0"/>
        </w:rPr>
      </w:pPr>
    </w:p>
    <w:p w:rsidR="000D1659" w:rsidRPr="00491918" w:rsidRDefault="000D1659" w:rsidP="000D1659">
      <w:pPr>
        <w:pStyle w:val="NoteSourceText-BarcRA710"/>
        <w:rPr>
          <w:iCs w:val="0"/>
        </w:rPr>
      </w:pPr>
    </w:p>
    <w:p w:rsidR="000D1659" w:rsidRPr="00491918" w:rsidRDefault="000D1659" w:rsidP="000D1659">
      <w:pPr>
        <w:pStyle w:val="NoteSourceText-BarcRA710"/>
        <w:rPr>
          <w:iCs w:val="0"/>
        </w:rPr>
      </w:pPr>
    </w:p>
    <w:p w:rsidR="000D1659" w:rsidRPr="00491918" w:rsidRDefault="000D1659" w:rsidP="000D1659">
      <w:pPr>
        <w:pStyle w:val="NoteSourceText-BarcRA710"/>
        <w:rPr>
          <w:iCs w:val="0"/>
        </w:rPr>
      </w:pPr>
    </w:p>
    <w:p w:rsidR="000D1659" w:rsidRPr="00491918" w:rsidRDefault="000D1659" w:rsidP="000D1659">
      <w:pPr>
        <w:pStyle w:val="Normal79"/>
        <w:rPr>
          <w:i/>
          <w:iCs/>
          <w:sz w:val="14"/>
          <w:szCs w:val="14"/>
        </w:rPr>
      </w:pPr>
    </w:p>
    <w:p w:rsidR="000D1659" w:rsidRPr="00491918" w:rsidRDefault="000D1659" w:rsidP="000D1659">
      <w:pPr>
        <w:pStyle w:val="Normal500"/>
        <w:ind w:left="284" w:hanging="284"/>
        <w:rPr>
          <w:i/>
          <w:iCs/>
          <w:sz w:val="14"/>
          <w:szCs w:val="14"/>
        </w:rPr>
      </w:pPr>
      <w:r w:rsidRPr="00491918">
        <w:rPr>
          <w:i/>
          <w:iCs/>
          <w:sz w:val="14"/>
          <w:szCs w:val="14"/>
        </w:rPr>
        <w:t>1</w:t>
      </w:r>
      <w:r w:rsidRPr="00491918">
        <w:rPr>
          <w:i/>
          <w:iCs/>
          <w:sz w:val="14"/>
          <w:szCs w:val="14"/>
        </w:rPr>
        <w:tab/>
        <w:t xml:space="preserve">UK cards includes the acquired Egg credit card assets, which totalled £1.7bn at acquisition. The outstanding acquired balances have been excluded from </w:t>
      </w:r>
    </w:p>
    <w:p w:rsidR="000D1659" w:rsidRPr="00491918" w:rsidRDefault="000D1659" w:rsidP="000D1659">
      <w:pPr>
        <w:pStyle w:val="Normal500"/>
        <w:ind w:left="284"/>
        <w:rPr>
          <w:i/>
          <w:iCs/>
          <w:sz w:val="14"/>
          <w:szCs w:val="14"/>
        </w:rPr>
      </w:pPr>
      <w:r w:rsidRPr="00491918">
        <w:rPr>
          <w:i/>
          <w:iCs/>
          <w:sz w:val="14"/>
          <w:szCs w:val="14"/>
        </w:rPr>
        <w:t xml:space="preserve">the recoveries impairment coverage ratio on the basis that the portfolio has been recognised on acquisition at fair value during 2011 (with no related </w:t>
      </w:r>
    </w:p>
    <w:p w:rsidR="000D1659" w:rsidRPr="00491918" w:rsidRDefault="000D1659" w:rsidP="000D1659">
      <w:pPr>
        <w:pStyle w:val="Normal500"/>
        <w:ind w:left="284"/>
        <w:rPr>
          <w:i/>
          <w:iCs/>
          <w:sz w:val="14"/>
          <w:szCs w:val="14"/>
        </w:rPr>
      </w:pPr>
      <w:r w:rsidRPr="00491918">
        <w:rPr>
          <w:i/>
          <w:iCs/>
          <w:sz w:val="14"/>
          <w:szCs w:val="14"/>
        </w:rPr>
        <w:t>impairment allowance). Impairment allowances have been recognised as appropriate where these relate to the period post acquisition.</w:t>
      </w:r>
    </w:p>
    <w:p w:rsidR="000D1659" w:rsidRPr="00491918" w:rsidRDefault="000D1659" w:rsidP="000D1659">
      <w:pPr>
        <w:pStyle w:val="Normal500"/>
        <w:ind w:left="284" w:hanging="284"/>
        <w:rPr>
          <w:i/>
          <w:iCs/>
          <w:sz w:val="14"/>
          <w:szCs w:val="14"/>
        </w:rPr>
      </w:pPr>
      <w:r w:rsidRPr="00491918">
        <w:rPr>
          <w:iCs/>
          <w:sz w:val="14"/>
          <w:szCs w:val="14"/>
        </w:rPr>
        <w:t>2</w:t>
      </w:r>
      <w:r w:rsidRPr="00491918">
        <w:rPr>
          <w:iCs/>
        </w:rPr>
        <w:tab/>
      </w:r>
      <w:r w:rsidRPr="00491918">
        <w:rPr>
          <w:i/>
          <w:iCs/>
          <w:sz w:val="14"/>
          <w:szCs w:val="14"/>
        </w:rPr>
        <w:t>South Africa Cards now includes the acquired Edcon portfolio</w:t>
      </w:r>
      <w:r w:rsidR="009145D8" w:rsidRPr="00491918">
        <w:rPr>
          <w:i/>
          <w:iCs/>
          <w:sz w:val="14"/>
          <w:szCs w:val="14"/>
        </w:rPr>
        <w:t xml:space="preserve"> and </w:t>
      </w:r>
      <w:r w:rsidR="00A24F51" w:rsidRPr="00491918">
        <w:rPr>
          <w:i/>
          <w:iCs/>
          <w:sz w:val="14"/>
          <w:szCs w:val="14"/>
        </w:rPr>
        <w:t>in both FY12 and H1</w:t>
      </w:r>
      <w:r w:rsidRPr="00491918">
        <w:rPr>
          <w:i/>
          <w:iCs/>
          <w:sz w:val="14"/>
          <w:szCs w:val="14"/>
        </w:rPr>
        <w:t>13 figures. The outstanding acquired balances have been excluded from the recoveries impairment coverage ratio on the basis that the portfolio has been recognised on acquisition at fair value during 2012 (with no related impairment allowance). Impairment allowances have been recognised as appropriate where these relate to the period post acquisition.</w:t>
      </w:r>
    </w:p>
    <w:p w:rsidR="000D1659" w:rsidRPr="00491918" w:rsidRDefault="000D1659" w:rsidP="000D1659">
      <w:pPr>
        <w:pStyle w:val="NoteSourceText-BarcRA7100"/>
      </w:pPr>
      <w:r w:rsidRPr="00491918">
        <w:rPr>
          <w:iCs w:val="0"/>
        </w:rPr>
        <w:t>3</w:t>
      </w:r>
      <w:r w:rsidRPr="00491918">
        <w:rPr>
          <w:iCs w:val="0"/>
        </w:rPr>
        <w:tab/>
      </w:r>
      <w:r w:rsidRPr="00491918">
        <w:t>The recoveries impairment coverage ratio for Italy salary advance loans is lower than other unsecured portfolios as these loans are extended to customers where the repayment is made via a salary deduction at source by qualifying employers and Barclays is insured in the event of  termination of employment or death. Recoveries represent balances where insurance claims are pending that we believe are largely recoverable, hence the lower coverage.</w:t>
      </w:r>
    </w:p>
    <w:p w:rsidR="000D1659" w:rsidRPr="00491918" w:rsidRDefault="000D1659"/>
    <w:p w:rsidR="0007202F" w:rsidRPr="00491918" w:rsidRDefault="0007202F" w:rsidP="0007202F">
      <w:pPr>
        <w:pStyle w:val="HeadingLevel1-BarcRA35"/>
        <w:rPr>
          <w:lang w:val="en-GB"/>
        </w:rPr>
      </w:pPr>
    </w:p>
    <w:p w:rsidR="00DA356B" w:rsidRPr="00491918" w:rsidRDefault="00DA356B" w:rsidP="0007202F">
      <w:pPr>
        <w:pStyle w:val="HeadingLevel1-BarcRA35"/>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p w:rsidR="000D1659" w:rsidRPr="00491918" w:rsidRDefault="000D1659" w:rsidP="008D6001">
      <w:pPr>
        <w:pStyle w:val="HeadingLevel2-BarcRA14"/>
        <w:outlineLvl w:val="0"/>
      </w:pPr>
      <w:r w:rsidRPr="00491918">
        <w:t>Other Secured Retail Lending</w:t>
      </w:r>
    </w:p>
    <w:p w:rsidR="000D1659" w:rsidRPr="00491918" w:rsidRDefault="000D1659" w:rsidP="000D1659">
      <w:pPr>
        <w:pStyle w:val="Level1Bullet-BarcRA25"/>
      </w:pPr>
      <w:r w:rsidRPr="00491918">
        <w:lastRenderedPageBreak/>
        <w:t>The principal portfolio listed below account</w:t>
      </w:r>
      <w:r w:rsidRPr="00491918">
        <w:rPr>
          <w:lang w:val="en-GB"/>
        </w:rPr>
        <w:t>s</w:t>
      </w:r>
      <w:r w:rsidRPr="00491918">
        <w:t xml:space="preserve"> for </w:t>
      </w:r>
      <w:r w:rsidR="00F72E29" w:rsidRPr="00491918">
        <w:rPr>
          <w:lang w:val="en-GB"/>
        </w:rPr>
        <w:t>50</w:t>
      </w:r>
      <w:r w:rsidRPr="00491918">
        <w:rPr>
          <w:lang w:val="en-GB"/>
        </w:rPr>
        <w:t>%</w:t>
      </w:r>
      <w:r w:rsidRPr="00491918">
        <w:t xml:space="preserve"> (2012: </w:t>
      </w:r>
      <w:r w:rsidRPr="00491918">
        <w:rPr>
          <w:lang w:val="en-GB"/>
        </w:rPr>
        <w:t>50</w:t>
      </w:r>
      <w:r w:rsidRPr="00491918">
        <w:t xml:space="preserve">%) of total Other Secured Retail Lending Loans in the Group’s retail portfolios </w:t>
      </w:r>
    </w:p>
    <w:p w:rsidR="000D1659" w:rsidRPr="00491918" w:rsidRDefault="000D1659"/>
    <w:tbl>
      <w:tblPr>
        <w:tblW w:w="0" w:type="auto"/>
        <w:tblLayout w:type="fixed"/>
        <w:tblLook w:val="0000" w:firstRow="0" w:lastRow="0" w:firstColumn="0" w:lastColumn="0" w:noHBand="0" w:noVBand="0"/>
      </w:tblPr>
      <w:tblGrid>
        <w:gridCol w:w="3345"/>
        <w:gridCol w:w="1050"/>
        <w:gridCol w:w="1050"/>
        <w:gridCol w:w="1050"/>
        <w:gridCol w:w="1050"/>
        <w:gridCol w:w="1050"/>
        <w:gridCol w:w="1050"/>
      </w:tblGrid>
      <w:tr w:rsidR="000D1659" w:rsidRPr="00491918" w:rsidTr="007A5948">
        <w:trPr>
          <w:trHeight w:val="650"/>
        </w:trPr>
        <w:tc>
          <w:tcPr>
            <w:tcW w:w="3345" w:type="dxa"/>
            <w:tcBorders>
              <w:top w:val="nil"/>
              <w:left w:val="nil"/>
              <w:bottom w:val="nil"/>
              <w:right w:val="nil"/>
            </w:tcBorders>
            <w:shd w:val="clear" w:color="auto" w:fill="FFFFFF"/>
            <w:tcMar>
              <w:left w:w="36" w:type="dxa"/>
              <w:right w:w="36" w:type="dxa"/>
            </w:tcMar>
            <w:vAlign w:val="bottom"/>
          </w:tcPr>
          <w:p w:rsidR="000D1659" w:rsidRPr="00491918" w:rsidRDefault="000D1659"/>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Gross</w:t>
            </w:r>
          </w:p>
          <w:p w:rsidR="000D1659" w:rsidRPr="00491918" w:rsidRDefault="000D1659">
            <w:pPr>
              <w:jc w:val="right"/>
              <w:rPr>
                <w:b/>
                <w:color w:val="000000"/>
                <w:sz w:val="16"/>
              </w:rPr>
            </w:pPr>
            <w:r w:rsidRPr="00491918">
              <w:rPr>
                <w:b/>
                <w:color w:val="000000"/>
                <w:sz w:val="16"/>
              </w:rPr>
              <w:t xml:space="preserve"> Loans and Advances</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 Day Arrears</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90 Day Arrears</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Gross Charge-off Rates</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Recoveries Proportion of Outstanding Balances</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Recoveries Impairment Coverage Ratio</w:t>
            </w:r>
          </w:p>
        </w:tc>
      </w:tr>
      <w:tr w:rsidR="000D1659" w:rsidRPr="00491918">
        <w:trPr>
          <w:trHeight w:val="300"/>
        </w:trPr>
        <w:tc>
          <w:tcPr>
            <w:tcW w:w="334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333D40" w:rsidP="00333D40">
            <w:pPr>
              <w:rPr>
                <w:b/>
                <w:color w:val="000000"/>
                <w:sz w:val="16"/>
              </w:rPr>
            </w:pPr>
            <w:r w:rsidRPr="00491918">
              <w:rPr>
                <w:b/>
                <w:color w:val="000000"/>
                <w:sz w:val="16"/>
              </w:rPr>
              <w:t>South Africa V</w:t>
            </w:r>
            <w:r w:rsidR="00F72E29" w:rsidRPr="00491918">
              <w:rPr>
                <w:b/>
                <w:color w:val="000000"/>
                <w:sz w:val="16"/>
              </w:rPr>
              <w:t>ehicle auto finance</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£m</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05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r>
      <w:tr w:rsidR="000D1659" w:rsidRPr="00491918">
        <w:trPr>
          <w:trHeight w:val="300"/>
        </w:trPr>
        <w:tc>
          <w:tcPr>
            <w:tcW w:w="334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As at 30.06.13</w:t>
            </w:r>
          </w:p>
        </w:tc>
        <w:tc>
          <w:tcPr>
            <w:tcW w:w="10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color w:val="000000"/>
                <w:sz w:val="16"/>
              </w:rPr>
              <w:t>2,797 </w:t>
            </w:r>
          </w:p>
        </w:tc>
        <w:tc>
          <w:tcPr>
            <w:tcW w:w="10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2.0 </w:t>
            </w:r>
          </w:p>
        </w:tc>
        <w:tc>
          <w:tcPr>
            <w:tcW w:w="10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0.7 </w:t>
            </w:r>
          </w:p>
        </w:tc>
        <w:tc>
          <w:tcPr>
            <w:tcW w:w="10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3.1 </w:t>
            </w:r>
          </w:p>
        </w:tc>
        <w:tc>
          <w:tcPr>
            <w:tcW w:w="10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2.6 </w:t>
            </w:r>
          </w:p>
        </w:tc>
        <w:tc>
          <w:tcPr>
            <w:tcW w:w="1050"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62.3 </w:t>
            </w:r>
          </w:p>
        </w:tc>
      </w:tr>
      <w:tr w:rsidR="000D1659" w:rsidRPr="00491918">
        <w:trPr>
          <w:trHeight w:val="300"/>
        </w:trPr>
        <w:tc>
          <w:tcPr>
            <w:tcW w:w="334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As at 31.12.12</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3,081 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2.0 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0.7 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3.6 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3.0 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57.6 </w:t>
            </w:r>
          </w:p>
        </w:tc>
      </w:tr>
    </w:tbl>
    <w:p w:rsidR="000D1659" w:rsidRPr="00491918" w:rsidRDefault="000D1659"/>
    <w:p w:rsidR="000D1659" w:rsidRPr="00491918" w:rsidRDefault="000D1659" w:rsidP="000D1659">
      <w:pPr>
        <w:pStyle w:val="Level1Bullet-BarcRA250"/>
      </w:pPr>
      <w:r w:rsidRPr="00491918">
        <w:t xml:space="preserve">Arrears rates in South Africa auto loans remained stable. </w:t>
      </w:r>
      <w:r w:rsidRPr="00491918">
        <w:rPr>
          <w:lang w:val="en-GB"/>
        </w:rPr>
        <w:t xml:space="preserve">This has been driven by focussing sales efforts on lower risk customers and improving the effectiveness of collection processes </w:t>
      </w:r>
    </w:p>
    <w:p w:rsidR="000D1659" w:rsidRPr="00491918" w:rsidRDefault="000D1659" w:rsidP="008D6001">
      <w:pPr>
        <w:pStyle w:val="HeadingLevel2-BarcRA14"/>
        <w:outlineLvl w:val="0"/>
      </w:pPr>
      <w:r w:rsidRPr="00491918">
        <w:t>Business Lending</w:t>
      </w:r>
    </w:p>
    <w:p w:rsidR="000D1659" w:rsidRPr="00491918" w:rsidRDefault="000D1659" w:rsidP="000D1659">
      <w:pPr>
        <w:pStyle w:val="Level1Bullet-BarcRA210"/>
      </w:pPr>
      <w:r w:rsidRPr="00491918">
        <w:t>Business lending primarily relates to small and medium enterprises typically with exposures up to £3m or with a turnover up to £5m</w:t>
      </w:r>
    </w:p>
    <w:p w:rsidR="000D1659" w:rsidRPr="00491918" w:rsidRDefault="000D1659" w:rsidP="000D1659">
      <w:pPr>
        <w:pStyle w:val="Level1Bullet-BarcRA210"/>
      </w:pPr>
      <w:r w:rsidRPr="00491918">
        <w:t xml:space="preserve">The principal portfolios listed below account for </w:t>
      </w:r>
      <w:r w:rsidRPr="00491918">
        <w:rPr>
          <w:lang w:val="en-GB"/>
        </w:rPr>
        <w:t>86</w:t>
      </w:r>
      <w:r w:rsidRPr="00491918">
        <w:t>% of total Busi</w:t>
      </w:r>
      <w:r w:rsidR="00D9311C" w:rsidRPr="00491918">
        <w:t>ness Lending Loans (</w:t>
      </w:r>
      <w:r w:rsidRPr="00491918">
        <w:t>2012: 88%) in the Group’s retail portfolios</w:t>
      </w:r>
    </w:p>
    <w:p w:rsidR="000D1659" w:rsidRPr="00491918" w:rsidRDefault="000D1659"/>
    <w:tbl>
      <w:tblPr>
        <w:tblW w:w="9780" w:type="dxa"/>
        <w:tblLayout w:type="fixed"/>
        <w:tblLook w:val="0000" w:firstRow="0" w:lastRow="0" w:firstColumn="0" w:lastColumn="0" w:noHBand="0" w:noVBand="0"/>
      </w:tblPr>
      <w:tblGrid>
        <w:gridCol w:w="1035"/>
        <w:gridCol w:w="915"/>
        <w:gridCol w:w="915"/>
        <w:gridCol w:w="915"/>
        <w:gridCol w:w="195"/>
        <w:gridCol w:w="915"/>
        <w:gridCol w:w="1020"/>
        <w:gridCol w:w="915"/>
        <w:gridCol w:w="915"/>
        <w:gridCol w:w="1125"/>
        <w:gridCol w:w="915"/>
      </w:tblGrid>
      <w:tr w:rsidR="00E9782A" w:rsidRPr="00491918" w:rsidTr="007A5948">
        <w:trPr>
          <w:trHeight w:val="191"/>
        </w:trPr>
        <w:tc>
          <w:tcPr>
            <w:tcW w:w="1950"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16"/>
              </w:rPr>
              <w:t>Principal Portfolios</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9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E9782A" w:rsidRPr="00491918" w:rsidTr="007A5948">
        <w:trPr>
          <w:trHeight w:val="300"/>
        </w:trPr>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1830" w:type="dxa"/>
            <w:gridSpan w:val="2"/>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Arrears Managed</w:t>
            </w:r>
            <w:r w:rsidRPr="00491918">
              <w:rPr>
                <w:b/>
                <w:color w:val="000000"/>
                <w:sz w:val="16"/>
                <w:vertAlign w:val="superscript"/>
              </w:rPr>
              <w:t>1 </w:t>
            </w:r>
          </w:p>
        </w:tc>
        <w:tc>
          <w:tcPr>
            <w:tcW w:w="1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vertAlign w:val="superscript"/>
              </w:rPr>
            </w:pPr>
            <w:r w:rsidRPr="00491918">
              <w:rPr>
                <w:b/>
                <w:color w:val="000000"/>
                <w:sz w:val="16"/>
              </w:rPr>
              <w:t xml:space="preserve"> </w:t>
            </w:r>
          </w:p>
        </w:tc>
        <w:tc>
          <w:tcPr>
            <w:tcW w:w="1935" w:type="dxa"/>
            <w:gridSpan w:val="2"/>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Early Warning List Managed</w:t>
            </w:r>
            <w:r w:rsidRPr="00491918">
              <w:rPr>
                <w:b/>
                <w:color w:val="000000"/>
                <w:sz w:val="16"/>
                <w:vertAlign w:val="superscript"/>
              </w:rPr>
              <w:t>2 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rsidTr="007A5948">
        <w:trPr>
          <w:trHeight w:val="739"/>
        </w:trPr>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As at 30.06.13</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Gross</w:t>
            </w:r>
          </w:p>
          <w:p w:rsidR="000D1659" w:rsidRPr="00491918" w:rsidRDefault="000D1659">
            <w:pPr>
              <w:jc w:val="right"/>
              <w:rPr>
                <w:b/>
                <w:color w:val="000000"/>
                <w:sz w:val="16"/>
              </w:rPr>
            </w:pPr>
            <w:r w:rsidRPr="00491918">
              <w:rPr>
                <w:b/>
                <w:color w:val="000000"/>
                <w:sz w:val="16"/>
              </w:rPr>
              <w:t xml:space="preserve"> Loans and Advances</w:t>
            </w:r>
          </w:p>
        </w:tc>
        <w:tc>
          <w:tcPr>
            <w:tcW w:w="915" w:type="dxa"/>
            <w:tcBorders>
              <w:top w:val="single" w:sz="6" w:space="0" w:color="7F7F7F"/>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Drawn balances</w:t>
            </w:r>
          </w:p>
        </w:tc>
        <w:tc>
          <w:tcPr>
            <w:tcW w:w="915" w:type="dxa"/>
            <w:tcBorders>
              <w:top w:val="single" w:sz="6" w:space="0" w:color="7F7F7F"/>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Of which Arrears balances</w:t>
            </w:r>
            <w:r w:rsidRPr="00491918">
              <w:rPr>
                <w:b/>
                <w:color w:val="000000"/>
                <w:sz w:val="16"/>
                <w:vertAlign w:val="superscript"/>
              </w:rPr>
              <w:t xml:space="preserve"> </w:t>
            </w:r>
          </w:p>
        </w:tc>
        <w:tc>
          <w:tcPr>
            <w:tcW w:w="1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w:t>
            </w:r>
          </w:p>
        </w:tc>
        <w:tc>
          <w:tcPr>
            <w:tcW w:w="915" w:type="dxa"/>
            <w:tcBorders>
              <w:top w:val="single" w:sz="6" w:space="0" w:color="7F7F7F"/>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Drawn balances</w:t>
            </w:r>
          </w:p>
        </w:tc>
        <w:tc>
          <w:tcPr>
            <w:tcW w:w="1020" w:type="dxa"/>
            <w:tcBorders>
              <w:top w:val="single" w:sz="6" w:space="0" w:color="7F7F7F"/>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Of which Early Warning List Balances</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Loan Loss Rates</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Gross Charge-off Rates</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Recoveries Proportion of Outstanding Balances</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Recoveries Coverage Ratio</w:t>
            </w:r>
          </w:p>
        </w:tc>
      </w:tr>
      <w:tr w:rsidR="000D1659" w:rsidRPr="00491918" w:rsidTr="007A5948">
        <w:trPr>
          <w:trHeight w:val="300"/>
        </w:trPr>
        <w:tc>
          <w:tcPr>
            <w:tcW w:w="103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£m</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1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bps</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r>
    </w:tbl>
    <w:p w:rsidR="00FF7A7C" w:rsidRPr="00491918" w:rsidRDefault="00FF7A7C"/>
    <w:tbl>
      <w:tblPr>
        <w:tblW w:w="9780" w:type="dxa"/>
        <w:tblLayout w:type="fixed"/>
        <w:tblLook w:val="0000" w:firstRow="0" w:lastRow="0" w:firstColumn="0" w:lastColumn="0" w:noHBand="0" w:noVBand="0"/>
      </w:tblPr>
      <w:tblGrid>
        <w:gridCol w:w="1035"/>
        <w:gridCol w:w="915"/>
        <w:gridCol w:w="915"/>
        <w:gridCol w:w="915"/>
        <w:gridCol w:w="195"/>
        <w:gridCol w:w="915"/>
        <w:gridCol w:w="1020"/>
        <w:gridCol w:w="915"/>
        <w:gridCol w:w="915"/>
        <w:gridCol w:w="1125"/>
        <w:gridCol w:w="915"/>
      </w:tblGrid>
      <w:tr w:rsidR="000D1659" w:rsidRPr="00491918" w:rsidTr="00FF7A7C">
        <w:trPr>
          <w:trHeight w:val="300"/>
        </w:trPr>
        <w:tc>
          <w:tcPr>
            <w:tcW w:w="103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w:t>
            </w:r>
          </w:p>
        </w:tc>
        <w:tc>
          <w:tcPr>
            <w:tcW w:w="91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8,349 </w:t>
            </w:r>
          </w:p>
        </w:tc>
        <w:tc>
          <w:tcPr>
            <w:tcW w:w="91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698 </w:t>
            </w:r>
          </w:p>
        </w:tc>
        <w:tc>
          <w:tcPr>
            <w:tcW w:w="91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5.4 </w:t>
            </w:r>
            <w:r w:rsidRPr="00491918">
              <w:rPr>
                <w:color w:val="000000"/>
                <w:sz w:val="16"/>
                <w:vertAlign w:val="superscript"/>
              </w:rPr>
              <w:t xml:space="preserve"> </w:t>
            </w:r>
          </w:p>
        </w:tc>
        <w:tc>
          <w:tcPr>
            <w:tcW w:w="195" w:type="dxa"/>
            <w:tcBorders>
              <w:left w:val="nil"/>
              <w:bottom w:val="nil"/>
              <w:right w:val="nil"/>
            </w:tcBorders>
            <w:shd w:val="clear" w:color="auto" w:fill="EAEAEA"/>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1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7,245 </w:t>
            </w:r>
          </w:p>
        </w:tc>
        <w:tc>
          <w:tcPr>
            <w:tcW w:w="1020"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9.1 </w:t>
            </w:r>
            <w:r w:rsidRPr="00491918">
              <w:rPr>
                <w:color w:val="000000"/>
                <w:sz w:val="16"/>
                <w:vertAlign w:val="superscript"/>
              </w:rPr>
              <w:t xml:space="preserve"> </w:t>
            </w:r>
          </w:p>
        </w:tc>
        <w:tc>
          <w:tcPr>
            <w:tcW w:w="91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145 </w:t>
            </w:r>
          </w:p>
        </w:tc>
        <w:tc>
          <w:tcPr>
            <w:tcW w:w="91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2.0 </w:t>
            </w:r>
          </w:p>
        </w:tc>
        <w:tc>
          <w:tcPr>
            <w:tcW w:w="112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3.8 </w:t>
            </w:r>
          </w:p>
        </w:tc>
        <w:tc>
          <w:tcPr>
            <w:tcW w:w="915" w:type="dxa"/>
            <w:tcBorders>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37.8 </w:t>
            </w:r>
          </w:p>
        </w:tc>
      </w:tr>
      <w:tr w:rsidR="000D1659" w:rsidRPr="00491918" w:rsidTr="007A5948">
        <w:trPr>
          <w:trHeight w:val="300"/>
        </w:trPr>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Spain</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1,071 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97 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9.7 </w:t>
            </w:r>
            <w:r w:rsidRPr="00491918">
              <w:rPr>
                <w:color w:val="000000"/>
                <w:sz w:val="16"/>
                <w:vertAlign w:val="superscript"/>
              </w:rPr>
              <w:t xml:space="preserve"> </w:t>
            </w:r>
          </w:p>
        </w:tc>
        <w:tc>
          <w:tcPr>
            <w:tcW w:w="195" w:type="dxa"/>
            <w:tcBorders>
              <w:top w:val="nil"/>
              <w:left w:val="nil"/>
              <w:bottom w:val="nil"/>
              <w:right w:val="nil"/>
            </w:tcBorders>
            <w:shd w:val="clear" w:color="auto" w:fill="EAEAEA"/>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978 </w:t>
            </w:r>
          </w:p>
        </w:tc>
        <w:tc>
          <w:tcPr>
            <w:tcW w:w="102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33.2 </w:t>
            </w:r>
            <w:r w:rsidRPr="00491918">
              <w:rPr>
                <w:color w:val="000000"/>
                <w:sz w:val="16"/>
                <w:vertAlign w:val="superscript"/>
              </w:rPr>
              <w:t xml:space="preserve">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320 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2.6 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6.4 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45.1 </w:t>
            </w:r>
          </w:p>
        </w:tc>
      </w:tr>
      <w:tr w:rsidR="000D1659" w:rsidRPr="00491918" w:rsidTr="007A5948">
        <w:trPr>
          <w:trHeight w:val="300"/>
        </w:trPr>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Portugal</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549 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188 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5.5 </w:t>
            </w:r>
            <w:r w:rsidRPr="00491918">
              <w:rPr>
                <w:color w:val="000000"/>
                <w:sz w:val="16"/>
                <w:vertAlign w:val="superscript"/>
              </w:rPr>
              <w:t xml:space="preserve"> </w:t>
            </w:r>
          </w:p>
        </w:tc>
        <w:tc>
          <w:tcPr>
            <w:tcW w:w="195" w:type="dxa"/>
            <w:tcBorders>
              <w:top w:val="nil"/>
              <w:left w:val="nil"/>
              <w:bottom w:val="nil"/>
              <w:right w:val="nil"/>
            </w:tcBorders>
            <w:shd w:val="clear" w:color="auto" w:fill="EAEAEA"/>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335 </w:t>
            </w:r>
          </w:p>
        </w:tc>
        <w:tc>
          <w:tcPr>
            <w:tcW w:w="1020"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20.7 </w:t>
            </w:r>
            <w:r w:rsidRPr="00491918">
              <w:rPr>
                <w:color w:val="000000"/>
                <w:sz w:val="16"/>
                <w:vertAlign w:val="superscript"/>
              </w:rPr>
              <w:t xml:space="preserve">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588 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7.6 </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8.0 </w:t>
            </w:r>
          </w:p>
        </w:tc>
        <w:tc>
          <w:tcPr>
            <w:tcW w:w="91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color w:val="000000"/>
                <w:sz w:val="16"/>
              </w:rPr>
              <w:t>57.5 </w:t>
            </w:r>
          </w:p>
        </w:tc>
      </w:tr>
      <w:tr w:rsidR="000D1659" w:rsidRPr="00491918" w:rsidTr="007A5948">
        <w:trPr>
          <w:trHeight w:hRule="exact" w:val="119"/>
        </w:trPr>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r>
      <w:tr w:rsidR="000D1659" w:rsidRPr="00491918" w:rsidTr="007A5948">
        <w:trPr>
          <w:trHeight w:val="263"/>
        </w:trPr>
        <w:tc>
          <w:tcPr>
            <w:tcW w:w="103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As at</w:t>
            </w:r>
          </w:p>
          <w:p w:rsidR="000D1659" w:rsidRPr="00491918" w:rsidRDefault="000D1659">
            <w:pPr>
              <w:rPr>
                <w:b/>
                <w:color w:val="000000"/>
                <w:sz w:val="16"/>
              </w:rPr>
            </w:pPr>
            <w:r w:rsidRPr="00491918">
              <w:rPr>
                <w:b/>
                <w:color w:val="000000"/>
                <w:sz w:val="16"/>
              </w:rPr>
              <w:t>31.12.12</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r>
      <w:tr w:rsidR="000D1659" w:rsidRPr="00491918" w:rsidTr="007A5948">
        <w:trPr>
          <w:trHeight w:val="300"/>
        </w:trPr>
        <w:tc>
          <w:tcPr>
            <w:tcW w:w="103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UK</w:t>
            </w:r>
          </w:p>
        </w:tc>
        <w:tc>
          <w:tcPr>
            <w:tcW w:w="9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8,053 </w:t>
            </w:r>
          </w:p>
        </w:tc>
        <w:tc>
          <w:tcPr>
            <w:tcW w:w="9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713 </w:t>
            </w:r>
          </w:p>
        </w:tc>
        <w:tc>
          <w:tcPr>
            <w:tcW w:w="9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6.0 </w:t>
            </w:r>
            <w:r w:rsidRPr="00491918">
              <w:rPr>
                <w:color w:val="000000"/>
                <w:sz w:val="16"/>
                <w:vertAlign w:val="superscript"/>
              </w:rPr>
              <w:t xml:space="preserve"> </w:t>
            </w:r>
          </w:p>
        </w:tc>
        <w:tc>
          <w:tcPr>
            <w:tcW w:w="1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7,122 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9.2 </w:t>
            </w:r>
            <w:r w:rsidRPr="00491918">
              <w:rPr>
                <w:color w:val="000000"/>
                <w:sz w:val="16"/>
                <w:vertAlign w:val="superscript"/>
              </w:rPr>
              <w:t xml:space="preserve"> </w:t>
            </w:r>
          </w:p>
        </w:tc>
        <w:tc>
          <w:tcPr>
            <w:tcW w:w="9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140 </w:t>
            </w:r>
          </w:p>
        </w:tc>
        <w:tc>
          <w:tcPr>
            <w:tcW w:w="9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2.5 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4.3 </w:t>
            </w:r>
          </w:p>
        </w:tc>
        <w:tc>
          <w:tcPr>
            <w:tcW w:w="9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34.9 </w:t>
            </w:r>
          </w:p>
        </w:tc>
      </w:tr>
      <w:tr w:rsidR="000D1659" w:rsidRPr="00491918" w:rsidTr="007A5948">
        <w:trPr>
          <w:trHeight w:val="300"/>
        </w:trPr>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Spain</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1,095 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95 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11.3 </w:t>
            </w:r>
            <w:r w:rsidRPr="00491918">
              <w:rPr>
                <w:color w:val="000000"/>
                <w:sz w:val="16"/>
                <w:vertAlign w:val="superscript"/>
              </w:rPr>
              <w:t xml:space="preserve"> </w:t>
            </w:r>
          </w:p>
        </w:tc>
        <w:tc>
          <w:tcPr>
            <w:tcW w:w="1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993 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60.4 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210 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3.8 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6.6 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45.0 </w:t>
            </w:r>
          </w:p>
        </w:tc>
      </w:tr>
      <w:tr w:rsidR="000D1659" w:rsidRPr="00491918" w:rsidTr="007A5948">
        <w:trPr>
          <w:trHeight w:val="300"/>
        </w:trPr>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Portugal</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596 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185 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6.4 </w:t>
            </w:r>
            <w:r w:rsidRPr="00491918">
              <w:rPr>
                <w:color w:val="000000"/>
                <w:sz w:val="16"/>
                <w:vertAlign w:val="superscript"/>
              </w:rPr>
              <w:t xml:space="preserve"> </w:t>
            </w:r>
          </w:p>
        </w:tc>
        <w:tc>
          <w:tcPr>
            <w:tcW w:w="1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393 </w:t>
            </w:r>
          </w:p>
        </w:tc>
        <w:tc>
          <w:tcPr>
            <w:tcW w:w="102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17.8 </w:t>
            </w:r>
            <w:r w:rsidRPr="00491918">
              <w:rPr>
                <w:color w:val="000000"/>
                <w:sz w:val="16"/>
                <w:vertAlign w:val="superscript"/>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rPr>
            </w:pPr>
            <w:r w:rsidRPr="00491918">
              <w:rPr>
                <w:color w:val="000000"/>
                <w:sz w:val="16"/>
              </w:rPr>
              <w:t>503 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5.7 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6.7 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65.9 </w:t>
            </w:r>
          </w:p>
        </w:tc>
      </w:tr>
    </w:tbl>
    <w:p w:rsidR="000D1659" w:rsidRPr="00491918" w:rsidRDefault="000D1659"/>
    <w:p w:rsidR="000D1659" w:rsidRPr="00491918" w:rsidRDefault="000D1659" w:rsidP="00EC729A">
      <w:pPr>
        <w:pStyle w:val="Level1Bullet-BarcRA27"/>
        <w:numPr>
          <w:ilvl w:val="0"/>
          <w:numId w:val="153"/>
        </w:numPr>
      </w:pPr>
      <w:r w:rsidRPr="00491918">
        <w:t xml:space="preserve">UK business lending gross loans and advances increased </w:t>
      </w:r>
      <w:r w:rsidR="00D9311C" w:rsidRPr="00491918">
        <w:rPr>
          <w:lang w:val="en-GB"/>
        </w:rPr>
        <w:t>4</w:t>
      </w:r>
      <w:r w:rsidRPr="00491918">
        <w:t>% to £</w:t>
      </w:r>
      <w:r w:rsidRPr="00491918">
        <w:rPr>
          <w:lang w:val="en-GB"/>
        </w:rPr>
        <w:t>8,349</w:t>
      </w:r>
      <w:r w:rsidRPr="00491918">
        <w:t>m (</w:t>
      </w:r>
      <w:r w:rsidRPr="00491918">
        <w:rPr>
          <w:lang w:val="en-GB"/>
        </w:rPr>
        <w:t>2012:</w:t>
      </w:r>
      <w:r w:rsidRPr="00491918">
        <w:t xml:space="preserve"> £</w:t>
      </w:r>
      <w:r w:rsidRPr="00491918">
        <w:rPr>
          <w:lang w:val="en-GB"/>
        </w:rPr>
        <w:t>8,053</w:t>
      </w:r>
      <w:r w:rsidRPr="00491918">
        <w:t xml:space="preserve">m). </w:t>
      </w:r>
      <w:r w:rsidRPr="00491918">
        <w:rPr>
          <w:lang w:val="en-US"/>
        </w:rPr>
        <w:t xml:space="preserve">Arrears and charge off rates </w:t>
      </w:r>
      <w:r w:rsidRPr="00491918">
        <w:t xml:space="preserve">improved </w:t>
      </w:r>
      <w:r w:rsidRPr="00491918">
        <w:rPr>
          <w:lang w:val="en-US"/>
        </w:rPr>
        <w:t>due to close monitoring of the portfolio resulting in a reduction in recoveries balances</w:t>
      </w:r>
    </w:p>
    <w:p w:rsidR="000D1659" w:rsidRPr="00491918" w:rsidRDefault="000D1659" w:rsidP="00EC729A">
      <w:pPr>
        <w:pStyle w:val="Level1Bullet-BarcRA27"/>
        <w:numPr>
          <w:ilvl w:val="0"/>
          <w:numId w:val="153"/>
        </w:numPr>
      </w:pPr>
      <w:r w:rsidRPr="00491918">
        <w:rPr>
          <w:lang w:val="en-GB"/>
        </w:rPr>
        <w:t>B</w:t>
      </w:r>
      <w:r w:rsidRPr="00491918">
        <w:t xml:space="preserve">usiness lending gross loans and advances in Europe reduced </w:t>
      </w:r>
      <w:r w:rsidRPr="00491918">
        <w:rPr>
          <w:lang w:val="en-GB"/>
        </w:rPr>
        <w:t>4</w:t>
      </w:r>
      <w:r w:rsidRPr="00491918">
        <w:t xml:space="preserve">% in </w:t>
      </w:r>
      <w:r w:rsidRPr="00491918">
        <w:rPr>
          <w:lang w:val="en-GB"/>
        </w:rPr>
        <w:t>the first half of 2013</w:t>
      </w:r>
      <w:r w:rsidRPr="00491918">
        <w:t xml:space="preserve"> to £</w:t>
      </w:r>
      <w:r w:rsidRPr="00491918">
        <w:rPr>
          <w:lang w:val="en-GB"/>
        </w:rPr>
        <w:t>1,673</w:t>
      </w:r>
      <w:r w:rsidRPr="00491918">
        <w:t>m (</w:t>
      </w:r>
      <w:r w:rsidRPr="00491918">
        <w:rPr>
          <w:lang w:val="en-GB"/>
        </w:rPr>
        <w:t>2012</w:t>
      </w:r>
      <w:r w:rsidRPr="00491918">
        <w:t>: £</w:t>
      </w:r>
      <w:r w:rsidRPr="00491918">
        <w:rPr>
          <w:lang w:val="en-GB"/>
        </w:rPr>
        <w:t>1,742</w:t>
      </w:r>
      <w:r w:rsidRPr="00491918">
        <w:t>m) primarily due to the tightening of credit policy</w:t>
      </w:r>
      <w:r w:rsidRPr="00491918">
        <w:rPr>
          <w:lang w:val="en-GB"/>
        </w:rPr>
        <w:t xml:space="preserve"> and a</w:t>
      </w:r>
      <w:r w:rsidRPr="00491918">
        <w:t xml:space="preserve"> reduc</w:t>
      </w:r>
      <w:r w:rsidRPr="00491918">
        <w:rPr>
          <w:lang w:val="en-GB"/>
        </w:rPr>
        <w:t>tion in</w:t>
      </w:r>
      <w:r w:rsidRPr="00491918">
        <w:t xml:space="preserve"> new business volumes</w:t>
      </w:r>
    </w:p>
    <w:p w:rsidR="000D1659" w:rsidRPr="00491918" w:rsidRDefault="000D1659" w:rsidP="00EC729A">
      <w:pPr>
        <w:pStyle w:val="Level1Bullet-BarcRA27"/>
        <w:numPr>
          <w:ilvl w:val="0"/>
          <w:numId w:val="153"/>
        </w:numPr>
      </w:pPr>
      <w:r w:rsidRPr="00491918">
        <w:t xml:space="preserve">Spain gross loans and advances reduced </w:t>
      </w:r>
      <w:r w:rsidRPr="00491918">
        <w:rPr>
          <w:lang w:val="en-GB"/>
        </w:rPr>
        <w:t>2</w:t>
      </w:r>
      <w:r w:rsidRPr="00491918">
        <w:t>% to £</w:t>
      </w:r>
      <w:r w:rsidRPr="00491918">
        <w:rPr>
          <w:lang w:val="en-GB"/>
        </w:rPr>
        <w:t>1,071</w:t>
      </w:r>
      <w:r w:rsidRPr="00491918">
        <w:t>m (201</w:t>
      </w:r>
      <w:r w:rsidRPr="00491918">
        <w:rPr>
          <w:lang w:val="en-GB"/>
        </w:rPr>
        <w:t>2</w:t>
      </w:r>
      <w:r w:rsidRPr="00491918">
        <w:t>: £1,</w:t>
      </w:r>
      <w:r w:rsidRPr="00491918">
        <w:rPr>
          <w:lang w:val="en-GB"/>
        </w:rPr>
        <w:t>095</w:t>
      </w:r>
      <w:r w:rsidRPr="00491918">
        <w:t xml:space="preserve">m). Loan loss rates increased to </w:t>
      </w:r>
      <w:r w:rsidRPr="00491918">
        <w:rPr>
          <w:lang w:val="en-GB"/>
        </w:rPr>
        <w:t>320</w:t>
      </w:r>
      <w:r w:rsidRPr="00491918">
        <w:t>bps (201</w:t>
      </w:r>
      <w:r w:rsidRPr="00491918">
        <w:rPr>
          <w:lang w:val="en-GB"/>
        </w:rPr>
        <w:t>2</w:t>
      </w:r>
      <w:r w:rsidRPr="00491918">
        <w:t xml:space="preserve">: </w:t>
      </w:r>
      <w:r w:rsidRPr="00491918">
        <w:rPr>
          <w:lang w:val="en-GB"/>
        </w:rPr>
        <w:t>210</w:t>
      </w:r>
      <w:r w:rsidRPr="00491918">
        <w:t>bps)</w:t>
      </w:r>
      <w:r w:rsidRPr="00491918">
        <w:rPr>
          <w:lang w:val="en-GB"/>
        </w:rPr>
        <w:t xml:space="preserve"> due to difficult macro economic conditions. </w:t>
      </w:r>
      <w:r w:rsidRPr="00491918">
        <w:rPr>
          <w:color w:val="000000"/>
          <w:lang w:val="en-GB"/>
        </w:rPr>
        <w:t xml:space="preserve">Spain early warning list balances as a percentage of drawn balances reduced significantly as a result of closely managing cases </w:t>
      </w:r>
    </w:p>
    <w:p w:rsidR="007A5948" w:rsidRPr="00491918" w:rsidRDefault="000D1659" w:rsidP="00EC729A">
      <w:pPr>
        <w:pStyle w:val="Level1Bullet-BarcRA27"/>
        <w:numPr>
          <w:ilvl w:val="0"/>
          <w:numId w:val="153"/>
        </w:numPr>
      </w:pPr>
      <w:r w:rsidRPr="00491918">
        <w:t xml:space="preserve">Portugal gross loans and advances reduced </w:t>
      </w:r>
      <w:r w:rsidRPr="00491918">
        <w:rPr>
          <w:lang w:val="en-GB"/>
        </w:rPr>
        <w:t>8</w:t>
      </w:r>
      <w:r w:rsidRPr="00491918">
        <w:t>% to £</w:t>
      </w:r>
      <w:r w:rsidRPr="00491918">
        <w:rPr>
          <w:lang w:val="en-GB"/>
        </w:rPr>
        <w:t>549</w:t>
      </w:r>
      <w:r w:rsidRPr="00491918">
        <w:t>m (201</w:t>
      </w:r>
      <w:r w:rsidRPr="00491918">
        <w:rPr>
          <w:lang w:val="en-GB"/>
        </w:rPr>
        <w:t>2</w:t>
      </w:r>
      <w:r w:rsidRPr="00491918">
        <w:t>: £</w:t>
      </w:r>
      <w:r w:rsidRPr="00491918">
        <w:rPr>
          <w:lang w:val="en-GB"/>
        </w:rPr>
        <w:t>596</w:t>
      </w:r>
      <w:r w:rsidRPr="00491918">
        <w:t xml:space="preserve">m). Loan loss rates increased to </w:t>
      </w:r>
      <w:r w:rsidRPr="00491918">
        <w:rPr>
          <w:lang w:val="en-GB"/>
        </w:rPr>
        <w:t>588</w:t>
      </w:r>
      <w:r w:rsidRPr="00491918">
        <w:t>bps (201</w:t>
      </w:r>
      <w:r w:rsidRPr="00491918">
        <w:rPr>
          <w:lang w:val="en-GB"/>
        </w:rPr>
        <w:t>2</w:t>
      </w:r>
      <w:r w:rsidRPr="00491918">
        <w:t xml:space="preserve">: </w:t>
      </w:r>
      <w:r w:rsidRPr="00491918">
        <w:rPr>
          <w:lang w:val="en-GB"/>
        </w:rPr>
        <w:t>503</w:t>
      </w:r>
      <w:r w:rsidRPr="00491918">
        <w:t xml:space="preserve">bps) reflecting both increasing </w:t>
      </w:r>
      <w:r w:rsidRPr="00491918">
        <w:rPr>
          <w:lang w:val="en-GB"/>
        </w:rPr>
        <w:t>arrears</w:t>
      </w:r>
      <w:r w:rsidRPr="00491918">
        <w:t xml:space="preserve"> in the difficult macro environment and reducing balances</w:t>
      </w:r>
    </w:p>
    <w:p w:rsidR="00F72E29" w:rsidRPr="00491918" w:rsidRDefault="00F72E29" w:rsidP="000D1659">
      <w:pPr>
        <w:pStyle w:val="Level1Bullet-BarcRA310"/>
        <w:numPr>
          <w:ilvl w:val="0"/>
          <w:numId w:val="0"/>
        </w:numPr>
        <w:tabs>
          <w:tab w:val="left" w:pos="720"/>
        </w:tabs>
        <w:spacing w:before="0" w:after="0"/>
        <w:ind w:left="284" w:hanging="284"/>
        <w:rPr>
          <w:i/>
          <w:iCs/>
          <w:sz w:val="14"/>
          <w:szCs w:val="14"/>
          <w:lang w:val="en-GB"/>
        </w:rPr>
      </w:pPr>
    </w:p>
    <w:p w:rsidR="000D1659" w:rsidRPr="00491918" w:rsidRDefault="00F72E29" w:rsidP="000D1659">
      <w:pPr>
        <w:pStyle w:val="Level1Bullet-BarcRA310"/>
        <w:numPr>
          <w:ilvl w:val="0"/>
          <w:numId w:val="0"/>
        </w:numPr>
        <w:tabs>
          <w:tab w:val="left" w:pos="720"/>
        </w:tabs>
        <w:spacing w:before="0" w:after="0"/>
        <w:ind w:left="284" w:hanging="284"/>
        <w:rPr>
          <w:i/>
          <w:iCs/>
          <w:sz w:val="14"/>
          <w:szCs w:val="14"/>
          <w:lang w:val="en-GB"/>
        </w:rPr>
      </w:pPr>
      <w:r w:rsidRPr="00491918">
        <w:rPr>
          <w:i/>
          <w:iCs/>
          <w:sz w:val="14"/>
          <w:szCs w:val="14"/>
          <w:lang w:val="en-GB"/>
        </w:rPr>
        <w:t>1</w:t>
      </w:r>
      <w:r w:rsidRPr="00491918">
        <w:rPr>
          <w:i/>
          <w:iCs/>
          <w:sz w:val="14"/>
          <w:szCs w:val="14"/>
          <w:lang w:val="en-GB"/>
        </w:rPr>
        <w:tab/>
      </w:r>
      <w:r w:rsidR="000D1659" w:rsidRPr="00491918">
        <w:rPr>
          <w:i/>
          <w:iCs/>
          <w:sz w:val="14"/>
          <w:szCs w:val="14"/>
          <w:lang w:val="en-GB"/>
        </w:rPr>
        <w:t xml:space="preserve">Arrears Managed accounts are principally customers with an exposure limit less than £50,000 in the UK and €100,000 in Europe, with processes designed to manage a homogeneous set of assets. Arrears Balances reflects the total balances of accounts which are past due on payments. </w:t>
      </w:r>
    </w:p>
    <w:p w:rsidR="000D1659" w:rsidRPr="00491918" w:rsidRDefault="000D1659" w:rsidP="000D1659">
      <w:pPr>
        <w:pStyle w:val="HeadingLevel2-BarcRA17"/>
        <w:spacing w:before="0"/>
        <w:ind w:left="284" w:hanging="284"/>
        <w:rPr>
          <w:b w:val="0"/>
          <w:bCs w:val="0"/>
          <w:i/>
          <w:iCs/>
          <w:color w:val="auto"/>
          <w:sz w:val="14"/>
          <w:szCs w:val="14"/>
          <w:lang w:val="en-GB"/>
        </w:rPr>
      </w:pPr>
      <w:r w:rsidRPr="00491918">
        <w:rPr>
          <w:b w:val="0"/>
          <w:bCs w:val="0"/>
          <w:i/>
          <w:iCs/>
          <w:color w:val="auto"/>
          <w:sz w:val="14"/>
          <w:szCs w:val="14"/>
          <w:lang w:val="en-GB"/>
        </w:rPr>
        <w:t>2</w:t>
      </w:r>
      <w:r w:rsidRPr="00491918">
        <w:rPr>
          <w:b w:val="0"/>
          <w:bCs w:val="0"/>
          <w:i/>
          <w:iCs/>
          <w:color w:val="auto"/>
          <w:sz w:val="14"/>
          <w:szCs w:val="14"/>
          <w:lang w:val="en-GB"/>
        </w:rPr>
        <w:tab/>
        <w:t>Early Warning List Managed accounts are customers that exceed the Arrears Managed limits and are monitored with processes that record heightened levels of risk through an Early Warning List grading. Early Warning List balances comprise of a list of three categories graded in line with the perceived severity of the risk attached to the lending, and can include customers that are up to date with contractual payments or subject to forbearance as appropriate.</w:t>
      </w:r>
    </w:p>
    <w:p w:rsidR="000D1659" w:rsidRPr="00491918" w:rsidRDefault="000D1659">
      <w:pPr>
        <w:spacing w:line="14" w:lineRule="exact"/>
        <w:rPr>
          <w:b/>
          <w:bCs/>
          <w:i/>
          <w:iCs/>
          <w:sz w:val="14"/>
          <w:szCs w:val="14"/>
          <w:lang w:val="en-GB"/>
        </w:rPr>
      </w:pPr>
      <w:r w:rsidRPr="00491918">
        <w:rPr>
          <w:b/>
          <w:bCs/>
          <w:i/>
          <w:iCs/>
          <w:sz w:val="14"/>
          <w:szCs w:val="14"/>
          <w:lang w:val="en-GB"/>
        </w:rPr>
        <w:br w:type="page"/>
      </w:r>
    </w:p>
    <w:p w:rsidR="0007202F" w:rsidRPr="00491918" w:rsidRDefault="0007202F" w:rsidP="0007202F">
      <w:pPr>
        <w:pStyle w:val="HeadingLevel1-BarcRA35"/>
        <w:rPr>
          <w:lang w:val="en-GB"/>
        </w:rPr>
      </w:pPr>
      <w:r w:rsidRPr="00491918">
        <w:rPr>
          <w:lang w:val="en-GB"/>
        </w:rPr>
        <w:lastRenderedPageBreak/>
        <w:t xml:space="preserve">Credit </w:t>
      </w:r>
      <w:r w:rsidRPr="00491918">
        <w:t>Risk</w:t>
      </w:r>
    </w:p>
    <w:p w:rsidR="000D1659" w:rsidRPr="00491918" w:rsidRDefault="000D1659" w:rsidP="008D6001">
      <w:pPr>
        <w:pStyle w:val="HeadingLevel3-AR0"/>
        <w:outlineLvl w:val="0"/>
        <w:rPr>
          <w:color w:val="auto"/>
          <w:sz w:val="20"/>
          <w:szCs w:val="20"/>
        </w:rPr>
      </w:pPr>
      <w:r w:rsidRPr="00491918">
        <w:rPr>
          <w:color w:val="auto"/>
          <w:sz w:val="20"/>
          <w:szCs w:val="20"/>
        </w:rPr>
        <w:t>UK Commercial Real Estate (UK CRE)</w:t>
      </w:r>
    </w:p>
    <w:p w:rsidR="000D1659" w:rsidRPr="00491918" w:rsidRDefault="000D1659" w:rsidP="00EC729A">
      <w:pPr>
        <w:pStyle w:val="Level1Bullet-BarcRA270"/>
        <w:numPr>
          <w:ilvl w:val="0"/>
          <w:numId w:val="157"/>
        </w:numPr>
      </w:pPr>
      <w:r w:rsidRPr="00491918">
        <w:t>Total</w:t>
      </w:r>
      <w:r w:rsidRPr="00491918">
        <w:rPr>
          <w:lang w:val="en-GB"/>
        </w:rPr>
        <w:t xml:space="preserve"> loans and advances at amortised cost to UK CRE in bu</w:t>
      </w:r>
      <w:r w:rsidR="00E05735" w:rsidRPr="00491918">
        <w:rPr>
          <w:lang w:val="en-GB"/>
        </w:rPr>
        <w:t>siness lending amounted to £1,554m (2012: £1,5</w:t>
      </w:r>
      <w:r w:rsidRPr="00491918">
        <w:rPr>
          <w:lang w:val="en-GB"/>
        </w:rPr>
        <w:t>3</w:t>
      </w:r>
      <w:r w:rsidR="00E05735" w:rsidRPr="00491918">
        <w:rPr>
          <w:lang w:val="en-GB"/>
        </w:rPr>
        <w:t>4</w:t>
      </w:r>
      <w:r w:rsidR="00D9311C" w:rsidRPr="00491918">
        <w:rPr>
          <w:lang w:val="en-GB"/>
        </w:rPr>
        <w:t>m</w:t>
      </w:r>
      <w:r w:rsidRPr="00491918">
        <w:rPr>
          <w:lang w:val="en-GB"/>
        </w:rPr>
        <w:t>), with a total of £114m (7% of the total) being past due (2012: £123m; 8%). Impairment allowances totalled £18m (2012: £20m)</w:t>
      </w:r>
    </w:p>
    <w:p w:rsidR="000D1659" w:rsidRPr="00491918" w:rsidRDefault="000D1659" w:rsidP="00EC729A">
      <w:pPr>
        <w:pStyle w:val="Level1Bullet-BarcRA270"/>
        <w:numPr>
          <w:ilvl w:val="0"/>
          <w:numId w:val="157"/>
        </w:numPr>
      </w:pPr>
      <w:r w:rsidRPr="00491918">
        <w:rPr>
          <w:lang w:val="en-GB"/>
        </w:rPr>
        <w:t>The impairment charge for H113 was lower at £10m (2012: £17m)</w:t>
      </w:r>
    </w:p>
    <w:p w:rsidR="00F72E29" w:rsidRPr="00491918" w:rsidRDefault="00F72E29" w:rsidP="00EC729A">
      <w:pPr>
        <w:pStyle w:val="Level1Bullet-BarcRA270"/>
        <w:numPr>
          <w:ilvl w:val="0"/>
          <w:numId w:val="157"/>
        </w:numPr>
      </w:pPr>
      <w:r w:rsidRPr="00491918">
        <w:rPr>
          <w:lang w:val="en-GB"/>
        </w:rPr>
        <w:t>As at H113, UK CRE in business lending accounted for 18.6% of tot</w:t>
      </w:r>
      <w:r w:rsidR="001B0DD0" w:rsidRPr="00491918">
        <w:rPr>
          <w:lang w:val="en-GB"/>
        </w:rPr>
        <w:t>al UK Business Lending balances</w:t>
      </w:r>
    </w:p>
    <w:p w:rsidR="00F72E29" w:rsidRPr="00491918" w:rsidRDefault="00F72E29" w:rsidP="00EC729A">
      <w:pPr>
        <w:pStyle w:val="Level1Bullet-BarcRA270"/>
        <w:numPr>
          <w:ilvl w:val="0"/>
          <w:numId w:val="157"/>
        </w:numPr>
      </w:pPr>
      <w:r w:rsidRPr="00491918">
        <w:rPr>
          <w:lang w:val="en-GB"/>
        </w:rPr>
        <w:t>Arrears balances have reduced due to improved economic conditions coupled with more effective turnaround strategies</w:t>
      </w:r>
    </w:p>
    <w:p w:rsidR="000D1659" w:rsidRPr="00491918" w:rsidRDefault="000D1659"/>
    <w:tbl>
      <w:tblPr>
        <w:tblW w:w="0" w:type="auto"/>
        <w:tblLayout w:type="fixed"/>
        <w:tblLook w:val="0000" w:firstRow="0" w:lastRow="0" w:firstColumn="0" w:lastColumn="0" w:noHBand="0" w:noVBand="0"/>
      </w:tblPr>
      <w:tblGrid>
        <w:gridCol w:w="7050"/>
        <w:gridCol w:w="1125"/>
        <w:gridCol w:w="1125"/>
      </w:tblGrid>
      <w:tr w:rsidR="00E9782A" w:rsidRPr="00491918" w:rsidTr="00FF7A7C">
        <w:trPr>
          <w:trHeight w:val="315"/>
        </w:trPr>
        <w:tc>
          <w:tcPr>
            <w:tcW w:w="930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0"/>
              </w:rPr>
              <w:t>UK Commercial Real Estate</w:t>
            </w:r>
          </w:p>
        </w:tc>
      </w:tr>
      <w:tr w:rsidR="000D1659" w:rsidRPr="00491918">
        <w:trPr>
          <w:trHeight w:val="300"/>
        </w:trPr>
        <w:tc>
          <w:tcPr>
            <w:tcW w:w="70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r>
      <w:tr w:rsidR="000D1659" w:rsidRPr="00491918">
        <w:trPr>
          <w:trHeight w:val="240"/>
        </w:trPr>
        <w:tc>
          <w:tcPr>
            <w:tcW w:w="7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r>
    </w:tbl>
    <w:p w:rsidR="00FF7A7C" w:rsidRPr="00491918" w:rsidRDefault="00FF7A7C"/>
    <w:tbl>
      <w:tblPr>
        <w:tblW w:w="0" w:type="auto"/>
        <w:tblLayout w:type="fixed"/>
        <w:tblLook w:val="0000" w:firstRow="0" w:lastRow="0" w:firstColumn="0" w:lastColumn="0" w:noHBand="0" w:noVBand="0"/>
      </w:tblPr>
      <w:tblGrid>
        <w:gridCol w:w="7050"/>
        <w:gridCol w:w="1125"/>
        <w:gridCol w:w="1125"/>
      </w:tblGrid>
      <w:tr w:rsidR="000D1659" w:rsidRPr="00491918" w:rsidTr="00FF7A7C">
        <w:trPr>
          <w:trHeight w:val="300"/>
        </w:trPr>
        <w:tc>
          <w:tcPr>
            <w:tcW w:w="7050" w:type="dxa"/>
            <w:tcBorders>
              <w:left w:val="nil"/>
              <w:bottom w:val="nil"/>
              <w:right w:val="nil"/>
            </w:tcBorders>
            <w:shd w:val="clear" w:color="auto" w:fill="FFFFFF"/>
            <w:tcMar>
              <w:left w:w="36" w:type="dxa"/>
              <w:right w:w="36" w:type="dxa"/>
            </w:tcMar>
            <w:vAlign w:val="center"/>
          </w:tcPr>
          <w:p w:rsidR="000D1659" w:rsidRPr="00491918" w:rsidRDefault="001B0DD0" w:rsidP="001B0DD0">
            <w:pPr>
              <w:rPr>
                <w:b/>
                <w:color w:val="000000"/>
                <w:sz w:val="16"/>
              </w:rPr>
            </w:pPr>
            <w:r w:rsidRPr="00491918">
              <w:rPr>
                <w:color w:val="000000"/>
                <w:sz w:val="16"/>
              </w:rPr>
              <w:t>UK CRE l</w:t>
            </w:r>
            <w:r w:rsidR="000D1659" w:rsidRPr="00491918">
              <w:rPr>
                <w:color w:val="000000"/>
                <w:sz w:val="16"/>
              </w:rPr>
              <w:t xml:space="preserve">oans and </w:t>
            </w:r>
            <w:r w:rsidRPr="00491918">
              <w:rPr>
                <w:color w:val="000000"/>
                <w:sz w:val="16"/>
              </w:rPr>
              <w:t>a</w:t>
            </w:r>
            <w:r w:rsidR="000D1659" w:rsidRPr="00491918">
              <w:rPr>
                <w:color w:val="000000"/>
                <w:sz w:val="16"/>
              </w:rPr>
              <w:t>dvances (£m)</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1,554 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1,534 </w:t>
            </w:r>
          </w:p>
        </w:tc>
      </w:tr>
      <w:tr w:rsidR="000D1659" w:rsidRPr="00491918">
        <w:trPr>
          <w:trHeight w:val="240"/>
        </w:trPr>
        <w:tc>
          <w:tcPr>
            <w:tcW w:w="7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Past due balances (£m)</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123 </w:t>
            </w:r>
          </w:p>
        </w:tc>
      </w:tr>
      <w:tr w:rsidR="000D1659" w:rsidRPr="00491918">
        <w:trPr>
          <w:trHeight w:val="240"/>
        </w:trPr>
        <w:tc>
          <w:tcPr>
            <w:tcW w:w="7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Balances past due as % of </w:t>
            </w:r>
            <w:r w:rsidR="001B0DD0" w:rsidRPr="00491918">
              <w:rPr>
                <w:color w:val="000000"/>
                <w:sz w:val="16"/>
              </w:rPr>
              <w:t xml:space="preserve">UK CRE </w:t>
            </w:r>
            <w:r w:rsidRPr="00491918">
              <w:rPr>
                <w:color w:val="000000"/>
                <w:sz w:val="16"/>
              </w:rPr>
              <w:t>total loans</w:t>
            </w:r>
            <w:r w:rsidR="001B0DD0" w:rsidRPr="00491918">
              <w:rPr>
                <w:color w:val="000000"/>
                <w:sz w:val="16"/>
              </w:rPr>
              <w:t xml:space="preserve"> and advances</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7.0%</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8.0%</w:t>
            </w:r>
          </w:p>
        </w:tc>
      </w:tr>
      <w:tr w:rsidR="000D1659" w:rsidRPr="00491918">
        <w:trPr>
          <w:trHeight w:val="240"/>
        </w:trPr>
        <w:tc>
          <w:tcPr>
            <w:tcW w:w="7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Impairment allowances (£m)</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17.9 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19.9 </w:t>
            </w:r>
          </w:p>
        </w:tc>
      </w:tr>
      <w:tr w:rsidR="000D1659" w:rsidRPr="00491918" w:rsidTr="001B0DD0">
        <w:trPr>
          <w:trHeight w:val="240"/>
        </w:trPr>
        <w:tc>
          <w:tcPr>
            <w:tcW w:w="7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Past due coverage ratio</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1B0DD0">
            <w:pPr>
              <w:jc w:val="right"/>
              <w:rPr>
                <w:color w:val="000000"/>
                <w:sz w:val="16"/>
              </w:rPr>
            </w:pPr>
            <w:r w:rsidRPr="00491918">
              <w:rPr>
                <w:color w:val="000000"/>
                <w:sz w:val="16"/>
              </w:rPr>
              <w:t>15.6</w:t>
            </w:r>
            <w:r w:rsidR="000D1659" w:rsidRPr="00491918">
              <w:rPr>
                <w:color w:val="000000"/>
                <w:sz w:val="16"/>
              </w:rPr>
              <w: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1B0DD0">
            <w:pPr>
              <w:jc w:val="right"/>
              <w:rPr>
                <w:color w:val="000000"/>
                <w:sz w:val="16"/>
              </w:rPr>
            </w:pPr>
            <w:r w:rsidRPr="00491918">
              <w:rPr>
                <w:color w:val="000000"/>
                <w:sz w:val="16"/>
              </w:rPr>
              <w:t>16.1</w:t>
            </w:r>
            <w:r w:rsidR="000D1659" w:rsidRPr="00491918">
              <w:rPr>
                <w:color w:val="000000"/>
                <w:sz w:val="16"/>
              </w:rPr>
              <w:t>%</w:t>
            </w:r>
          </w:p>
        </w:tc>
      </w:tr>
      <w:tr w:rsidR="000D1659" w:rsidRPr="00491918">
        <w:trPr>
          <w:trHeight w:hRule="exact" w:val="240"/>
        </w:trPr>
        <w:tc>
          <w:tcPr>
            <w:tcW w:w="70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810"/>
        </w:trPr>
        <w:tc>
          <w:tcPr>
            <w:tcW w:w="7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Six months</w:t>
            </w:r>
          </w:p>
          <w:p w:rsidR="000D1659" w:rsidRPr="00491918" w:rsidRDefault="000D1659">
            <w:pPr>
              <w:jc w:val="right"/>
              <w:rPr>
                <w:b/>
                <w:color w:val="000000"/>
                <w:sz w:val="16"/>
              </w:rPr>
            </w:pPr>
            <w:r w:rsidRPr="00491918">
              <w:rPr>
                <w:b/>
                <w:color w:val="000000"/>
                <w:sz w:val="16"/>
              </w:rPr>
              <w:t>ended</w:t>
            </w:r>
          </w:p>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Six months</w:t>
            </w:r>
          </w:p>
          <w:p w:rsidR="000D1659" w:rsidRPr="00491918" w:rsidRDefault="000D1659">
            <w:pPr>
              <w:jc w:val="right"/>
              <w:rPr>
                <w:b/>
                <w:color w:val="000000"/>
                <w:sz w:val="16"/>
              </w:rPr>
            </w:pPr>
            <w:r w:rsidRPr="00491918">
              <w:rPr>
                <w:b/>
                <w:color w:val="000000"/>
                <w:sz w:val="16"/>
              </w:rPr>
              <w:t>ended</w:t>
            </w:r>
          </w:p>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7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Impairment Charge (£m)</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16.5 </w:t>
            </w:r>
          </w:p>
        </w:tc>
      </w:tr>
    </w:tbl>
    <w:p w:rsidR="007A5948" w:rsidRPr="00491918" w:rsidRDefault="007A5948">
      <w:pPr>
        <w:spacing w:line="14" w:lineRule="exact"/>
      </w:pPr>
    </w:p>
    <w:p w:rsidR="007A5948" w:rsidRPr="00491918" w:rsidRDefault="007A5948">
      <w:pPr>
        <w:spacing w:line="14" w:lineRule="exact"/>
      </w:pPr>
    </w:p>
    <w:p w:rsidR="007A5948" w:rsidRPr="00491918" w:rsidRDefault="007A5948" w:rsidP="007A5948">
      <w:pPr>
        <w:pStyle w:val="HeadingLevel3-AR0"/>
        <w:rPr>
          <w:color w:val="auto"/>
          <w:sz w:val="20"/>
          <w:szCs w:val="20"/>
        </w:rPr>
      </w:pPr>
    </w:p>
    <w:p w:rsidR="007A5948" w:rsidRPr="00491918" w:rsidRDefault="007A5948" w:rsidP="007A5948">
      <w:pPr>
        <w:pStyle w:val="HeadingLevel3-AR0"/>
        <w:rPr>
          <w:color w:val="auto"/>
          <w:sz w:val="20"/>
          <w:szCs w:val="20"/>
        </w:rPr>
      </w:pPr>
    </w:p>
    <w:p w:rsidR="007A5948" w:rsidRPr="00491918" w:rsidRDefault="007A5948" w:rsidP="008D6001">
      <w:pPr>
        <w:pStyle w:val="HeadingLevel3-AR0"/>
        <w:outlineLvl w:val="0"/>
        <w:rPr>
          <w:color w:val="auto"/>
          <w:sz w:val="20"/>
          <w:szCs w:val="20"/>
        </w:rPr>
      </w:pPr>
      <w:r w:rsidRPr="00491918">
        <w:rPr>
          <w:color w:val="auto"/>
          <w:sz w:val="20"/>
          <w:szCs w:val="20"/>
        </w:rPr>
        <w:t>Retail forbearance programmes</w:t>
      </w:r>
    </w:p>
    <w:p w:rsidR="007A5948" w:rsidRPr="00491918" w:rsidRDefault="007A5948" w:rsidP="007A5948">
      <w:pPr>
        <w:pStyle w:val="BodyText-BarcRA400"/>
        <w:rPr>
          <w:b/>
        </w:rPr>
      </w:pPr>
      <w:r w:rsidRPr="00491918">
        <w:rPr>
          <w:b/>
        </w:rPr>
        <w:t>Forbearance programmes on principal Credit Cards, Overdrafts, Unsecured Loans, Home Loans and Business Lending portfolios</w:t>
      </w:r>
    </w:p>
    <w:p w:rsidR="007A5948" w:rsidRPr="00491918" w:rsidRDefault="007A5948" w:rsidP="007A5948">
      <w:pPr>
        <w:pStyle w:val="Level1Bullet-BarcRA26"/>
      </w:pPr>
      <w:r w:rsidRPr="00491918">
        <w:t>Retail forbearance is available to customers experiencing financial difficulties. Forbearance solutions may take a number of forms depending on the extent of the financial dislocation. Short term solutions normally focus on temporary reductions to contractual payments and switches from capital and interest payments to interest only. For customers with longer term financial difficulties, term extensions may be offered, which may also include interest rate concessions and fully amortising balances for card portfolios</w:t>
      </w:r>
    </w:p>
    <w:p w:rsidR="007A5948" w:rsidRPr="00491918" w:rsidRDefault="007A5948" w:rsidP="007A5948">
      <w:pPr>
        <w:pStyle w:val="Level1Bullet-BarcRA26"/>
      </w:pPr>
      <w:r w:rsidRPr="00491918">
        <w:t>Forbearance on the Group</w:t>
      </w:r>
      <w:r w:rsidRPr="00491918">
        <w:rPr>
          <w:rFonts w:eastAsia="MS Mincho"/>
        </w:rPr>
        <w:t>’</w:t>
      </w:r>
      <w:r w:rsidRPr="00491918">
        <w:t>s principal portfolios in the US, UK and Europe is presented below</w:t>
      </w:r>
    </w:p>
    <w:p w:rsidR="007A5948" w:rsidRPr="00491918" w:rsidRDefault="007A5948" w:rsidP="007A5948">
      <w:pPr>
        <w:pStyle w:val="Level1Bullet-BarcRA26"/>
      </w:pPr>
      <w:r w:rsidRPr="00491918">
        <w:rPr>
          <w:lang w:val="en-GB"/>
        </w:rPr>
        <w:t>F</w:t>
      </w:r>
      <w:r w:rsidRPr="00491918">
        <w:t xml:space="preserve">orbearance balances </w:t>
      </w:r>
      <w:r w:rsidRPr="00491918">
        <w:rPr>
          <w:lang w:val="en-GB"/>
        </w:rPr>
        <w:t>i</w:t>
      </w:r>
      <w:r w:rsidRPr="00491918">
        <w:t>n South Africa</w:t>
      </w:r>
      <w:r w:rsidRPr="00491918">
        <w:rPr>
          <w:lang w:val="en-GB"/>
        </w:rPr>
        <w:t xml:space="preserve"> </w:t>
      </w:r>
      <w:r w:rsidRPr="00491918">
        <w:t xml:space="preserve">are not </w:t>
      </w:r>
      <w:r w:rsidRPr="00491918">
        <w:rPr>
          <w:lang w:val="en-GB"/>
        </w:rPr>
        <w:t>included</w:t>
      </w:r>
      <w:r w:rsidRPr="00491918">
        <w:t xml:space="preserve"> as local practices are in the process of being aligned to Group policy. In other retail portfolios, the level of forbearance extended to customers is not material and, typically, is not a significant factor in the management of customer relationships</w:t>
      </w: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DA356B" w:rsidRPr="00491918" w:rsidRDefault="00DA356B" w:rsidP="0007202F">
      <w:pPr>
        <w:pStyle w:val="Level1Bullet-BarcRA26"/>
        <w:numPr>
          <w:ilvl w:val="0"/>
          <w:numId w:val="0"/>
        </w:numPr>
        <w:ind w:left="284" w:hanging="284"/>
        <w:rPr>
          <w:lang w:val="en-GB"/>
        </w:rPr>
      </w:pPr>
    </w:p>
    <w:p w:rsidR="0007202F" w:rsidRPr="00491918" w:rsidRDefault="0007202F" w:rsidP="0007202F">
      <w:pPr>
        <w:pStyle w:val="Level1Bullet-BarcRA26"/>
        <w:numPr>
          <w:ilvl w:val="0"/>
          <w:numId w:val="0"/>
        </w:numPr>
        <w:ind w:left="284" w:hanging="284"/>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p w:rsidR="000D1659" w:rsidRPr="00491918" w:rsidRDefault="000D1659">
      <w:pPr>
        <w:spacing w:line="14" w:lineRule="exact"/>
      </w:pPr>
    </w:p>
    <w:p w:rsidR="000D1659" w:rsidRPr="00491918" w:rsidRDefault="000D1659"/>
    <w:tbl>
      <w:tblPr>
        <w:tblW w:w="0" w:type="auto"/>
        <w:tblLayout w:type="fixed"/>
        <w:tblLook w:val="0000" w:firstRow="0" w:lastRow="0" w:firstColumn="0" w:lastColumn="0" w:noHBand="0" w:noVBand="0"/>
      </w:tblPr>
      <w:tblGrid>
        <w:gridCol w:w="3645"/>
        <w:gridCol w:w="1500"/>
        <w:gridCol w:w="1500"/>
        <w:gridCol w:w="1500"/>
        <w:gridCol w:w="1500"/>
      </w:tblGrid>
      <w:tr w:rsidR="000D1659" w:rsidRPr="00491918" w:rsidTr="006A734B">
        <w:trPr>
          <w:trHeight w:val="716"/>
        </w:trPr>
        <w:tc>
          <w:tcPr>
            <w:tcW w:w="3645" w:type="dxa"/>
            <w:tcBorders>
              <w:top w:val="nil"/>
              <w:left w:val="nil"/>
              <w:bottom w:val="nil"/>
              <w:right w:val="nil"/>
            </w:tcBorders>
            <w:shd w:val="clear" w:color="auto" w:fill="FFFFFF"/>
            <w:tcMar>
              <w:left w:w="36" w:type="dxa"/>
              <w:right w:w="36" w:type="dxa"/>
            </w:tcMar>
          </w:tcPr>
          <w:p w:rsidR="000D1659" w:rsidRPr="00491918" w:rsidRDefault="000D1659" w:rsidP="006A734B">
            <w:pPr>
              <w:pStyle w:val="HeadingLevel1-BarcRA35"/>
            </w:pPr>
            <w:r w:rsidRPr="00491918">
              <w:rPr>
                <w:lang w:val="en-GB"/>
              </w:rPr>
              <w:t>Principal Portfolios</w:t>
            </w:r>
          </w:p>
        </w:tc>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Gross L&amp;A subject to forbearance programmes</w:t>
            </w:r>
          </w:p>
        </w:tc>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Forbearance programmes proportion of outstanding </w:t>
            </w:r>
            <w:r w:rsidRPr="00491918">
              <w:rPr>
                <w:b/>
                <w:color w:val="000000"/>
                <w:sz w:val="16"/>
              </w:rPr>
              <w:lastRenderedPageBreak/>
              <w:t>balances</w:t>
            </w:r>
          </w:p>
        </w:tc>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lastRenderedPageBreak/>
              <w:t>Marked to market LTV of forbearance balances: valuation weighted</w:t>
            </w:r>
          </w:p>
        </w:tc>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Marked to market LTV of forbearance balances: balance weighted</w:t>
            </w:r>
          </w:p>
        </w:tc>
      </w:tr>
      <w:tr w:rsidR="000D1659" w:rsidRPr="00491918">
        <w:trPr>
          <w:trHeight w:val="240"/>
        </w:trPr>
        <w:tc>
          <w:tcPr>
            <w:tcW w:w="36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lastRenderedPageBreak/>
              <w:t>As at 30.06.13</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r w:rsidR="000D1659" w:rsidRPr="00491918">
        <w:trPr>
          <w:trHeight w:val="240"/>
        </w:trPr>
        <w:tc>
          <w:tcPr>
            <w:tcW w:w="36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Home loans</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1,634 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36.6 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58.2 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Spain</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177 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53.3 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69.1 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Italy</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493 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3.0 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52.7 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63.0 </w:t>
            </w:r>
          </w:p>
        </w:tc>
      </w:tr>
      <w:tr w:rsidR="000D1659" w:rsidRPr="00491918">
        <w:trPr>
          <w:trHeight w:hRule="exac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48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Credit Cards, Overdrafts and Unsecured Loans</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cards</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961 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6.0 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personal loans</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155 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3.1 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US cards</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95 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hRule="exac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Business Lending</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275 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3.3 </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hRule="exac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As at 31.12.12</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5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r>
      <w:tr w:rsidR="000D1659" w:rsidRPr="00491918">
        <w:trPr>
          <w:trHeight w:val="240"/>
        </w:trPr>
        <w:tc>
          <w:tcPr>
            <w:tcW w:w="36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Home Loans</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1,596 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36.6 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58.2 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Spain</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174 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53.3 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68.9 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Italy</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217 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49.1 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60.6 </w:t>
            </w:r>
          </w:p>
        </w:tc>
      </w:tr>
      <w:tr w:rsidR="000D1659" w:rsidRPr="00491918">
        <w:trPr>
          <w:trHeight w:hRule="exac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Credit Cards, Overdrafts and Unsecured Loans</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cards</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991 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6.3 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 personal loans</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168 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3.4 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US cards</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116 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hRule="exac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Business Lending</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UK</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203 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p>
        </w:tc>
      </w:tr>
      <w:tr w:rsidR="000D1659" w:rsidRPr="00491918">
        <w:trPr>
          <w:trHeight w:hRule="exact" w:val="240"/>
        </w:trPr>
        <w:tc>
          <w:tcPr>
            <w:tcW w:w="36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bl>
    <w:p w:rsidR="000D1659" w:rsidRPr="00491918" w:rsidRDefault="000D1659"/>
    <w:p w:rsidR="000D1659" w:rsidRPr="00491918" w:rsidRDefault="000D1659" w:rsidP="000D1659">
      <w:pPr>
        <w:pStyle w:val="Level1Bullet-BarcRA28"/>
      </w:pPr>
      <w:r w:rsidRPr="00491918">
        <w:t xml:space="preserve">Loans in forbearance in the principal home loans portfolios increased </w:t>
      </w:r>
      <w:r w:rsidRPr="00491918">
        <w:rPr>
          <w:lang w:val="en-GB"/>
        </w:rPr>
        <w:t>16</w:t>
      </w:r>
      <w:r w:rsidRPr="00491918">
        <w:t>% to £</w:t>
      </w:r>
      <w:r w:rsidRPr="00491918">
        <w:rPr>
          <w:lang w:val="en-GB"/>
        </w:rPr>
        <w:t>2,304</w:t>
      </w:r>
      <w:r w:rsidRPr="00491918">
        <w:t xml:space="preserve">m, mainly due to an increase in </w:t>
      </w:r>
      <w:r w:rsidRPr="00491918">
        <w:rPr>
          <w:lang w:val="en-GB"/>
        </w:rPr>
        <w:t>UK</w:t>
      </w:r>
      <w:r w:rsidRPr="00491918">
        <w:t xml:space="preserve"> and Italy</w:t>
      </w:r>
    </w:p>
    <w:p w:rsidR="000D1659" w:rsidRPr="00491918" w:rsidRDefault="000D1659" w:rsidP="000D1659">
      <w:pPr>
        <w:pStyle w:val="Level1Bullet-BarcRA28"/>
      </w:pPr>
      <w:r w:rsidRPr="00491918">
        <w:t>In Spain, forbearance accounts are predominantly full account restructures, In Italy, the majority of the balances relate to specific schemes required by the Government and amendments are weighted towards payment holidays and interest suspensions</w:t>
      </w:r>
    </w:p>
    <w:p w:rsidR="000D1659" w:rsidRPr="00491918" w:rsidRDefault="000D1659" w:rsidP="000D1659">
      <w:pPr>
        <w:pStyle w:val="Level1Bullet-BarcRA28"/>
      </w:pPr>
      <w:r w:rsidRPr="00491918">
        <w:t xml:space="preserve">Within UK home loans, term extensions account for over </w:t>
      </w:r>
      <w:r w:rsidRPr="00491918">
        <w:rPr>
          <w:lang w:val="en-GB"/>
        </w:rPr>
        <w:t>6</w:t>
      </w:r>
      <w:r w:rsidRPr="00491918">
        <w:t>0% of forbearance balances, the majority of the remainder being switches from ‘capital and interest’ to ‘interest only’</w:t>
      </w:r>
      <w:r w:rsidRPr="00491918">
        <w:rPr>
          <w:lang w:val="en-GB"/>
        </w:rPr>
        <w:t xml:space="preserve"> pre 2010</w:t>
      </w:r>
    </w:p>
    <w:p w:rsidR="000D1659" w:rsidRPr="00491918" w:rsidRDefault="000D1659" w:rsidP="000D1659">
      <w:pPr>
        <w:pStyle w:val="Level1Bullet-BarcRA28"/>
      </w:pPr>
      <w:r w:rsidRPr="00491918">
        <w:t xml:space="preserve">Loans in forbearance in principal Credit Cards, Overdrafts and Unsecured Loans portfolios decreased  </w:t>
      </w:r>
      <w:r w:rsidRPr="00491918">
        <w:rPr>
          <w:lang w:val="en-GB"/>
        </w:rPr>
        <w:t>5</w:t>
      </w:r>
      <w:r w:rsidRPr="00491918">
        <w:t>% to £</w:t>
      </w:r>
      <w:r w:rsidRPr="00491918">
        <w:rPr>
          <w:lang w:val="en-GB"/>
        </w:rPr>
        <w:t>1,211m</w:t>
      </w:r>
      <w:r w:rsidRPr="00491918">
        <w:t>. Forbearance programmes as a proportion of outstanding balances reduced in UK and US cards</w:t>
      </w:r>
      <w:r w:rsidRPr="00491918">
        <w:rPr>
          <w:lang w:val="en-GB"/>
        </w:rPr>
        <w:t xml:space="preserve"> due to an improved credit environment</w:t>
      </w:r>
      <w:r w:rsidRPr="00491918">
        <w:t xml:space="preserve"> and</w:t>
      </w:r>
      <w:r w:rsidRPr="00491918">
        <w:rPr>
          <w:lang w:val="en-GB"/>
        </w:rPr>
        <w:t xml:space="preserve"> repayment behaviours and a tightening of forbearance policy in 2012</w:t>
      </w:r>
    </w:p>
    <w:p w:rsidR="000D1659" w:rsidRPr="00491918" w:rsidRDefault="000D1659" w:rsidP="000D1659">
      <w:pPr>
        <w:pStyle w:val="Level1Bullet-BarcRA29"/>
      </w:pPr>
      <w:r w:rsidRPr="00491918">
        <w:t>The increase in Italy forbearance is in</w:t>
      </w:r>
      <w:r w:rsidR="0019055F" w:rsidRPr="00491918">
        <w:t xml:space="preserve"> part due to inclusion of €256m</w:t>
      </w:r>
      <w:r w:rsidR="0019055F" w:rsidRPr="00491918">
        <w:rPr>
          <w:lang w:val="en-GB"/>
        </w:rPr>
        <w:t xml:space="preserve"> </w:t>
      </w:r>
      <w:r w:rsidRPr="00491918">
        <w:rPr>
          <w:lang w:val="en-GB"/>
        </w:rPr>
        <w:t xml:space="preserve">(£219m) </w:t>
      </w:r>
      <w:r w:rsidRPr="00491918">
        <w:t xml:space="preserve">of Italian government payment suspension schemes relating to </w:t>
      </w:r>
      <w:r w:rsidRPr="00491918">
        <w:rPr>
          <w:lang w:val="en-GB"/>
        </w:rPr>
        <w:t>e</w:t>
      </w:r>
      <w:r w:rsidRPr="00491918">
        <w:t xml:space="preserve">arthquakes </w:t>
      </w:r>
      <w:r w:rsidR="00D9311C" w:rsidRPr="00491918">
        <w:t>in Abruzzo, Emilia and Lombard</w:t>
      </w:r>
      <w:r w:rsidR="00D9311C" w:rsidRPr="00491918">
        <w:rPr>
          <w:lang w:val="en-GB"/>
        </w:rPr>
        <w:t>y</w:t>
      </w:r>
    </w:p>
    <w:p w:rsidR="0007202F" w:rsidRPr="00491918" w:rsidRDefault="0007202F" w:rsidP="0007202F">
      <w:pPr>
        <w:pStyle w:val="Level1Bullet-BarcRA29"/>
        <w:numPr>
          <w:ilvl w:val="0"/>
          <w:numId w:val="0"/>
        </w:numPr>
        <w:ind w:left="284" w:hanging="284"/>
      </w:pPr>
    </w:p>
    <w:p w:rsidR="000D1659" w:rsidRPr="00491918" w:rsidRDefault="000D1659"/>
    <w:p w:rsidR="000D1659" w:rsidRPr="00491918" w:rsidRDefault="000D1659" w:rsidP="000D1659">
      <w:pPr>
        <w:pStyle w:val="NoteandSourceText-BarcRA14"/>
        <w:numPr>
          <w:ilvl w:val="0"/>
          <w:numId w:val="0"/>
        </w:numPr>
        <w:ind w:left="284"/>
        <w:outlineLvl w:val="0"/>
      </w:pPr>
    </w:p>
    <w:p w:rsidR="007A5948" w:rsidRPr="00491918" w:rsidRDefault="007A5948" w:rsidP="000D1659">
      <w:pPr>
        <w:pStyle w:val="NoteandSourceText-BarcRA14"/>
        <w:numPr>
          <w:ilvl w:val="0"/>
          <w:numId w:val="0"/>
        </w:numPr>
        <w:ind w:left="284"/>
        <w:outlineLvl w:val="0"/>
      </w:pPr>
    </w:p>
    <w:p w:rsidR="007A5948" w:rsidRPr="00491918" w:rsidRDefault="007A5948" w:rsidP="000D1659">
      <w:pPr>
        <w:pStyle w:val="NoteandSourceText-BarcRA14"/>
        <w:numPr>
          <w:ilvl w:val="0"/>
          <w:numId w:val="0"/>
        </w:numPr>
        <w:ind w:left="284"/>
        <w:outlineLvl w:val="0"/>
      </w:pPr>
    </w:p>
    <w:p w:rsidR="000D1659" w:rsidRPr="00491918" w:rsidRDefault="000D1659" w:rsidP="000D1659">
      <w:pPr>
        <w:pStyle w:val="NoteandSourceText-BarcRA14"/>
        <w:numPr>
          <w:ilvl w:val="0"/>
          <w:numId w:val="0"/>
        </w:numPr>
        <w:ind w:left="284"/>
        <w:outlineLvl w:val="0"/>
      </w:pPr>
    </w:p>
    <w:p w:rsidR="000D1659" w:rsidRPr="00491918" w:rsidRDefault="000D1659" w:rsidP="000D1659">
      <w:pPr>
        <w:pStyle w:val="NoteandSourceText-BarcRA14"/>
        <w:numPr>
          <w:ilvl w:val="0"/>
          <w:numId w:val="0"/>
        </w:numPr>
        <w:ind w:left="284"/>
        <w:outlineLvl w:val="0"/>
      </w:pPr>
    </w:p>
    <w:p w:rsidR="000D1659" w:rsidRPr="00491918" w:rsidRDefault="000D1659" w:rsidP="000D1659">
      <w:pPr>
        <w:pStyle w:val="NoteandSourceText-BarcRA14"/>
        <w:numPr>
          <w:ilvl w:val="0"/>
          <w:numId w:val="0"/>
        </w:numPr>
        <w:ind w:left="284"/>
        <w:outlineLvl w:val="0"/>
      </w:pPr>
    </w:p>
    <w:p w:rsidR="00F72E29" w:rsidRPr="00491918" w:rsidRDefault="00F72E29" w:rsidP="000D1659">
      <w:pPr>
        <w:pStyle w:val="NoteandSourceText-BarcRA14"/>
        <w:numPr>
          <w:ilvl w:val="0"/>
          <w:numId w:val="0"/>
        </w:numPr>
        <w:ind w:left="284"/>
        <w:outlineLvl w:val="0"/>
      </w:pPr>
    </w:p>
    <w:p w:rsidR="007A5948" w:rsidRPr="00491918" w:rsidRDefault="007A5948" w:rsidP="007A5948">
      <w:pPr>
        <w:sectPr w:rsidR="007A5948" w:rsidRPr="00491918" w:rsidSect="00751636">
          <w:pgSz w:w="11905" w:h="16837"/>
          <w:pgMar w:top="851" w:right="1134" w:bottom="567" w:left="1134" w:header="851" w:footer="567" w:gutter="0"/>
          <w:cols w:space="708"/>
        </w:sectPr>
      </w:pPr>
    </w:p>
    <w:tbl>
      <w:tblPr>
        <w:tblW w:w="0" w:type="auto"/>
        <w:tblLayout w:type="fixed"/>
        <w:tblLook w:val="0000" w:firstRow="0" w:lastRow="0" w:firstColumn="0" w:lastColumn="0" w:noHBand="0" w:noVBand="0"/>
      </w:tblPr>
      <w:tblGrid>
        <w:gridCol w:w="2295"/>
        <w:gridCol w:w="1050"/>
        <w:gridCol w:w="1050"/>
        <w:gridCol w:w="1050"/>
        <w:gridCol w:w="1050"/>
        <w:gridCol w:w="1050"/>
        <w:gridCol w:w="1050"/>
        <w:gridCol w:w="1050"/>
      </w:tblGrid>
      <w:tr w:rsidR="0007202F" w:rsidRPr="00491918" w:rsidTr="007A5948">
        <w:trPr>
          <w:trHeight w:val="240"/>
        </w:trPr>
        <w:tc>
          <w:tcPr>
            <w:tcW w:w="5445" w:type="dxa"/>
            <w:gridSpan w:val="4"/>
            <w:tcBorders>
              <w:top w:val="nil"/>
              <w:left w:val="nil"/>
              <w:bottom w:val="nil"/>
              <w:right w:val="nil"/>
            </w:tcBorders>
            <w:shd w:val="clear" w:color="auto" w:fill="FFFFFF"/>
            <w:tcMar>
              <w:left w:w="36" w:type="dxa"/>
              <w:right w:w="36" w:type="dxa"/>
            </w:tcMar>
            <w:vAlign w:val="bottom"/>
          </w:tcPr>
          <w:p w:rsidR="0007202F" w:rsidRPr="00491918" w:rsidRDefault="0007202F" w:rsidP="0007202F">
            <w:pPr>
              <w:pStyle w:val="HeadingLevel1-BarcRA35"/>
              <w:rPr>
                <w:lang w:val="en-GB"/>
              </w:rPr>
            </w:pPr>
            <w:r w:rsidRPr="00491918">
              <w:rPr>
                <w:lang w:val="en-GB"/>
              </w:rPr>
              <w:lastRenderedPageBreak/>
              <w:t xml:space="preserve">Credit </w:t>
            </w:r>
            <w:r w:rsidRPr="00491918">
              <w:t>Risk</w:t>
            </w:r>
          </w:p>
        </w:tc>
        <w:tc>
          <w:tcPr>
            <w:tcW w:w="1050" w:type="dxa"/>
            <w:tcBorders>
              <w:top w:val="nil"/>
              <w:left w:val="nil"/>
              <w:bottom w:val="nil"/>
              <w:right w:val="nil"/>
            </w:tcBorders>
            <w:shd w:val="clear" w:color="auto" w:fill="FFFFFF"/>
            <w:tcMar>
              <w:left w:w="36" w:type="dxa"/>
              <w:right w:w="36" w:type="dxa"/>
            </w:tcMar>
            <w:vAlign w:val="bottom"/>
          </w:tcPr>
          <w:p w:rsidR="0007202F" w:rsidRPr="00491918" w:rsidRDefault="0007202F">
            <w:pPr>
              <w:rPr>
                <w:rFonts w:ascii="Arial" w:eastAsia="Arial" w:hAnsi="Arial" w:cs="Arial"/>
                <w:color w:val="000000"/>
                <w:sz w:val="20"/>
              </w:rPr>
            </w:pPr>
          </w:p>
        </w:tc>
        <w:tc>
          <w:tcPr>
            <w:tcW w:w="1050" w:type="dxa"/>
            <w:tcBorders>
              <w:top w:val="nil"/>
              <w:left w:val="nil"/>
              <w:bottom w:val="nil"/>
              <w:right w:val="nil"/>
            </w:tcBorders>
            <w:shd w:val="clear" w:color="auto" w:fill="FFFFFF"/>
            <w:tcMar>
              <w:left w:w="36" w:type="dxa"/>
              <w:right w:w="36" w:type="dxa"/>
            </w:tcMar>
            <w:vAlign w:val="bottom"/>
          </w:tcPr>
          <w:p w:rsidR="0007202F" w:rsidRPr="00491918" w:rsidRDefault="0007202F">
            <w:pPr>
              <w:rPr>
                <w:rFonts w:ascii="Barclays Sans" w:eastAsia="Barclays Sans" w:hAnsi="Barclays Sans" w:cs="Barclays Sans"/>
                <w:color w:val="000000"/>
                <w:sz w:val="16"/>
              </w:rPr>
            </w:pPr>
          </w:p>
        </w:tc>
        <w:tc>
          <w:tcPr>
            <w:tcW w:w="1050" w:type="dxa"/>
            <w:tcBorders>
              <w:top w:val="nil"/>
              <w:left w:val="nil"/>
              <w:bottom w:val="nil"/>
              <w:right w:val="nil"/>
            </w:tcBorders>
            <w:shd w:val="clear" w:color="auto" w:fill="FFFFFF"/>
            <w:tcMar>
              <w:left w:w="36" w:type="dxa"/>
              <w:right w:w="36" w:type="dxa"/>
            </w:tcMar>
            <w:vAlign w:val="bottom"/>
          </w:tcPr>
          <w:p w:rsidR="0007202F" w:rsidRPr="00491918" w:rsidRDefault="0007202F">
            <w:pPr>
              <w:rPr>
                <w:rFonts w:ascii="Barclays Sans" w:eastAsia="Barclays Sans" w:hAnsi="Barclays Sans" w:cs="Barclays Sans"/>
                <w:color w:val="000000"/>
                <w:sz w:val="16"/>
              </w:rPr>
            </w:pPr>
          </w:p>
        </w:tc>
        <w:tc>
          <w:tcPr>
            <w:tcW w:w="1050" w:type="dxa"/>
            <w:tcBorders>
              <w:top w:val="nil"/>
              <w:left w:val="nil"/>
              <w:bottom w:val="nil"/>
              <w:right w:val="nil"/>
            </w:tcBorders>
            <w:shd w:val="clear" w:color="auto" w:fill="FFFFFF"/>
            <w:tcMar>
              <w:left w:w="36" w:type="dxa"/>
              <w:right w:w="36" w:type="dxa"/>
            </w:tcMar>
            <w:vAlign w:val="bottom"/>
          </w:tcPr>
          <w:p w:rsidR="0007202F" w:rsidRPr="00491918" w:rsidRDefault="0007202F">
            <w:pPr>
              <w:rPr>
                <w:rFonts w:ascii="Barclays Sans" w:eastAsia="Barclays Sans" w:hAnsi="Barclays Sans" w:cs="Barclays Sans"/>
                <w:color w:val="000000"/>
                <w:sz w:val="16"/>
              </w:rPr>
            </w:pPr>
          </w:p>
        </w:tc>
      </w:tr>
      <w:tr w:rsidR="00E9782A" w:rsidRPr="00491918" w:rsidTr="007A5948">
        <w:trPr>
          <w:trHeight w:val="240"/>
        </w:trPr>
        <w:tc>
          <w:tcPr>
            <w:tcW w:w="5445"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4"/>
              </w:rPr>
              <w:t>Wholesale Credit Risk</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rFonts w:ascii="Arial" w:eastAsia="Arial" w:hAnsi="Arial" w:cs="Arial"/>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p>
        </w:tc>
      </w:tr>
      <w:tr w:rsidR="000D1659" w:rsidRPr="00491918">
        <w:trPr>
          <w:trHeight w:hRule="exac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Arial" w:eastAsia="Arial" w:hAnsi="Arial" w:cs="Arial"/>
                <w:color w:val="000000"/>
                <w:sz w:val="20"/>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p>
        </w:tc>
      </w:tr>
      <w:tr w:rsidR="00E9782A" w:rsidRPr="00491918" w:rsidTr="007A5948">
        <w:trPr>
          <w:trHeight w:val="240"/>
        </w:trPr>
        <w:tc>
          <w:tcPr>
            <w:tcW w:w="7545" w:type="dxa"/>
            <w:gridSpan w:val="6"/>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b/>
                <w:color w:val="000000"/>
                <w:sz w:val="20"/>
              </w:rPr>
              <w:t>Wholesale Loans and Advances to Customers and Banks at Amortised Cost</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color w:val="000000"/>
                <w:sz w:val="16"/>
              </w:rPr>
              <w:t xml:space="preserve">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r>
      <w:tr w:rsidR="000D1659" w:rsidRPr="00491918" w:rsidTr="00C10958">
        <w:trPr>
          <w:trHeight w:hRule="exact" w:val="240"/>
        </w:trPr>
        <w:tc>
          <w:tcPr>
            <w:tcW w:w="2295" w:type="dxa"/>
            <w:tcBorders>
              <w:top w:val="nil"/>
              <w:left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20"/>
              </w:rPr>
              <w:t xml:space="preserve"> </w:t>
            </w:r>
            <w:r w:rsidRPr="00491918">
              <w:rPr>
                <w:b/>
                <w:color w:val="000000"/>
                <w:sz w:val="20"/>
                <w:vertAlign w:val="superscript"/>
              </w:rPr>
              <w:t xml:space="preserve">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rPr>
                <w:b/>
                <w:color w:val="000000"/>
                <w:sz w:val="20"/>
                <w:vertAlign w:val="superscript"/>
              </w:rPr>
            </w:pPr>
            <w:r w:rsidRPr="00491918">
              <w:rPr>
                <w:b/>
                <w:color w:val="000000"/>
                <w:sz w:val="20"/>
              </w:rPr>
              <w:t xml:space="preserve">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b/>
                <w:color w:val="000000"/>
                <w:sz w:val="20"/>
              </w:rPr>
              <w:t xml:space="preserve">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b/>
                <w:color w:val="000000"/>
                <w:sz w:val="20"/>
              </w:rPr>
              <w:t xml:space="preserve">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Arial" w:eastAsia="Arial" w:hAnsi="Arial" w:cs="Arial"/>
                <w:color w:val="000000"/>
                <w:sz w:val="20"/>
              </w:rPr>
              <w:t xml:space="preserve">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color w:val="000000"/>
                <w:sz w:val="16"/>
              </w:rPr>
              <w:t xml:space="preserve">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r>
      <w:tr w:rsidR="000D1659" w:rsidRPr="00491918" w:rsidTr="00C10958">
        <w:trPr>
          <w:trHeight w:val="720"/>
        </w:trPr>
        <w:tc>
          <w:tcPr>
            <w:tcW w:w="2295" w:type="dxa"/>
            <w:tcBorders>
              <w:top w:val="nil"/>
              <w:left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Gross</w:t>
            </w:r>
          </w:p>
          <w:p w:rsidR="000D1659" w:rsidRPr="00491918" w:rsidRDefault="000D1659">
            <w:pPr>
              <w:jc w:val="right"/>
              <w:rPr>
                <w:b/>
                <w:color w:val="000000"/>
                <w:sz w:val="16"/>
              </w:rPr>
            </w:pPr>
            <w:r w:rsidRPr="00491918">
              <w:rPr>
                <w:b/>
                <w:color w:val="000000"/>
                <w:sz w:val="16"/>
              </w:rPr>
              <w:t>L&amp;A</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Impairment allowance</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L&amp;A net of impairment</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Credit</w:t>
            </w:r>
          </w:p>
          <w:p w:rsidR="000D1659" w:rsidRPr="00491918" w:rsidRDefault="000D1659">
            <w:pPr>
              <w:jc w:val="right"/>
              <w:rPr>
                <w:b/>
                <w:color w:val="000000"/>
                <w:sz w:val="16"/>
              </w:rPr>
            </w:pPr>
            <w:r w:rsidRPr="00491918">
              <w:rPr>
                <w:b/>
                <w:color w:val="000000"/>
                <w:sz w:val="16"/>
              </w:rPr>
              <w:t>risk loans</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CRLs % of gross L&amp;A</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Loan impairment charges</w:t>
            </w:r>
            <w:r w:rsidRPr="00491918">
              <w:rPr>
                <w:b/>
                <w:color w:val="000000"/>
                <w:sz w:val="16"/>
                <w:vertAlign w:val="superscript"/>
              </w:rPr>
              <w:t>2 </w:t>
            </w:r>
          </w:p>
        </w:tc>
        <w:tc>
          <w:tcPr>
            <w:tcW w:w="1050" w:type="dxa"/>
            <w:tcBorders>
              <w:top w:val="nil"/>
              <w:left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Loan loss rates</w:t>
            </w:r>
          </w:p>
        </w:tc>
      </w:tr>
      <w:tr w:rsidR="000D1659" w:rsidRPr="00491918" w:rsidTr="00C10958">
        <w:trPr>
          <w:trHeight w:val="240"/>
        </w:trPr>
        <w:tc>
          <w:tcPr>
            <w:tcW w:w="2295" w:type="dxa"/>
            <w:tcBorders>
              <w:left w:val="nil"/>
              <w:bottom w:val="single" w:sz="6" w:space="0" w:color="B2B2B2"/>
              <w:right w:val="nil"/>
            </w:tcBorders>
            <w:shd w:val="clear" w:color="auto" w:fill="FFFFFF"/>
            <w:tcMar>
              <w:left w:w="36" w:type="dxa"/>
              <w:right w:w="36" w:type="dxa"/>
            </w:tcMar>
            <w:vAlign w:val="bottom"/>
          </w:tcPr>
          <w:p w:rsidR="000D1659" w:rsidRPr="00491918" w:rsidRDefault="00C10958">
            <w:pPr>
              <w:rPr>
                <w:b/>
                <w:color w:val="000000"/>
                <w:sz w:val="16"/>
              </w:rPr>
            </w:pPr>
            <w:r w:rsidRPr="00491918">
              <w:rPr>
                <w:b/>
                <w:color w:val="000000"/>
                <w:sz w:val="16"/>
              </w:rPr>
              <w:t>As at 30.06.13</w:t>
            </w:r>
          </w:p>
        </w:tc>
        <w:tc>
          <w:tcPr>
            <w:tcW w:w="1050" w:type="dxa"/>
            <w:tcBorders>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£m</w:t>
            </w:r>
          </w:p>
        </w:tc>
        <w:tc>
          <w:tcPr>
            <w:tcW w:w="1050" w:type="dxa"/>
            <w:tcBorders>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c>
          <w:tcPr>
            <w:tcW w:w="1050" w:type="dxa"/>
            <w:tcBorders>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c>
          <w:tcPr>
            <w:tcW w:w="1050" w:type="dxa"/>
            <w:tcBorders>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c>
          <w:tcPr>
            <w:tcW w:w="1050" w:type="dxa"/>
            <w:tcBorders>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w:t>
            </w:r>
          </w:p>
        </w:tc>
        <w:tc>
          <w:tcPr>
            <w:tcW w:w="1050" w:type="dxa"/>
            <w:tcBorders>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r w:rsidRPr="00491918">
              <w:rPr>
                <w:b/>
                <w:color w:val="000000"/>
                <w:sz w:val="16"/>
                <w:vertAlign w:val="superscript"/>
              </w:rPr>
              <w:t xml:space="preserve"> </w:t>
            </w:r>
          </w:p>
        </w:tc>
        <w:tc>
          <w:tcPr>
            <w:tcW w:w="1050" w:type="dxa"/>
            <w:tcBorders>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color w:val="000000"/>
                <w:sz w:val="16"/>
              </w:rPr>
              <w:t>bps</w:t>
            </w:r>
          </w:p>
        </w:tc>
      </w:tr>
    </w:tbl>
    <w:p w:rsidR="00FF7A7C" w:rsidRPr="00491918" w:rsidRDefault="00FF7A7C"/>
    <w:tbl>
      <w:tblPr>
        <w:tblW w:w="0" w:type="auto"/>
        <w:tblLayout w:type="fixed"/>
        <w:tblLook w:val="0000" w:firstRow="0" w:lastRow="0" w:firstColumn="0" w:lastColumn="0" w:noHBand="0" w:noVBand="0"/>
      </w:tblPr>
      <w:tblGrid>
        <w:gridCol w:w="2295"/>
        <w:gridCol w:w="1050"/>
        <w:gridCol w:w="1050"/>
        <w:gridCol w:w="1050"/>
        <w:gridCol w:w="1050"/>
        <w:gridCol w:w="1050"/>
        <w:gridCol w:w="1050"/>
        <w:gridCol w:w="1050"/>
      </w:tblGrid>
      <w:tr w:rsidR="000D1659" w:rsidRPr="00491918" w:rsidTr="00FF7A7C">
        <w:trPr>
          <w:trHeight w:val="240"/>
        </w:trPr>
        <w:tc>
          <w:tcPr>
            <w:tcW w:w="229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Investment Bank</w:t>
            </w:r>
            <w:r w:rsidRPr="00491918">
              <w:rPr>
                <w:b/>
                <w:color w:val="000000"/>
                <w:sz w:val="16"/>
                <w:vertAlign w:val="superscript"/>
              </w:rPr>
              <w:t>1 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187,256 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B251B9">
            <w:pPr>
              <w:jc w:val="right"/>
              <w:rPr>
                <w:color w:val="000000"/>
                <w:sz w:val="16"/>
              </w:rPr>
            </w:pPr>
            <w:r w:rsidRPr="00491918">
              <w:rPr>
                <w:color w:val="000000"/>
                <w:sz w:val="16"/>
              </w:rPr>
              <w:t>640</w:t>
            </w:r>
          </w:p>
        </w:tc>
        <w:tc>
          <w:tcPr>
            <w:tcW w:w="1050" w:type="dxa"/>
            <w:tcBorders>
              <w:left w:val="nil"/>
              <w:bottom w:val="nil"/>
              <w:right w:val="nil"/>
            </w:tcBorders>
            <w:shd w:val="clear" w:color="auto" w:fill="EAEAEA"/>
            <w:tcMar>
              <w:left w:w="36" w:type="dxa"/>
              <w:right w:w="36" w:type="dxa"/>
            </w:tcMar>
            <w:vAlign w:val="center"/>
          </w:tcPr>
          <w:p w:rsidR="000D1659" w:rsidRPr="00491918" w:rsidRDefault="000D1659" w:rsidP="00B251B9">
            <w:pPr>
              <w:jc w:val="right"/>
              <w:rPr>
                <w:color w:val="000000"/>
                <w:sz w:val="16"/>
              </w:rPr>
            </w:pPr>
            <w:r w:rsidRPr="00491918">
              <w:rPr>
                <w:color w:val="000000"/>
                <w:sz w:val="16"/>
              </w:rPr>
              <w:t xml:space="preserve"> 186,</w:t>
            </w:r>
            <w:r w:rsidR="00B251B9" w:rsidRPr="00491918">
              <w:rPr>
                <w:color w:val="000000"/>
                <w:sz w:val="16"/>
              </w:rPr>
              <w:t>616 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835 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0.4 </w:t>
            </w:r>
          </w:p>
        </w:tc>
        <w:tc>
          <w:tcPr>
            <w:tcW w:w="1050" w:type="dxa"/>
            <w:tcBorders>
              <w:left w:val="nil"/>
              <w:bottom w:val="nil"/>
              <w:right w:val="nil"/>
            </w:tcBorders>
            <w:shd w:val="clear" w:color="auto" w:fill="EAEAEA"/>
            <w:tcMar>
              <w:left w:w="36" w:type="dxa"/>
              <w:right w:w="36" w:type="dxa"/>
            </w:tcMar>
            <w:vAlign w:val="center"/>
          </w:tcPr>
          <w:p w:rsidR="000D1659" w:rsidRPr="00491918" w:rsidRDefault="00B251B9">
            <w:pPr>
              <w:jc w:val="right"/>
              <w:rPr>
                <w:color w:val="000000"/>
                <w:sz w:val="16"/>
              </w:rPr>
            </w:pPr>
            <w:r w:rsidRPr="00491918">
              <w:rPr>
                <w:color w:val="000000"/>
                <w:sz w:val="16"/>
              </w:rPr>
              <w:t>179</w:t>
            </w:r>
          </w:p>
        </w:tc>
        <w:tc>
          <w:tcPr>
            <w:tcW w:w="1050" w:type="dxa"/>
            <w:tcBorders>
              <w:left w:val="nil"/>
              <w:bottom w:val="nil"/>
              <w:right w:val="nil"/>
            </w:tcBorders>
            <w:shd w:val="clear" w:color="auto" w:fill="FFFFFF"/>
            <w:tcMar>
              <w:left w:w="36" w:type="dxa"/>
              <w:right w:w="36" w:type="dxa"/>
            </w:tcMar>
            <w:vAlign w:val="center"/>
          </w:tcPr>
          <w:p w:rsidR="000D1659" w:rsidRPr="00491918" w:rsidRDefault="00B251B9">
            <w:pPr>
              <w:jc w:val="right"/>
              <w:rPr>
                <w:color w:val="000000"/>
                <w:sz w:val="16"/>
                <w:vertAlign w:val="superscript"/>
              </w:rPr>
            </w:pPr>
            <w:r w:rsidRPr="00491918">
              <w:rPr>
                <w:color w:val="000000"/>
                <w:sz w:val="16"/>
              </w:rPr>
              <w:t>19</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Corporate Banking</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68,295 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2,180 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66,115 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3,966 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5.8 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265 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78 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UK</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52,007 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450 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51,557 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1,377 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83 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32 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Europe</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7,636 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1,543 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6,093 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2,416 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31.6 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180 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475 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Rest of World</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8,652 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187 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8,465 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173 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5 </w:t>
            </w:r>
          </w:p>
        </w:tc>
      </w:tr>
      <w:tr w:rsidR="000D1659" w:rsidRPr="00491918">
        <w:trPr>
          <w:trHeight w:val="51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Wealth and Investment Management</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20,386 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167 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20,219 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706 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3.5 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44 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44 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Africa RBB</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6,767 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198 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6,569 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719 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10.6 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104 </w:t>
            </w:r>
          </w:p>
        </w:tc>
      </w:tr>
      <w:tr w:rsidR="000D1659" w:rsidRPr="00491918">
        <w:trPr>
          <w:trHeight w:val="510"/>
        </w:trPr>
        <w:tc>
          <w:tcPr>
            <w:tcW w:w="22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Head Office and Other Operations</w:t>
            </w:r>
            <w:r w:rsidRPr="00491918">
              <w:rPr>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1,634 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20 </w:t>
            </w:r>
          </w:p>
        </w:tc>
        <w:tc>
          <w:tcPr>
            <w:tcW w:w="10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1,614 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1.2 </w:t>
            </w:r>
          </w:p>
        </w:tc>
        <w:tc>
          <w:tcPr>
            <w:tcW w:w="10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w:t>
            </w:r>
            <w:r w:rsidRPr="00491918">
              <w:rPr>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(12)</w:t>
            </w:r>
          </w:p>
        </w:tc>
      </w:tr>
      <w:tr w:rsidR="000D1659" w:rsidRPr="00491918">
        <w:trPr>
          <w:trHeight w:val="240"/>
        </w:trPr>
        <w:tc>
          <w:tcPr>
            <w:tcW w:w="22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284,338 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B251B9">
            <w:pPr>
              <w:jc w:val="right"/>
              <w:rPr>
                <w:b/>
                <w:color w:val="000000"/>
                <w:sz w:val="16"/>
              </w:rPr>
            </w:pPr>
            <w:r w:rsidRPr="00491918">
              <w:rPr>
                <w:b/>
                <w:color w:val="000000"/>
                <w:sz w:val="16"/>
              </w:rPr>
              <w:t xml:space="preserve"> </w:t>
            </w:r>
            <w:r w:rsidR="00B251B9" w:rsidRPr="00491918">
              <w:rPr>
                <w:b/>
                <w:color w:val="000000"/>
                <w:sz w:val="16"/>
              </w:rPr>
              <w:t>3,205</w:t>
            </w:r>
            <w:r w:rsidRPr="00491918">
              <w:rPr>
                <w:b/>
                <w:color w:val="000000"/>
                <w:sz w:val="16"/>
              </w:rPr>
              <w:t>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281,133</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6,246 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522</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B251B9">
            <w:pPr>
              <w:jc w:val="right"/>
              <w:rPr>
                <w:b/>
                <w:color w:val="000000"/>
                <w:sz w:val="16"/>
                <w:vertAlign w:val="superscript"/>
              </w:rPr>
            </w:pPr>
            <w:r w:rsidRPr="00491918">
              <w:rPr>
                <w:b/>
                <w:color w:val="000000"/>
                <w:sz w:val="16"/>
              </w:rPr>
              <w:t>37</w:t>
            </w:r>
          </w:p>
        </w:tc>
      </w:tr>
      <w:tr w:rsidR="000D1659" w:rsidRPr="00491918">
        <w:trPr>
          <w:trHeight w:hRule="exac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rFonts w:ascii="Barclays Sans" w:eastAsia="Barclays Sans" w:hAnsi="Barclays Sans" w:cs="Barclays Sans"/>
                <w:color w:val="000000"/>
                <w:sz w:val="16"/>
              </w:rPr>
              <w:t xml:space="preserve"> </w:t>
            </w:r>
            <w:r w:rsidRPr="00491918">
              <w:rPr>
                <w:rFonts w:ascii="Barclays Sans" w:eastAsia="Barclays Sans" w:hAnsi="Barclays Sans" w:cs="Barclays Sans"/>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vertAlign w:val="superscript"/>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p>
        </w:tc>
      </w:tr>
      <w:tr w:rsidR="000D1659" w:rsidRPr="00491918">
        <w:trPr>
          <w:trHeight w:val="240"/>
        </w:trPr>
        <w:tc>
          <w:tcPr>
            <w:tcW w:w="229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As at 31.12.12</w:t>
            </w:r>
            <w:r w:rsidRPr="00491918">
              <w:rPr>
                <w:b/>
                <w:color w:val="000000"/>
                <w:sz w:val="16"/>
                <w:vertAlign w:val="superscript"/>
              </w:rPr>
              <w:t xml:space="preserve"> </w:t>
            </w:r>
          </w:p>
        </w:tc>
        <w:tc>
          <w:tcPr>
            <w:tcW w:w="105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105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5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5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r>
      <w:tr w:rsidR="000D1659" w:rsidRPr="00491918">
        <w:trPr>
          <w:trHeight w:val="240"/>
        </w:trPr>
        <w:tc>
          <w:tcPr>
            <w:tcW w:w="2295" w:type="dxa"/>
            <w:tcBorders>
              <w:top w:val="single" w:sz="6" w:space="0" w:color="B2B2B2"/>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Investment Bank</w:t>
            </w:r>
            <w:r w:rsidRPr="00491918">
              <w:rPr>
                <w:b/>
                <w:color w:val="000000"/>
                <w:sz w:val="16"/>
                <w:vertAlign w:val="superscript"/>
              </w:rPr>
              <w:t>1 </w:t>
            </w:r>
          </w:p>
        </w:tc>
        <w:tc>
          <w:tcPr>
            <w:tcW w:w="105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144,143 </w:t>
            </w:r>
          </w:p>
        </w:tc>
        <w:tc>
          <w:tcPr>
            <w:tcW w:w="105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586 </w:t>
            </w:r>
          </w:p>
        </w:tc>
        <w:tc>
          <w:tcPr>
            <w:tcW w:w="1050" w:type="dxa"/>
            <w:tcBorders>
              <w:top w:val="single" w:sz="6" w:space="0" w:color="B2B2B2"/>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143,557 </w:t>
            </w:r>
          </w:p>
        </w:tc>
        <w:tc>
          <w:tcPr>
            <w:tcW w:w="105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768 </w:t>
            </w:r>
          </w:p>
        </w:tc>
        <w:tc>
          <w:tcPr>
            <w:tcW w:w="105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0.5 </w:t>
            </w:r>
          </w:p>
        </w:tc>
        <w:tc>
          <w:tcPr>
            <w:tcW w:w="1050" w:type="dxa"/>
            <w:tcBorders>
              <w:top w:val="single" w:sz="6" w:space="0" w:color="B2B2B2"/>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192 </w:t>
            </w:r>
            <w:r w:rsidRPr="00491918">
              <w:rPr>
                <w:color w:val="000000"/>
                <w:sz w:val="16"/>
                <w:vertAlign w:val="superscript"/>
              </w:rPr>
              <w:t xml:space="preserve"> </w:t>
            </w:r>
          </w:p>
        </w:tc>
        <w:tc>
          <w:tcPr>
            <w:tcW w:w="105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13 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Corporate Banking</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67,337 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2,171 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65,166 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4,232 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6.3 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838 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124 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UK</w:t>
            </w:r>
            <w:r w:rsidRPr="00491918">
              <w:rPr>
                <w:color w:val="000000"/>
                <w:sz w:val="14"/>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4"/>
                <w:vertAlign w:val="superscript"/>
              </w:rPr>
            </w:pPr>
            <w:r w:rsidRPr="00491918">
              <w:rPr>
                <w:color w:val="000000"/>
                <w:sz w:val="16"/>
              </w:rPr>
              <w:t xml:space="preserve"> 52,667 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428 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52,239 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1,381 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279 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53 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Europe</w:t>
            </w:r>
            <w:r w:rsidRPr="00491918">
              <w:rPr>
                <w:color w:val="000000"/>
                <w:sz w:val="14"/>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4"/>
                <w:vertAlign w:val="superscript"/>
              </w:rPr>
            </w:pPr>
            <w:r w:rsidRPr="00491918">
              <w:rPr>
                <w:color w:val="000000"/>
                <w:sz w:val="16"/>
              </w:rPr>
              <w:t xml:space="preserve"> 8,122 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1,536 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6,586 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2,607 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32.1 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527 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649 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Rest of World</w:t>
            </w:r>
            <w:r w:rsidRPr="00491918">
              <w:rPr>
                <w:color w:val="000000"/>
                <w:sz w:val="14"/>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4"/>
                <w:vertAlign w:val="superscript"/>
              </w:rPr>
            </w:pPr>
            <w:r w:rsidRPr="00491918">
              <w:rPr>
                <w:color w:val="000000"/>
                <w:sz w:val="16"/>
              </w:rPr>
              <w:t xml:space="preserve"> 6,548 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207 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6,341 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244 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3.7 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49 </w:t>
            </w:r>
          </w:p>
        </w:tc>
      </w:tr>
      <w:tr w:rsidR="000D1659" w:rsidRPr="00491918">
        <w:trPr>
          <w:trHeight w:val="51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Wealth and Investment Management</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19,236 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141 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19,095 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603 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38 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20 </w:t>
            </w:r>
          </w:p>
        </w:tc>
      </w:tr>
      <w:tr w:rsidR="000D1659" w:rsidRPr="00491918">
        <w:trPr>
          <w:trHeight w:val="240"/>
        </w:trPr>
        <w:tc>
          <w:tcPr>
            <w:tcW w:w="22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Africa RBB</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7,313 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250 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7,063 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681 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9.3 </w:t>
            </w:r>
          </w:p>
        </w:tc>
        <w:tc>
          <w:tcPr>
            <w:tcW w:w="105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160 </w:t>
            </w:r>
            <w:r w:rsidRPr="00491918">
              <w:rPr>
                <w:color w:val="000000"/>
                <w:sz w:val="16"/>
                <w:vertAlign w:val="superscript"/>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219 </w:t>
            </w:r>
          </w:p>
        </w:tc>
      </w:tr>
      <w:tr w:rsidR="000D1659" w:rsidRPr="00491918">
        <w:trPr>
          <w:trHeight w:val="510"/>
        </w:trPr>
        <w:tc>
          <w:tcPr>
            <w:tcW w:w="229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Head Office and Other Operations</w:t>
            </w:r>
            <w:r w:rsidRPr="00491918">
              <w:rPr>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1,466 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16 </w:t>
            </w:r>
          </w:p>
        </w:tc>
        <w:tc>
          <w:tcPr>
            <w:tcW w:w="10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1,450 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105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r>
      <w:tr w:rsidR="000D1659" w:rsidRPr="00491918">
        <w:trPr>
          <w:trHeight w:val="240"/>
        </w:trPr>
        <w:tc>
          <w:tcPr>
            <w:tcW w:w="22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239,495 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3,164 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236,331 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6,303 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2.6 </w:t>
            </w:r>
          </w:p>
        </w:tc>
        <w:tc>
          <w:tcPr>
            <w:tcW w:w="105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1,228 </w:t>
            </w:r>
            <w:r w:rsidRPr="00491918">
              <w:rPr>
                <w:b/>
                <w:color w:val="000000"/>
                <w:sz w:val="16"/>
                <w:vertAlign w:val="superscript"/>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51 </w:t>
            </w:r>
          </w:p>
        </w:tc>
      </w:tr>
    </w:tbl>
    <w:p w:rsidR="000D1659" w:rsidRPr="00491918" w:rsidRDefault="000D1659"/>
    <w:p w:rsidR="000D1659" w:rsidRPr="00491918" w:rsidRDefault="000D1659" w:rsidP="000D1659">
      <w:pPr>
        <w:pStyle w:val="Level1Bullet-BarcRA34"/>
        <w:rPr>
          <w:lang w:val="en-GB"/>
        </w:rPr>
      </w:pPr>
      <w:r w:rsidRPr="00491918">
        <w:t xml:space="preserve">Gross loans and advances to customers and banks </w:t>
      </w:r>
      <w:r w:rsidRPr="00491918">
        <w:rPr>
          <w:lang w:val="en-GB"/>
        </w:rPr>
        <w:t>in</w:t>
      </w:r>
      <w:r w:rsidRPr="00491918">
        <w:t xml:space="preserve">creased </w:t>
      </w:r>
      <w:r w:rsidRPr="00491918">
        <w:rPr>
          <w:lang w:val="en-GB"/>
        </w:rPr>
        <w:t>19%</w:t>
      </w:r>
      <w:r w:rsidRPr="00491918">
        <w:t xml:space="preserve"> </w:t>
      </w:r>
      <w:r w:rsidRPr="00491918">
        <w:rPr>
          <w:lang w:val="en-GB"/>
        </w:rPr>
        <w:t xml:space="preserve">during H113 </w:t>
      </w:r>
      <w:r w:rsidRPr="00491918">
        <w:t xml:space="preserve">principally </w:t>
      </w:r>
      <w:r w:rsidRPr="00491918">
        <w:rPr>
          <w:lang w:val="en-GB"/>
        </w:rPr>
        <w:t>due to a 30% rise</w:t>
      </w:r>
      <w:r w:rsidRPr="00491918">
        <w:t xml:space="preserve"> in the Investment Bank</w:t>
      </w:r>
      <w:r w:rsidRPr="00491918">
        <w:rPr>
          <w:lang w:val="en-GB"/>
        </w:rPr>
        <w:t xml:space="preserve"> </w:t>
      </w:r>
      <w:r w:rsidRPr="00491918">
        <w:t>as a result of higher settlement balances.</w:t>
      </w:r>
      <w:r w:rsidRPr="00491918">
        <w:rPr>
          <w:lang w:val="en-GB"/>
        </w:rPr>
        <w:t xml:space="preserve"> </w:t>
      </w:r>
      <w:r w:rsidRPr="00491918">
        <w:t xml:space="preserve">For more detail, see analysis of Investment Bank wholesale loans and advances on page </w:t>
      </w:r>
      <w:r w:rsidR="001E7AF6" w:rsidRPr="00491918">
        <w:rPr>
          <w:lang w:val="en-GB"/>
        </w:rPr>
        <w:t>82</w:t>
      </w:r>
    </w:p>
    <w:p w:rsidR="000D1659" w:rsidRPr="00491918" w:rsidRDefault="000D1659" w:rsidP="000D1659">
      <w:pPr>
        <w:pStyle w:val="Level1Bullet-BarcRA34"/>
        <w:rPr>
          <w:lang w:val="en-GB"/>
        </w:rPr>
      </w:pPr>
      <w:r w:rsidRPr="00491918">
        <w:rPr>
          <w:lang w:val="en-GB"/>
        </w:rPr>
        <w:t>The loan impairm</w:t>
      </w:r>
      <w:r w:rsidRPr="00491918">
        <w:rPr>
          <w:lang w:val="en-US"/>
        </w:rPr>
        <w:t>ent charge decr</w:t>
      </w:r>
      <w:r w:rsidRPr="00491918">
        <w:rPr>
          <w:lang w:val="en-GB"/>
        </w:rPr>
        <w:t xml:space="preserve">eased </w:t>
      </w:r>
      <w:r w:rsidR="00D9311C" w:rsidRPr="00491918">
        <w:rPr>
          <w:lang w:val="en-GB"/>
        </w:rPr>
        <w:t>26</w:t>
      </w:r>
      <w:r w:rsidRPr="00491918">
        <w:rPr>
          <w:lang w:val="en-GB"/>
        </w:rPr>
        <w:t>% to £</w:t>
      </w:r>
      <w:r w:rsidR="00B251B9" w:rsidRPr="00491918">
        <w:rPr>
          <w:lang w:val="en-GB"/>
        </w:rPr>
        <w:t xml:space="preserve">522m </w:t>
      </w:r>
      <w:r w:rsidR="00D9311C" w:rsidRPr="00491918">
        <w:rPr>
          <w:lang w:val="en-GB"/>
        </w:rPr>
        <w:t>(H112: £706</w:t>
      </w:r>
      <w:r w:rsidRPr="00491918">
        <w:rPr>
          <w:lang w:val="en-GB"/>
        </w:rPr>
        <w:t xml:space="preserve">m) principally due to </w:t>
      </w:r>
      <w:r w:rsidR="00B251B9" w:rsidRPr="00491918">
        <w:rPr>
          <w:lang w:val="en-GB"/>
        </w:rPr>
        <w:t xml:space="preserve">improvements in Corporate </w:t>
      </w:r>
      <w:r w:rsidRPr="00491918">
        <w:rPr>
          <w:lang w:val="en-GB"/>
        </w:rPr>
        <w:t xml:space="preserve">Banking partly reflecting reduced impairment against large </w:t>
      </w:r>
      <w:r w:rsidR="00B251B9" w:rsidRPr="00491918">
        <w:rPr>
          <w:lang w:val="en-GB"/>
        </w:rPr>
        <w:t>c</w:t>
      </w:r>
      <w:r w:rsidRPr="00491918">
        <w:rPr>
          <w:lang w:val="en-GB"/>
        </w:rPr>
        <w:t>orporate clients in the UK and lower charges in Europe reflecting actions to reduce exposure to the Spanish property and construction sectors</w:t>
      </w:r>
    </w:p>
    <w:p w:rsidR="000D1659" w:rsidRPr="00491918" w:rsidRDefault="000D1659" w:rsidP="000D1659">
      <w:pPr>
        <w:pStyle w:val="Level1Bullet-BarcRA34"/>
      </w:pPr>
      <w:r w:rsidRPr="00491918">
        <w:t xml:space="preserve">The </w:t>
      </w:r>
      <w:r w:rsidRPr="00491918">
        <w:rPr>
          <w:lang w:val="en-GB"/>
        </w:rPr>
        <w:t xml:space="preserve">lower impairment charge </w:t>
      </w:r>
      <w:r w:rsidRPr="00491918">
        <w:t xml:space="preserve">coupled with the </w:t>
      </w:r>
      <w:r w:rsidRPr="00491918">
        <w:rPr>
          <w:lang w:val="en-GB"/>
        </w:rPr>
        <w:t>higher</w:t>
      </w:r>
      <w:r w:rsidRPr="00491918">
        <w:t xml:space="preserve"> loan balances resulted in an annualised loan loss rate of </w:t>
      </w:r>
      <w:r w:rsidR="00B251B9" w:rsidRPr="00491918">
        <w:rPr>
          <w:lang w:val="en-GB"/>
        </w:rPr>
        <w:t>37</w:t>
      </w:r>
      <w:r w:rsidRPr="00491918">
        <w:t>bps (</w:t>
      </w:r>
      <w:r w:rsidR="00D9311C" w:rsidRPr="00491918">
        <w:rPr>
          <w:lang w:val="en-GB"/>
        </w:rPr>
        <w:t>H1</w:t>
      </w:r>
      <w:r w:rsidRPr="00491918">
        <w:t>1</w:t>
      </w:r>
      <w:r w:rsidRPr="00491918">
        <w:rPr>
          <w:lang w:val="en-GB"/>
        </w:rPr>
        <w:t>2</w:t>
      </w:r>
      <w:r w:rsidRPr="00491918">
        <w:t xml:space="preserve">: </w:t>
      </w:r>
      <w:r w:rsidRPr="00491918">
        <w:rPr>
          <w:lang w:val="en-GB"/>
        </w:rPr>
        <w:t>50</w:t>
      </w:r>
      <w:r w:rsidRPr="00491918">
        <w:t>bp</w:t>
      </w:r>
      <w:r w:rsidR="00D9311C" w:rsidRPr="00491918">
        <w:rPr>
          <w:lang w:val="en-GB"/>
        </w:rPr>
        <w:t>s; FY</w:t>
      </w:r>
      <w:r w:rsidR="00586D52" w:rsidRPr="00491918">
        <w:rPr>
          <w:lang w:val="en-GB"/>
        </w:rPr>
        <w:t xml:space="preserve">12: </w:t>
      </w:r>
      <w:r w:rsidRPr="00491918">
        <w:rPr>
          <w:lang w:val="en-GB"/>
        </w:rPr>
        <w:t>51bps</w:t>
      </w:r>
      <w:r w:rsidRPr="00491918">
        <w:t>)</w:t>
      </w:r>
    </w:p>
    <w:p w:rsidR="000D1659" w:rsidRPr="00491918" w:rsidRDefault="000D1659" w:rsidP="000D1659">
      <w:pPr>
        <w:pStyle w:val="Level1Bullet-BarcRA301"/>
        <w:numPr>
          <w:ilvl w:val="0"/>
          <w:numId w:val="0"/>
        </w:numPr>
        <w:ind w:left="284"/>
      </w:pPr>
    </w:p>
    <w:p w:rsidR="000D1659" w:rsidRPr="00491918" w:rsidRDefault="000D1659" w:rsidP="000D1659">
      <w:pPr>
        <w:pStyle w:val="Level1Bullet-BarcRA301"/>
        <w:numPr>
          <w:ilvl w:val="0"/>
          <w:numId w:val="0"/>
        </w:numPr>
        <w:rPr>
          <w:lang w:val="en-GB"/>
        </w:rPr>
      </w:pPr>
    </w:p>
    <w:p w:rsidR="007A5948" w:rsidRPr="00491918" w:rsidRDefault="007A5948" w:rsidP="000D1659">
      <w:pPr>
        <w:pStyle w:val="Level1Bullet-BarcRA301"/>
        <w:numPr>
          <w:ilvl w:val="0"/>
          <w:numId w:val="0"/>
        </w:numPr>
        <w:rPr>
          <w:lang w:val="en-GB"/>
        </w:rPr>
      </w:pPr>
    </w:p>
    <w:p w:rsidR="007A5948" w:rsidRPr="00491918" w:rsidRDefault="007A5948" w:rsidP="000D1659">
      <w:pPr>
        <w:pStyle w:val="Level1Bullet-BarcRA301"/>
        <w:numPr>
          <w:ilvl w:val="0"/>
          <w:numId w:val="0"/>
        </w:numPr>
        <w:rPr>
          <w:lang w:val="en-GB"/>
        </w:rPr>
      </w:pPr>
    </w:p>
    <w:p w:rsidR="00DA356B" w:rsidRPr="00491918" w:rsidRDefault="00DA356B" w:rsidP="000D1659">
      <w:pPr>
        <w:pStyle w:val="Level1Bullet-BarcRA301"/>
        <w:numPr>
          <w:ilvl w:val="0"/>
          <w:numId w:val="0"/>
        </w:numPr>
        <w:rPr>
          <w:lang w:val="en-GB"/>
        </w:rPr>
      </w:pPr>
    </w:p>
    <w:p w:rsidR="007A5948" w:rsidRPr="00491918" w:rsidRDefault="007A5948" w:rsidP="000D1659">
      <w:pPr>
        <w:pStyle w:val="Level1Bullet-BarcRA301"/>
        <w:numPr>
          <w:ilvl w:val="0"/>
          <w:numId w:val="0"/>
        </w:numPr>
        <w:rPr>
          <w:lang w:val="en-GB"/>
        </w:rPr>
      </w:pPr>
    </w:p>
    <w:p w:rsidR="000D1659" w:rsidRPr="00491918" w:rsidRDefault="000D1659" w:rsidP="000D1659">
      <w:pPr>
        <w:pStyle w:val="Level1Bullet-BarcRA301"/>
        <w:numPr>
          <w:ilvl w:val="0"/>
          <w:numId w:val="0"/>
        </w:numPr>
        <w:rPr>
          <w:lang w:val="en-GB"/>
        </w:rPr>
      </w:pPr>
    </w:p>
    <w:p w:rsidR="000D1659" w:rsidRPr="00491918" w:rsidRDefault="000D1659" w:rsidP="000D1659">
      <w:pPr>
        <w:pStyle w:val="NoteandSourceText-BarcRA16"/>
        <w:ind w:left="284"/>
      </w:pPr>
      <w:r w:rsidRPr="00491918">
        <w:t xml:space="preserve">Investment Bank gross loans and advances include cash collateral and settlement balances of £129,667m as at 30 June 2013 and £85,116m as at 31 December 2012. Excluding these balances CRLs as a proportion of gross loans and advances were 1.5% and 1.3% respectively and the loan loss rates were </w:t>
      </w:r>
      <w:r w:rsidR="00B251B9" w:rsidRPr="00491918">
        <w:t>63</w:t>
      </w:r>
      <w:r w:rsidRPr="00491918">
        <w:t>bps and 33bps respectively</w:t>
      </w:r>
      <w:r w:rsidR="00C10958" w:rsidRPr="00491918">
        <w:t>.</w:t>
      </w:r>
    </w:p>
    <w:p w:rsidR="000D1659" w:rsidRPr="00491918" w:rsidRDefault="000D1659" w:rsidP="000D1659">
      <w:pPr>
        <w:pStyle w:val="NoteandSourceText-BarcRA16"/>
        <w:ind w:left="284"/>
      </w:pPr>
      <w:r w:rsidRPr="00491918">
        <w:t>Loan impairment charge as at December 2012 is the charge for the 12 month period</w:t>
      </w:r>
      <w:r w:rsidR="00C10958" w:rsidRPr="00491918">
        <w:t>.</w:t>
      </w:r>
    </w:p>
    <w:p w:rsidR="0007202F" w:rsidRPr="00491918" w:rsidRDefault="0007202F" w:rsidP="0007202F">
      <w:pPr>
        <w:pStyle w:val="NoteandSourceText-BarcRA16"/>
        <w:numPr>
          <w:ilvl w:val="0"/>
          <w:numId w:val="0"/>
        </w:numPr>
        <w:ind w:left="720" w:hanging="360"/>
      </w:pPr>
    </w:p>
    <w:p w:rsidR="00DA356B" w:rsidRPr="00491918" w:rsidRDefault="00DA356B" w:rsidP="0007202F">
      <w:pPr>
        <w:pStyle w:val="HeadingLevel1-BarcRA35"/>
        <w:rPr>
          <w:lang w:val="en-GB"/>
        </w:rPr>
      </w:pPr>
    </w:p>
    <w:p w:rsidR="000D1659" w:rsidRPr="00491918" w:rsidRDefault="0007202F" w:rsidP="0007202F">
      <w:pPr>
        <w:pStyle w:val="HeadingLevel1-BarcRA35"/>
      </w:pPr>
      <w:r w:rsidRPr="00491918">
        <w:rPr>
          <w:lang w:val="en-GB"/>
        </w:rPr>
        <w:t xml:space="preserve">Credit </w:t>
      </w:r>
      <w:r w:rsidRPr="00491918">
        <w:t>Risk</w:t>
      </w:r>
    </w:p>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E9782A" w:rsidRPr="00491918" w:rsidTr="00FF7A7C">
        <w:trPr>
          <w:trHeight w:val="255"/>
        </w:trPr>
        <w:tc>
          <w:tcPr>
            <w:tcW w:w="4845"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0"/>
              </w:rPr>
              <w:lastRenderedPageBreak/>
              <w:t>Potential Credit Risk Loans and Coverage Ratios</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0"/>
              </w:rPr>
            </w:pPr>
            <w:r w:rsidRPr="00491918">
              <w:rPr>
                <w:rFonts w:ascii="Arial" w:eastAsia="Arial" w:hAnsi="Arial" w:cs="Arial"/>
                <w:color w:val="000000"/>
                <w:sz w:val="20"/>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rFonts w:ascii="Arial" w:eastAsia="Arial" w:hAnsi="Arial" w:cs="Arial"/>
                <w:color w:val="000000"/>
                <w:sz w:val="20"/>
              </w:rPr>
              <w:t xml:space="preserve"> </w:t>
            </w:r>
          </w:p>
        </w:tc>
      </w:tr>
      <w:tr w:rsidR="00E9782A" w:rsidRPr="00491918" w:rsidTr="00FF7A7C">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PPLs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PCRLs</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r>
      <w:tr w:rsidR="000D1659" w:rsidRPr="00491918">
        <w:trPr>
          <w:trHeight w:val="255"/>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0D1659" w:rsidRPr="00491918" w:rsidTr="00FF7A7C">
        <w:trPr>
          <w:trHeight w:val="255"/>
        </w:trPr>
        <w:tc>
          <w:tcPr>
            <w:tcW w:w="394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Investment Bank</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835 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768 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316 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327 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1,151 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1,095 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 Banking</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3,966 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4,232 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606 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624 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4,572 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4,856 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Wealth and Investment Management</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706 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603 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103 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809 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677 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Africa RBB</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719 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681 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77 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765 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758 </w:t>
            </w:r>
          </w:p>
        </w:tc>
      </w:tr>
      <w:tr w:rsidR="000D1659" w:rsidRPr="00491918">
        <w:trPr>
          <w:trHeight w:val="255"/>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C3775D">
            <w:pPr>
              <w:rPr>
                <w:color w:val="000000"/>
                <w:sz w:val="16"/>
              </w:rPr>
            </w:pPr>
            <w:r w:rsidRPr="00491918">
              <w:rPr>
                <w:color w:val="000000"/>
                <w:sz w:val="16"/>
              </w:rPr>
              <w:t>Head Office and Other Operations</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p>
        </w:tc>
      </w:tr>
      <w:tr w:rsidR="000D1659" w:rsidRPr="00491918">
        <w:trPr>
          <w:trHeight w:val="255"/>
        </w:trPr>
        <w:tc>
          <w:tcPr>
            <w:tcW w:w="3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wholesale</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6,246 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6,303 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1,072 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1,102 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7,318 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7,405 </w:t>
            </w:r>
          </w:p>
        </w:tc>
      </w:tr>
      <w:tr w:rsidR="000D1659" w:rsidRPr="00491918">
        <w:trPr>
          <w:trHeight w:hRule="exac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E9782A" w:rsidRPr="00491918" w:rsidTr="00FF7A7C">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Impairment allowance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CRL coverage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PCRL coverage</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90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90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r>
      <w:tr w:rsidR="000D1659" w:rsidRPr="00491918">
        <w:trPr>
          <w:trHeight w:val="255"/>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bl>
    <w:p w:rsidR="00FF7A7C" w:rsidRPr="00491918" w:rsidRDefault="00FF7A7C"/>
    <w:tbl>
      <w:tblPr>
        <w:tblW w:w="0" w:type="auto"/>
        <w:tblLayout w:type="fixed"/>
        <w:tblLook w:val="0000" w:firstRow="0" w:lastRow="0" w:firstColumn="0" w:lastColumn="0" w:noHBand="0" w:noVBand="0"/>
      </w:tblPr>
      <w:tblGrid>
        <w:gridCol w:w="3945"/>
        <w:gridCol w:w="900"/>
        <w:gridCol w:w="900"/>
        <w:gridCol w:w="150"/>
        <w:gridCol w:w="900"/>
        <w:gridCol w:w="900"/>
        <w:gridCol w:w="150"/>
        <w:gridCol w:w="900"/>
        <w:gridCol w:w="900"/>
      </w:tblGrid>
      <w:tr w:rsidR="000D1659" w:rsidRPr="00491918" w:rsidTr="00FF7A7C">
        <w:trPr>
          <w:trHeight w:val="255"/>
        </w:trPr>
        <w:tc>
          <w:tcPr>
            <w:tcW w:w="394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Investment Bank</w:t>
            </w:r>
          </w:p>
        </w:tc>
        <w:tc>
          <w:tcPr>
            <w:tcW w:w="900" w:type="dxa"/>
            <w:tcBorders>
              <w:left w:val="nil"/>
              <w:bottom w:val="nil"/>
              <w:right w:val="nil"/>
            </w:tcBorders>
            <w:shd w:val="clear" w:color="auto" w:fill="EAEAEA"/>
            <w:tcMar>
              <w:left w:w="36" w:type="dxa"/>
              <w:right w:w="36" w:type="dxa"/>
            </w:tcMar>
            <w:vAlign w:val="center"/>
          </w:tcPr>
          <w:p w:rsidR="000D1659" w:rsidRPr="00491918" w:rsidRDefault="00B251B9">
            <w:pPr>
              <w:jc w:val="right"/>
              <w:rPr>
                <w:color w:val="000000"/>
                <w:sz w:val="16"/>
              </w:rPr>
            </w:pPr>
            <w:r w:rsidRPr="00491918">
              <w:rPr>
                <w:color w:val="000000"/>
                <w:sz w:val="16"/>
              </w:rPr>
              <w:t>640 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586 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B251B9">
            <w:pPr>
              <w:jc w:val="right"/>
              <w:rPr>
                <w:color w:val="000000"/>
                <w:sz w:val="16"/>
              </w:rPr>
            </w:pPr>
            <w:r w:rsidRPr="00491918">
              <w:rPr>
                <w:color w:val="000000"/>
                <w:sz w:val="16"/>
              </w:rPr>
              <w:t>76.6</w:t>
            </w:r>
            <w:r w:rsidR="000D1659" w:rsidRPr="00491918">
              <w:rPr>
                <w:color w:val="000000"/>
                <w:sz w:val="16"/>
              </w:rPr>
              <w:t> </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76.3 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left w:val="nil"/>
              <w:bottom w:val="nil"/>
              <w:right w:val="nil"/>
            </w:tcBorders>
            <w:shd w:val="clear" w:color="auto" w:fill="EAEAEA"/>
            <w:tcMar>
              <w:left w:w="36" w:type="dxa"/>
              <w:right w:w="36" w:type="dxa"/>
            </w:tcMar>
            <w:vAlign w:val="center"/>
          </w:tcPr>
          <w:p w:rsidR="000D1659" w:rsidRPr="00491918" w:rsidRDefault="00B251B9">
            <w:pPr>
              <w:jc w:val="right"/>
              <w:rPr>
                <w:color w:val="000000"/>
                <w:sz w:val="16"/>
              </w:rPr>
            </w:pPr>
            <w:r w:rsidRPr="00491918">
              <w:rPr>
                <w:color w:val="000000"/>
                <w:sz w:val="16"/>
              </w:rPr>
              <w:t>55.6</w:t>
            </w:r>
          </w:p>
        </w:tc>
        <w:tc>
          <w:tcPr>
            <w:tcW w:w="90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53.5 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 Banking</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2,180 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2,171 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55.0 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51.3 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47.7 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44.7 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Wealth and Investment Management</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141 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23.7 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20.6 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20.8 </w:t>
            </w:r>
          </w:p>
        </w:tc>
      </w:tr>
      <w:tr w:rsidR="000D1659" w:rsidRPr="00491918">
        <w:trPr>
          <w:trHeight w:val="255"/>
        </w:trPr>
        <w:tc>
          <w:tcPr>
            <w:tcW w:w="394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Africa RBB</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198 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250 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27.5 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36.7 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25.9 </w:t>
            </w:r>
          </w:p>
        </w:tc>
        <w:tc>
          <w:tcPr>
            <w:tcW w:w="90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33.0 </w:t>
            </w:r>
          </w:p>
        </w:tc>
      </w:tr>
      <w:tr w:rsidR="000D1659" w:rsidRPr="00491918">
        <w:trPr>
          <w:trHeight w:val="255"/>
        </w:trPr>
        <w:tc>
          <w:tcPr>
            <w:tcW w:w="3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Head Office and Other</w:t>
            </w:r>
            <w:r w:rsidR="00C3775D" w:rsidRPr="00491918">
              <w:rPr>
                <w:color w:val="000000"/>
                <w:sz w:val="16"/>
              </w:rPr>
              <w:t xml:space="preserve"> Operations</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20 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100.0 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84.2 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95.2 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84.2 </w:t>
            </w:r>
          </w:p>
        </w:tc>
      </w:tr>
      <w:tr w:rsidR="000D1659" w:rsidRPr="00491918">
        <w:trPr>
          <w:trHeight w:val="255"/>
        </w:trPr>
        <w:tc>
          <w:tcPr>
            <w:tcW w:w="3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wholesale</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3,205</w:t>
            </w:r>
            <w:r w:rsidR="000D1659"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3,164 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51.3</w:t>
            </w:r>
            <w:r w:rsidR="000D1659" w:rsidRPr="00491918">
              <w:rPr>
                <w:b/>
                <w:color w:val="000000"/>
                <w:sz w:val="16"/>
              </w:rPr>
              <w:t>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50.2 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43.8</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42.7 </w:t>
            </w:r>
          </w:p>
        </w:tc>
      </w:tr>
    </w:tbl>
    <w:p w:rsidR="000D1659" w:rsidRPr="00491918" w:rsidRDefault="000D1659"/>
    <w:p w:rsidR="000D1659" w:rsidRPr="00491918" w:rsidRDefault="000D1659" w:rsidP="00EC729A">
      <w:pPr>
        <w:pStyle w:val="Level1Bullet-BarcRA32"/>
        <w:numPr>
          <w:ilvl w:val="0"/>
          <w:numId w:val="167"/>
        </w:numPr>
        <w:spacing w:before="240"/>
      </w:pPr>
      <w:r w:rsidRPr="00491918">
        <w:t xml:space="preserve">CRL balances  decreased </w:t>
      </w:r>
      <w:r w:rsidRPr="00491918">
        <w:rPr>
          <w:lang w:val="en-GB"/>
        </w:rPr>
        <w:t>1</w:t>
      </w:r>
      <w:r w:rsidRPr="00491918">
        <w:t>%</w:t>
      </w:r>
      <w:r w:rsidRPr="00491918">
        <w:rPr>
          <w:lang w:val="en-GB"/>
        </w:rPr>
        <w:t xml:space="preserve"> to £6,246m</w:t>
      </w:r>
      <w:r w:rsidRPr="00491918">
        <w:t xml:space="preserve"> primarily due to</w:t>
      </w:r>
      <w:r w:rsidRPr="00491918">
        <w:rPr>
          <w:lang w:val="en-GB"/>
        </w:rPr>
        <w:t xml:space="preserve"> Corporate Banking where lower balances reflected a reduction in Europe, most notably Spain, following write-offs and a debt sale</w:t>
      </w:r>
    </w:p>
    <w:p w:rsidR="000D1659" w:rsidRPr="00491918" w:rsidRDefault="000D1659" w:rsidP="00EC729A">
      <w:pPr>
        <w:pStyle w:val="Level1Bullet-BarcRA32"/>
        <w:numPr>
          <w:ilvl w:val="0"/>
          <w:numId w:val="167"/>
        </w:numPr>
        <w:spacing w:before="240"/>
      </w:pPr>
      <w:r w:rsidRPr="00491918">
        <w:rPr>
          <w:lang w:val="en-GB"/>
        </w:rPr>
        <w:t xml:space="preserve">This decrease was partially offset by higher balances in:   </w:t>
      </w:r>
    </w:p>
    <w:p w:rsidR="000D1659" w:rsidRPr="00491918" w:rsidRDefault="000D1659" w:rsidP="00EC729A">
      <w:pPr>
        <w:pStyle w:val="Level2Bullet-BarcRA7"/>
        <w:numPr>
          <w:ilvl w:val="2"/>
          <w:numId w:val="167"/>
        </w:numPr>
        <w:tabs>
          <w:tab w:val="clear" w:pos="1401"/>
          <w:tab w:val="num" w:pos="567"/>
        </w:tabs>
        <w:ind w:left="567" w:hanging="283"/>
      </w:pPr>
      <w:r w:rsidRPr="00491918">
        <w:rPr>
          <w:lang w:val="en-GB"/>
        </w:rPr>
        <w:t xml:space="preserve">Wealth and Investment Management, principally reflecting the inclusion of a single name exposure  </w:t>
      </w:r>
    </w:p>
    <w:p w:rsidR="000D1659" w:rsidRPr="00491918" w:rsidRDefault="000D1659" w:rsidP="00EC729A">
      <w:pPr>
        <w:pStyle w:val="Level2Bullet-BarcRA7"/>
        <w:numPr>
          <w:ilvl w:val="2"/>
          <w:numId w:val="167"/>
        </w:numPr>
        <w:tabs>
          <w:tab w:val="clear" w:pos="1401"/>
          <w:tab w:val="num" w:pos="567"/>
        </w:tabs>
        <w:ind w:left="567" w:hanging="283"/>
        <w:rPr>
          <w:lang w:val="en-GB"/>
        </w:rPr>
      </w:pPr>
      <w:r w:rsidRPr="00491918">
        <w:rPr>
          <w:lang w:val="en-GB"/>
        </w:rPr>
        <w:t xml:space="preserve">Investment Bank reflecting the inclusion of a single name exposure partially offset by sales and payments and the exit from one large position   </w:t>
      </w: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07202F" w:rsidRPr="00491918" w:rsidRDefault="0007202F" w:rsidP="0007202F">
      <w:pPr>
        <w:pStyle w:val="Level1Bullet-BarcRA32"/>
        <w:numPr>
          <w:ilvl w:val="0"/>
          <w:numId w:val="0"/>
        </w:numPr>
        <w:ind w:left="284" w:hanging="284"/>
        <w:rPr>
          <w:lang w:val="en-GB"/>
        </w:rPr>
      </w:pPr>
    </w:p>
    <w:p w:rsidR="00DA356B" w:rsidRPr="00491918" w:rsidRDefault="00DA356B" w:rsidP="0007202F">
      <w:pPr>
        <w:pStyle w:val="Level1Bullet-BarcRA32"/>
        <w:numPr>
          <w:ilvl w:val="0"/>
          <w:numId w:val="0"/>
        </w:numPr>
        <w:ind w:left="284" w:hanging="284"/>
        <w:rPr>
          <w:lang w:val="en-GB"/>
        </w:rPr>
      </w:pPr>
    </w:p>
    <w:p w:rsidR="00DA356B" w:rsidRPr="00491918" w:rsidRDefault="00DA356B" w:rsidP="0007202F">
      <w:pPr>
        <w:pStyle w:val="Level1Bullet-BarcRA32"/>
        <w:numPr>
          <w:ilvl w:val="0"/>
          <w:numId w:val="0"/>
        </w:numPr>
        <w:ind w:left="284" w:hanging="284"/>
        <w:rPr>
          <w:lang w:val="en-GB"/>
        </w:rPr>
      </w:pPr>
    </w:p>
    <w:p w:rsidR="000D1659" w:rsidRPr="00491918" w:rsidRDefault="0007202F" w:rsidP="0007202F">
      <w:pPr>
        <w:pStyle w:val="HeadingLevel1-BarcRA35"/>
      </w:pPr>
      <w:r w:rsidRPr="00491918">
        <w:rPr>
          <w:lang w:val="en-GB"/>
        </w:rPr>
        <w:t xml:space="preserve">Credit </w:t>
      </w:r>
      <w:r w:rsidRPr="00491918">
        <w:t>Risk</w:t>
      </w:r>
    </w:p>
    <w:tbl>
      <w:tblPr>
        <w:tblW w:w="9765" w:type="dxa"/>
        <w:tblLayout w:type="fixed"/>
        <w:tblLook w:val="0000" w:firstRow="0" w:lastRow="0" w:firstColumn="0" w:lastColumn="0" w:noHBand="0" w:noVBand="0"/>
      </w:tblPr>
      <w:tblGrid>
        <w:gridCol w:w="3015"/>
        <w:gridCol w:w="735"/>
        <w:gridCol w:w="1050"/>
        <w:gridCol w:w="1080"/>
        <w:gridCol w:w="945"/>
        <w:gridCol w:w="870"/>
        <w:gridCol w:w="1035"/>
        <w:gridCol w:w="1035"/>
      </w:tblGrid>
      <w:tr w:rsidR="00E9782A" w:rsidRPr="00491918" w:rsidTr="00FF7A7C">
        <w:trPr>
          <w:trHeight w:val="240"/>
        </w:trPr>
        <w:tc>
          <w:tcPr>
            <w:tcW w:w="7695" w:type="dxa"/>
            <w:gridSpan w:val="6"/>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0"/>
              </w:rPr>
              <w:t>Analysis of Inves</w:t>
            </w:r>
            <w:r w:rsidR="007F31E2" w:rsidRPr="00491918">
              <w:rPr>
                <w:b/>
                <w:color w:val="000000"/>
                <w:sz w:val="20"/>
              </w:rPr>
              <w:t>tment Bank Wholesale Loans and A</w:t>
            </w:r>
            <w:r w:rsidRPr="00491918">
              <w:rPr>
                <w:b/>
                <w:color w:val="000000"/>
                <w:sz w:val="20"/>
              </w:rPr>
              <w:t>d</w:t>
            </w:r>
            <w:r w:rsidR="007F31E2" w:rsidRPr="00491918">
              <w:rPr>
                <w:b/>
                <w:color w:val="000000"/>
                <w:sz w:val="20"/>
              </w:rPr>
              <w:t>vances at A</w:t>
            </w:r>
            <w:r w:rsidRPr="00491918">
              <w:rPr>
                <w:b/>
                <w:color w:val="000000"/>
                <w:sz w:val="20"/>
              </w:rPr>
              <w:t>mortised Cost</w:t>
            </w:r>
            <w:r w:rsidRPr="00491918">
              <w:rPr>
                <w:color w:val="000000"/>
                <w:sz w:val="16"/>
                <w:vertAlign w:val="superscript"/>
              </w:rPr>
              <w:t xml:space="preserve"> </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rsidTr="00FF7A7C">
        <w:trPr>
          <w:trHeight w:val="720"/>
        </w:trPr>
        <w:tc>
          <w:tcPr>
            <w:tcW w:w="30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lastRenderedPageBreak/>
              <w:t>As at 30.06.13</w:t>
            </w:r>
            <w:r w:rsidRPr="00491918">
              <w:rPr>
                <w:b/>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Gross</w:t>
            </w:r>
          </w:p>
          <w:p w:rsidR="000D1659" w:rsidRPr="00491918" w:rsidRDefault="000D1659">
            <w:pPr>
              <w:jc w:val="right"/>
              <w:rPr>
                <w:b/>
                <w:color w:val="000000"/>
                <w:sz w:val="16"/>
              </w:rPr>
            </w:pPr>
            <w:r w:rsidRPr="00491918">
              <w:rPr>
                <w:b/>
                <w:color w:val="000000"/>
                <w:sz w:val="16"/>
              </w:rPr>
              <w:t>L&amp;A</w:t>
            </w:r>
          </w:p>
        </w:tc>
        <w:tc>
          <w:tcPr>
            <w:tcW w:w="105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Impairment allowance</w:t>
            </w:r>
          </w:p>
        </w:tc>
        <w:tc>
          <w:tcPr>
            <w:tcW w:w="10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L&amp;A net of impairment</w:t>
            </w:r>
          </w:p>
        </w:tc>
        <w:tc>
          <w:tcPr>
            <w:tcW w:w="94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Credit risk loans</w:t>
            </w:r>
            <w:r w:rsidRPr="00491918">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CRLs % of gross L&amp;A</w:t>
            </w:r>
            <w:r w:rsidRPr="00491918">
              <w:rPr>
                <w:b/>
                <w:color w:val="000000"/>
                <w:sz w:val="16"/>
                <w:vertAlign w:val="superscript"/>
              </w:rPr>
              <w:t xml:space="preserve"> </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Loan impairment Charges</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Loan loss rates</w:t>
            </w:r>
          </w:p>
        </w:tc>
      </w:tr>
      <w:tr w:rsidR="000D1659" w:rsidRPr="00491918" w:rsidTr="00FF7A7C">
        <w:trPr>
          <w:trHeight w:val="255"/>
        </w:trPr>
        <w:tc>
          <w:tcPr>
            <w:tcW w:w="30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£m</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r w:rsidRPr="00491918">
              <w:rPr>
                <w:b/>
                <w:color w:val="000000"/>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w:t>
            </w:r>
            <w:r w:rsidRPr="00491918">
              <w:rPr>
                <w:b/>
                <w:color w:val="000000"/>
                <w:sz w:val="16"/>
                <w:vertAlign w:val="superscript"/>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£m</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bps</w:t>
            </w:r>
          </w:p>
        </w:tc>
      </w:tr>
    </w:tbl>
    <w:p w:rsidR="00FF7A7C" w:rsidRPr="00491918" w:rsidRDefault="00FF7A7C"/>
    <w:tbl>
      <w:tblPr>
        <w:tblW w:w="9765" w:type="dxa"/>
        <w:tblLayout w:type="fixed"/>
        <w:tblLook w:val="0000" w:firstRow="0" w:lastRow="0" w:firstColumn="0" w:lastColumn="0" w:noHBand="0" w:noVBand="0"/>
      </w:tblPr>
      <w:tblGrid>
        <w:gridCol w:w="3015"/>
        <w:gridCol w:w="735"/>
        <w:gridCol w:w="1050"/>
        <w:gridCol w:w="1080"/>
        <w:gridCol w:w="945"/>
        <w:gridCol w:w="870"/>
        <w:gridCol w:w="1035"/>
        <w:gridCol w:w="1035"/>
      </w:tblGrid>
      <w:tr w:rsidR="000D1659" w:rsidRPr="00491918" w:rsidTr="00FF7A7C">
        <w:trPr>
          <w:trHeight w:val="255"/>
        </w:trPr>
        <w:tc>
          <w:tcPr>
            <w:tcW w:w="301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Loans and advances to banks</w:t>
            </w:r>
            <w:r w:rsidRPr="00491918">
              <w:rPr>
                <w:color w:val="000000"/>
                <w:sz w:val="16"/>
                <w:vertAlign w:val="superscript"/>
              </w:rPr>
              <w:t xml:space="preserve"> </w:t>
            </w:r>
          </w:p>
        </w:tc>
        <w:tc>
          <w:tcPr>
            <w:tcW w:w="73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5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4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7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b/>
                <w:color w:val="000000"/>
                <w:sz w:val="16"/>
                <w:vertAlign w:val="superscript"/>
              </w:rPr>
              <w:t xml:space="preserve"> </w:t>
            </w:r>
          </w:p>
        </w:tc>
        <w:tc>
          <w:tcPr>
            <w:tcW w:w="1035"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103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Interbank lending</w:t>
            </w:r>
            <w:r w:rsidRPr="00491918">
              <w:rPr>
                <w:b/>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13,946 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35 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13,911 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54 </w:t>
            </w:r>
            <w:r w:rsidRPr="00491918">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0.4 </w:t>
            </w:r>
            <w:r w:rsidRPr="00491918">
              <w:rPr>
                <w:b/>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r>
      <w:tr w:rsidR="000D1659" w:rsidRPr="00491918" w:rsidTr="00FF7A7C">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Cash collateral and settlement balances</w:t>
            </w:r>
            <w:r w:rsidRPr="00491918">
              <w:rPr>
                <w:b/>
                <w:color w:val="000000"/>
                <w:sz w:val="16"/>
                <w:vertAlign w:val="superscript"/>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26,217 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26,217 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r w:rsidRPr="00491918">
              <w:rPr>
                <w:b/>
                <w:color w:val="000000"/>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w:t>
            </w:r>
            <w:r w:rsidRPr="00491918">
              <w:rPr>
                <w:b/>
                <w:color w:val="000000"/>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r>
      <w:tr w:rsidR="000D1659" w:rsidRPr="00491918" w:rsidTr="00FF7A7C">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Loans and advances to customers</w:t>
            </w:r>
            <w:r w:rsidRPr="00491918">
              <w:rPr>
                <w:color w:val="000000"/>
                <w:sz w:val="16"/>
                <w:vertAlign w:val="superscript"/>
              </w:rPr>
              <w:t xml:space="preserve">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 lending</w:t>
            </w:r>
            <w:r w:rsidRPr="00491918">
              <w:rPr>
                <w:b/>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30,344 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155 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30,189 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168 </w:t>
            </w:r>
            <w:r w:rsidRPr="00491918">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0.6 </w:t>
            </w:r>
            <w:r w:rsidRPr="00491918">
              <w:rPr>
                <w:b/>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(13)</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(9)</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Government lending</w:t>
            </w:r>
            <w:r w:rsidRPr="00491918">
              <w:rPr>
                <w:b/>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1,322 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1,322 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r w:rsidRPr="00491918">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w:t>
            </w:r>
            <w:r w:rsidRPr="00491918">
              <w:rPr>
                <w:b/>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Other wholesale lending</w:t>
            </w:r>
            <w:r w:rsidRPr="00491918">
              <w:rPr>
                <w:b/>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11,973 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B251B9">
            <w:pPr>
              <w:jc w:val="right"/>
              <w:rPr>
                <w:b/>
                <w:color w:val="000000"/>
                <w:sz w:val="16"/>
              </w:rPr>
            </w:pPr>
            <w:r w:rsidRPr="00491918">
              <w:rPr>
                <w:b/>
                <w:color w:val="000000"/>
                <w:sz w:val="16"/>
              </w:rPr>
              <w:t>450</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rPr>
            </w:pPr>
            <w:r w:rsidRPr="00491918">
              <w:rPr>
                <w:b/>
                <w:color w:val="000000"/>
                <w:sz w:val="16"/>
              </w:rPr>
              <w:t>11,523</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613 </w:t>
            </w:r>
            <w:r w:rsidRPr="00491918">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5.1 </w:t>
            </w:r>
            <w:r w:rsidRPr="00491918">
              <w:rPr>
                <w:b/>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B251B9">
            <w:pPr>
              <w:jc w:val="right"/>
              <w:rPr>
                <w:b/>
                <w:color w:val="000000"/>
                <w:sz w:val="16"/>
                <w:vertAlign w:val="superscript"/>
              </w:rPr>
            </w:pPr>
            <w:r w:rsidRPr="00491918">
              <w:rPr>
                <w:b/>
                <w:color w:val="000000"/>
                <w:sz w:val="16"/>
              </w:rPr>
              <w:t>192</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B251B9">
            <w:pPr>
              <w:jc w:val="right"/>
              <w:rPr>
                <w:b/>
                <w:color w:val="000000"/>
                <w:sz w:val="16"/>
              </w:rPr>
            </w:pPr>
            <w:r w:rsidRPr="00491918">
              <w:rPr>
                <w:b/>
                <w:color w:val="000000"/>
                <w:sz w:val="16"/>
              </w:rPr>
              <w:t>323</w:t>
            </w:r>
          </w:p>
        </w:tc>
      </w:tr>
      <w:tr w:rsidR="000D1659" w:rsidRPr="00491918" w:rsidTr="00FF7A7C">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Cash collateral and settlement balances</w:t>
            </w:r>
            <w:r w:rsidRPr="00491918">
              <w:rPr>
                <w:b/>
                <w:color w:val="000000"/>
                <w:sz w:val="16"/>
                <w:vertAlign w:val="superscript"/>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103,454 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103,454 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r w:rsidRPr="00491918">
              <w:rPr>
                <w:b/>
                <w:color w:val="000000"/>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w:t>
            </w:r>
            <w:r w:rsidRPr="00491918">
              <w:rPr>
                <w:b/>
                <w:color w:val="000000"/>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w:t>
            </w:r>
          </w:p>
        </w:tc>
      </w:tr>
      <w:tr w:rsidR="000D1659" w:rsidRPr="00491918" w:rsidTr="00FF7A7C">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Total</w:t>
            </w:r>
            <w:r w:rsidRPr="00491918">
              <w:rPr>
                <w:b/>
                <w:color w:val="000000"/>
                <w:sz w:val="16"/>
                <w:vertAlign w:val="superscript"/>
              </w:rPr>
              <w:t xml:space="preserve">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187,256 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7F60BA">
            <w:pPr>
              <w:jc w:val="right"/>
              <w:rPr>
                <w:b/>
                <w:color w:val="000000"/>
                <w:sz w:val="16"/>
              </w:rPr>
            </w:pPr>
            <w:r w:rsidRPr="00491918">
              <w:rPr>
                <w:b/>
                <w:color w:val="000000"/>
                <w:sz w:val="16"/>
              </w:rPr>
              <w:t>640 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7F60BA">
            <w:pPr>
              <w:jc w:val="right"/>
              <w:rPr>
                <w:b/>
                <w:color w:val="000000"/>
                <w:sz w:val="16"/>
              </w:rPr>
            </w:pPr>
            <w:r w:rsidRPr="00491918">
              <w:rPr>
                <w:b/>
                <w:color w:val="000000"/>
                <w:sz w:val="16"/>
              </w:rPr>
              <w:t>186,</w:t>
            </w:r>
            <w:r w:rsidR="007F60BA" w:rsidRPr="00491918">
              <w:rPr>
                <w:b/>
                <w:color w:val="000000"/>
                <w:sz w:val="16"/>
              </w:rPr>
              <w:t>616 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835 </w:t>
            </w:r>
            <w:r w:rsidRPr="00491918">
              <w:rPr>
                <w:b/>
                <w:color w:val="000000"/>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0.4 </w:t>
            </w:r>
            <w:r w:rsidRPr="00491918">
              <w:rPr>
                <w:b/>
                <w:color w:val="000000"/>
                <w:sz w:val="16"/>
                <w:vertAlign w:val="superscript"/>
              </w:rPr>
              <w:t xml:space="preserve"> </w:t>
            </w:r>
          </w:p>
        </w:tc>
        <w:tc>
          <w:tcPr>
            <w:tcW w:w="103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7F60BA">
            <w:pPr>
              <w:jc w:val="right"/>
              <w:rPr>
                <w:b/>
                <w:color w:val="000000"/>
                <w:sz w:val="16"/>
                <w:vertAlign w:val="superscript"/>
              </w:rPr>
            </w:pPr>
            <w:r w:rsidRPr="00491918">
              <w:rPr>
                <w:b/>
                <w:color w:val="000000"/>
                <w:sz w:val="16"/>
              </w:rPr>
              <w:t>179</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7F60BA">
            <w:pPr>
              <w:jc w:val="right"/>
              <w:rPr>
                <w:b/>
                <w:color w:val="000000"/>
                <w:sz w:val="16"/>
              </w:rPr>
            </w:pPr>
            <w:r w:rsidRPr="00491918">
              <w:rPr>
                <w:b/>
                <w:color w:val="000000"/>
                <w:sz w:val="16"/>
              </w:rPr>
              <w:t>19</w:t>
            </w:r>
          </w:p>
        </w:tc>
      </w:tr>
      <w:tr w:rsidR="000D1659" w:rsidRPr="00491918" w:rsidTr="00FF7A7C">
        <w:trPr>
          <w:trHeight w:hRule="exac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rsidTr="00FF7A7C">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As at 31.12.12</w:t>
            </w:r>
            <w:r w:rsidRPr="00491918">
              <w:rPr>
                <w:color w:val="000000"/>
                <w:sz w:val="16"/>
                <w:vertAlign w:val="superscript"/>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FF7A7C">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Loans and advances to banks</w:t>
            </w:r>
            <w:r w:rsidRPr="00491918">
              <w:rPr>
                <w:b/>
                <w:color w:val="000000"/>
                <w:sz w:val="16"/>
                <w:vertAlign w:val="superscript"/>
              </w:rPr>
              <w:t xml:space="preserve">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Interbank lending</w:t>
            </w:r>
            <w:r w:rsidRPr="00491918">
              <w:rPr>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13,763 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41 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13,722 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51 </w:t>
            </w:r>
            <w:r w:rsidRPr="00491918">
              <w:rPr>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0.4 </w:t>
            </w:r>
            <w:r w:rsidRPr="00491918">
              <w:rPr>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41 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30 </w:t>
            </w:r>
          </w:p>
        </w:tc>
      </w:tr>
      <w:tr w:rsidR="000D1659" w:rsidRPr="00491918" w:rsidTr="00FF7A7C">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Cash collateral and settlement balances</w:t>
            </w:r>
            <w:r w:rsidRPr="00491918">
              <w:rPr>
                <w:color w:val="000000"/>
                <w:sz w:val="16"/>
                <w:vertAlign w:val="superscript"/>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23,350 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23,350 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r>
      <w:tr w:rsidR="000D1659" w:rsidRPr="00491918" w:rsidTr="00FF7A7C">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Loans and advances to customers</w:t>
            </w:r>
            <w:r w:rsidRPr="00491918">
              <w:rPr>
                <w:color w:val="000000"/>
                <w:sz w:val="16"/>
                <w:vertAlign w:val="superscript"/>
              </w:rPr>
              <w:t xml:space="preserve">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 lending</w:t>
            </w:r>
            <w:r w:rsidRPr="00491918">
              <w:rPr>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29,546 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205 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29,341 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349 </w:t>
            </w:r>
            <w:r w:rsidRPr="00491918">
              <w:rPr>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1.2 </w:t>
            </w:r>
            <w:r w:rsidRPr="00491918">
              <w:rPr>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160 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54 </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Government lending</w:t>
            </w:r>
            <w:r w:rsidRPr="00491918">
              <w:rPr>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1,369 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1,369 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r>
      <w:tr w:rsidR="000D1659" w:rsidRPr="00491918" w:rsidTr="00FF7A7C">
        <w:trPr>
          <w:trHeight w:val="240"/>
        </w:trPr>
        <w:tc>
          <w:tcPr>
            <w:tcW w:w="30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wholesale lending</w:t>
            </w:r>
            <w:r w:rsidRPr="00491918">
              <w:rPr>
                <w:color w:val="000000"/>
                <w:sz w:val="16"/>
                <w:vertAlign w:val="superscript"/>
              </w:rPr>
              <w:t xml:space="preserve"> </w:t>
            </w:r>
          </w:p>
        </w:tc>
        <w:tc>
          <w:tcPr>
            <w:tcW w:w="7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14,349 </w:t>
            </w:r>
          </w:p>
        </w:tc>
        <w:tc>
          <w:tcPr>
            <w:tcW w:w="105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340 </w:t>
            </w:r>
          </w:p>
        </w:tc>
        <w:tc>
          <w:tcPr>
            <w:tcW w:w="108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14,009 </w:t>
            </w:r>
          </w:p>
        </w:tc>
        <w:tc>
          <w:tcPr>
            <w:tcW w:w="94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368 </w:t>
            </w:r>
            <w:r w:rsidRPr="00491918">
              <w:rPr>
                <w:color w:val="000000"/>
                <w:sz w:val="16"/>
                <w:vertAlign w:val="superscript"/>
              </w:rPr>
              <w:t xml:space="preserve"> </w:t>
            </w:r>
          </w:p>
        </w:tc>
        <w:tc>
          <w:tcPr>
            <w:tcW w:w="87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2.6 </w:t>
            </w:r>
            <w:r w:rsidRPr="00491918">
              <w:rPr>
                <w:color w:val="000000"/>
                <w:sz w:val="16"/>
                <w:vertAlign w:val="superscript"/>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w:t>
            </w:r>
          </w:p>
        </w:tc>
      </w:tr>
      <w:tr w:rsidR="000D1659" w:rsidRPr="00491918" w:rsidTr="00FF7A7C">
        <w:trPr>
          <w:trHeight w:val="240"/>
        </w:trPr>
        <w:tc>
          <w:tcPr>
            <w:tcW w:w="30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Cash collateral and settlement balances</w:t>
            </w:r>
            <w:r w:rsidRPr="00491918">
              <w:rPr>
                <w:color w:val="000000"/>
                <w:sz w:val="16"/>
                <w:vertAlign w:val="superscript"/>
              </w:rPr>
              <w:t xml:space="preserve"> </w:t>
            </w:r>
          </w:p>
        </w:tc>
        <w:tc>
          <w:tcPr>
            <w:tcW w:w="7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61,766 </w:t>
            </w:r>
          </w:p>
        </w:tc>
        <w:tc>
          <w:tcPr>
            <w:tcW w:w="105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c>
          <w:tcPr>
            <w:tcW w:w="108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61,766 </w:t>
            </w:r>
          </w:p>
        </w:tc>
        <w:tc>
          <w:tcPr>
            <w:tcW w:w="94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r w:rsidRPr="00491918">
              <w:rPr>
                <w:color w:val="000000"/>
                <w:sz w:val="16"/>
                <w:vertAlign w:val="superscript"/>
              </w:rPr>
              <w:t xml:space="preserve"> </w:t>
            </w:r>
          </w:p>
        </w:tc>
        <w:tc>
          <w:tcPr>
            <w:tcW w:w="8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r w:rsidRPr="00491918">
              <w:rPr>
                <w:color w:val="000000"/>
                <w:sz w:val="16"/>
                <w:vertAlign w:val="superscript"/>
              </w:rPr>
              <w:t xml:space="preserve"> </w:t>
            </w:r>
          </w:p>
        </w:tc>
        <w:tc>
          <w:tcPr>
            <w:tcW w:w="103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r>
      <w:tr w:rsidR="000D1659" w:rsidRPr="00491918" w:rsidTr="00FF7A7C">
        <w:trPr>
          <w:trHeight w:val="240"/>
        </w:trPr>
        <w:tc>
          <w:tcPr>
            <w:tcW w:w="30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r w:rsidRPr="00491918">
              <w:rPr>
                <w:b/>
                <w:color w:val="000000"/>
                <w:sz w:val="16"/>
                <w:vertAlign w:val="superscript"/>
              </w:rPr>
              <w:t xml:space="preserve"> </w:t>
            </w:r>
          </w:p>
        </w:tc>
        <w:tc>
          <w:tcPr>
            <w:tcW w:w="7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144,143 </w:t>
            </w:r>
          </w:p>
        </w:tc>
        <w:tc>
          <w:tcPr>
            <w:tcW w:w="105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586 </w:t>
            </w:r>
          </w:p>
        </w:tc>
        <w:tc>
          <w:tcPr>
            <w:tcW w:w="108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143,557 </w:t>
            </w:r>
          </w:p>
        </w:tc>
        <w:tc>
          <w:tcPr>
            <w:tcW w:w="94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768 </w:t>
            </w:r>
            <w:r w:rsidRPr="00491918">
              <w:rPr>
                <w:b/>
                <w:color w:val="000000"/>
                <w:sz w:val="16"/>
                <w:vertAlign w:val="superscript"/>
              </w:rPr>
              <w:t xml:space="preserve"> </w:t>
            </w:r>
          </w:p>
        </w:tc>
        <w:tc>
          <w:tcPr>
            <w:tcW w:w="8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0.5 </w:t>
            </w:r>
            <w:r w:rsidRPr="00491918">
              <w:rPr>
                <w:b/>
                <w:color w:val="000000"/>
                <w:sz w:val="16"/>
                <w:vertAlign w:val="superscript"/>
              </w:rPr>
              <w:t xml:space="preserve"> </w:t>
            </w:r>
          </w:p>
        </w:tc>
        <w:tc>
          <w:tcPr>
            <w:tcW w:w="103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192 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13 </w:t>
            </w:r>
          </w:p>
        </w:tc>
      </w:tr>
    </w:tbl>
    <w:p w:rsidR="000D1659" w:rsidRPr="00491918" w:rsidRDefault="000D1659"/>
    <w:p w:rsidR="000D1659" w:rsidRPr="00491918" w:rsidRDefault="000D1659" w:rsidP="00EC729A">
      <w:pPr>
        <w:pStyle w:val="Level1Bullet-BarcRA32"/>
        <w:numPr>
          <w:ilvl w:val="0"/>
          <w:numId w:val="167"/>
        </w:numPr>
        <w:spacing w:before="240"/>
      </w:pPr>
      <w:r w:rsidRPr="00491918">
        <w:t>Investment Bank wholesale loans and advances increased 30% to £186,</w:t>
      </w:r>
      <w:r w:rsidR="007F60BA" w:rsidRPr="00491918">
        <w:t xml:space="preserve">616m </w:t>
      </w:r>
      <w:r w:rsidRPr="00491918">
        <w:t>driven by higher settlement balances offset by a reduction in other wholesale lending</w:t>
      </w:r>
    </w:p>
    <w:p w:rsidR="000D1659" w:rsidRPr="00491918" w:rsidRDefault="000D1659" w:rsidP="00EC729A">
      <w:pPr>
        <w:pStyle w:val="Level1Bullet-BarcRA32"/>
        <w:numPr>
          <w:ilvl w:val="0"/>
          <w:numId w:val="167"/>
        </w:numPr>
        <w:spacing w:before="240"/>
      </w:pPr>
      <w:r w:rsidRPr="00491918">
        <w:t xml:space="preserve">Excluding settlement and cash collateral balances from total loans and advances, the annualised loan loss rate for the Investment Bank </w:t>
      </w:r>
      <w:r w:rsidR="007F60BA" w:rsidRPr="00491918">
        <w:t>increased to</w:t>
      </w:r>
      <w:r w:rsidRPr="00491918">
        <w:t xml:space="preserve"> </w:t>
      </w:r>
      <w:r w:rsidR="007F60BA" w:rsidRPr="00491918">
        <w:t>63</w:t>
      </w:r>
      <w:r w:rsidR="00586D52" w:rsidRPr="00491918">
        <w:t>bps (</w:t>
      </w:r>
      <w:r w:rsidRPr="00491918">
        <w:t>2012: 33bps)</w:t>
      </w:r>
      <w:r w:rsidR="007F60BA" w:rsidRPr="00491918">
        <w:t xml:space="preserve"> due to a charge on a single name exposure within Other wholesale lending</w:t>
      </w:r>
    </w:p>
    <w:p w:rsidR="000D1659" w:rsidRPr="00491918" w:rsidRDefault="000D1659" w:rsidP="00EC729A">
      <w:pPr>
        <w:pStyle w:val="Level1Bullet-BarcRA32"/>
        <w:numPr>
          <w:ilvl w:val="0"/>
          <w:numId w:val="167"/>
        </w:numPr>
        <w:spacing w:before="240"/>
      </w:pPr>
      <w:r w:rsidRPr="00491918">
        <w:t xml:space="preserve">Included within corporate lending and other wholesale lending portfolios are £1,280m (2012: £1,336m) of loans backed by retail mortgage collateral </w:t>
      </w: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rPr>
          <w:b/>
        </w:rPr>
      </w:pPr>
    </w:p>
    <w:p w:rsidR="000D1659" w:rsidRPr="00491918" w:rsidRDefault="000D1659" w:rsidP="000D1659">
      <w:pPr>
        <w:pStyle w:val="NoteSourceText-BarcRA4"/>
        <w:ind w:left="0" w:firstLine="0"/>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pPr>
    </w:p>
    <w:p w:rsidR="000D1659" w:rsidRPr="00491918" w:rsidRDefault="000D1659" w:rsidP="000D1659">
      <w:pPr>
        <w:pStyle w:val="NoteSourceText-BarcRA4"/>
        <w:ind w:left="0" w:firstLine="0"/>
      </w:pPr>
    </w:p>
    <w:p w:rsidR="000D1659" w:rsidRPr="00491918" w:rsidRDefault="000D1659">
      <w:pPr>
        <w:spacing w:line="14" w:lineRule="exact"/>
      </w:pPr>
    </w:p>
    <w:p w:rsidR="0007202F" w:rsidRPr="00491918" w:rsidRDefault="0007202F" w:rsidP="0007202F">
      <w:pPr>
        <w:pStyle w:val="HeadingLevel1-BarcRA35"/>
        <w:rPr>
          <w:lang w:val="en-GB"/>
        </w:rPr>
      </w:pPr>
    </w:p>
    <w:p w:rsidR="00DA356B" w:rsidRPr="00491918" w:rsidRDefault="00DA356B" w:rsidP="00DA356B">
      <w:pPr>
        <w:pStyle w:val="BodyText-BarcRA49"/>
      </w:pPr>
    </w:p>
    <w:p w:rsidR="0007202F" w:rsidRPr="00491918" w:rsidRDefault="0007202F" w:rsidP="0007202F">
      <w:pPr>
        <w:pStyle w:val="HeadingLevel1-BarcRA35"/>
        <w:rPr>
          <w:lang w:val="en-GB"/>
        </w:rPr>
      </w:pPr>
      <w:r w:rsidRPr="00491918">
        <w:rPr>
          <w:lang w:val="en-GB"/>
        </w:rPr>
        <w:t xml:space="preserve">Credit </w:t>
      </w:r>
      <w:r w:rsidRPr="00491918">
        <w:t>Risk</w:t>
      </w:r>
    </w:p>
    <w:p w:rsidR="000D1659" w:rsidRPr="00491918" w:rsidRDefault="000D1659" w:rsidP="008D6001">
      <w:pPr>
        <w:pStyle w:val="HeadingLevel2-BarcRA19"/>
        <w:outlineLvl w:val="0"/>
      </w:pPr>
      <w:r w:rsidRPr="00491918">
        <w:t>Wholesale Forbearance</w:t>
      </w:r>
    </w:p>
    <w:p w:rsidR="000D1659" w:rsidRPr="00491918" w:rsidRDefault="000D1659" w:rsidP="007A5948">
      <w:pPr>
        <w:pStyle w:val="Level1Bullet-BarcRA331"/>
      </w:pPr>
      <w:r w:rsidRPr="00491918">
        <w:t>Wholesale client relationships are individually managed and lending decisions are made with reference to specific circumstances and on bespoke terms</w:t>
      </w:r>
    </w:p>
    <w:p w:rsidR="000D1659" w:rsidRPr="00491918" w:rsidRDefault="000D1659" w:rsidP="007A5948">
      <w:pPr>
        <w:pStyle w:val="Level1Bullet-BarcRA331"/>
      </w:pPr>
      <w:r w:rsidRPr="00491918">
        <w:lastRenderedPageBreak/>
        <w:t>Forbearance occurs when Barclays, for reasons relating to the actual or perceived financial difficulty of an obligor, grants a concession below current Barclays standard terms (i.e. lending criteria below our current lending terms), that would not normally be considered. This includes all troubled debt restructures granted below our standard rates</w:t>
      </w:r>
    </w:p>
    <w:p w:rsidR="000D1659" w:rsidRPr="00491918" w:rsidRDefault="000D1659" w:rsidP="007A5948">
      <w:pPr>
        <w:pStyle w:val="Level1Bullet-BarcRA331"/>
      </w:pPr>
      <w:r w:rsidRPr="00491918">
        <w:t>Personal and Trusts includes Wealth</w:t>
      </w:r>
      <w:r w:rsidR="00C3775D" w:rsidRPr="00491918">
        <w:rPr>
          <w:lang w:val="en-GB"/>
        </w:rPr>
        <w:t xml:space="preserve"> and Investment Management</w:t>
      </w:r>
      <w:r w:rsidRPr="00491918">
        <w:t xml:space="preserve"> clients that are high net worth individuals who organise their affairs through funds and trusts</w:t>
      </w:r>
    </w:p>
    <w:p w:rsidR="000D1659" w:rsidRPr="00491918" w:rsidRDefault="000D1659" w:rsidP="000D1659">
      <w:pPr>
        <w:pStyle w:val="Level1Bullet-BarcRA331"/>
      </w:pPr>
      <w:r w:rsidRPr="00491918">
        <w:t>Loan impairment on forbearance cases amounted to £</w:t>
      </w:r>
      <w:r w:rsidRPr="00491918">
        <w:rPr>
          <w:lang w:val="en-GB"/>
        </w:rPr>
        <w:t>1,005</w:t>
      </w:r>
      <w:r w:rsidRPr="00491918">
        <w:t xml:space="preserve">m </w:t>
      </w:r>
      <w:r w:rsidRPr="00491918">
        <w:rPr>
          <w:lang w:val="en-GB"/>
        </w:rPr>
        <w:t>(2012: £1,149m)</w:t>
      </w:r>
      <w:r w:rsidRPr="00491918">
        <w:t xml:space="preserve">, which represented </w:t>
      </w:r>
      <w:r w:rsidRPr="00491918">
        <w:rPr>
          <w:lang w:val="en-GB"/>
        </w:rPr>
        <w:t>26</w:t>
      </w:r>
      <w:r w:rsidRPr="00491918">
        <w:t>%</w:t>
      </w:r>
      <w:r w:rsidRPr="00491918">
        <w:rPr>
          <w:lang w:val="en-GB"/>
        </w:rPr>
        <w:t xml:space="preserve"> (2012: 27%) </w:t>
      </w:r>
      <w:r w:rsidRPr="00491918">
        <w:t>of total forbearance balances</w:t>
      </w:r>
    </w:p>
    <w:p w:rsidR="000D1659" w:rsidRPr="00491918" w:rsidRDefault="000D1659" w:rsidP="000D1659">
      <w:pPr>
        <w:pStyle w:val="Level1Bullet-BarcRA331"/>
      </w:pPr>
      <w:r w:rsidRPr="00491918">
        <w:rPr>
          <w:lang w:val="en-GB"/>
        </w:rPr>
        <w:t xml:space="preserve">Maturity </w:t>
      </w:r>
      <w:r w:rsidRPr="00491918">
        <w:t>date extension accounted for the largest proportion of forbearance recognised, followed by changes to cashflow profile other than maturity extension</w:t>
      </w:r>
      <w:r w:rsidRPr="00491918">
        <w:rPr>
          <w:lang w:val="en-GB"/>
        </w:rPr>
        <w:t xml:space="preserve"> and</w:t>
      </w:r>
      <w:r w:rsidRPr="00491918">
        <w:t xml:space="preserve"> adjustments to or non-enforcement of covenants</w:t>
      </w:r>
    </w:p>
    <w:p w:rsidR="000D1659" w:rsidRPr="00491918" w:rsidRDefault="000D1659" w:rsidP="000D1659">
      <w:pPr>
        <w:pStyle w:val="Level1Bullet-BarcRA331"/>
      </w:pPr>
      <w:r w:rsidRPr="00491918">
        <w:t xml:space="preserve">Corporate borrowers accounted for </w:t>
      </w:r>
      <w:r w:rsidRPr="00491918">
        <w:rPr>
          <w:lang w:val="en-GB"/>
        </w:rPr>
        <w:t>86</w:t>
      </w:r>
      <w:r w:rsidRPr="00491918">
        <w:t xml:space="preserve">% </w:t>
      </w:r>
      <w:r w:rsidRPr="00491918">
        <w:rPr>
          <w:lang w:val="en-GB"/>
        </w:rPr>
        <w:t xml:space="preserve">(2012: 89%) </w:t>
      </w:r>
      <w:r w:rsidRPr="00491918">
        <w:t xml:space="preserve">of balances and </w:t>
      </w:r>
      <w:r w:rsidRPr="00491918">
        <w:rPr>
          <w:lang w:val="en-GB"/>
        </w:rPr>
        <w:t>94</w:t>
      </w:r>
      <w:r w:rsidRPr="00491918">
        <w:t xml:space="preserve">% </w:t>
      </w:r>
      <w:r w:rsidRPr="00491918">
        <w:rPr>
          <w:lang w:val="en-GB"/>
        </w:rPr>
        <w:t xml:space="preserve">(2012: 95%) </w:t>
      </w:r>
      <w:r w:rsidRPr="00491918">
        <w:t>of impairment booked to forbearance exposures at 3</w:t>
      </w:r>
      <w:r w:rsidRPr="00491918">
        <w:rPr>
          <w:lang w:val="en-GB"/>
        </w:rPr>
        <w:t xml:space="preserve">0 June </w:t>
      </w:r>
      <w:r w:rsidRPr="00491918">
        <w:t>201</w:t>
      </w:r>
      <w:r w:rsidRPr="00491918">
        <w:rPr>
          <w:lang w:val="en-GB"/>
        </w:rPr>
        <w:t>3</w:t>
      </w:r>
      <w:r w:rsidRPr="00491918">
        <w:t xml:space="preserve">, with impairment representing </w:t>
      </w:r>
      <w:r w:rsidRPr="00491918">
        <w:rPr>
          <w:lang w:val="en-GB"/>
        </w:rPr>
        <w:t>28</w:t>
      </w:r>
      <w:r w:rsidRPr="00491918">
        <w:t xml:space="preserve">% </w:t>
      </w:r>
      <w:r w:rsidRPr="00491918">
        <w:rPr>
          <w:lang w:val="en-GB"/>
        </w:rPr>
        <w:t xml:space="preserve">(2012: 29%) </w:t>
      </w:r>
      <w:r w:rsidRPr="00491918">
        <w:t>of forbearance balances</w:t>
      </w:r>
    </w:p>
    <w:p w:rsidR="000D1659" w:rsidRPr="00491918" w:rsidRDefault="000D1659" w:rsidP="000D1659">
      <w:pPr>
        <w:pStyle w:val="Level1Bullet-BarcRA331"/>
      </w:pPr>
      <w:r w:rsidRPr="00491918">
        <w:t>Corporate Bank</w:t>
      </w:r>
      <w:r w:rsidRPr="00491918">
        <w:rPr>
          <w:lang w:val="en-GB"/>
        </w:rPr>
        <w:t>ing</w:t>
      </w:r>
      <w:r w:rsidRPr="00491918">
        <w:t xml:space="preserve"> accounted for the single largest proportion of overall </w:t>
      </w:r>
      <w:r w:rsidRPr="00491918">
        <w:rPr>
          <w:lang w:val="en-GB"/>
        </w:rPr>
        <w:t>Wholesale</w:t>
      </w:r>
      <w:r w:rsidRPr="00491918">
        <w:t xml:space="preserve"> forbearance, with forbearance exposures concentrated in Western Europe and particularly Spain, which accounted for </w:t>
      </w:r>
      <w:r w:rsidRPr="00491918">
        <w:rPr>
          <w:lang w:val="en-GB"/>
        </w:rPr>
        <w:t>21</w:t>
      </w:r>
      <w:r w:rsidRPr="00491918">
        <w:t>%</w:t>
      </w:r>
      <w:r w:rsidRPr="00491918">
        <w:rPr>
          <w:lang w:val="en-GB"/>
        </w:rPr>
        <w:t xml:space="preserve"> (2012: 29%)</w:t>
      </w:r>
      <w:r w:rsidRPr="00491918">
        <w:t xml:space="preserve"> of total </w:t>
      </w:r>
      <w:r w:rsidRPr="00491918">
        <w:rPr>
          <w:lang w:val="en-GB"/>
        </w:rPr>
        <w:t>Wholesale</w:t>
      </w:r>
      <w:r w:rsidRPr="00491918">
        <w:t xml:space="preserve"> forbearance balances and </w:t>
      </w:r>
      <w:r w:rsidRPr="00491918">
        <w:rPr>
          <w:lang w:val="en-GB"/>
        </w:rPr>
        <w:t>43</w:t>
      </w:r>
      <w:r w:rsidRPr="00491918">
        <w:t>%</w:t>
      </w:r>
      <w:r w:rsidRPr="00491918">
        <w:rPr>
          <w:lang w:val="en-GB"/>
        </w:rPr>
        <w:t xml:space="preserve"> (2012: 45%)</w:t>
      </w:r>
      <w:r w:rsidRPr="00491918">
        <w:t xml:space="preserve"> of total impairment booked to forbearance exposures at 3</w:t>
      </w:r>
      <w:r w:rsidRPr="00491918">
        <w:rPr>
          <w:lang w:val="en-GB"/>
        </w:rPr>
        <w:t>0 June</w:t>
      </w:r>
      <w:r w:rsidRPr="00491918">
        <w:t xml:space="preserve"> 201</w:t>
      </w:r>
      <w:r w:rsidRPr="00491918">
        <w:rPr>
          <w:lang w:val="en-GB"/>
        </w:rPr>
        <w:t>3</w:t>
      </w:r>
    </w:p>
    <w:p w:rsidR="000D1659" w:rsidRPr="00491918" w:rsidRDefault="000D1659"/>
    <w:tbl>
      <w:tblPr>
        <w:tblW w:w="0" w:type="auto"/>
        <w:tblLayout w:type="fixed"/>
        <w:tblLook w:val="0000" w:firstRow="0" w:lastRow="0" w:firstColumn="0" w:lastColumn="0" w:noHBand="0" w:noVBand="0"/>
      </w:tblPr>
      <w:tblGrid>
        <w:gridCol w:w="4470"/>
        <w:gridCol w:w="1035"/>
        <w:gridCol w:w="1005"/>
        <w:gridCol w:w="1065"/>
        <w:gridCol w:w="1035"/>
        <w:gridCol w:w="1035"/>
      </w:tblGrid>
      <w:tr w:rsidR="00C10958" w:rsidRPr="00491918" w:rsidTr="00C10958">
        <w:trPr>
          <w:trHeight w:val="233"/>
        </w:trPr>
        <w:tc>
          <w:tcPr>
            <w:tcW w:w="5505" w:type="dxa"/>
            <w:gridSpan w:val="2"/>
            <w:tcBorders>
              <w:top w:val="nil"/>
              <w:left w:val="nil"/>
              <w:bottom w:val="nil"/>
              <w:right w:val="nil"/>
            </w:tcBorders>
            <w:shd w:val="clear" w:color="auto" w:fill="FFFFFF"/>
            <w:tcMar>
              <w:left w:w="36" w:type="dxa"/>
              <w:right w:w="36" w:type="dxa"/>
            </w:tcMar>
            <w:vAlign w:val="center"/>
          </w:tcPr>
          <w:p w:rsidR="00C10958" w:rsidRPr="00491918" w:rsidRDefault="00C10958">
            <w:r w:rsidRPr="00491918">
              <w:rPr>
                <w:b/>
                <w:color w:val="000000"/>
                <w:sz w:val="18"/>
              </w:rPr>
              <w:t>Wholesale forbearance reporting split by exposure class</w:t>
            </w:r>
          </w:p>
          <w:p w:rsidR="00C10958" w:rsidRPr="00491918" w:rsidRDefault="00C10958">
            <w:pPr>
              <w:rPr>
                <w:b/>
                <w:color w:val="000000"/>
                <w:sz w:val="18"/>
              </w:rPr>
            </w:pPr>
          </w:p>
        </w:tc>
        <w:tc>
          <w:tcPr>
            <w:tcW w:w="1005" w:type="dxa"/>
            <w:tcBorders>
              <w:top w:val="nil"/>
              <w:left w:val="nil"/>
              <w:bottom w:val="nil"/>
              <w:right w:val="nil"/>
            </w:tcBorders>
            <w:shd w:val="clear" w:color="auto" w:fill="FFFFFF"/>
            <w:tcMar>
              <w:left w:w="36" w:type="dxa"/>
              <w:right w:w="36" w:type="dxa"/>
            </w:tcMar>
            <w:vAlign w:val="center"/>
          </w:tcPr>
          <w:p w:rsidR="00C10958" w:rsidRPr="00491918" w:rsidRDefault="00C10958">
            <w:pPr>
              <w:rPr>
                <w:b/>
                <w:color w:val="000000"/>
                <w:sz w:val="18"/>
              </w:rPr>
            </w:pPr>
            <w:r w:rsidRPr="00491918">
              <w:rPr>
                <w:b/>
                <w:color w:val="000000"/>
                <w:sz w:val="18"/>
              </w:rPr>
              <w:t xml:space="preserve"> </w:t>
            </w:r>
          </w:p>
        </w:tc>
        <w:tc>
          <w:tcPr>
            <w:tcW w:w="1065" w:type="dxa"/>
            <w:tcBorders>
              <w:top w:val="nil"/>
              <w:left w:val="nil"/>
              <w:bottom w:val="nil"/>
              <w:right w:val="nil"/>
            </w:tcBorders>
            <w:shd w:val="clear" w:color="auto" w:fill="FFFFFF"/>
            <w:tcMar>
              <w:left w:w="36" w:type="dxa"/>
              <w:right w:w="36" w:type="dxa"/>
            </w:tcMar>
            <w:vAlign w:val="center"/>
          </w:tcPr>
          <w:p w:rsidR="00C10958" w:rsidRPr="00491918" w:rsidRDefault="00C10958">
            <w:pPr>
              <w:rPr>
                <w:b/>
                <w:color w:val="000000"/>
                <w:sz w:val="18"/>
              </w:rPr>
            </w:pPr>
            <w:r w:rsidRPr="00491918">
              <w:rPr>
                <w:b/>
                <w:color w:val="000000"/>
                <w:sz w:val="18"/>
              </w:rPr>
              <w:t xml:space="preserve"> </w:t>
            </w:r>
          </w:p>
        </w:tc>
        <w:tc>
          <w:tcPr>
            <w:tcW w:w="1035" w:type="dxa"/>
            <w:tcBorders>
              <w:top w:val="nil"/>
              <w:left w:val="nil"/>
              <w:bottom w:val="nil"/>
              <w:right w:val="nil"/>
            </w:tcBorders>
            <w:shd w:val="clear" w:color="auto" w:fill="FFFFFF"/>
            <w:tcMar>
              <w:left w:w="36" w:type="dxa"/>
              <w:right w:w="36" w:type="dxa"/>
            </w:tcMar>
            <w:vAlign w:val="center"/>
          </w:tcPr>
          <w:p w:rsidR="00C10958" w:rsidRPr="00491918" w:rsidRDefault="00C10958">
            <w:pPr>
              <w:rPr>
                <w:b/>
                <w:color w:val="000000"/>
                <w:sz w:val="18"/>
              </w:rPr>
            </w:pPr>
            <w:r w:rsidRPr="00491918">
              <w:rPr>
                <w:b/>
                <w:color w:val="000000"/>
                <w:sz w:val="18"/>
              </w:rPr>
              <w:t xml:space="preserve"> </w:t>
            </w:r>
          </w:p>
        </w:tc>
        <w:tc>
          <w:tcPr>
            <w:tcW w:w="1035" w:type="dxa"/>
            <w:tcBorders>
              <w:top w:val="nil"/>
              <w:left w:val="nil"/>
              <w:bottom w:val="nil"/>
              <w:right w:val="nil"/>
            </w:tcBorders>
            <w:shd w:val="clear" w:color="auto" w:fill="FFFFFF"/>
            <w:tcMar>
              <w:left w:w="36" w:type="dxa"/>
              <w:right w:w="36" w:type="dxa"/>
            </w:tcMar>
            <w:vAlign w:val="center"/>
          </w:tcPr>
          <w:p w:rsidR="00C10958" w:rsidRPr="00491918" w:rsidRDefault="00C10958">
            <w:pPr>
              <w:rPr>
                <w:b/>
                <w:color w:val="000000"/>
                <w:sz w:val="18"/>
              </w:rPr>
            </w:pPr>
            <w:r w:rsidRPr="00491918">
              <w:rPr>
                <w:b/>
                <w:color w:val="000000"/>
                <w:sz w:val="18"/>
              </w:rPr>
              <w:t xml:space="preserve"> </w:t>
            </w:r>
          </w:p>
        </w:tc>
      </w:tr>
      <w:tr w:rsidR="000D1659" w:rsidRPr="00491918">
        <w:trPr>
          <w:trHeight w:val="495"/>
        </w:trPr>
        <w:tc>
          <w:tcPr>
            <w:tcW w:w="44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Sovereign</w:t>
            </w:r>
          </w:p>
        </w:tc>
        <w:tc>
          <w:tcPr>
            <w:tcW w:w="10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Financial Institutions</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Corporate</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Personal and  Trusts</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tc>
      </w:tr>
      <w:tr w:rsidR="000D1659" w:rsidRPr="00491918">
        <w:trPr>
          <w:trHeight w:val="255"/>
        </w:trPr>
        <w:tc>
          <w:tcPr>
            <w:tcW w:w="44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C10958">
            <w:pPr>
              <w:rPr>
                <w:b/>
                <w:color w:val="000000"/>
                <w:sz w:val="16"/>
              </w:rPr>
            </w:pPr>
            <w:r w:rsidRPr="00491918">
              <w:rPr>
                <w:b/>
                <w:color w:val="000000"/>
                <w:sz w:val="16"/>
              </w:rPr>
              <w:t>As at 30.06.13</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10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bl>
    <w:p w:rsidR="00FF7A7C" w:rsidRPr="00491918" w:rsidRDefault="00FF7A7C"/>
    <w:tbl>
      <w:tblPr>
        <w:tblW w:w="0" w:type="auto"/>
        <w:tblLayout w:type="fixed"/>
        <w:tblLook w:val="0000" w:firstRow="0" w:lastRow="0" w:firstColumn="0" w:lastColumn="0" w:noHBand="0" w:noVBand="0"/>
      </w:tblPr>
      <w:tblGrid>
        <w:gridCol w:w="4470"/>
        <w:gridCol w:w="1035"/>
        <w:gridCol w:w="1005"/>
        <w:gridCol w:w="1065"/>
        <w:gridCol w:w="1035"/>
        <w:gridCol w:w="1035"/>
      </w:tblGrid>
      <w:tr w:rsidR="000D1659" w:rsidRPr="00491918" w:rsidTr="00FF7A7C">
        <w:trPr>
          <w:trHeight w:val="255"/>
        </w:trPr>
        <w:tc>
          <w:tcPr>
            <w:tcW w:w="447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reduced contractual cashflows</w:t>
            </w:r>
          </w:p>
        </w:tc>
        <w:tc>
          <w:tcPr>
            <w:tcW w:w="103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c>
          <w:tcPr>
            <w:tcW w:w="10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16 </w:t>
            </w:r>
          </w:p>
        </w:tc>
        <w:tc>
          <w:tcPr>
            <w:tcW w:w="10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433 </w:t>
            </w:r>
          </w:p>
        </w:tc>
        <w:tc>
          <w:tcPr>
            <w:tcW w:w="103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3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452 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maturity date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109 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1,194 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68 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1,376 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changed cashflow profile (other than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612 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23 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687 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Restructure: payment other than cash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41 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Change in security</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38 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Adjustments/ non enforced covenant</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508 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125 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650 </w:t>
            </w:r>
          </w:p>
        </w:tc>
      </w:tr>
      <w:tr w:rsidR="000D1659" w:rsidRPr="00491918">
        <w:trPr>
          <w:trHeight w:val="255"/>
        </w:trPr>
        <w:tc>
          <w:tcPr>
            <w:tcW w:w="4470"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0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537 </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130 </w:t>
            </w:r>
          </w:p>
        </w:tc>
        <w:tc>
          <w:tcPr>
            <w:tcW w:w="1035" w:type="dxa"/>
            <w:tcBorders>
              <w:top w:val="nil"/>
              <w:left w:val="nil"/>
              <w:bottom w:val="single" w:sz="6" w:space="0" w:color="C0C0C0"/>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668 </w:t>
            </w:r>
          </w:p>
        </w:tc>
      </w:tr>
      <w:tr w:rsidR="000D1659" w:rsidRPr="00491918">
        <w:trPr>
          <w:trHeight w:val="255"/>
        </w:trPr>
        <w:tc>
          <w:tcPr>
            <w:tcW w:w="4470"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24 </w:t>
            </w:r>
          </w:p>
        </w:tc>
        <w:tc>
          <w:tcPr>
            <w:tcW w:w="100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179 </w:t>
            </w:r>
          </w:p>
        </w:tc>
        <w:tc>
          <w:tcPr>
            <w:tcW w:w="106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3,354 </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355 </w:t>
            </w:r>
          </w:p>
        </w:tc>
        <w:tc>
          <w:tcPr>
            <w:tcW w:w="1035" w:type="dxa"/>
            <w:tcBorders>
              <w:top w:val="single" w:sz="6" w:space="0" w:color="C0C0C0"/>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3,912 </w:t>
            </w:r>
          </w:p>
        </w:tc>
      </w:tr>
      <w:tr w:rsidR="000D1659" w:rsidRPr="00491918">
        <w:trPr>
          <w:trHeight w:hRule="exac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r>
      <w:tr w:rsidR="000D1659" w:rsidRPr="00491918">
        <w:trPr>
          <w:trHeight w:val="255"/>
        </w:trPr>
        <w:tc>
          <w:tcPr>
            <w:tcW w:w="44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As at 31.12.12</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10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55"/>
        </w:trPr>
        <w:tc>
          <w:tcPr>
            <w:tcW w:w="44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reduced contractual cashflows</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0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405 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425 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maturity date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1,412 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1,557 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changed cashflow profile (other than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46 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876 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953 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Restructure: payment other than cash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71 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72 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Change in security</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76 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84 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Adjustments/ non enforced covenant</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626 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128 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771 </w:t>
            </w:r>
          </w:p>
        </w:tc>
      </w:tr>
      <w:tr w:rsidR="000D1659" w:rsidRPr="00491918">
        <w:trPr>
          <w:trHeight w:val="255"/>
        </w:trPr>
        <w:tc>
          <w:tcPr>
            <w:tcW w:w="4470"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0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318 </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74 </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392 </w:t>
            </w:r>
          </w:p>
        </w:tc>
      </w:tr>
      <w:tr w:rsidR="000D1659" w:rsidRPr="00491918">
        <w:trPr>
          <w:trHeight w:val="255"/>
        </w:trPr>
        <w:tc>
          <w:tcPr>
            <w:tcW w:w="4470"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24 </w:t>
            </w:r>
          </w:p>
        </w:tc>
        <w:tc>
          <w:tcPr>
            <w:tcW w:w="100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176 </w:t>
            </w:r>
          </w:p>
        </w:tc>
        <w:tc>
          <w:tcPr>
            <w:tcW w:w="106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3,784 </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270 </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4,254 </w:t>
            </w:r>
          </w:p>
        </w:tc>
      </w:tr>
      <w:tr w:rsidR="000D1659" w:rsidRPr="00491918">
        <w:trPr>
          <w:trHeight w:hRule="exac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r>
      <w:tr w:rsidR="000D1659" w:rsidRPr="00491918">
        <w:trPr>
          <w:trHeight w:hRule="exac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r>
      <w:tr w:rsidR="000D1659" w:rsidRPr="00491918" w:rsidTr="002A2490">
        <w:trPr>
          <w:trHeight w:hRule="exact" w:val="1770"/>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p w:rsidR="00DA356B" w:rsidRPr="00491918" w:rsidRDefault="00DA356B">
            <w:pPr>
              <w:rPr>
                <w:b/>
                <w:color w:val="000000"/>
                <w:sz w:val="16"/>
              </w:rPr>
            </w:pPr>
          </w:p>
          <w:p w:rsidR="00DA356B" w:rsidRPr="00491918" w:rsidRDefault="00DA356B">
            <w:pPr>
              <w:rPr>
                <w:b/>
                <w:color w:val="000000"/>
                <w:sz w:val="16"/>
              </w:rPr>
            </w:pPr>
          </w:p>
          <w:p w:rsidR="00DA356B" w:rsidRPr="00491918" w:rsidRDefault="00DA356B">
            <w:pPr>
              <w:rPr>
                <w:b/>
                <w:color w:val="000000"/>
                <w:sz w:val="16"/>
              </w:rPr>
            </w:pPr>
          </w:p>
          <w:p w:rsidR="00DA356B" w:rsidRPr="00491918" w:rsidRDefault="00DA356B">
            <w:pPr>
              <w:rPr>
                <w:color w:val="000000"/>
                <w:sz w:val="16"/>
              </w:rPr>
            </w:pP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C3775D" w:rsidRPr="00491918" w:rsidRDefault="00C3775D">
            <w:pPr>
              <w:rPr>
                <w:b/>
                <w:color w:val="000000"/>
                <w:sz w:val="16"/>
              </w:rPr>
            </w:pPr>
          </w:p>
          <w:p w:rsidR="00DA356B" w:rsidRPr="00491918" w:rsidRDefault="00DA356B" w:rsidP="0007202F">
            <w:pPr>
              <w:pStyle w:val="HeadingLevel1-BarcRA35"/>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p w:rsidR="000D1659" w:rsidRPr="00491918" w:rsidRDefault="000D1659">
            <w:pPr>
              <w:rPr>
                <w:color w:val="000000"/>
                <w:sz w:val="16"/>
              </w:rPr>
            </w:pPr>
            <w:r w:rsidRPr="00491918">
              <w:rPr>
                <w:b/>
                <w:color w:val="000000"/>
                <w:sz w:val="16"/>
              </w:rPr>
              <w:t>Wholesale forbearance reporting split by business unit</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C10958">
        <w:trPr>
          <w:trHeight w:val="630"/>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Corporate Banking</w:t>
            </w:r>
          </w:p>
        </w:tc>
        <w:tc>
          <w:tcPr>
            <w:tcW w:w="10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Investment Bank</w:t>
            </w:r>
          </w:p>
        </w:tc>
        <w:tc>
          <w:tcPr>
            <w:tcW w:w="106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Wealth &amp; Investment Management</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Africa RBB</w:t>
            </w:r>
          </w:p>
        </w:tc>
        <w:tc>
          <w:tcPr>
            <w:tcW w:w="1035" w:type="dxa"/>
            <w:tcBorders>
              <w:top w:val="nil"/>
              <w:left w:val="nil"/>
              <w:bottom w:val="nil"/>
              <w:right w:val="nil"/>
            </w:tcBorders>
            <w:shd w:val="clear" w:color="auto" w:fill="FFFFFF"/>
            <w:tcMar>
              <w:left w:w="36" w:type="dxa"/>
              <w:right w:w="36" w:type="dxa"/>
            </w:tcMar>
            <w:vAlign w:val="bottom"/>
          </w:tcPr>
          <w:p w:rsidR="000D1659" w:rsidRPr="00491918" w:rsidRDefault="000D1659" w:rsidP="00C10958">
            <w:pPr>
              <w:jc w:val="right"/>
              <w:rPr>
                <w:b/>
                <w:color w:val="000000"/>
                <w:sz w:val="16"/>
              </w:rPr>
            </w:pPr>
            <w:r w:rsidRPr="00491918">
              <w:rPr>
                <w:b/>
                <w:color w:val="000000"/>
                <w:sz w:val="16"/>
              </w:rPr>
              <w:t>Total</w:t>
            </w:r>
          </w:p>
        </w:tc>
      </w:tr>
      <w:tr w:rsidR="000D1659" w:rsidRPr="00491918">
        <w:trPr>
          <w:trHeight w:val="255"/>
        </w:trPr>
        <w:tc>
          <w:tcPr>
            <w:tcW w:w="44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C10958">
            <w:pPr>
              <w:rPr>
                <w:b/>
                <w:color w:val="000000"/>
                <w:sz w:val="16"/>
              </w:rPr>
            </w:pPr>
            <w:r w:rsidRPr="00491918">
              <w:rPr>
                <w:b/>
                <w:color w:val="000000"/>
                <w:sz w:val="16"/>
              </w:rPr>
              <w:t>As at 30.06.13</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0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£m</w:t>
            </w:r>
          </w:p>
        </w:tc>
      </w:tr>
      <w:tr w:rsidR="000D1659" w:rsidRPr="00491918">
        <w:trPr>
          <w:trHeight w:val="255"/>
        </w:trPr>
        <w:tc>
          <w:tcPr>
            <w:tcW w:w="44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Restructure: reduced contractual cashflows</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325 </w:t>
            </w:r>
          </w:p>
        </w:tc>
        <w:tc>
          <w:tcPr>
            <w:tcW w:w="10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103 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25 </w:t>
            </w:r>
          </w:p>
        </w:tc>
        <w:tc>
          <w:tcPr>
            <w:tcW w:w="103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453 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Restructure: maturity date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775 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352 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135 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113 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1,375 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Restructure: changed cashflow profile (other than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428 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116 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75 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68 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687 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lastRenderedPageBreak/>
              <w:t>Restructure: payment other than cash (e.g. debt to equity)</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41 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Change in security</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39 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Adjustments/ non enforced covenant</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296 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73 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279 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3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649 </w:t>
            </w:r>
          </w:p>
        </w:tc>
      </w:tr>
      <w:tr w:rsidR="000D1659" w:rsidRPr="00491918">
        <w:trPr>
          <w:trHeight w:val="255"/>
        </w:trPr>
        <w:tc>
          <w:tcPr>
            <w:tcW w:w="4470"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Other</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377 </w:t>
            </w:r>
          </w:p>
        </w:tc>
        <w:tc>
          <w:tcPr>
            <w:tcW w:w="100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279 </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12 </w:t>
            </w:r>
          </w:p>
        </w:tc>
        <w:tc>
          <w:tcPr>
            <w:tcW w:w="1035" w:type="dxa"/>
            <w:tcBorders>
              <w:top w:val="nil"/>
              <w:left w:val="nil"/>
              <w:bottom w:val="single" w:sz="6" w:space="0" w:color="C0C0C0"/>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668 </w:t>
            </w:r>
          </w:p>
        </w:tc>
      </w:tr>
      <w:tr w:rsidR="000D1659" w:rsidRPr="00491918">
        <w:trPr>
          <w:trHeight w:val="255"/>
        </w:trPr>
        <w:tc>
          <w:tcPr>
            <w:tcW w:w="4470"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2,260 </w:t>
            </w:r>
          </w:p>
        </w:tc>
        <w:tc>
          <w:tcPr>
            <w:tcW w:w="100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651 </w:t>
            </w:r>
          </w:p>
        </w:tc>
        <w:tc>
          <w:tcPr>
            <w:tcW w:w="106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781 </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220 </w:t>
            </w:r>
          </w:p>
        </w:tc>
        <w:tc>
          <w:tcPr>
            <w:tcW w:w="1035" w:type="dxa"/>
            <w:tcBorders>
              <w:top w:val="single" w:sz="6" w:space="0" w:color="C0C0C0"/>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3,912 </w:t>
            </w:r>
          </w:p>
        </w:tc>
      </w:tr>
      <w:tr w:rsidR="000D1659" w:rsidRPr="00491918">
        <w:trPr>
          <w:trHeight w:hRule="exac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55"/>
        </w:trPr>
        <w:tc>
          <w:tcPr>
            <w:tcW w:w="44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As at 31.12.12</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6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10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255"/>
        </w:trPr>
        <w:tc>
          <w:tcPr>
            <w:tcW w:w="44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Restructure: reduced contractual cashflows</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258 </w:t>
            </w:r>
          </w:p>
        </w:tc>
        <w:tc>
          <w:tcPr>
            <w:tcW w:w="10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138 </w:t>
            </w:r>
          </w:p>
        </w:tc>
        <w:tc>
          <w:tcPr>
            <w:tcW w:w="106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29 </w:t>
            </w:r>
          </w:p>
        </w:tc>
        <w:tc>
          <w:tcPr>
            <w:tcW w:w="10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425 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maturity date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952 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408 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85 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1,557 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changed cashflow profile (other than extension)</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624 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152 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70 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107 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953 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Restructure: payment other than cash (e.g. debt to equity)</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64 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72 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Change in security</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45 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84 </w:t>
            </w:r>
          </w:p>
        </w:tc>
      </w:tr>
      <w:tr w:rsidR="000D1659" w:rsidRPr="00491918">
        <w:trPr>
          <w:trHeight w:val="255"/>
        </w:trPr>
        <w:tc>
          <w:tcPr>
            <w:tcW w:w="44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Adjustments/ non enforced covenant</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377 </w:t>
            </w:r>
          </w:p>
        </w:tc>
        <w:tc>
          <w:tcPr>
            <w:tcW w:w="10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115 </w:t>
            </w:r>
          </w:p>
        </w:tc>
        <w:tc>
          <w:tcPr>
            <w:tcW w:w="10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277 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103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771 </w:t>
            </w:r>
          </w:p>
        </w:tc>
      </w:tr>
      <w:tr w:rsidR="000D1659" w:rsidRPr="00491918">
        <w:trPr>
          <w:trHeight w:val="255"/>
        </w:trPr>
        <w:tc>
          <w:tcPr>
            <w:tcW w:w="4470"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162 </w:t>
            </w:r>
          </w:p>
        </w:tc>
        <w:tc>
          <w:tcPr>
            <w:tcW w:w="100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06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211 </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19 </w:t>
            </w:r>
          </w:p>
        </w:tc>
        <w:tc>
          <w:tcPr>
            <w:tcW w:w="1035" w:type="dxa"/>
            <w:tcBorders>
              <w:top w:val="nil"/>
              <w:left w:val="nil"/>
              <w:bottom w:val="single" w:sz="6" w:space="0" w:color="C0C0C0"/>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392 </w:t>
            </w:r>
          </w:p>
        </w:tc>
      </w:tr>
      <w:tr w:rsidR="000D1659" w:rsidRPr="00491918">
        <w:trPr>
          <w:trHeight w:val="255"/>
        </w:trPr>
        <w:tc>
          <w:tcPr>
            <w:tcW w:w="4470"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2,482 </w:t>
            </w:r>
          </w:p>
        </w:tc>
        <w:tc>
          <w:tcPr>
            <w:tcW w:w="100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846 </w:t>
            </w:r>
          </w:p>
        </w:tc>
        <w:tc>
          <w:tcPr>
            <w:tcW w:w="106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683 </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243 </w:t>
            </w:r>
          </w:p>
        </w:tc>
        <w:tc>
          <w:tcPr>
            <w:tcW w:w="1035" w:type="dxa"/>
            <w:tcBorders>
              <w:top w:val="single" w:sz="6" w:space="0" w:color="C0C0C0"/>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4,254 </w:t>
            </w:r>
          </w:p>
        </w:tc>
      </w:tr>
    </w:tbl>
    <w:p w:rsidR="000D1659" w:rsidRPr="00491918" w:rsidRDefault="000D1659"/>
    <w:p w:rsidR="000D1659" w:rsidRPr="00491918" w:rsidRDefault="000D1659" w:rsidP="008D6001">
      <w:pPr>
        <w:pStyle w:val="HeadingLevel2-BarcRA20"/>
        <w:outlineLvl w:val="0"/>
        <w:rPr>
          <w:lang w:val="en-GB"/>
        </w:rPr>
      </w:pPr>
      <w:r w:rsidRPr="00491918">
        <w:t>UK Commercial Real Estate</w:t>
      </w:r>
      <w:r w:rsidRPr="00491918">
        <w:rPr>
          <w:lang w:val="en-GB"/>
        </w:rPr>
        <w:t xml:space="preserve"> (UK CRE)</w:t>
      </w:r>
    </w:p>
    <w:p w:rsidR="000D1659" w:rsidRPr="00491918" w:rsidRDefault="000D1659" w:rsidP="00EC729A">
      <w:pPr>
        <w:pStyle w:val="Level1Bullet-BarcRA331"/>
      </w:pPr>
      <w:r w:rsidRPr="00491918">
        <w:t>The UK CRE portfolio includes property investment, development, trading and housebuilders but excludes social housing contractors</w:t>
      </w:r>
    </w:p>
    <w:p w:rsidR="000D1659" w:rsidRPr="00491918" w:rsidRDefault="000D1659" w:rsidP="00EC729A">
      <w:pPr>
        <w:pStyle w:val="Level1Bullet-BarcRA331"/>
      </w:pPr>
      <w:r w:rsidRPr="00491918">
        <w:t>Total loans and advances at amortised cost to UK CRE amounted to £9,271m (2012: £9,676m), with a total of £306m (3.3% of the total) being past due (2012: £295m; 3.0%). Impairment provisions allowances totalled £134m at 30 June 2013 (2012: £106m)</w:t>
      </w:r>
    </w:p>
    <w:p w:rsidR="000D1659" w:rsidRPr="00491918" w:rsidRDefault="000D1659" w:rsidP="00EC729A">
      <w:pPr>
        <w:pStyle w:val="Level1Bullet-BarcRA331"/>
      </w:pPr>
      <w:r w:rsidRPr="00491918">
        <w:t>The impairment charge for H113 for the UK CRE portfolio was £2</w:t>
      </w:r>
      <w:r w:rsidR="001B0DD0" w:rsidRPr="00491918">
        <w:t>8</w:t>
      </w:r>
      <w:r w:rsidRPr="00491918">
        <w:t>m (2012: £28m) principally within  UK Corporate Banking</w:t>
      </w:r>
    </w:p>
    <w:p w:rsidR="000D1659" w:rsidRPr="00491918" w:rsidRDefault="000D1659"/>
    <w:tbl>
      <w:tblPr>
        <w:tblW w:w="5000" w:type="pct"/>
        <w:tblLook w:val="0000" w:firstRow="0" w:lastRow="0" w:firstColumn="0" w:lastColumn="0" w:noHBand="0" w:noVBand="0"/>
      </w:tblPr>
      <w:tblGrid>
        <w:gridCol w:w="7359"/>
        <w:gridCol w:w="1175"/>
        <w:gridCol w:w="1175"/>
      </w:tblGrid>
      <w:tr w:rsidR="00E9782A" w:rsidRPr="00491918" w:rsidTr="00C10958">
        <w:trPr>
          <w:trHeight w:val="315"/>
        </w:trPr>
        <w:tc>
          <w:tcPr>
            <w:tcW w:w="5000" w:type="pct"/>
            <w:gridSpan w:val="3"/>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0"/>
              </w:rPr>
              <w:t>Commercial Real Estate</w:t>
            </w:r>
            <w:r w:rsidR="009456FD" w:rsidRPr="00491918">
              <w:rPr>
                <w:b/>
                <w:color w:val="000000"/>
                <w:sz w:val="20"/>
                <w:vertAlign w:val="superscript"/>
              </w:rPr>
              <w:t>1</w:t>
            </w:r>
          </w:p>
        </w:tc>
      </w:tr>
      <w:tr w:rsidR="000D1659" w:rsidRPr="00491918" w:rsidTr="00C10958">
        <w:trPr>
          <w:trHeight w:val="300"/>
        </w:trPr>
        <w:tc>
          <w:tcPr>
            <w:tcW w:w="3790" w:type="pct"/>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8"/>
              </w:rPr>
            </w:pPr>
            <w:r w:rsidRPr="00491918">
              <w:rPr>
                <w:b/>
                <w:color w:val="000000"/>
                <w:sz w:val="16"/>
              </w:rPr>
              <w:t xml:space="preserve"> </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r>
      <w:tr w:rsidR="000D1659" w:rsidRPr="00491918" w:rsidTr="00C10958">
        <w:trPr>
          <w:trHeight w:val="240"/>
        </w:trPr>
        <w:tc>
          <w:tcPr>
            <w:tcW w:w="3790" w:type="pct"/>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605" w:type="pct"/>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30.06.13</w:t>
            </w:r>
          </w:p>
        </w:tc>
        <w:tc>
          <w:tcPr>
            <w:tcW w:w="605" w:type="pct"/>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r>
    </w:tbl>
    <w:p w:rsidR="00F92E6D" w:rsidRPr="00491918" w:rsidRDefault="00F92E6D"/>
    <w:tbl>
      <w:tblPr>
        <w:tblW w:w="5000" w:type="pct"/>
        <w:tblLook w:val="0000" w:firstRow="0" w:lastRow="0" w:firstColumn="0" w:lastColumn="0" w:noHBand="0" w:noVBand="0"/>
      </w:tblPr>
      <w:tblGrid>
        <w:gridCol w:w="7359"/>
        <w:gridCol w:w="1175"/>
        <w:gridCol w:w="1175"/>
      </w:tblGrid>
      <w:tr w:rsidR="000D1659" w:rsidRPr="00491918" w:rsidTr="00F92E6D">
        <w:trPr>
          <w:trHeight w:val="300"/>
        </w:trPr>
        <w:tc>
          <w:tcPr>
            <w:tcW w:w="3790" w:type="pct"/>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UK CRE loans and advances (£m)</w:t>
            </w:r>
          </w:p>
        </w:tc>
        <w:tc>
          <w:tcPr>
            <w:tcW w:w="605" w:type="pct"/>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9,271 </w:t>
            </w:r>
          </w:p>
        </w:tc>
        <w:tc>
          <w:tcPr>
            <w:tcW w:w="605" w:type="pct"/>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9,676 </w:t>
            </w:r>
          </w:p>
        </w:tc>
      </w:tr>
      <w:tr w:rsidR="000D1659" w:rsidRPr="00491918" w:rsidTr="00C10958">
        <w:trPr>
          <w:trHeight w:val="240"/>
        </w:trPr>
        <w:tc>
          <w:tcPr>
            <w:tcW w:w="3790" w:type="pct"/>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Past due balances (£m)</w:t>
            </w:r>
          </w:p>
        </w:tc>
        <w:tc>
          <w:tcPr>
            <w:tcW w:w="605" w:type="pct"/>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306 </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295 </w:t>
            </w:r>
          </w:p>
        </w:tc>
      </w:tr>
      <w:tr w:rsidR="000D1659" w:rsidRPr="00491918" w:rsidTr="00C10958">
        <w:trPr>
          <w:trHeight w:val="240"/>
        </w:trPr>
        <w:tc>
          <w:tcPr>
            <w:tcW w:w="3790" w:type="pct"/>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Balances past due as % of total loans</w:t>
            </w:r>
          </w:p>
        </w:tc>
        <w:tc>
          <w:tcPr>
            <w:tcW w:w="605" w:type="pct"/>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3.3%</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3.0%</w:t>
            </w:r>
          </w:p>
        </w:tc>
      </w:tr>
      <w:tr w:rsidR="000D1659" w:rsidRPr="00491918" w:rsidTr="00C10958">
        <w:trPr>
          <w:trHeight w:val="240"/>
        </w:trPr>
        <w:tc>
          <w:tcPr>
            <w:tcW w:w="3790" w:type="pct"/>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Impairment provision (£m)</w:t>
            </w:r>
          </w:p>
        </w:tc>
        <w:tc>
          <w:tcPr>
            <w:tcW w:w="605" w:type="pct"/>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134 </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106 </w:t>
            </w:r>
          </w:p>
        </w:tc>
      </w:tr>
      <w:tr w:rsidR="000D1659" w:rsidRPr="00491918" w:rsidTr="00C10958">
        <w:trPr>
          <w:trHeight w:val="240"/>
        </w:trPr>
        <w:tc>
          <w:tcPr>
            <w:tcW w:w="3790" w:type="pct"/>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Balances past due coverage ratio (%)</w:t>
            </w:r>
          </w:p>
        </w:tc>
        <w:tc>
          <w:tcPr>
            <w:tcW w:w="605" w:type="pct"/>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44%</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36%</w:t>
            </w:r>
          </w:p>
        </w:tc>
      </w:tr>
      <w:tr w:rsidR="000D1659" w:rsidRPr="00491918" w:rsidTr="00C10958">
        <w:trPr>
          <w:trHeight w:hRule="exact" w:val="240"/>
        </w:trPr>
        <w:tc>
          <w:tcPr>
            <w:tcW w:w="3790" w:type="pct"/>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05" w:type="pct"/>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rsidTr="00C10958">
        <w:trPr>
          <w:trHeight w:val="750"/>
        </w:trPr>
        <w:tc>
          <w:tcPr>
            <w:tcW w:w="3790" w:type="pct"/>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p>
        </w:tc>
        <w:tc>
          <w:tcPr>
            <w:tcW w:w="605" w:type="pct"/>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Six months</w:t>
            </w:r>
          </w:p>
          <w:p w:rsidR="000D1659" w:rsidRPr="00491918" w:rsidRDefault="000D1659">
            <w:pPr>
              <w:jc w:val="right"/>
              <w:rPr>
                <w:b/>
                <w:color w:val="000000"/>
                <w:sz w:val="16"/>
              </w:rPr>
            </w:pPr>
            <w:r w:rsidRPr="00491918">
              <w:rPr>
                <w:b/>
                <w:color w:val="000000"/>
                <w:sz w:val="16"/>
              </w:rPr>
              <w:t>ended</w:t>
            </w:r>
          </w:p>
          <w:p w:rsidR="000D1659" w:rsidRPr="00491918" w:rsidRDefault="000D1659">
            <w:pPr>
              <w:jc w:val="right"/>
              <w:rPr>
                <w:b/>
                <w:color w:val="000000"/>
                <w:sz w:val="16"/>
              </w:rPr>
            </w:pPr>
            <w:r w:rsidRPr="00491918">
              <w:rPr>
                <w:b/>
                <w:color w:val="000000"/>
                <w:sz w:val="16"/>
              </w:rPr>
              <w:t>30.06.13</w:t>
            </w:r>
          </w:p>
        </w:tc>
        <w:tc>
          <w:tcPr>
            <w:tcW w:w="605" w:type="pct"/>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Six months</w:t>
            </w:r>
          </w:p>
          <w:p w:rsidR="000D1659" w:rsidRPr="00491918" w:rsidRDefault="000D1659">
            <w:pPr>
              <w:jc w:val="right"/>
              <w:rPr>
                <w:b/>
                <w:color w:val="000000"/>
                <w:sz w:val="16"/>
              </w:rPr>
            </w:pPr>
            <w:r w:rsidRPr="00491918">
              <w:rPr>
                <w:b/>
                <w:color w:val="000000"/>
                <w:sz w:val="16"/>
              </w:rPr>
              <w:t>ended</w:t>
            </w:r>
          </w:p>
          <w:p w:rsidR="000D1659" w:rsidRPr="00491918" w:rsidRDefault="000D1659">
            <w:pPr>
              <w:jc w:val="right"/>
              <w:rPr>
                <w:b/>
                <w:color w:val="000000"/>
                <w:sz w:val="16"/>
              </w:rPr>
            </w:pPr>
            <w:r w:rsidRPr="00491918">
              <w:rPr>
                <w:b/>
                <w:color w:val="000000"/>
                <w:sz w:val="16"/>
              </w:rPr>
              <w:t>30.06.12</w:t>
            </w:r>
          </w:p>
        </w:tc>
      </w:tr>
      <w:tr w:rsidR="000D1659" w:rsidRPr="00491918" w:rsidTr="00C10958">
        <w:trPr>
          <w:trHeight w:val="240"/>
        </w:trPr>
        <w:tc>
          <w:tcPr>
            <w:tcW w:w="3790" w:type="pct"/>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Impairment charge (£m)</w:t>
            </w:r>
          </w:p>
        </w:tc>
        <w:tc>
          <w:tcPr>
            <w:tcW w:w="605" w:type="pct"/>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28 </w:t>
            </w:r>
          </w:p>
        </w:tc>
        <w:tc>
          <w:tcPr>
            <w:tcW w:w="605" w:type="pct"/>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28 </w:t>
            </w:r>
          </w:p>
        </w:tc>
      </w:tr>
    </w:tbl>
    <w:p w:rsidR="000D1659" w:rsidRPr="00491918" w:rsidRDefault="000D1659"/>
    <w:p w:rsidR="000D1659" w:rsidRPr="00491918" w:rsidRDefault="000D1659" w:rsidP="000D1659">
      <w:pPr>
        <w:pStyle w:val="Normal93"/>
      </w:pPr>
    </w:p>
    <w:p w:rsidR="000D1659" w:rsidRPr="00491918" w:rsidRDefault="000D1659" w:rsidP="000D1659">
      <w:pPr>
        <w:pStyle w:val="Normal93"/>
      </w:pPr>
    </w:p>
    <w:p w:rsidR="00DA356B" w:rsidRPr="00491918" w:rsidRDefault="00DA356B" w:rsidP="000D1659">
      <w:pPr>
        <w:pStyle w:val="Normal93"/>
      </w:pPr>
    </w:p>
    <w:p w:rsidR="00DF44D1" w:rsidRPr="00491918" w:rsidRDefault="00DF44D1" w:rsidP="00C10958">
      <w:pPr>
        <w:pStyle w:val="Normal93"/>
        <w:spacing w:after="240"/>
      </w:pPr>
    </w:p>
    <w:p w:rsidR="00DA356B" w:rsidRPr="00491918" w:rsidRDefault="00DA356B" w:rsidP="00C10958">
      <w:pPr>
        <w:pStyle w:val="Normal93"/>
        <w:spacing w:after="240"/>
      </w:pPr>
    </w:p>
    <w:p w:rsidR="00C3775D" w:rsidRPr="00491918" w:rsidRDefault="00C3775D" w:rsidP="000D1659">
      <w:pPr>
        <w:pStyle w:val="Normal93"/>
      </w:pPr>
    </w:p>
    <w:p w:rsidR="000D1659" w:rsidRPr="00491918" w:rsidRDefault="007A5948" w:rsidP="00C10958">
      <w:pPr>
        <w:pStyle w:val="Normal93"/>
        <w:ind w:left="284" w:hanging="284"/>
        <w:rPr>
          <w:rFonts w:ascii="Expert Sans Regular" w:hAnsi="Expert Sans Regular"/>
          <w:i/>
          <w:sz w:val="14"/>
          <w:szCs w:val="14"/>
        </w:rPr>
        <w:sectPr w:rsidR="000D1659" w:rsidRPr="00491918" w:rsidSect="00751636">
          <w:pgSz w:w="11905" w:h="16837"/>
          <w:pgMar w:top="851" w:right="1134" w:bottom="567" w:left="1134" w:header="851" w:footer="567" w:gutter="0"/>
          <w:cols w:space="708"/>
        </w:sectPr>
      </w:pPr>
      <w:r w:rsidRPr="00491918">
        <w:rPr>
          <w:rFonts w:ascii="Expert Sans Regular" w:hAnsi="Expert Sans Regular"/>
          <w:i/>
          <w:sz w:val="14"/>
          <w:szCs w:val="14"/>
        </w:rPr>
        <w:t xml:space="preserve">1 </w:t>
      </w:r>
      <w:r w:rsidR="00C10958" w:rsidRPr="00491918">
        <w:rPr>
          <w:rFonts w:ascii="Expert Sans Regular" w:hAnsi="Expert Sans Regular"/>
          <w:i/>
          <w:sz w:val="14"/>
          <w:szCs w:val="14"/>
        </w:rPr>
        <w:t xml:space="preserve">    </w:t>
      </w:r>
      <w:r w:rsidRPr="00491918">
        <w:rPr>
          <w:rFonts w:ascii="Expert Sans Regular" w:hAnsi="Expert Sans Regular"/>
          <w:i/>
          <w:sz w:val="14"/>
          <w:szCs w:val="14"/>
        </w:rPr>
        <w:t>A</w:t>
      </w:r>
      <w:r w:rsidR="009456FD" w:rsidRPr="00491918">
        <w:rPr>
          <w:rFonts w:ascii="Expert Sans Regular" w:hAnsi="Expert Sans Regular"/>
          <w:i/>
          <w:sz w:val="14"/>
          <w:szCs w:val="14"/>
        </w:rPr>
        <w:t>n additional £178m (</w:t>
      </w:r>
      <w:r w:rsidRPr="00491918">
        <w:rPr>
          <w:rFonts w:ascii="Expert Sans Regular" w:hAnsi="Expert Sans Regular"/>
          <w:i/>
          <w:sz w:val="14"/>
          <w:szCs w:val="14"/>
        </w:rPr>
        <w:t>2012: £270m) of UK CRE expos</w:t>
      </w:r>
      <w:r w:rsidR="00C10958" w:rsidRPr="00491918">
        <w:rPr>
          <w:rFonts w:ascii="Expert Sans Regular" w:hAnsi="Expert Sans Regular"/>
          <w:i/>
          <w:sz w:val="14"/>
          <w:szCs w:val="14"/>
        </w:rPr>
        <w:t>ure is held at fair value.</w:t>
      </w:r>
    </w:p>
    <w:p w:rsidR="0007202F" w:rsidRPr="00491918" w:rsidRDefault="0007202F" w:rsidP="0007202F">
      <w:pPr>
        <w:pStyle w:val="HeadingLevel1-BarcRA35"/>
        <w:rPr>
          <w:lang w:val="en-GB"/>
        </w:rPr>
      </w:pPr>
      <w:r w:rsidRPr="00491918">
        <w:rPr>
          <w:lang w:val="en-GB"/>
        </w:rPr>
        <w:lastRenderedPageBreak/>
        <w:t xml:space="preserve">Credit </w:t>
      </w:r>
      <w:r w:rsidRPr="00491918">
        <w:t>Risk</w:t>
      </w:r>
    </w:p>
    <w:p w:rsidR="000D1659" w:rsidRPr="00491918" w:rsidRDefault="000D1659" w:rsidP="008D6001">
      <w:pPr>
        <w:pStyle w:val="HeadingLevel1-BarcRA44"/>
        <w:tabs>
          <w:tab w:val="left" w:pos="1624"/>
        </w:tabs>
        <w:outlineLvl w:val="0"/>
        <w:rPr>
          <w:lang w:val="en-US"/>
        </w:rPr>
      </w:pPr>
      <w:r w:rsidRPr="00491918">
        <w:t xml:space="preserve">Group </w:t>
      </w:r>
      <w:r w:rsidRPr="00491918">
        <w:rPr>
          <w:color w:val="auto"/>
          <w:lang w:val="en-US"/>
        </w:rPr>
        <w:t>e</w:t>
      </w:r>
      <w:r w:rsidRPr="00491918">
        <w:rPr>
          <w:color w:val="auto"/>
        </w:rPr>
        <w:t>xposures to Eurozone</w:t>
      </w:r>
      <w:r w:rsidRPr="00491918">
        <w:t xml:space="preserve"> </w:t>
      </w:r>
      <w:r w:rsidRPr="00491918">
        <w:rPr>
          <w:lang w:val="en-US"/>
        </w:rPr>
        <w:t>c</w:t>
      </w:r>
      <w:r w:rsidRPr="00491918">
        <w:t>ountries</w:t>
      </w:r>
    </w:p>
    <w:p w:rsidR="000D1659" w:rsidRPr="00491918" w:rsidRDefault="000D1659" w:rsidP="000D1659">
      <w:pPr>
        <w:pStyle w:val="Level1Bullet-BarcRA50"/>
      </w:pPr>
      <w:r w:rsidRPr="00491918">
        <w:t xml:space="preserve">The Group recognises the </w:t>
      </w:r>
      <w:r w:rsidRPr="00491918">
        <w:rPr>
          <w:lang w:val="en-GB"/>
        </w:rPr>
        <w:t xml:space="preserve">credit and market </w:t>
      </w:r>
      <w:r w:rsidRPr="00491918">
        <w:t>risk</w:t>
      </w:r>
      <w:r w:rsidRPr="00491918">
        <w:rPr>
          <w:lang w:val="en-GB"/>
        </w:rPr>
        <w:t xml:space="preserve"> resulting from</w:t>
      </w:r>
      <w:r w:rsidRPr="00491918">
        <w:t xml:space="preserve"> </w:t>
      </w:r>
      <w:r w:rsidRPr="00491918">
        <w:rPr>
          <w:lang w:val="en-GB"/>
        </w:rPr>
        <w:t xml:space="preserve">the </w:t>
      </w:r>
      <w:r w:rsidRPr="00491918">
        <w:t xml:space="preserve">ongoing </w:t>
      </w:r>
      <w:r w:rsidRPr="00491918">
        <w:rPr>
          <w:lang w:val="en-GB"/>
        </w:rPr>
        <w:t xml:space="preserve">volatility in the Eurozone </w:t>
      </w:r>
      <w:r w:rsidRPr="00491918">
        <w:t>and continues to monitor events closely</w:t>
      </w:r>
      <w:r w:rsidRPr="00491918">
        <w:rPr>
          <w:lang w:val="en-GB"/>
        </w:rPr>
        <w:t xml:space="preserve"> while taking</w:t>
      </w:r>
      <w:r w:rsidRPr="00491918">
        <w:t xml:space="preserve"> coordinated steps to mitigate the risks associated with the challenging economic environment</w:t>
      </w:r>
    </w:p>
    <w:p w:rsidR="000D1659" w:rsidRPr="00491918" w:rsidRDefault="000D1659" w:rsidP="000D1659">
      <w:pPr>
        <w:pStyle w:val="Level1Bullet-BarcRA50"/>
        <w:tabs>
          <w:tab w:val="num" w:pos="1401"/>
        </w:tabs>
      </w:pPr>
      <w:r w:rsidRPr="00491918">
        <w:t>During H113 the Group’s net on-balance sheet exposures to Spain, Italy, Portugal, Ireland, Cyprus and Greece reduced by 4% to £57.2bn (2012: £59.3bn) principally due to</w:t>
      </w:r>
      <w:r w:rsidRPr="00491918">
        <w:rPr>
          <w:lang w:val="en-GB"/>
        </w:rPr>
        <w:t xml:space="preserve"> </w:t>
      </w:r>
      <w:r w:rsidRPr="00491918">
        <w:t>Sovereign exposure decreas</w:t>
      </w:r>
      <w:r w:rsidRPr="00491918">
        <w:rPr>
          <w:lang w:val="en-GB"/>
        </w:rPr>
        <w:t>ing</w:t>
      </w:r>
      <w:r w:rsidR="00C3775D" w:rsidRPr="00491918">
        <w:t xml:space="preserve"> 5</w:t>
      </w:r>
      <w:r w:rsidR="00C3775D" w:rsidRPr="00491918">
        <w:rPr>
          <w:lang w:val="en-GB"/>
        </w:rPr>
        <w:t>0</w:t>
      </w:r>
      <w:r w:rsidRPr="00491918">
        <w:t xml:space="preserve">% to £2.7bn </w:t>
      </w:r>
      <w:r w:rsidRPr="00491918">
        <w:rPr>
          <w:lang w:val="en-GB"/>
        </w:rPr>
        <w:t>with a</w:t>
      </w:r>
      <w:r w:rsidRPr="00491918">
        <w:t xml:space="preserve"> reduction in Spanish and Italian government bonds held as available for sale</w:t>
      </w:r>
    </w:p>
    <w:p w:rsidR="000D1659" w:rsidRPr="00491918" w:rsidRDefault="000D1659" w:rsidP="000D1659">
      <w:pPr>
        <w:pStyle w:val="Level1Bullet-BarcRA50"/>
        <w:rPr>
          <w:lang w:val="en-GB"/>
        </w:rPr>
      </w:pPr>
      <w:r w:rsidRPr="00491918">
        <w:rPr>
          <w:lang w:val="en-GB"/>
        </w:rPr>
        <w:t>As at 30 June 2013, the local net funding deficit in Italy was €13.6bn (2012: €11.8bn) and the deficit in Portugal was €4.4bn (2012: €4.1bn). The net funding surplus in Spain was €1.8bn (2012: €2.3bn). Barclays continues to monitor the potential impact of the Eurozone volatility on local balance sheet funding and will consider actions as appropriate to manage the risk</w:t>
      </w:r>
    </w:p>
    <w:p w:rsidR="000D1659" w:rsidRPr="00491918" w:rsidRDefault="000D1659" w:rsidP="008D6001">
      <w:pPr>
        <w:pStyle w:val="HeadingLevel2-BarcRA180"/>
        <w:spacing w:before="180"/>
        <w:jc w:val="left"/>
        <w:outlineLvl w:val="0"/>
        <w:rPr>
          <w:sz w:val="18"/>
          <w:szCs w:val="18"/>
          <w:lang w:val="en-GB"/>
        </w:rPr>
      </w:pPr>
      <w:r w:rsidRPr="00491918">
        <w:rPr>
          <w:sz w:val="18"/>
          <w:szCs w:val="18"/>
          <w:lang w:val="en-GB"/>
        </w:rPr>
        <w:t>Summary of Group exposures</w:t>
      </w:r>
    </w:p>
    <w:p w:rsidR="000D1659" w:rsidRPr="00491918" w:rsidRDefault="000D1659" w:rsidP="000D1659">
      <w:pPr>
        <w:pStyle w:val="Level1Bullet-BarcRA291"/>
        <w:tabs>
          <w:tab w:val="num" w:pos="709"/>
        </w:tabs>
      </w:pPr>
      <w:r w:rsidRPr="00491918">
        <w:t xml:space="preserve">The following table shows Barclays exposure to Eurozone countries monitored internally as being higher risk and thus being the subject of particular management focus. </w:t>
      </w:r>
      <w:r w:rsidRPr="00491918">
        <w:rPr>
          <w:lang w:val="en-GB"/>
        </w:rPr>
        <w:t xml:space="preserve">Detailed analysis on these countries is on pages </w:t>
      </w:r>
      <w:r w:rsidR="001E7AF6" w:rsidRPr="00491918">
        <w:rPr>
          <w:lang w:val="en-GB"/>
        </w:rPr>
        <w:t>86</w:t>
      </w:r>
      <w:r w:rsidRPr="00491918">
        <w:rPr>
          <w:lang w:val="en-GB"/>
        </w:rPr>
        <w:t xml:space="preserve"> to </w:t>
      </w:r>
      <w:r w:rsidR="001E7AF6" w:rsidRPr="00491918">
        <w:rPr>
          <w:lang w:val="en-GB"/>
        </w:rPr>
        <w:t>93</w:t>
      </w:r>
      <w:r w:rsidRPr="00491918">
        <w:rPr>
          <w:lang w:val="en-GB"/>
        </w:rPr>
        <w:t>. The basis of preparation is consistent with that described in the 2012 Annual Report</w:t>
      </w:r>
    </w:p>
    <w:p w:rsidR="000D1659" w:rsidRPr="00491918" w:rsidRDefault="000D1659" w:rsidP="000D1659">
      <w:pPr>
        <w:pStyle w:val="Level1Bullet-BarcRA291"/>
        <w:tabs>
          <w:tab w:val="num" w:pos="709"/>
        </w:tabs>
      </w:pPr>
      <w:r w:rsidRPr="00491918">
        <w:t>The net exposure provide</w:t>
      </w:r>
      <w:r w:rsidRPr="00491918">
        <w:rPr>
          <w:lang w:val="en-GB"/>
        </w:rPr>
        <w:t>s</w:t>
      </w:r>
      <w:r w:rsidRPr="00491918">
        <w:t xml:space="preserve"> the </w:t>
      </w:r>
      <w:r w:rsidRPr="00491918">
        <w:rPr>
          <w:lang w:val="en-GB"/>
        </w:rPr>
        <w:t xml:space="preserve">most appropriate </w:t>
      </w:r>
      <w:r w:rsidRPr="00491918">
        <w:t xml:space="preserve">measure of </w:t>
      </w:r>
      <w:r w:rsidRPr="00491918">
        <w:rPr>
          <w:lang w:val="en-GB"/>
        </w:rPr>
        <w:t xml:space="preserve">the </w:t>
      </w:r>
      <w:r w:rsidRPr="00491918">
        <w:t>credit risk</w:t>
      </w:r>
      <w:r w:rsidRPr="00491918">
        <w:rPr>
          <w:lang w:val="en-GB"/>
        </w:rPr>
        <w:t xml:space="preserve"> to which the Group is exposed</w:t>
      </w:r>
      <w:r w:rsidRPr="00491918">
        <w:t xml:space="preserve">. The gross exposure is also presented below, </w:t>
      </w:r>
      <w:r w:rsidRPr="00491918">
        <w:rPr>
          <w:lang w:val="en-GB"/>
        </w:rPr>
        <w:t>alongside off-balance sheet contingent liabilities</w:t>
      </w:r>
      <w:r w:rsidRPr="00491918">
        <w:t xml:space="preserve"> </w:t>
      </w:r>
      <w:r w:rsidRPr="00491918">
        <w:rPr>
          <w:lang w:val="en-GB"/>
        </w:rPr>
        <w:t>and commitments</w:t>
      </w:r>
    </w:p>
    <w:p w:rsidR="000D1659" w:rsidRPr="00491918" w:rsidRDefault="000D1659"/>
    <w:tbl>
      <w:tblPr>
        <w:tblW w:w="9817" w:type="dxa"/>
        <w:tblLayout w:type="fixed"/>
        <w:tblLook w:val="0000" w:firstRow="0" w:lastRow="0" w:firstColumn="0" w:lastColumn="0" w:noHBand="0" w:noVBand="0"/>
      </w:tblPr>
      <w:tblGrid>
        <w:gridCol w:w="1500"/>
        <w:gridCol w:w="150"/>
        <w:gridCol w:w="765"/>
        <w:gridCol w:w="915"/>
        <w:gridCol w:w="915"/>
        <w:gridCol w:w="915"/>
        <w:gridCol w:w="930"/>
        <w:gridCol w:w="1125"/>
        <w:gridCol w:w="225"/>
        <w:gridCol w:w="1140"/>
        <w:gridCol w:w="1237"/>
      </w:tblGrid>
      <w:tr w:rsidR="000D1659" w:rsidRPr="00491918" w:rsidTr="001025BA">
        <w:trPr>
          <w:trHeight w:val="87"/>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0"/>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b/>
                <w:color w:val="000000"/>
                <w:sz w:val="20"/>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0"/>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Net on-balance Sheet exposure</w:t>
            </w: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14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Gross on-balance sheet exposure</w:t>
            </w:r>
          </w:p>
        </w:tc>
        <w:tc>
          <w:tcPr>
            <w:tcW w:w="123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Contingent liabilities and commitments</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Other</w:t>
            </w: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rFonts w:ascii="Arial" w:eastAsia="Arial" w:hAnsi="Arial" w:cs="Arial"/>
                <w:color w:val="000000"/>
                <w:sz w:val="20"/>
              </w:rPr>
              <w:t xml:space="preserve"> </w:t>
            </w:r>
          </w:p>
        </w:tc>
        <w:tc>
          <w:tcPr>
            <w:tcW w:w="114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20"/>
              </w:rPr>
            </w:pPr>
          </w:p>
        </w:tc>
        <w:tc>
          <w:tcPr>
            <w:tcW w:w="123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20"/>
              </w:rPr>
            </w:pP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Financial</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Residential</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retail</w:t>
            </w: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rFonts w:ascii="Arial" w:eastAsia="Arial" w:hAnsi="Arial" w:cs="Arial"/>
                <w:color w:val="000000"/>
                <w:sz w:val="20"/>
              </w:rPr>
              <w:t xml:space="preserve"> </w:t>
            </w:r>
          </w:p>
        </w:tc>
        <w:tc>
          <w:tcPr>
            <w:tcW w:w="114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20"/>
              </w:rPr>
            </w:pPr>
          </w:p>
        </w:tc>
        <w:tc>
          <w:tcPr>
            <w:tcW w:w="123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20"/>
              </w:rPr>
            </w:pPr>
          </w:p>
        </w:tc>
      </w:tr>
      <w:tr w:rsidR="00E9782A" w:rsidRPr="00491918" w:rsidTr="001025BA">
        <w:trPr>
          <w:trHeight w:val="87"/>
        </w:trPr>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Arial" w:eastAsia="Arial" w:hAnsi="Arial" w:cs="Arial"/>
                <w:color w:val="000000"/>
                <w:sz w:val="20"/>
              </w:rPr>
            </w:pPr>
            <w:r w:rsidRPr="00491918">
              <w:rPr>
                <w:b/>
                <w:color w:val="000000"/>
                <w:sz w:val="16"/>
              </w:rPr>
              <w:t xml:space="preserve"> </w:t>
            </w:r>
          </w:p>
        </w:tc>
        <w:tc>
          <w:tcPr>
            <w:tcW w:w="915"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Sovereign</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institutions</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Corporate</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mortgages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lending</w:t>
            </w: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rFonts w:ascii="Arial" w:eastAsia="Arial" w:hAnsi="Arial" w:cs="Arial"/>
                <w:color w:val="000000"/>
                <w:sz w:val="20"/>
              </w:rPr>
              <w:t xml:space="preserve"> </w:t>
            </w:r>
          </w:p>
        </w:tc>
        <w:tc>
          <w:tcPr>
            <w:tcW w:w="114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20"/>
              </w:rPr>
            </w:pPr>
          </w:p>
        </w:tc>
        <w:tc>
          <w:tcPr>
            <w:tcW w:w="123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rFonts w:ascii="Arial" w:eastAsia="Arial" w:hAnsi="Arial" w:cs="Arial"/>
                <w:color w:val="000000"/>
                <w:sz w:val="20"/>
              </w:rPr>
            </w:pPr>
          </w:p>
        </w:tc>
      </w:tr>
      <w:tr w:rsidR="00E9782A" w:rsidRPr="00491918" w:rsidTr="001025BA">
        <w:trPr>
          <w:trHeight w:val="240"/>
        </w:trPr>
        <w:tc>
          <w:tcPr>
            <w:tcW w:w="165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rFonts w:ascii="Arial" w:eastAsia="Arial" w:hAnsi="Arial" w:cs="Arial"/>
                <w:color w:val="000000"/>
                <w:sz w:val="20"/>
              </w:rPr>
            </w:pPr>
            <w:r w:rsidRPr="00491918">
              <w:rPr>
                <w:b/>
                <w:color w:val="000000"/>
                <w:sz w:val="16"/>
              </w:rPr>
              <w:t>As at 30.06.13</w:t>
            </w:r>
          </w:p>
        </w:tc>
        <w:tc>
          <w:tcPr>
            <w:tcW w:w="76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£m</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4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23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r w:rsidR="000D1659" w:rsidRPr="00491918" w:rsidTr="001025BA">
        <w:trPr>
          <w:trHeight w:val="240"/>
        </w:trPr>
        <w:tc>
          <w:tcPr>
            <w:tcW w:w="150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Spain</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292 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1,028 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4,976 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13,546 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2,436 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22,278 </w:t>
            </w:r>
          </w:p>
        </w:tc>
        <w:tc>
          <w:tcPr>
            <w:tcW w:w="22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4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30,345 </w:t>
            </w:r>
          </w:p>
        </w:tc>
        <w:tc>
          <w:tcPr>
            <w:tcW w:w="123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3,245 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Italy</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1,967 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390 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1,489 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16,034 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2,072 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21,952 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30,260 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3,464 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Portugal</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388 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1,357 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3,595 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1,720 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7,090 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7,680 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2,536 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Ireland</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4,194 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1,144 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108 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5,586 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9,752 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1,363 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Cyprus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133 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45 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207 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301 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48 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Greece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69 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1,185 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r>
      <w:tr w:rsidR="000D1659" w:rsidRPr="00491918" w:rsidTr="001025BA">
        <w:trPr>
          <w:trHeight w:hRule="exac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E9782A" w:rsidRPr="00491918" w:rsidTr="001025BA">
        <w:trPr>
          <w:trHeight w:val="240"/>
        </w:trPr>
        <w:tc>
          <w:tcPr>
            <w:tcW w:w="165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As at 31.12.12</w:t>
            </w:r>
          </w:p>
        </w:tc>
        <w:tc>
          <w:tcPr>
            <w:tcW w:w="76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4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23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1025BA">
        <w:trPr>
          <w:trHeight w:val="240"/>
        </w:trPr>
        <w:tc>
          <w:tcPr>
            <w:tcW w:w="150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Spain</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2,067 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1,525 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4,138 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13,305 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2,428 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23,463 </w:t>
            </w:r>
          </w:p>
        </w:tc>
        <w:tc>
          <w:tcPr>
            <w:tcW w:w="2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4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32,374 </w:t>
            </w:r>
          </w:p>
        </w:tc>
        <w:tc>
          <w:tcPr>
            <w:tcW w:w="123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3,301 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Italy</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2,669 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567 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1,962 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15,591 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1,936 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22,725 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33,029 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3,082 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Portugal</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637 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1,958 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3,474 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1,783 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7,900 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8,769 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2,588 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Ireland</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21 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3,585 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83 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4,928 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10,078 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1,644 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Cyprus</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106 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44 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184 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300 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131 </w:t>
            </w:r>
          </w:p>
        </w:tc>
      </w:tr>
      <w:tr w:rsidR="000D1659" w:rsidRPr="00491918" w:rsidTr="001025BA">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Greece</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61 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79 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1,262 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r>
    </w:tbl>
    <w:p w:rsidR="000D1659" w:rsidRPr="00491918" w:rsidRDefault="000D1659"/>
    <w:p w:rsidR="000D1659" w:rsidRPr="00491918" w:rsidRDefault="000D1659" w:rsidP="00EC729A">
      <w:pPr>
        <w:pStyle w:val="Level1Bullet-BarcRA320"/>
        <w:numPr>
          <w:ilvl w:val="0"/>
          <w:numId w:val="177"/>
        </w:numPr>
      </w:pPr>
      <w:r w:rsidRPr="00491918">
        <w:t xml:space="preserve">During </w:t>
      </w:r>
      <w:r w:rsidRPr="00491918">
        <w:rPr>
          <w:lang w:val="en-GB"/>
        </w:rPr>
        <w:t>H113</w:t>
      </w:r>
      <w:r w:rsidRPr="00491918">
        <w:t xml:space="preserve"> the Group’s sovereign exposure to Spain, Italy, Portugal, Ireland</w:t>
      </w:r>
      <w:r w:rsidRPr="00491918">
        <w:rPr>
          <w:lang w:val="en-GB"/>
        </w:rPr>
        <w:t>, Cyprus</w:t>
      </w:r>
      <w:r w:rsidRPr="00491918">
        <w:t xml:space="preserve"> and Greece reduced by </w:t>
      </w:r>
      <w:r w:rsidR="00C3775D" w:rsidRPr="00491918">
        <w:rPr>
          <w:lang w:val="en-GB"/>
        </w:rPr>
        <w:t>50</w:t>
      </w:r>
      <w:r w:rsidRPr="00491918">
        <w:t>% to £</w:t>
      </w:r>
      <w:r w:rsidRPr="00491918">
        <w:rPr>
          <w:lang w:val="en-GB"/>
        </w:rPr>
        <w:t>2.7</w:t>
      </w:r>
      <w:r w:rsidRPr="00491918">
        <w:t>bn</w:t>
      </w:r>
    </w:p>
    <w:p w:rsidR="000D1659" w:rsidRPr="00491918" w:rsidRDefault="000D1659" w:rsidP="00EC729A">
      <w:pPr>
        <w:pStyle w:val="Level2Bullet-BarcRA13"/>
        <w:numPr>
          <w:ilvl w:val="2"/>
          <w:numId w:val="179"/>
        </w:numPr>
        <w:tabs>
          <w:tab w:val="num" w:pos="709"/>
        </w:tabs>
        <w:spacing w:before="120" w:after="120"/>
        <w:ind w:left="709" w:hanging="451"/>
      </w:pPr>
      <w:r w:rsidRPr="00491918">
        <w:t xml:space="preserve">Spanish sovereign exposure reduced </w:t>
      </w:r>
      <w:r w:rsidRPr="00491918">
        <w:rPr>
          <w:lang w:val="en-GB"/>
        </w:rPr>
        <w:t>86</w:t>
      </w:r>
      <w:r w:rsidRPr="00491918">
        <w:t>% to £</w:t>
      </w:r>
      <w:r w:rsidRPr="00491918">
        <w:rPr>
          <w:lang w:val="en-GB"/>
        </w:rPr>
        <w:t>292m</w:t>
      </w:r>
      <w:r w:rsidRPr="00491918">
        <w:t xml:space="preserve"> due to the disposal of available for sale government bonds</w:t>
      </w:r>
    </w:p>
    <w:p w:rsidR="000D1659" w:rsidRPr="00491918" w:rsidRDefault="000D1659" w:rsidP="00EC729A">
      <w:pPr>
        <w:pStyle w:val="Level2Bullet-BarcRA13"/>
        <w:numPr>
          <w:ilvl w:val="2"/>
          <w:numId w:val="179"/>
        </w:numPr>
        <w:tabs>
          <w:tab w:val="num" w:pos="709"/>
        </w:tabs>
        <w:spacing w:before="120" w:after="120"/>
        <w:ind w:left="709" w:hanging="451"/>
      </w:pPr>
      <w:r w:rsidRPr="00491918">
        <w:t>Italian sovereign exposure</w:t>
      </w:r>
      <w:r w:rsidRPr="00491918">
        <w:rPr>
          <w:lang w:val="en-GB"/>
        </w:rPr>
        <w:t xml:space="preserve"> de</w:t>
      </w:r>
      <w:r w:rsidRPr="00491918">
        <w:t>creased</w:t>
      </w:r>
      <w:r w:rsidRPr="00491918">
        <w:rPr>
          <w:lang w:val="en-GB"/>
        </w:rPr>
        <w:t xml:space="preserve"> 26</w:t>
      </w:r>
      <w:r w:rsidRPr="00491918">
        <w:t xml:space="preserve">% to </w:t>
      </w:r>
      <w:r w:rsidRPr="00491918">
        <w:rPr>
          <w:lang w:val="en-GB"/>
        </w:rPr>
        <w:t>£2</w:t>
      </w:r>
      <w:r w:rsidRPr="00491918">
        <w:t>bn principally due to</w:t>
      </w:r>
      <w:r w:rsidRPr="00491918">
        <w:rPr>
          <w:lang w:val="en-GB"/>
        </w:rPr>
        <w:t xml:space="preserve"> a reduction in government bonds </w:t>
      </w:r>
      <w:r w:rsidRPr="00491918">
        <w:t>held as available for sale</w:t>
      </w:r>
    </w:p>
    <w:p w:rsidR="000D1659" w:rsidRPr="00491918" w:rsidRDefault="000D1659" w:rsidP="00EC729A">
      <w:pPr>
        <w:pStyle w:val="Level1Bullet-BarcRA320"/>
        <w:numPr>
          <w:ilvl w:val="0"/>
          <w:numId w:val="177"/>
        </w:numPr>
      </w:pPr>
      <w:r w:rsidRPr="00491918">
        <w:t xml:space="preserve">Residential mortgage </w:t>
      </w:r>
      <w:r w:rsidRPr="00491918">
        <w:rPr>
          <w:lang w:val="en-GB"/>
        </w:rPr>
        <w:t xml:space="preserve">and other retail </w:t>
      </w:r>
      <w:r w:rsidRPr="00491918">
        <w:t>exposure</w:t>
      </w:r>
      <w:r w:rsidRPr="00491918">
        <w:rPr>
          <w:lang w:val="en-GB"/>
        </w:rPr>
        <w:t>s</w:t>
      </w:r>
      <w:r w:rsidRPr="00491918">
        <w:t xml:space="preserve"> increased by 2% to £33.3bn</w:t>
      </w:r>
      <w:r w:rsidRPr="00491918">
        <w:rPr>
          <w:lang w:val="en-GB"/>
        </w:rPr>
        <w:t xml:space="preserve"> and £6.4bn respectively,</w:t>
      </w:r>
      <w:r w:rsidRPr="00491918">
        <w:t xml:space="preserve"> reflecting foreign exchange movements offset partially by  lower new originations across Spain, Italy and Portugal</w:t>
      </w:r>
    </w:p>
    <w:p w:rsidR="000D1659" w:rsidRPr="00491918" w:rsidRDefault="000D1659" w:rsidP="00EC729A">
      <w:pPr>
        <w:pStyle w:val="Level1Bullet-BarcRA320"/>
        <w:numPr>
          <w:ilvl w:val="0"/>
          <w:numId w:val="177"/>
        </w:numPr>
      </w:pPr>
      <w:r w:rsidRPr="00491918">
        <w:t>Corporate exposure reduced 2% to £9.1bn, largely reflecting reduced lending in Italy and Portugal, partially offset by increased trading assets in Spain</w:t>
      </w:r>
      <w:r w:rsidRPr="00491918">
        <w:rPr>
          <w:lang w:val="en-GB"/>
        </w:rPr>
        <w:t xml:space="preserve"> and foreign exchange movements</w:t>
      </w:r>
    </w:p>
    <w:p w:rsidR="000D1659" w:rsidRPr="00491918" w:rsidRDefault="000D1659" w:rsidP="00EC729A">
      <w:pPr>
        <w:pStyle w:val="Level1Bullet-BarcRA320"/>
        <w:numPr>
          <w:ilvl w:val="0"/>
          <w:numId w:val="177"/>
        </w:numPr>
      </w:pPr>
      <w:r w:rsidRPr="00491918">
        <w:t>Exposures to financial institutions fell marginally by 1% to £5.</w:t>
      </w:r>
      <w:r w:rsidRPr="00491918">
        <w:rPr>
          <w:lang w:val="en-GB"/>
        </w:rPr>
        <w:t>6</w:t>
      </w:r>
      <w:r w:rsidRPr="00491918">
        <w:t xml:space="preserve">bn, with </w:t>
      </w:r>
      <w:r w:rsidRPr="00491918">
        <w:rPr>
          <w:lang w:val="en-GB"/>
        </w:rPr>
        <w:t>lower</w:t>
      </w:r>
      <w:r w:rsidRPr="00491918">
        <w:t xml:space="preserve"> exposure in Spain and Italy offset </w:t>
      </w:r>
      <w:r w:rsidRPr="00491918">
        <w:rPr>
          <w:lang w:val="en-GB"/>
        </w:rPr>
        <w:t xml:space="preserve">predominately </w:t>
      </w:r>
      <w:r w:rsidRPr="00491918">
        <w:t xml:space="preserve">by increased exposure in Ireland </w:t>
      </w:r>
      <w:r w:rsidRPr="00491918">
        <w:rPr>
          <w:lang w:val="en-GB"/>
        </w:rPr>
        <w:t>relating to a loan to a single investment grade counterparty</w:t>
      </w:r>
    </w:p>
    <w:p w:rsidR="00743F6E" w:rsidRPr="00491918" w:rsidRDefault="00743F6E" w:rsidP="000D1659">
      <w:pPr>
        <w:pStyle w:val="Level1Bullet-BarcRA320"/>
        <w:numPr>
          <w:ilvl w:val="0"/>
          <w:numId w:val="0"/>
        </w:numPr>
        <w:rPr>
          <w:lang w:val="en-GB"/>
        </w:rPr>
      </w:pPr>
    </w:p>
    <w:p w:rsidR="00743F6E" w:rsidRPr="00491918" w:rsidRDefault="00743F6E" w:rsidP="000D1659">
      <w:pPr>
        <w:pStyle w:val="Level1Bullet-BarcRA320"/>
        <w:numPr>
          <w:ilvl w:val="0"/>
          <w:numId w:val="0"/>
        </w:numPr>
        <w:rPr>
          <w:lang w:val="en-GB"/>
        </w:rPr>
      </w:pPr>
    </w:p>
    <w:p w:rsidR="00743F6E" w:rsidRPr="00491918" w:rsidRDefault="00743F6E" w:rsidP="000D1659">
      <w:pPr>
        <w:pStyle w:val="Level1Bullet-BarcRA320"/>
        <w:numPr>
          <w:ilvl w:val="0"/>
          <w:numId w:val="0"/>
        </w:numPr>
        <w:rPr>
          <w:lang w:val="en-GB"/>
        </w:rPr>
      </w:pPr>
    </w:p>
    <w:p w:rsidR="00743F6E" w:rsidRPr="00491918" w:rsidRDefault="00743F6E" w:rsidP="00743F6E">
      <w:pPr>
        <w:pStyle w:val="HeadingLevel1-BarcRA35"/>
      </w:pPr>
      <w:r w:rsidRPr="00491918">
        <w:t xml:space="preserve">Credit Risk </w:t>
      </w:r>
    </w:p>
    <w:p w:rsidR="00743F6E" w:rsidRPr="00491918" w:rsidRDefault="00743F6E" w:rsidP="00743F6E">
      <w:pPr>
        <w:pStyle w:val="Level1Bullet-BarcRA320"/>
        <w:numPr>
          <w:ilvl w:val="0"/>
          <w:numId w:val="0"/>
        </w:numPr>
        <w:rPr>
          <w:lang w:val="en-GB"/>
        </w:rPr>
      </w:pPr>
      <w:r w:rsidRPr="00491918">
        <w:rPr>
          <w:szCs w:val="18"/>
          <w:lang w:val="en-GB"/>
        </w:rPr>
        <w:t>Barclays has exposures to other Eurozone countries as set out below. Total net on-balance sheet exposures to individual countries that are less than £1bn are reported in aggregate under Other</w:t>
      </w:r>
      <w:r w:rsidRPr="00491918">
        <w:t xml:space="preserve"> </w:t>
      </w:r>
    </w:p>
    <w:p w:rsidR="000D1659" w:rsidRPr="00491918" w:rsidRDefault="000D1659">
      <w:pPr>
        <w:rPr>
          <w:szCs w:val="18"/>
        </w:rPr>
      </w:pPr>
    </w:p>
    <w:tbl>
      <w:tblPr>
        <w:tblW w:w="9817" w:type="dxa"/>
        <w:tblLayout w:type="fixed"/>
        <w:tblLook w:val="0000" w:firstRow="0" w:lastRow="0" w:firstColumn="0" w:lastColumn="0" w:noHBand="0" w:noVBand="0"/>
      </w:tblPr>
      <w:tblGrid>
        <w:gridCol w:w="1500"/>
        <w:gridCol w:w="150"/>
        <w:gridCol w:w="765"/>
        <w:gridCol w:w="915"/>
        <w:gridCol w:w="915"/>
        <w:gridCol w:w="915"/>
        <w:gridCol w:w="930"/>
        <w:gridCol w:w="1125"/>
        <w:gridCol w:w="225"/>
        <w:gridCol w:w="1140"/>
        <w:gridCol w:w="1237"/>
      </w:tblGrid>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bottom"/>
          </w:tcPr>
          <w:p w:rsidR="0007202F" w:rsidRPr="00491918" w:rsidRDefault="000D1659" w:rsidP="0007202F">
            <w:pPr>
              <w:pStyle w:val="HeadingLevel1-BarcRA35"/>
              <w:rPr>
                <w:lang w:val="en-GB"/>
              </w:rPr>
            </w:pPr>
            <w:r w:rsidRPr="00491918">
              <w:rPr>
                <w:sz w:val="16"/>
                <w:szCs w:val="18"/>
              </w:rPr>
              <w:t xml:space="preserve"> </w:t>
            </w:r>
            <w:r w:rsidRPr="00491918">
              <w:rPr>
                <w:sz w:val="16"/>
                <w:szCs w:val="18"/>
                <w:vertAlign w:val="superscript"/>
              </w:rPr>
              <w:t xml:space="preserve"> </w:t>
            </w:r>
          </w:p>
          <w:p w:rsidR="000D1659" w:rsidRPr="00491918" w:rsidRDefault="000D1659">
            <w:pPr>
              <w:rPr>
                <w:szCs w:val="18"/>
              </w:rPr>
            </w:pP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12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Net on-balance sheet exposure</w:t>
            </w: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114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Gross on-balance sheet exposure</w:t>
            </w:r>
          </w:p>
        </w:tc>
        <w:tc>
          <w:tcPr>
            <w:tcW w:w="123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Contingent liabilities and commitments</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b/>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Other</w:t>
            </w: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114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p>
        </w:tc>
        <w:tc>
          <w:tcPr>
            <w:tcW w:w="123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Financial</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Residential</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retail</w:t>
            </w: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114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p>
        </w:tc>
        <w:tc>
          <w:tcPr>
            <w:tcW w:w="123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p>
        </w:tc>
      </w:tr>
      <w:tr w:rsidR="00E9782A"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b/>
                <w:color w:val="000000"/>
                <w:sz w:val="16"/>
                <w:szCs w:val="18"/>
              </w:rPr>
              <w:t xml:space="preserve"> </w:t>
            </w:r>
            <w:r w:rsidRPr="00491918">
              <w:rPr>
                <w:b/>
                <w:color w:val="000000"/>
                <w:sz w:val="16"/>
                <w:szCs w:val="18"/>
                <w:vertAlign w:val="superscript"/>
              </w:rPr>
              <w:t xml:space="preserve"> </w:t>
            </w:r>
          </w:p>
        </w:tc>
        <w:tc>
          <w:tcPr>
            <w:tcW w:w="915" w:type="dxa"/>
            <w:gridSpan w:val="2"/>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Sovereign</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institutions</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Corporate</w:t>
            </w:r>
          </w:p>
        </w:tc>
        <w:tc>
          <w:tcPr>
            <w:tcW w:w="9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mortgages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lending</w:t>
            </w:r>
          </w:p>
        </w:tc>
        <w:tc>
          <w:tcPr>
            <w:tcW w:w="112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c>
          <w:tcPr>
            <w:tcW w:w="2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114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c>
          <w:tcPr>
            <w:tcW w:w="123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r>
      <w:tr w:rsidR="00E9782A" w:rsidRPr="00491918" w:rsidTr="00491918">
        <w:trPr>
          <w:trHeight w:val="240"/>
        </w:trPr>
        <w:tc>
          <w:tcPr>
            <w:tcW w:w="1650" w:type="dxa"/>
            <w:gridSpan w:val="2"/>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As at 30.06.13</w:t>
            </w:r>
          </w:p>
        </w:tc>
        <w:tc>
          <w:tcPr>
            <w:tcW w:w="76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93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12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14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237"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r>
      <w:tr w:rsidR="000D1659" w:rsidRPr="00491918" w:rsidTr="00491918">
        <w:trPr>
          <w:trHeight w:val="240"/>
        </w:trPr>
        <w:tc>
          <w:tcPr>
            <w:tcW w:w="150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France</w:t>
            </w:r>
            <w:r w:rsidRPr="00491918">
              <w:rPr>
                <w:color w:val="000000"/>
                <w:sz w:val="16"/>
                <w:szCs w:val="18"/>
                <w:vertAlign w:val="superscript"/>
              </w:rPr>
              <w:t xml:space="preserve">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3,448 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5,422 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5,328 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2,584 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182 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16,964 </w:t>
            </w:r>
          </w:p>
        </w:tc>
        <w:tc>
          <w:tcPr>
            <w:tcW w:w="22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56,365 </w:t>
            </w:r>
          </w:p>
        </w:tc>
        <w:tc>
          <w:tcPr>
            <w:tcW w:w="123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8,647 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Germany</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1,985 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4,760 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6,621 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26 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2,013 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15,405 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58,055 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7,160 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Netherlands</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3,336 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4,480 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1,958 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70 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9,860 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26,092 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2,286 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Belgium</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2,866 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390 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3,290 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9,480 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778 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Luxembourg</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823 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706 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208 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22 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1,798 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5,027 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931 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Austria</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1,092 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340 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151 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1,590 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3,528 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210 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Finland</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1,079 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120 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1,240 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6,454 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463 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Other</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11 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214 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466 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r>
      <w:tr w:rsidR="000D1659" w:rsidRPr="00491918" w:rsidTr="00491918">
        <w:trPr>
          <w:trHeight w:hRule="exac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r>
      <w:tr w:rsidR="00E9782A" w:rsidRPr="00491918" w:rsidTr="00491918">
        <w:trPr>
          <w:trHeight w:val="240"/>
        </w:trPr>
        <w:tc>
          <w:tcPr>
            <w:tcW w:w="1650" w:type="dxa"/>
            <w:gridSpan w:val="2"/>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As at 31.12.12</w:t>
            </w:r>
          </w:p>
        </w:tc>
        <w:tc>
          <w:tcPr>
            <w:tcW w:w="76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3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14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237"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rsidTr="00491918">
        <w:trPr>
          <w:trHeight w:val="240"/>
        </w:trPr>
        <w:tc>
          <w:tcPr>
            <w:tcW w:w="150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France</w:t>
            </w:r>
            <w:r w:rsidRPr="00491918">
              <w:rPr>
                <w:color w:val="000000"/>
                <w:sz w:val="16"/>
                <w:szCs w:val="18"/>
                <w:vertAlign w:val="superscript"/>
              </w:rPr>
              <w:t xml:space="preserve"> </w:t>
            </w:r>
          </w:p>
        </w:tc>
        <w:tc>
          <w:tcPr>
            <w:tcW w:w="15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3,746 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5,553 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4,042 </w:t>
            </w:r>
          </w:p>
        </w:tc>
        <w:tc>
          <w:tcPr>
            <w:tcW w:w="9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2,607 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121 </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16,069 </w:t>
            </w:r>
          </w:p>
        </w:tc>
        <w:tc>
          <w:tcPr>
            <w:tcW w:w="2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59,317 </w:t>
            </w:r>
          </w:p>
        </w:tc>
        <w:tc>
          <w:tcPr>
            <w:tcW w:w="123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7,712 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Germany</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282 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4,462 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4,959 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27 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1,734 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11,464 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62,043 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6,604 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Netherlands</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3,503 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4,456 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2,002 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92 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10,069 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28,565 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2,205 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Belgium</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2,548 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333 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239 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3,135 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10,602 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1,525 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4850E8">
            <w:pPr>
              <w:rPr>
                <w:color w:val="000000"/>
                <w:sz w:val="16"/>
                <w:szCs w:val="18"/>
              </w:rPr>
            </w:pPr>
            <w:r w:rsidRPr="00491918">
              <w:rPr>
                <w:color w:val="000000"/>
                <w:sz w:val="16"/>
                <w:szCs w:val="18"/>
              </w:rPr>
              <w:t>Luxembourg</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1,127 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704 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151 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49 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2,044 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6,009 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812 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Austria</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1,047 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228 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187 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1,467 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3,930 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127 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Finland</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1,044 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140 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1,396 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9,120 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461 </w:t>
            </w:r>
          </w:p>
        </w:tc>
      </w:tr>
      <w:tr w:rsidR="000D1659" w:rsidRPr="00491918" w:rsidTr="00491918">
        <w:trPr>
          <w:trHeight w:val="240"/>
        </w:trPr>
        <w:tc>
          <w:tcPr>
            <w:tcW w:w="150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Other</w:t>
            </w:r>
            <w:r w:rsidRPr="00491918">
              <w:rPr>
                <w:color w:val="000000"/>
                <w:sz w:val="16"/>
                <w:szCs w:val="18"/>
                <w:vertAlign w:val="superscript"/>
              </w:rPr>
              <w:t xml:space="preserve"> </w:t>
            </w:r>
          </w:p>
        </w:tc>
        <w:tc>
          <w:tcPr>
            <w:tcW w:w="15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76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210 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24 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26 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41 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310 </w:t>
            </w:r>
          </w:p>
        </w:tc>
        <w:tc>
          <w:tcPr>
            <w:tcW w:w="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4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649 </w:t>
            </w:r>
          </w:p>
        </w:tc>
        <w:tc>
          <w:tcPr>
            <w:tcW w:w="123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25 </w:t>
            </w:r>
          </w:p>
        </w:tc>
      </w:tr>
    </w:tbl>
    <w:p w:rsidR="000D1659" w:rsidRPr="00491918" w:rsidRDefault="000D1659">
      <w:pPr>
        <w:spacing w:line="14" w:lineRule="exact"/>
        <w:rPr>
          <w:szCs w:val="18"/>
        </w:rPr>
      </w:pPr>
      <w:r w:rsidRPr="00491918">
        <w:rPr>
          <w:szCs w:val="18"/>
        </w:rPr>
        <w:br w:type="page"/>
      </w:r>
    </w:p>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35"/>
              <w:rPr>
                <w:lang w:val="en-GB"/>
              </w:rPr>
            </w:pPr>
            <w:r w:rsidRPr="00491918">
              <w:rPr>
                <w:lang w:val="en-GB"/>
              </w:rPr>
              <w:lastRenderedPageBreak/>
              <w:t xml:space="preserve">Credit </w:t>
            </w:r>
            <w:r w:rsidRPr="00491918">
              <w:t>Risk</w:t>
            </w:r>
          </w:p>
          <w:p w:rsidR="000D1659" w:rsidRPr="00491918" w:rsidRDefault="000D1659">
            <w:pPr>
              <w:rPr>
                <w:szCs w:val="18"/>
              </w:rPr>
            </w:pPr>
            <w:r w:rsidRPr="00491918">
              <w:rPr>
                <w:b/>
                <w:color w:val="000000"/>
                <w:sz w:val="24"/>
                <w:szCs w:val="18"/>
              </w:rPr>
              <w:t>Spain</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24"/>
                <w:szCs w:val="18"/>
              </w:rPr>
              <w:t xml:space="preserve"> </w:t>
            </w:r>
          </w:p>
        </w:tc>
        <w:tc>
          <w:tcPr>
            <w:tcW w:w="2205" w:type="dxa"/>
            <w:gridSpan w:val="3"/>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24"/>
                <w:szCs w:val="18"/>
              </w:rPr>
            </w:pPr>
            <w:r w:rsidRPr="00491918">
              <w:rPr>
                <w:b/>
                <w:color w:val="000000"/>
                <w:sz w:val="16"/>
                <w:szCs w:val="18"/>
              </w:rPr>
              <w:t>Trading Portfolio</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3195" w:type="dxa"/>
            <w:gridSpan w:val="4"/>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Derivatives</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Total</w:t>
            </w:r>
          </w:p>
          <w:p w:rsidR="000D1659" w:rsidRPr="00491918" w:rsidRDefault="000D1659">
            <w:pPr>
              <w:jc w:val="right"/>
              <w:rPr>
                <w:b/>
                <w:color w:val="000000"/>
                <w:sz w:val="16"/>
                <w:szCs w:val="18"/>
              </w:rPr>
            </w:pPr>
            <w:r w:rsidRPr="00491918">
              <w:rPr>
                <w:b/>
                <w:color w:val="000000"/>
                <w:sz w:val="16"/>
                <w:szCs w:val="18"/>
              </w:rPr>
              <w:t>as at</w:t>
            </w:r>
          </w:p>
          <w:p w:rsidR="000D1659" w:rsidRPr="00491918" w:rsidRDefault="000D1659">
            <w:pPr>
              <w:jc w:val="right"/>
              <w:rPr>
                <w:b/>
                <w:color w:val="000000"/>
                <w:sz w:val="16"/>
                <w:szCs w:val="18"/>
              </w:rPr>
            </w:pPr>
            <w:r w:rsidRPr="00491918">
              <w:rPr>
                <w:b/>
                <w:color w:val="000000"/>
                <w:sz w:val="16"/>
                <w:szCs w:val="18"/>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Total</w:t>
            </w:r>
          </w:p>
          <w:p w:rsidR="000D1659" w:rsidRPr="00491918" w:rsidRDefault="000D1659">
            <w:pPr>
              <w:jc w:val="right"/>
              <w:rPr>
                <w:b/>
                <w:color w:val="000000"/>
                <w:sz w:val="16"/>
                <w:szCs w:val="18"/>
              </w:rPr>
            </w:pPr>
            <w:r w:rsidRPr="00491918">
              <w:rPr>
                <w:b/>
                <w:color w:val="000000"/>
                <w:sz w:val="16"/>
                <w:szCs w:val="18"/>
              </w:rPr>
              <w:t>as at</w:t>
            </w:r>
          </w:p>
          <w:p w:rsidR="000D1659" w:rsidRPr="00491918" w:rsidRDefault="000D1659">
            <w:pPr>
              <w:jc w:val="right"/>
              <w:rPr>
                <w:b/>
                <w:color w:val="000000"/>
                <w:sz w:val="16"/>
                <w:szCs w:val="18"/>
              </w:rPr>
            </w:pPr>
            <w:r w:rsidRPr="00491918">
              <w:rPr>
                <w:b/>
                <w:color w:val="000000"/>
                <w:sz w:val="16"/>
                <w:szCs w:val="18"/>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 xml:space="preserve">Fair Value through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r w:rsidRPr="00491918">
              <w:rPr>
                <w:b/>
                <w:color w:val="000000"/>
                <w:sz w:val="16"/>
                <w:szCs w:val="18"/>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 xml:space="preserve">Cash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szCs w:val="18"/>
              </w:rPr>
            </w:pP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Profit and Loss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Assets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Liabilities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Net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Assets</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Liabilities</w:t>
            </w:r>
            <w:r w:rsidRPr="00491918">
              <w:rPr>
                <w:b/>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vertAlign w:val="superscript"/>
              </w:rPr>
            </w:pPr>
            <w:r w:rsidRPr="00491918">
              <w:rPr>
                <w:b/>
                <w:color w:val="000000"/>
                <w:sz w:val="16"/>
                <w:szCs w:val="18"/>
              </w:rPr>
              <w:t>Collateral</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Net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r w:rsidRPr="00491918">
              <w:rPr>
                <w:color w:val="000000"/>
                <w:sz w:val="16"/>
                <w:szCs w:val="18"/>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989 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(989)</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30 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r w:rsidRPr="00491918">
              <w:rPr>
                <w:color w:val="000000"/>
                <w:sz w:val="16"/>
                <w:szCs w:val="18"/>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30 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208 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238 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476 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694 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(177)</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517 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6,591 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(6,430)</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(157)</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272 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793 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788 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1,440 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(136)</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1,304 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407 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(181)</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2 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228 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380 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1,912 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817 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Total</w:t>
            </w:r>
          </w:p>
          <w:p w:rsidR="000D1659" w:rsidRPr="00491918" w:rsidRDefault="000D1659">
            <w:pPr>
              <w:jc w:val="right"/>
              <w:rPr>
                <w:b/>
                <w:color w:val="000000"/>
                <w:sz w:val="16"/>
                <w:szCs w:val="18"/>
              </w:rPr>
            </w:pPr>
            <w:r w:rsidRPr="00491918">
              <w:rPr>
                <w:b/>
                <w:color w:val="000000"/>
                <w:sz w:val="16"/>
                <w:szCs w:val="18"/>
              </w:rPr>
              <w:t>as at</w:t>
            </w:r>
          </w:p>
          <w:p w:rsidR="000D1659" w:rsidRPr="00491918" w:rsidRDefault="000D1659">
            <w:pPr>
              <w:jc w:val="right"/>
              <w:rPr>
                <w:b/>
                <w:color w:val="000000"/>
                <w:sz w:val="16"/>
                <w:szCs w:val="18"/>
              </w:rPr>
            </w:pPr>
            <w:r w:rsidRPr="00491918">
              <w:rPr>
                <w:b/>
                <w:color w:val="000000"/>
                <w:sz w:val="16"/>
                <w:szCs w:val="18"/>
              </w:rPr>
              <w:t>31.12.12</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szCs w:val="18"/>
              </w:rPr>
            </w:pPr>
            <w:r w:rsidRPr="00491918">
              <w:rPr>
                <w:b/>
                <w:color w:val="000000"/>
                <w:sz w:val="16"/>
                <w:szCs w:val="18"/>
              </w:rPr>
              <w:t>Available for Sale Assets as at 30.06.13</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Fair Value through OCI</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Cost</w:t>
            </w:r>
            <w:r w:rsidRPr="00491918">
              <w:rPr>
                <w:b/>
                <w:color w:val="000000"/>
                <w:sz w:val="16"/>
                <w:szCs w:val="18"/>
                <w:vertAlign w:val="superscript"/>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vertAlign w:val="superscript"/>
              </w:rPr>
            </w:pPr>
            <w:r w:rsidRPr="00491918">
              <w:rPr>
                <w:b/>
                <w:color w:val="000000"/>
                <w:sz w:val="16"/>
                <w:szCs w:val="18"/>
              </w:rPr>
              <w:t>AFS Reserve</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Total</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p>
        </w:tc>
      </w:tr>
      <w:tr w:rsidR="00E9782A"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425"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r w:rsidRPr="00491918">
              <w:rPr>
                <w:color w:val="000000"/>
                <w:sz w:val="16"/>
                <w:szCs w:val="18"/>
                <w:vertAlign w:val="superscript"/>
              </w:rPr>
              <w:t xml:space="preserve"> </w:t>
            </w:r>
          </w:p>
        </w:tc>
        <w:tc>
          <w:tcPr>
            <w:tcW w:w="177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E9782A" w:rsidRPr="00491918" w:rsidTr="00F84A40">
        <w:trPr>
          <w:trHeight w:val="240"/>
        </w:trPr>
        <w:tc>
          <w:tcPr>
            <w:tcW w:w="2310" w:type="dxa"/>
            <w:gridSpan w:val="2"/>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Sovereign</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23 </w:t>
            </w:r>
            <w:r w:rsidRPr="00491918">
              <w:rPr>
                <w:color w:val="000000"/>
                <w:sz w:val="16"/>
                <w:szCs w:val="18"/>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23 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1,562 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161 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165 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480 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b/>
                <w:color w:val="000000"/>
                <w:sz w:val="16"/>
                <w:szCs w:val="18"/>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szCs w:val="18"/>
              </w:rPr>
            </w:pPr>
            <w:r w:rsidRPr="00491918">
              <w:rPr>
                <w:b/>
                <w:color w:val="000000"/>
                <w:sz w:val="16"/>
                <w:szCs w:val="18"/>
              </w:rPr>
              <w:t>Loans and Advances as at 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Total</w:t>
            </w:r>
          </w:p>
          <w:p w:rsidR="000D1659" w:rsidRPr="00491918" w:rsidRDefault="000D1659">
            <w:pPr>
              <w:jc w:val="right"/>
              <w:rPr>
                <w:b/>
                <w:color w:val="000000"/>
                <w:sz w:val="16"/>
                <w:szCs w:val="18"/>
              </w:rPr>
            </w:pPr>
            <w:r w:rsidRPr="00491918">
              <w:rPr>
                <w:b/>
                <w:color w:val="000000"/>
                <w:sz w:val="16"/>
                <w:szCs w:val="18"/>
              </w:rPr>
              <w:t>as at</w:t>
            </w:r>
          </w:p>
          <w:p w:rsidR="000D1659" w:rsidRPr="00491918" w:rsidRDefault="000D1659">
            <w:pPr>
              <w:jc w:val="right"/>
              <w:rPr>
                <w:b/>
                <w:color w:val="000000"/>
                <w:sz w:val="16"/>
                <w:szCs w:val="18"/>
              </w:rPr>
            </w:pPr>
            <w:r w:rsidRPr="00491918">
              <w:rPr>
                <w:b/>
                <w:color w:val="000000"/>
                <w:sz w:val="16"/>
                <w:szCs w:val="18"/>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szCs w:val="18"/>
              </w:rPr>
            </w:pPr>
            <w:r w:rsidRPr="00491918">
              <w:rPr>
                <w:b/>
                <w:color w:val="000000"/>
                <w:sz w:val="16"/>
                <w:szCs w:val="18"/>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szCs w:val="18"/>
              </w:rPr>
            </w:pPr>
            <w:r w:rsidRPr="00491918">
              <w:rPr>
                <w:b/>
                <w:color w:val="000000"/>
                <w:sz w:val="16"/>
                <w:szCs w:val="18"/>
              </w:rPr>
              <w:t xml:space="preserve"> </w:t>
            </w:r>
            <w:r w:rsidRPr="00491918">
              <w:rPr>
                <w:b/>
                <w:color w:val="000000"/>
                <w:sz w:val="16"/>
                <w:szCs w:val="18"/>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szCs w:val="18"/>
                <w:vertAlign w:val="superscript"/>
              </w:rPr>
            </w:pPr>
            <w:r w:rsidRPr="00491918">
              <w:rPr>
                <w:b/>
                <w:color w:val="000000"/>
                <w:sz w:val="16"/>
                <w:szCs w:val="18"/>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szCs w:val="18"/>
              </w:rPr>
            </w:pPr>
            <w:r w:rsidRPr="00491918">
              <w:rPr>
                <w:b/>
                <w:color w:val="000000"/>
                <w:sz w:val="16"/>
                <w:szCs w:val="18"/>
              </w:rPr>
              <w:t xml:space="preserve">Impairment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szCs w:val="18"/>
              </w:rPr>
            </w:pPr>
            <w:r w:rsidRPr="00491918">
              <w:rPr>
                <w:b/>
                <w:color w:val="000000"/>
                <w:sz w:val="16"/>
                <w:szCs w:val="18"/>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Held at Amortised Cost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 xml:space="preserve">Gross </w:t>
            </w:r>
            <w:r w:rsidRPr="00491918">
              <w:rPr>
                <w:b/>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vertAlign w:val="superscript"/>
              </w:rPr>
            </w:pPr>
            <w:r w:rsidRPr="00491918">
              <w:rPr>
                <w:b/>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b/>
                <w:color w:val="000000"/>
                <w:sz w:val="16"/>
                <w:szCs w:val="18"/>
              </w:rPr>
              <w:t>Allowances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Total</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r w:rsidRPr="00491918">
              <w:rPr>
                <w:color w:val="000000"/>
                <w:sz w:val="16"/>
                <w:szCs w:val="18"/>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£m </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31 </w:t>
            </w:r>
            <w:r w:rsidRPr="00491918">
              <w:rPr>
                <w:color w:val="000000"/>
                <w:sz w:val="16"/>
                <w:szCs w:val="18"/>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31 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29 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81 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(11)</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70 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257 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13,677 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(131)</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13,546 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13,305 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4,055 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(999)</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3,056 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3,311 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2,565 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(129)</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2,436 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2,428 </w:t>
            </w:r>
          </w:p>
        </w:tc>
      </w:tr>
      <w:tr w:rsidR="000D1659" w:rsidRPr="00491918" w:rsidTr="00F84A40">
        <w:trPr>
          <w:trHeight w:hRule="exact" w:val="9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Total</w:t>
            </w:r>
          </w:p>
          <w:p w:rsidR="000D1659" w:rsidRPr="00491918" w:rsidRDefault="000D1659">
            <w:pPr>
              <w:jc w:val="right"/>
              <w:rPr>
                <w:b/>
                <w:color w:val="000000"/>
                <w:sz w:val="16"/>
                <w:szCs w:val="18"/>
              </w:rPr>
            </w:pPr>
            <w:r w:rsidRPr="00491918">
              <w:rPr>
                <w:b/>
                <w:color w:val="000000"/>
                <w:sz w:val="16"/>
                <w:szCs w:val="18"/>
              </w:rPr>
              <w:t>as at</w:t>
            </w:r>
          </w:p>
          <w:p w:rsidR="000D1659" w:rsidRPr="00491918" w:rsidRDefault="000D1659">
            <w:pPr>
              <w:jc w:val="right"/>
              <w:rPr>
                <w:b/>
                <w:color w:val="000000"/>
                <w:sz w:val="16"/>
                <w:szCs w:val="18"/>
              </w:rPr>
            </w:pPr>
            <w:r w:rsidRPr="00491918">
              <w:rPr>
                <w:b/>
                <w:color w:val="000000"/>
                <w:sz w:val="16"/>
                <w:szCs w:val="18"/>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Total</w:t>
            </w:r>
          </w:p>
          <w:p w:rsidR="000D1659" w:rsidRPr="00491918" w:rsidRDefault="000D1659">
            <w:pPr>
              <w:jc w:val="right"/>
              <w:rPr>
                <w:b/>
                <w:color w:val="000000"/>
                <w:sz w:val="16"/>
                <w:szCs w:val="18"/>
              </w:rPr>
            </w:pPr>
            <w:r w:rsidRPr="00491918">
              <w:rPr>
                <w:b/>
                <w:color w:val="000000"/>
                <w:sz w:val="16"/>
                <w:szCs w:val="18"/>
              </w:rPr>
              <w:t>as at</w:t>
            </w:r>
          </w:p>
          <w:p w:rsidR="000D1659" w:rsidRPr="00491918" w:rsidRDefault="000D1659">
            <w:pPr>
              <w:jc w:val="right"/>
              <w:rPr>
                <w:b/>
                <w:color w:val="000000"/>
                <w:sz w:val="16"/>
                <w:szCs w:val="18"/>
              </w:rPr>
            </w:pPr>
            <w:r w:rsidRPr="00491918">
              <w:rPr>
                <w:b/>
                <w:color w:val="000000"/>
                <w:sz w:val="16"/>
                <w:szCs w:val="18"/>
              </w:rPr>
              <w:t>31.12.12</w:t>
            </w: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7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8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b/>
                <w:color w:val="000000"/>
                <w:sz w:val="16"/>
                <w:szCs w:val="18"/>
              </w:rPr>
            </w:pPr>
            <w:r w:rsidRPr="00491918">
              <w:rPr>
                <w:color w:val="000000"/>
                <w:sz w:val="16"/>
                <w:szCs w:val="18"/>
              </w:rPr>
              <w:t xml:space="preserve"> </w:t>
            </w:r>
          </w:p>
        </w:tc>
        <w:tc>
          <w:tcPr>
            <w:tcW w:w="61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color w:val="000000"/>
                <w:sz w:val="16"/>
                <w:szCs w:val="18"/>
              </w:rPr>
            </w:pPr>
            <w:r w:rsidRPr="00491918">
              <w:rPr>
                <w:b/>
                <w:color w:val="000000"/>
                <w:sz w:val="16"/>
                <w:szCs w:val="18"/>
              </w:rPr>
              <w:t>£m</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 </w:t>
            </w:r>
          </w:p>
        </w:tc>
        <w:tc>
          <w:tcPr>
            <w:tcW w:w="959"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£m</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Financial institutions</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184 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88 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Residential mortgages</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12 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2,029 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1,938 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r w:rsidRPr="00491918">
              <w:rPr>
                <w:color w:val="000000"/>
                <w:sz w:val="16"/>
                <w:szCs w:val="18"/>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vertAlign w:val="superscript"/>
              </w:rPr>
            </w:pPr>
            <w:r w:rsidRPr="00491918">
              <w:rPr>
                <w:color w:val="000000"/>
                <w:sz w:val="16"/>
                <w:szCs w:val="18"/>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1,023 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szCs w:val="18"/>
              </w:rPr>
            </w:pPr>
            <w:r w:rsidRPr="00491918">
              <w:rPr>
                <w:color w:val="000000"/>
                <w:sz w:val="16"/>
                <w:szCs w:val="18"/>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1,263 </w:t>
            </w:r>
          </w:p>
        </w:tc>
      </w:tr>
    </w:tbl>
    <w:p w:rsidR="000D1659" w:rsidRPr="00491918" w:rsidRDefault="000D1659">
      <w:pPr>
        <w:rPr>
          <w:szCs w:val="18"/>
        </w:rPr>
      </w:pPr>
    </w:p>
    <w:p w:rsidR="000D1659" w:rsidRPr="00491918" w:rsidRDefault="000D1659" w:rsidP="000D1659">
      <w:pPr>
        <w:pStyle w:val="Level1Bullet-BarcRA01"/>
        <w:spacing w:before="100" w:after="100"/>
      </w:pPr>
      <w:r w:rsidRPr="00491918">
        <w:rPr>
          <w:b/>
        </w:rPr>
        <w:t>Sovereign</w:t>
      </w:r>
    </w:p>
    <w:p w:rsidR="000D1659" w:rsidRPr="00491918" w:rsidRDefault="000D1659" w:rsidP="00EC729A">
      <w:pPr>
        <w:pStyle w:val="Level2Bullet-BarcRA9"/>
        <w:numPr>
          <w:ilvl w:val="2"/>
          <w:numId w:val="183"/>
        </w:numPr>
        <w:tabs>
          <w:tab w:val="num" w:pos="709"/>
        </w:tabs>
        <w:spacing w:before="100" w:after="100"/>
        <w:ind w:left="709" w:hanging="425"/>
      </w:pPr>
      <w:r w:rsidRPr="00491918">
        <w:t>£292m (2012: £2,067m) largely consisting of holdings in government bonds held at fair value through profit and loss.  During the period Spanish sovereign exposure reduced due to the disposal of AFS government bonds</w:t>
      </w:r>
    </w:p>
    <w:p w:rsidR="000D1659" w:rsidRPr="00491918" w:rsidRDefault="000D1659" w:rsidP="000D1659">
      <w:pPr>
        <w:pStyle w:val="Level1Bullet-BarcRA01"/>
        <w:spacing w:before="100" w:after="100"/>
      </w:pPr>
      <w:r w:rsidRPr="00491918">
        <w:rPr>
          <w:b/>
        </w:rPr>
        <w:t xml:space="preserve">Financial </w:t>
      </w:r>
      <w:r w:rsidRPr="00491918">
        <w:rPr>
          <w:b/>
          <w:lang w:val="en-GB"/>
        </w:rPr>
        <w:t>i</w:t>
      </w:r>
      <w:r w:rsidRPr="00491918">
        <w:rPr>
          <w:b/>
        </w:rPr>
        <w:t>nstitutions</w:t>
      </w:r>
    </w:p>
    <w:p w:rsidR="000D1659" w:rsidRPr="00491918" w:rsidRDefault="000D1659" w:rsidP="00EC729A">
      <w:pPr>
        <w:pStyle w:val="Level2Bullet-BarcRA9"/>
        <w:numPr>
          <w:ilvl w:val="2"/>
          <w:numId w:val="183"/>
        </w:numPr>
        <w:tabs>
          <w:tab w:val="num" w:pos="709"/>
        </w:tabs>
        <w:spacing w:before="100" w:after="100"/>
        <w:ind w:left="709" w:hanging="425"/>
      </w:pPr>
      <w:r w:rsidRPr="00491918">
        <w:t>£</w:t>
      </w:r>
      <w:r w:rsidRPr="00491918">
        <w:rPr>
          <w:lang w:val="en-GB"/>
        </w:rPr>
        <w:t>793</w:t>
      </w:r>
      <w:r w:rsidRPr="00491918">
        <w:t xml:space="preserve">m </w:t>
      </w:r>
      <w:r w:rsidRPr="00491918">
        <w:rPr>
          <w:lang w:val="en-GB"/>
        </w:rPr>
        <w:t xml:space="preserve">(2012: £788m) </w:t>
      </w:r>
      <w:r w:rsidRPr="00491918">
        <w:t>held at fair value</w:t>
      </w:r>
      <w:r w:rsidRPr="00491918">
        <w:rPr>
          <w:lang w:val="en-GB"/>
        </w:rPr>
        <w:t xml:space="preserve"> through profit and loss</w:t>
      </w:r>
      <w:r w:rsidRPr="00491918">
        <w:t xml:space="preserve">, predominantly debt securities held by the Investment Bank to support trading and market making activities </w:t>
      </w:r>
    </w:p>
    <w:p w:rsidR="000D1659" w:rsidRPr="00491918" w:rsidRDefault="000D1659" w:rsidP="00EC729A">
      <w:pPr>
        <w:pStyle w:val="Level2Bullet-BarcRA9"/>
        <w:numPr>
          <w:ilvl w:val="2"/>
          <w:numId w:val="183"/>
        </w:numPr>
        <w:tabs>
          <w:tab w:val="num" w:pos="709"/>
        </w:tabs>
        <w:spacing w:before="100" w:after="100"/>
        <w:ind w:left="709" w:hanging="425"/>
      </w:pPr>
      <w:r w:rsidRPr="00491918">
        <w:t>£</w:t>
      </w:r>
      <w:r w:rsidRPr="00491918">
        <w:rPr>
          <w:lang w:val="en-GB"/>
        </w:rPr>
        <w:t>165</w:t>
      </w:r>
      <w:r w:rsidRPr="00491918">
        <w:t xml:space="preserve">m </w:t>
      </w:r>
      <w:r w:rsidRPr="00491918">
        <w:rPr>
          <w:lang w:val="en-GB"/>
        </w:rPr>
        <w:t xml:space="preserve">(2012: £480m) </w:t>
      </w:r>
      <w:r w:rsidRPr="00491918">
        <w:t>AFS assets with £</w:t>
      </w:r>
      <w:r w:rsidRPr="00491918">
        <w:rPr>
          <w:lang w:val="en-GB"/>
        </w:rPr>
        <w:t>4</w:t>
      </w:r>
      <w:r w:rsidRPr="00491918">
        <w:t xml:space="preserve">m </w:t>
      </w:r>
      <w:r w:rsidRPr="00491918">
        <w:rPr>
          <w:lang w:val="en-GB"/>
        </w:rPr>
        <w:t>(2012: £11m loss) cumulative gain</w:t>
      </w:r>
      <w:r w:rsidRPr="00491918">
        <w:t xml:space="preserve"> held in AFS reserve</w:t>
      </w:r>
    </w:p>
    <w:p w:rsidR="000D1659" w:rsidRPr="00491918" w:rsidRDefault="000D1659" w:rsidP="00EC729A">
      <w:pPr>
        <w:pStyle w:val="Level1Bullet-BarcRA01"/>
        <w:numPr>
          <w:ilvl w:val="0"/>
          <w:numId w:val="183"/>
        </w:numPr>
        <w:tabs>
          <w:tab w:val="num" w:pos="1401"/>
        </w:tabs>
        <w:spacing w:before="100" w:after="100"/>
      </w:pPr>
      <w:r w:rsidRPr="00491918">
        <w:rPr>
          <w:b/>
        </w:rPr>
        <w:t>Residential mortgages</w:t>
      </w:r>
    </w:p>
    <w:p w:rsidR="000D1659" w:rsidRPr="00491918" w:rsidRDefault="000D1659" w:rsidP="00EC729A">
      <w:pPr>
        <w:pStyle w:val="Level2Bullet-BarcRA9"/>
        <w:numPr>
          <w:ilvl w:val="2"/>
          <w:numId w:val="183"/>
        </w:numPr>
        <w:tabs>
          <w:tab w:val="num" w:pos="709"/>
        </w:tabs>
        <w:spacing w:before="100" w:after="100"/>
        <w:ind w:left="709" w:hanging="425"/>
      </w:pPr>
      <w:r w:rsidRPr="00491918">
        <w:t>£13,546m (2012: £13,305m) fully secured on residential property with average balance weighted marked to market LTV of 65.7% (2012: 64.6%). The increase in LTV is reflected in the CRL coverage of 38% (2012: 36%)</w:t>
      </w:r>
    </w:p>
    <w:p w:rsidR="000D1659" w:rsidRPr="00491918" w:rsidRDefault="000D1659" w:rsidP="00EC729A">
      <w:pPr>
        <w:pStyle w:val="Level2Bullet-BarcRA9"/>
        <w:numPr>
          <w:ilvl w:val="2"/>
          <w:numId w:val="183"/>
        </w:numPr>
        <w:tabs>
          <w:tab w:val="num" w:pos="709"/>
        </w:tabs>
        <w:spacing w:before="100" w:after="100"/>
        <w:ind w:left="709" w:hanging="425"/>
        <w:rPr>
          <w:lang w:val="en-GB"/>
        </w:rPr>
      </w:pPr>
      <w:r w:rsidRPr="00491918">
        <w:rPr>
          <w:lang w:val="en-GB"/>
        </w:rPr>
        <w:t>90 day arrears rates have remained stable at 0.7% (2012: 0.7%) while gross charge off rates have improved slightly to 1.0% (2012: 1.1%)</w:t>
      </w:r>
    </w:p>
    <w:p w:rsidR="000D1659" w:rsidRPr="00491918" w:rsidRDefault="000D1659" w:rsidP="00EC729A">
      <w:pPr>
        <w:pStyle w:val="Level1Bullet-BarcRA01"/>
        <w:numPr>
          <w:ilvl w:val="0"/>
          <w:numId w:val="183"/>
        </w:numPr>
        <w:tabs>
          <w:tab w:val="num" w:pos="1401"/>
        </w:tabs>
        <w:spacing w:before="100" w:after="100"/>
        <w:rPr>
          <w:b/>
        </w:rPr>
      </w:pPr>
      <w:r w:rsidRPr="00491918">
        <w:rPr>
          <w:b/>
          <w:lang w:val="en-GB"/>
        </w:rPr>
        <w:t xml:space="preserve"> Corporate</w:t>
      </w:r>
    </w:p>
    <w:p w:rsidR="000D1659" w:rsidRPr="00491918" w:rsidRDefault="000D1659" w:rsidP="00EC729A">
      <w:pPr>
        <w:pStyle w:val="Level2Bullet-BarcRA9"/>
        <w:numPr>
          <w:ilvl w:val="2"/>
          <w:numId w:val="183"/>
        </w:numPr>
        <w:tabs>
          <w:tab w:val="num" w:pos="709"/>
        </w:tabs>
        <w:spacing w:before="100" w:after="100"/>
        <w:ind w:left="709" w:hanging="425"/>
      </w:pPr>
      <w:r w:rsidRPr="00491918">
        <w:t>Net lending to corporates of £3,056m (2012: £3,311m) with CRLs of £1,710m (2012: £1,887), impairment allowance of £999m (2012: £1,060m) and CRL coverage of 58% (2012: 56%). Balances on early warning lists peaked in November 2010</w:t>
      </w:r>
    </w:p>
    <w:p w:rsidR="00C80BB5" w:rsidRPr="00491918" w:rsidRDefault="00C80BB5" w:rsidP="00C80BB5">
      <w:pPr>
        <w:pStyle w:val="Level2Bullet-BarcRA9"/>
        <w:numPr>
          <w:ilvl w:val="0"/>
          <w:numId w:val="0"/>
        </w:numPr>
        <w:spacing w:before="100" w:after="100"/>
        <w:ind w:left="709"/>
      </w:pPr>
    </w:p>
    <w:p w:rsidR="000D1659" w:rsidRPr="00491918" w:rsidRDefault="000D1659" w:rsidP="00EC729A">
      <w:pPr>
        <w:pStyle w:val="NoteandSourceText-BarcRA17"/>
        <w:numPr>
          <w:ilvl w:val="0"/>
          <w:numId w:val="185"/>
        </w:numPr>
        <w:ind w:left="284" w:hanging="284"/>
      </w:pPr>
      <w:r w:rsidRPr="00491918">
        <w:t xml:space="preserve"> ‘Cost’ refers to the fair value of the asset at recognition, less any impairment booked. ‘AFS Reserve’ is the cumulative fair value gain or loss on the assets that is held in equity. ‘Total’ is the fair value of the assets at the balance sheet date. </w:t>
      </w:r>
    </w:p>
    <w:p w:rsidR="0007202F" w:rsidRPr="00491918" w:rsidRDefault="0007202F" w:rsidP="0007202F">
      <w:pPr>
        <w:pStyle w:val="NoteandSourceText-BarcRA17"/>
        <w:numPr>
          <w:ilvl w:val="0"/>
          <w:numId w:val="0"/>
        </w:numPr>
        <w:ind w:left="720" w:hanging="360"/>
      </w:pPr>
    </w:p>
    <w:p w:rsidR="00DA356B" w:rsidRPr="00491918" w:rsidRDefault="00DA356B" w:rsidP="0007202F">
      <w:pPr>
        <w:pStyle w:val="HeadingLevel1-BarcRA35"/>
        <w:rPr>
          <w:lang w:val="en-GB"/>
        </w:rPr>
      </w:pPr>
    </w:p>
    <w:p w:rsidR="0007202F" w:rsidRPr="00491918" w:rsidRDefault="0007202F" w:rsidP="0007202F">
      <w:pPr>
        <w:pStyle w:val="HeadingLevel1-BarcRA35"/>
        <w:rPr>
          <w:lang w:val="en-GB"/>
        </w:rPr>
      </w:pPr>
      <w:r w:rsidRPr="00491918">
        <w:rPr>
          <w:lang w:val="en-GB"/>
        </w:rPr>
        <w:t xml:space="preserve">Credit </w:t>
      </w:r>
      <w:r w:rsidRPr="00491918">
        <w:t>Risk</w:t>
      </w:r>
    </w:p>
    <w:p w:rsidR="000D1659" w:rsidRPr="00491918" w:rsidRDefault="000D1659" w:rsidP="0007202F">
      <w:pPr>
        <w:pStyle w:val="Level2Bullet-BarcRA80"/>
        <w:tabs>
          <w:tab w:val="num" w:pos="709"/>
        </w:tabs>
        <w:spacing w:before="120" w:after="120"/>
        <w:ind w:left="709" w:hanging="425"/>
        <w:rPr>
          <w:lang w:val="en-GB"/>
        </w:rPr>
      </w:pPr>
      <w:r w:rsidRPr="00491918">
        <w:rPr>
          <w:lang w:val="en-GB"/>
        </w:rPr>
        <w:lastRenderedPageBreak/>
        <w:t>The portfolio is kept under close review. Early warning list (EWL) balances remain on the reducing trend seen since the peak in H110. Over this period, EWL balances have more than halved</w:t>
      </w:r>
    </w:p>
    <w:p w:rsidR="000D1659" w:rsidRPr="00491918" w:rsidRDefault="000D1659" w:rsidP="000D1659">
      <w:pPr>
        <w:pStyle w:val="Level2Bullet-BarcRA80"/>
        <w:tabs>
          <w:tab w:val="num" w:pos="709"/>
        </w:tabs>
        <w:spacing w:before="120" w:after="120"/>
        <w:ind w:left="709" w:hanging="425"/>
        <w:rPr>
          <w:lang w:val="en-GB"/>
        </w:rPr>
      </w:pPr>
      <w:r w:rsidRPr="00491918">
        <w:rPr>
          <w:lang w:val="en-GB"/>
        </w:rPr>
        <w:t>Net lending to property and construction industry of £1,692m (2012: £2,009m) largely secured on real estate collateral, with CRLs of £1,208m (2012: £1,429m), impairment allowance of £741m (2012: £820m) and CRL coverage of 61% (2012: 57%)</w:t>
      </w:r>
    </w:p>
    <w:p w:rsidR="000D1659" w:rsidRPr="00491918" w:rsidRDefault="000D1659" w:rsidP="00EC729A">
      <w:pPr>
        <w:pStyle w:val="Level2Bullet-BarcRA80"/>
        <w:numPr>
          <w:ilvl w:val="2"/>
          <w:numId w:val="183"/>
        </w:numPr>
        <w:tabs>
          <w:tab w:val="num" w:pos="709"/>
        </w:tabs>
        <w:spacing w:before="120" w:after="120"/>
        <w:ind w:left="709" w:hanging="425"/>
        <w:rPr>
          <w:lang w:val="en-GB"/>
        </w:rPr>
      </w:pPr>
      <w:r w:rsidRPr="00491918">
        <w:rPr>
          <w:lang w:val="en-GB"/>
        </w:rPr>
        <w:t>Corporate impairment in Spain was at its highest level during H110 when commercial property declines were reflected earlier in the cycle</w:t>
      </w:r>
    </w:p>
    <w:p w:rsidR="000D1659" w:rsidRPr="00491918" w:rsidRDefault="000D1659" w:rsidP="00EC729A">
      <w:pPr>
        <w:pStyle w:val="Level2Bullet-BarcRA80"/>
        <w:numPr>
          <w:ilvl w:val="2"/>
          <w:numId w:val="183"/>
        </w:numPr>
        <w:tabs>
          <w:tab w:val="num" w:pos="709"/>
        </w:tabs>
        <w:spacing w:before="120" w:after="120"/>
        <w:ind w:left="709" w:hanging="425"/>
        <w:rPr>
          <w:lang w:val="en-GB"/>
        </w:rPr>
      </w:pPr>
      <w:r w:rsidRPr="00491918">
        <w:rPr>
          <w:lang w:val="en-GB"/>
        </w:rPr>
        <w:t>£345m (2012: £359m) lending to multinational and large national corporates, which continues to perform</w:t>
      </w:r>
    </w:p>
    <w:p w:rsidR="000D1659" w:rsidRPr="00491918" w:rsidRDefault="000D1659" w:rsidP="00EC729A">
      <w:pPr>
        <w:pStyle w:val="Level1Bullet-BarcRA01"/>
        <w:numPr>
          <w:ilvl w:val="0"/>
          <w:numId w:val="183"/>
        </w:numPr>
        <w:tabs>
          <w:tab w:val="num" w:pos="1401"/>
        </w:tabs>
        <w:spacing w:before="120" w:after="120"/>
        <w:rPr>
          <w:b/>
        </w:rPr>
      </w:pPr>
      <w:r w:rsidRPr="00491918">
        <w:rPr>
          <w:b/>
          <w:lang w:val="en-GB"/>
        </w:rPr>
        <w:t xml:space="preserve"> Other retail lending</w:t>
      </w:r>
    </w:p>
    <w:p w:rsidR="000D1659" w:rsidRPr="00491918" w:rsidRDefault="000D1659" w:rsidP="00EC729A">
      <w:pPr>
        <w:pStyle w:val="Level2Bullet-BarcRA9"/>
        <w:numPr>
          <w:ilvl w:val="2"/>
          <w:numId w:val="183"/>
        </w:numPr>
        <w:tabs>
          <w:tab w:val="num" w:pos="709"/>
        </w:tabs>
        <w:spacing w:before="120" w:after="120"/>
        <w:ind w:left="709" w:hanging="425"/>
        <w:rPr>
          <w:lang w:val="en-GB"/>
        </w:rPr>
      </w:pPr>
      <w:r w:rsidRPr="00491918">
        <w:rPr>
          <w:lang w:val="en-GB"/>
        </w:rPr>
        <w:t>£1,051m (2012: £1,052m) credit cards and unsecured loans. 30 day arrears marginally improved while 90 days arrears rates increased. Gross charge off rates in credit cards and unsecured loans were stable in H113</w:t>
      </w:r>
    </w:p>
    <w:p w:rsidR="000D1659" w:rsidRPr="00491918" w:rsidRDefault="000D1659" w:rsidP="00EC729A">
      <w:pPr>
        <w:pStyle w:val="Level2Bullet-BarcRA9"/>
        <w:numPr>
          <w:ilvl w:val="2"/>
          <w:numId w:val="183"/>
        </w:numPr>
        <w:tabs>
          <w:tab w:val="num" w:pos="709"/>
        </w:tabs>
        <w:spacing w:before="120" w:after="120"/>
        <w:ind w:left="709" w:hanging="425"/>
        <w:rPr>
          <w:lang w:val="en-GB"/>
        </w:rPr>
      </w:pPr>
      <w:r w:rsidRPr="00491918">
        <w:rPr>
          <w:lang w:val="en-GB"/>
        </w:rPr>
        <w:t xml:space="preserve"> £1,007m (2012: £1,045m) lending to small and medium enterprises (SMEs), largely secured against residential or commercial property</w:t>
      </w:r>
    </w:p>
    <w:p w:rsidR="000D1659" w:rsidRPr="00491918" w:rsidRDefault="000D1659">
      <w:pPr>
        <w:spacing w:line="14" w:lineRule="exact"/>
        <w:rPr>
          <w:lang w:val="en-GB"/>
        </w:rPr>
      </w:pPr>
      <w:r w:rsidRPr="00491918">
        <w:rPr>
          <w:lang w:val="en-GB"/>
        </w:rPr>
        <w:br w:type="page"/>
      </w:r>
    </w:p>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07202F" w:rsidRPr="00491918" w:rsidTr="00F84A40">
        <w:trPr>
          <w:trHeight w:val="168"/>
        </w:trPr>
        <w:tc>
          <w:tcPr>
            <w:tcW w:w="1605" w:type="dxa"/>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35"/>
              <w:rPr>
                <w:lang w:val="en-GB"/>
              </w:rPr>
            </w:pPr>
            <w:r w:rsidRPr="00491918">
              <w:rPr>
                <w:lang w:val="en-GB"/>
              </w:rPr>
              <w:lastRenderedPageBreak/>
              <w:t xml:space="preserve">Credit </w:t>
            </w:r>
            <w:r w:rsidRPr="00491918">
              <w:t>Risk</w:t>
            </w: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79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18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61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81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81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96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lang w:val="en-GB"/>
              </w:rPr>
            </w:pPr>
          </w:p>
        </w:tc>
        <w:tc>
          <w:tcPr>
            <w:tcW w:w="930" w:type="dxa"/>
            <w:tcBorders>
              <w:top w:val="nil"/>
              <w:left w:val="nil"/>
              <w:bottom w:val="nil"/>
              <w:right w:val="nil"/>
            </w:tcBorders>
            <w:shd w:val="clear" w:color="auto" w:fill="FFFFFF"/>
            <w:tcMar>
              <w:left w:w="36" w:type="dxa"/>
              <w:right w:w="36" w:type="dxa"/>
            </w:tcMar>
            <w:vAlign w:val="bottom"/>
          </w:tcPr>
          <w:p w:rsidR="0007202F" w:rsidRPr="00491918" w:rsidRDefault="0007202F">
            <w:pPr>
              <w:jc w:val="right"/>
              <w:rPr>
                <w:b/>
                <w:color w:val="000000"/>
                <w:sz w:val="16"/>
                <w:lang w:val="en-GB"/>
              </w:rPr>
            </w:pP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jc w:val="center"/>
              <w:rPr>
                <w:b/>
                <w:color w:val="000000"/>
                <w:sz w:val="16"/>
                <w:lang w:val="en-GB"/>
              </w:rPr>
            </w:pPr>
          </w:p>
        </w:tc>
        <w:tc>
          <w:tcPr>
            <w:tcW w:w="180" w:type="dxa"/>
            <w:tcBorders>
              <w:top w:val="nil"/>
              <w:left w:val="nil"/>
              <w:bottom w:val="nil"/>
              <w:right w:val="nil"/>
            </w:tcBorders>
            <w:shd w:val="clear" w:color="auto" w:fill="FFFFFF"/>
            <w:tcMar>
              <w:left w:w="36" w:type="dxa"/>
              <w:right w:w="36" w:type="dxa"/>
            </w:tcMar>
            <w:vAlign w:val="bottom"/>
          </w:tcPr>
          <w:p w:rsidR="0007202F" w:rsidRPr="00491918" w:rsidRDefault="0007202F">
            <w:pPr>
              <w:jc w:val="center"/>
              <w:rPr>
                <w:b/>
                <w:color w:val="000000"/>
                <w:sz w:val="16"/>
                <w:lang w:val="en-GB"/>
              </w:rPr>
            </w:pPr>
          </w:p>
        </w:tc>
        <w:tc>
          <w:tcPr>
            <w:tcW w:w="959" w:type="dxa"/>
            <w:tcBorders>
              <w:top w:val="nil"/>
              <w:left w:val="nil"/>
              <w:bottom w:val="nil"/>
              <w:right w:val="nil"/>
            </w:tcBorders>
            <w:shd w:val="clear" w:color="auto" w:fill="FFFFFF"/>
            <w:tcMar>
              <w:left w:w="36" w:type="dxa"/>
              <w:right w:w="36" w:type="dxa"/>
            </w:tcMar>
            <w:vAlign w:val="center"/>
          </w:tcPr>
          <w:p w:rsidR="0007202F" w:rsidRPr="00491918" w:rsidRDefault="0007202F">
            <w:pPr>
              <w:jc w:val="right"/>
              <w:rPr>
                <w:color w:val="000000"/>
                <w:sz w:val="16"/>
                <w:lang w:val="en-GB"/>
              </w:rPr>
            </w:pPr>
          </w:p>
        </w:tc>
      </w:tr>
      <w:tr w:rsidR="000D1659" w:rsidRPr="00491918" w:rsidTr="00F84A40">
        <w:trPr>
          <w:trHeight w:val="168"/>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lang w:val="en-GB"/>
              </w:rPr>
            </w:pPr>
            <w:r w:rsidRPr="00491918">
              <w:rPr>
                <w:b/>
                <w:color w:val="000000"/>
                <w:sz w:val="24"/>
                <w:lang w:val="en-GB"/>
              </w:rPr>
              <w:t>Italy</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color w:val="000000"/>
                <w:sz w:val="16"/>
                <w:lang w:val="en-GB"/>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24"/>
                <w:lang w:val="en-GB"/>
              </w:rPr>
              <w:t xml:space="preserve"> </w:t>
            </w:r>
          </w:p>
        </w:tc>
        <w:tc>
          <w:tcPr>
            <w:tcW w:w="2205" w:type="dxa"/>
            <w:gridSpan w:val="3"/>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24"/>
                <w:lang w:val="en-GB"/>
              </w:rPr>
            </w:pPr>
            <w:r w:rsidRPr="00491918">
              <w:rPr>
                <w:b/>
                <w:color w:val="000000"/>
                <w:sz w:val="16"/>
                <w:lang w:val="en-GB"/>
              </w:rPr>
              <w:t>Trading Portfolio</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3195" w:type="dxa"/>
            <w:gridSpan w:val="4"/>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Derivatives</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Total</w:t>
            </w:r>
          </w:p>
          <w:p w:rsidR="000D1659" w:rsidRPr="00491918" w:rsidRDefault="000D1659">
            <w:pPr>
              <w:jc w:val="right"/>
              <w:rPr>
                <w:b/>
                <w:color w:val="000000"/>
                <w:sz w:val="16"/>
                <w:lang w:val="en-GB"/>
              </w:rPr>
            </w:pPr>
            <w:r w:rsidRPr="00491918">
              <w:rPr>
                <w:b/>
                <w:color w:val="000000"/>
                <w:sz w:val="16"/>
                <w:lang w:val="en-GB"/>
              </w:rPr>
              <w:t>as at</w:t>
            </w:r>
          </w:p>
          <w:p w:rsidR="000D1659" w:rsidRPr="00491918" w:rsidRDefault="000D1659">
            <w:pPr>
              <w:jc w:val="right"/>
              <w:rPr>
                <w:b/>
                <w:color w:val="000000"/>
                <w:sz w:val="16"/>
                <w:lang w:val="en-GB"/>
              </w:rPr>
            </w:pPr>
            <w:r w:rsidRPr="00491918">
              <w:rPr>
                <w:b/>
                <w:color w:val="000000"/>
                <w:sz w:val="16"/>
                <w:lang w:val="en-GB"/>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Total</w:t>
            </w:r>
          </w:p>
          <w:p w:rsidR="000D1659" w:rsidRPr="00491918" w:rsidRDefault="000D1659">
            <w:pPr>
              <w:jc w:val="right"/>
              <w:rPr>
                <w:b/>
                <w:color w:val="000000"/>
                <w:sz w:val="16"/>
                <w:lang w:val="en-GB"/>
              </w:rPr>
            </w:pPr>
            <w:r w:rsidRPr="00491918">
              <w:rPr>
                <w:b/>
                <w:color w:val="000000"/>
                <w:sz w:val="16"/>
                <w:lang w:val="en-GB"/>
              </w:rPr>
              <w:t>as at</w:t>
            </w:r>
          </w:p>
          <w:p w:rsidR="000D1659" w:rsidRPr="00491918" w:rsidRDefault="000D1659">
            <w:pPr>
              <w:jc w:val="right"/>
              <w:rPr>
                <w:b/>
                <w:color w:val="000000"/>
                <w:sz w:val="16"/>
                <w:lang w:val="en-GB"/>
              </w:rPr>
            </w:pPr>
            <w:r w:rsidRPr="00491918">
              <w:rPr>
                <w:b/>
                <w:color w:val="000000"/>
                <w:sz w:val="16"/>
                <w:lang w:val="en-GB"/>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 xml:space="preserve">Fair Value through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 xml:space="preserve">Cash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lang w:val="en-GB"/>
              </w:rPr>
            </w:pPr>
          </w:p>
        </w:tc>
      </w:tr>
      <w:tr w:rsidR="000D1659" w:rsidRPr="00491918" w:rsidTr="00F84A40">
        <w:trPr>
          <w:trHeight w:val="9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Profit and Loss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Assets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Liabilities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Net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Assets</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Liabilities</w:t>
            </w:r>
            <w:r w:rsidRPr="00491918">
              <w:rPr>
                <w:b/>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Collateral</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Net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r w:rsidRPr="00491918">
              <w:rPr>
                <w:color w:val="000000"/>
                <w:sz w:val="16"/>
                <w:vertAlign w:val="superscript"/>
                <w:lang w:val="en-GB"/>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2,401 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(2,401)</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1,714 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(471)</w:t>
            </w:r>
            <w:r w:rsidRPr="00491918">
              <w:rPr>
                <w:color w:val="000000"/>
                <w:sz w:val="16"/>
                <w:vertAlign w:val="superscript"/>
                <w:lang w:val="en-GB"/>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2 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1,245 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1,247 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1,123 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200 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(122)</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78 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4,888 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(3,144)</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(1,744)</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175 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253 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391 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215 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(129)</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86 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399 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(161)</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(133)</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105 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304 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495 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699 </w:t>
            </w:r>
          </w:p>
        </w:tc>
      </w:tr>
      <w:tr w:rsidR="000D1659" w:rsidRPr="00491918" w:rsidTr="00F84A40">
        <w:trPr>
          <w:trHeight w:hRule="exact" w:val="1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rsidTr="00F84A40">
        <w:trPr>
          <w:trHeight w:val="95"/>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Total</w:t>
            </w:r>
          </w:p>
          <w:p w:rsidR="000D1659" w:rsidRPr="00491918" w:rsidRDefault="000D1659">
            <w:pPr>
              <w:jc w:val="right"/>
              <w:rPr>
                <w:b/>
                <w:color w:val="000000"/>
                <w:sz w:val="16"/>
                <w:lang w:val="en-GB"/>
              </w:rPr>
            </w:pPr>
            <w:r w:rsidRPr="00491918">
              <w:rPr>
                <w:b/>
                <w:color w:val="000000"/>
                <w:sz w:val="16"/>
                <w:lang w:val="en-GB"/>
              </w:rPr>
              <w:t>as at</w:t>
            </w:r>
          </w:p>
          <w:p w:rsidR="000D1659" w:rsidRPr="00491918" w:rsidRDefault="000D1659">
            <w:pPr>
              <w:jc w:val="right"/>
              <w:rPr>
                <w:b/>
                <w:color w:val="000000"/>
                <w:sz w:val="16"/>
                <w:lang w:val="en-GB"/>
              </w:rPr>
            </w:pPr>
            <w:r w:rsidRPr="00491918">
              <w:rPr>
                <w:b/>
                <w:color w:val="000000"/>
                <w:sz w:val="16"/>
                <w:lang w:val="en-GB"/>
              </w:rPr>
              <w:t>31.12.12</w:t>
            </w:r>
          </w:p>
        </w:tc>
      </w:tr>
      <w:tr w:rsidR="00E9782A" w:rsidRPr="00491918" w:rsidTr="00F84A40">
        <w:trPr>
          <w:trHeight w:val="115"/>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b/>
                <w:color w:val="000000"/>
                <w:sz w:val="16"/>
                <w:lang w:val="en-GB"/>
              </w:rPr>
              <w:t>Available for Sale Assets as at 30.06.13</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Fair Value through OCI</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Cost</w:t>
            </w:r>
            <w:r w:rsidRPr="00491918">
              <w:rPr>
                <w:b/>
                <w:color w:val="000000"/>
                <w:sz w:val="16"/>
                <w:vertAlign w:val="superscript"/>
                <w:lang w:val="en-GB"/>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AFS Reserve</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b/>
                <w:color w:val="000000"/>
                <w:sz w:val="16"/>
                <w:lang w:val="en-GB"/>
              </w:rPr>
              <w:t>Total</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p>
        </w:tc>
      </w:tr>
      <w:tr w:rsidR="00E9782A"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425"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r w:rsidRPr="00491918">
              <w:rPr>
                <w:color w:val="000000"/>
                <w:sz w:val="16"/>
                <w:vertAlign w:val="superscript"/>
                <w:lang w:val="en-GB"/>
              </w:rPr>
              <w:t xml:space="preserve"> </w:t>
            </w:r>
          </w:p>
        </w:tc>
        <w:tc>
          <w:tcPr>
            <w:tcW w:w="177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E9782A" w:rsidRPr="00491918" w:rsidTr="00F84A40">
        <w:trPr>
          <w:trHeight w:val="240"/>
        </w:trPr>
        <w:tc>
          <w:tcPr>
            <w:tcW w:w="2310" w:type="dxa"/>
            <w:gridSpan w:val="2"/>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Sovereign</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706 </w:t>
            </w:r>
            <w:r w:rsidRPr="00491918">
              <w:rPr>
                <w:color w:val="000000"/>
                <w:sz w:val="16"/>
                <w:vertAlign w:val="superscript"/>
                <w:lang w:val="en-GB"/>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14 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720 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1,537 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62 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64 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138 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26 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28 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29 </w:t>
            </w:r>
          </w:p>
        </w:tc>
      </w:tr>
      <w:tr w:rsidR="000D1659" w:rsidRPr="00491918" w:rsidTr="00F84A40">
        <w:trPr>
          <w:trHeight w:hRule="exact" w:val="9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b/>
                <w:color w:val="000000"/>
                <w:sz w:val="16"/>
                <w:lang w:val="en-GB"/>
              </w:rPr>
              <w:t>Loans and Advances as at 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Total</w:t>
            </w:r>
          </w:p>
          <w:p w:rsidR="000D1659" w:rsidRPr="00491918" w:rsidRDefault="000D1659">
            <w:pPr>
              <w:jc w:val="right"/>
              <w:rPr>
                <w:b/>
                <w:color w:val="000000"/>
                <w:sz w:val="16"/>
                <w:lang w:val="en-GB"/>
              </w:rPr>
            </w:pPr>
            <w:r w:rsidRPr="00491918">
              <w:rPr>
                <w:b/>
                <w:color w:val="000000"/>
                <w:sz w:val="16"/>
                <w:lang w:val="en-GB"/>
              </w:rPr>
              <w:t>as at</w:t>
            </w:r>
          </w:p>
          <w:p w:rsidR="000D1659" w:rsidRPr="00491918" w:rsidRDefault="000D1659">
            <w:pPr>
              <w:jc w:val="right"/>
              <w:rPr>
                <w:b/>
                <w:color w:val="000000"/>
                <w:sz w:val="16"/>
                <w:lang w:val="en-GB"/>
              </w:rPr>
            </w:pPr>
            <w:r w:rsidRPr="00491918">
              <w:rPr>
                <w:b/>
                <w:color w:val="000000"/>
                <w:sz w:val="16"/>
                <w:lang w:val="en-GB"/>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lang w:val="en-GB"/>
              </w:rPr>
            </w:pPr>
            <w:r w:rsidRPr="00491918">
              <w:rPr>
                <w:b/>
                <w:color w:val="000000"/>
                <w:sz w:val="16"/>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lang w:val="en-GB"/>
              </w:rPr>
            </w:pPr>
            <w:r w:rsidRPr="00491918">
              <w:rPr>
                <w:b/>
                <w:color w:val="000000"/>
                <w:sz w:val="16"/>
                <w:lang w:val="en-GB"/>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 xml:space="preserve">Impairment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lang w:val="en-GB"/>
              </w:rPr>
            </w:pPr>
            <w:r w:rsidRPr="00491918">
              <w:rPr>
                <w:b/>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p>
        </w:tc>
      </w:tr>
      <w:tr w:rsidR="00E9782A" w:rsidRPr="00491918" w:rsidTr="00F84A40">
        <w:trPr>
          <w:trHeight w:val="95"/>
        </w:trPr>
        <w:tc>
          <w:tcPr>
            <w:tcW w:w="3810"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Held at Amortised Cost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 xml:space="preserve">Gross </w:t>
            </w:r>
            <w:r w:rsidRPr="00491918">
              <w:rPr>
                <w:b/>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lang w:val="en-GB"/>
              </w:rPr>
            </w:pPr>
            <w:r w:rsidRPr="00491918">
              <w:rPr>
                <w:b/>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Allowances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Total</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tc>
      </w:tr>
      <w:tr w:rsidR="000D1659" w:rsidRPr="00491918" w:rsidTr="00F84A40">
        <w:trPr>
          <w:trHeight w:val="119"/>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r w:rsidRPr="00491918">
              <w:rPr>
                <w:color w:val="000000"/>
                <w:sz w:val="16"/>
                <w:vertAlign w:val="superscript"/>
                <w:lang w:val="en-GB"/>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£m </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 </w:t>
            </w:r>
            <w:r w:rsidRPr="00491918">
              <w:rPr>
                <w:color w:val="000000"/>
                <w:sz w:val="16"/>
                <w:vertAlign w:val="superscript"/>
                <w:lang w:val="en-GB"/>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9 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73 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38 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16,160 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(126)</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16,034 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15,591 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1,105 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(138)</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967 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1,234 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2,206 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(132)</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2,074 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1,936 </w:t>
            </w:r>
          </w:p>
        </w:tc>
      </w:tr>
      <w:tr w:rsidR="000D1659" w:rsidRPr="00491918" w:rsidTr="00F84A40">
        <w:trPr>
          <w:trHeight w:hRule="exact" w:val="9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Total</w:t>
            </w:r>
          </w:p>
          <w:p w:rsidR="000D1659" w:rsidRPr="00491918" w:rsidRDefault="000D1659">
            <w:pPr>
              <w:jc w:val="right"/>
              <w:rPr>
                <w:b/>
                <w:color w:val="000000"/>
                <w:sz w:val="16"/>
                <w:lang w:val="en-GB"/>
              </w:rPr>
            </w:pPr>
            <w:r w:rsidRPr="00491918">
              <w:rPr>
                <w:b/>
                <w:color w:val="000000"/>
                <w:sz w:val="16"/>
                <w:lang w:val="en-GB"/>
              </w:rPr>
              <w:t>as at</w:t>
            </w:r>
          </w:p>
          <w:p w:rsidR="000D1659" w:rsidRPr="00491918" w:rsidRDefault="000D1659">
            <w:pPr>
              <w:jc w:val="right"/>
              <w:rPr>
                <w:b/>
                <w:color w:val="000000"/>
                <w:sz w:val="16"/>
                <w:lang w:val="en-GB"/>
              </w:rPr>
            </w:pPr>
            <w:r w:rsidRPr="00491918">
              <w:rPr>
                <w:b/>
                <w:color w:val="000000"/>
                <w:sz w:val="16"/>
                <w:lang w:val="en-GB"/>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959"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Total</w:t>
            </w:r>
          </w:p>
          <w:p w:rsidR="000D1659" w:rsidRPr="00491918" w:rsidRDefault="000D1659">
            <w:pPr>
              <w:jc w:val="right"/>
              <w:rPr>
                <w:b/>
                <w:color w:val="000000"/>
                <w:sz w:val="16"/>
                <w:lang w:val="en-GB"/>
              </w:rPr>
            </w:pPr>
            <w:r w:rsidRPr="00491918">
              <w:rPr>
                <w:b/>
                <w:color w:val="000000"/>
                <w:sz w:val="16"/>
                <w:lang w:val="en-GB"/>
              </w:rPr>
              <w:t>as at</w:t>
            </w:r>
          </w:p>
          <w:p w:rsidR="000D1659" w:rsidRPr="00491918" w:rsidRDefault="000D1659">
            <w:pPr>
              <w:jc w:val="right"/>
              <w:rPr>
                <w:b/>
                <w:color w:val="000000"/>
                <w:sz w:val="16"/>
                <w:lang w:val="en-GB"/>
              </w:rPr>
            </w:pPr>
            <w:r w:rsidRPr="00491918">
              <w:rPr>
                <w:b/>
                <w:color w:val="000000"/>
                <w:sz w:val="16"/>
                <w:lang w:val="en-GB"/>
              </w:rPr>
              <w:t>31.12.12</w:t>
            </w: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tc>
      </w:tr>
      <w:tr w:rsidR="000D1659" w:rsidRPr="00491918" w:rsidTr="00F84A40">
        <w:trPr>
          <w:trHeight w:hRule="exact" w:val="95"/>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 xml:space="preserve"> </w:t>
            </w:r>
          </w:p>
        </w:tc>
        <w:tc>
          <w:tcPr>
            <w:tcW w:w="959"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tc>
      </w:tr>
      <w:tr w:rsidR="000D1659" w:rsidRPr="00491918" w:rsidTr="00F84A40">
        <w:trPr>
          <w:trHeight w:val="121"/>
        </w:trPr>
        <w:tc>
          <w:tcPr>
            <w:tcW w:w="1605" w:type="dxa"/>
            <w:tcBorders>
              <w:top w:val="nil"/>
              <w:left w:val="nil"/>
              <w:bottom w:val="single" w:sz="4" w:space="0" w:color="969696"/>
              <w:right w:val="nil"/>
            </w:tcBorders>
            <w:shd w:val="clear" w:color="auto" w:fill="FFFFFF"/>
            <w:tcMar>
              <w:left w:w="36" w:type="dxa"/>
              <w:right w:w="36" w:type="dxa"/>
            </w:tcMar>
            <w:vAlign w:val="center"/>
          </w:tcPr>
          <w:p w:rsidR="000D1659" w:rsidRPr="00491918" w:rsidRDefault="000D1659" w:rsidP="001F5689">
            <w:pPr>
              <w:jc w:val="right"/>
              <w:rPr>
                <w:b/>
                <w:color w:val="000000"/>
                <w:sz w:val="16"/>
                <w:lang w:val="en-GB"/>
              </w:rPr>
            </w:pPr>
            <w:r w:rsidRPr="00491918">
              <w:rPr>
                <w:b/>
                <w:color w:val="000000"/>
                <w:sz w:val="16"/>
                <w:lang w:val="en-GB"/>
              </w:rPr>
              <w:t xml:space="preserve"> </w:t>
            </w:r>
          </w:p>
        </w:tc>
        <w:tc>
          <w:tcPr>
            <w:tcW w:w="705" w:type="dxa"/>
            <w:tcBorders>
              <w:top w:val="nil"/>
              <w:left w:val="nil"/>
              <w:bottom w:val="single" w:sz="4" w:space="0" w:color="969696"/>
              <w:right w:val="nil"/>
            </w:tcBorders>
            <w:shd w:val="clear" w:color="auto" w:fill="FFFFFF"/>
            <w:tcMar>
              <w:left w:w="36" w:type="dxa"/>
              <w:right w:w="36" w:type="dxa"/>
            </w:tcMar>
            <w:vAlign w:val="center"/>
          </w:tcPr>
          <w:p w:rsidR="000D1659" w:rsidRPr="00491918" w:rsidRDefault="000D1659" w:rsidP="001F5689">
            <w:pPr>
              <w:jc w:val="right"/>
              <w:rPr>
                <w:b/>
                <w:color w:val="000000"/>
                <w:sz w:val="16"/>
                <w:lang w:val="en-GB"/>
              </w:rPr>
            </w:pPr>
            <w:r w:rsidRPr="00491918">
              <w:rPr>
                <w:b/>
                <w:color w:val="000000"/>
                <w:sz w:val="16"/>
                <w:lang w:val="en-GB"/>
              </w:rPr>
              <w:t xml:space="preserve"> </w:t>
            </w:r>
          </w:p>
        </w:tc>
        <w:tc>
          <w:tcPr>
            <w:tcW w:w="795" w:type="dxa"/>
            <w:tcBorders>
              <w:top w:val="nil"/>
              <w:left w:val="nil"/>
              <w:bottom w:val="single" w:sz="4" w:space="0" w:color="969696"/>
              <w:right w:val="nil"/>
            </w:tcBorders>
            <w:shd w:val="clear" w:color="auto" w:fill="FFFFFF"/>
            <w:tcMar>
              <w:left w:w="36" w:type="dxa"/>
              <w:right w:w="36" w:type="dxa"/>
            </w:tcMar>
            <w:vAlign w:val="center"/>
          </w:tcPr>
          <w:p w:rsidR="000D1659" w:rsidRPr="00491918" w:rsidRDefault="000D1659" w:rsidP="001F5689">
            <w:pPr>
              <w:jc w:val="right"/>
              <w:rPr>
                <w:b/>
                <w:color w:val="000000"/>
                <w:sz w:val="16"/>
                <w:lang w:val="en-GB"/>
              </w:rPr>
            </w:pPr>
            <w:r w:rsidRPr="00491918">
              <w:rPr>
                <w:b/>
                <w:color w:val="000000"/>
                <w:sz w:val="16"/>
                <w:lang w:val="en-GB"/>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rsidP="001F5689">
            <w:pPr>
              <w:jc w:val="right"/>
              <w:rPr>
                <w:b/>
                <w:color w:val="000000"/>
                <w:sz w:val="16"/>
                <w:lang w:val="en-GB"/>
              </w:rPr>
            </w:pPr>
            <w:r w:rsidRPr="00491918">
              <w:rPr>
                <w:b/>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color w:val="000000"/>
                <w:sz w:val="16"/>
                <w:lang w:val="en-GB"/>
              </w:rPr>
              <w:t xml:space="preserve"> </w:t>
            </w:r>
          </w:p>
        </w:tc>
        <w:tc>
          <w:tcPr>
            <w:tcW w:w="61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£m</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 xml:space="preserve"> </w:t>
            </w:r>
          </w:p>
        </w:tc>
        <w:tc>
          <w:tcPr>
            <w:tcW w:w="959"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r>
    </w:tbl>
    <w:p w:rsidR="00F92E6D" w:rsidRPr="00491918" w:rsidRDefault="00F92E6D"/>
    <w:tbl>
      <w:tblPr>
        <w:tblW w:w="9959"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959"/>
      </w:tblGrid>
      <w:tr w:rsidR="00E9782A" w:rsidRPr="00491918" w:rsidTr="00F84A40">
        <w:trPr>
          <w:trHeight w:val="240"/>
        </w:trPr>
        <w:tc>
          <w:tcPr>
            <w:tcW w:w="2310" w:type="dxa"/>
            <w:gridSpan w:val="2"/>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Financial institutions</w:t>
            </w:r>
          </w:p>
        </w:tc>
        <w:tc>
          <w:tcPr>
            <w:tcW w:w="79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338 </w:t>
            </w:r>
          </w:p>
        </w:tc>
        <w:tc>
          <w:tcPr>
            <w:tcW w:w="18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59"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90 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Residential mortgages</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43 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45 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2,284 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2,158 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799 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p>
        </w:tc>
        <w:tc>
          <w:tcPr>
            <w:tcW w:w="959"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789 </w:t>
            </w:r>
          </w:p>
        </w:tc>
      </w:tr>
    </w:tbl>
    <w:p w:rsidR="000D1659" w:rsidRPr="00491918" w:rsidRDefault="000D1659">
      <w:pPr>
        <w:rPr>
          <w:lang w:val="en-GB"/>
        </w:rPr>
      </w:pPr>
    </w:p>
    <w:p w:rsidR="000D1659" w:rsidRPr="00491918" w:rsidRDefault="000D1659" w:rsidP="00EC729A">
      <w:pPr>
        <w:pStyle w:val="Level1Bullet-BarcRA37"/>
        <w:numPr>
          <w:ilvl w:val="0"/>
          <w:numId w:val="188"/>
        </w:numPr>
        <w:spacing w:before="120" w:after="120"/>
      </w:pPr>
      <w:r w:rsidRPr="00491918">
        <w:rPr>
          <w:b/>
        </w:rPr>
        <w:t xml:space="preserve">Sovereign </w:t>
      </w:r>
    </w:p>
    <w:p w:rsidR="000D1659" w:rsidRPr="00491918" w:rsidRDefault="000D1659" w:rsidP="00EC729A">
      <w:pPr>
        <w:pStyle w:val="Level2Bullet-BarcRA10"/>
        <w:numPr>
          <w:ilvl w:val="2"/>
          <w:numId w:val="190"/>
        </w:numPr>
        <w:tabs>
          <w:tab w:val="num" w:pos="709"/>
        </w:tabs>
        <w:spacing w:before="90" w:after="90"/>
        <w:ind w:left="709" w:hanging="425"/>
      </w:pPr>
      <w:r w:rsidRPr="00491918">
        <w:rPr>
          <w:lang w:val="en-GB"/>
        </w:rPr>
        <w:t xml:space="preserve">Predominantly </w:t>
      </w:r>
      <w:r w:rsidRPr="00491918">
        <w:t>£</w:t>
      </w:r>
      <w:r w:rsidRPr="00491918">
        <w:rPr>
          <w:lang w:val="en-GB"/>
        </w:rPr>
        <w:t>1,247</w:t>
      </w:r>
      <w:r w:rsidRPr="00491918">
        <w:t xml:space="preserve">m </w:t>
      </w:r>
      <w:r w:rsidRPr="00491918">
        <w:rPr>
          <w:lang w:val="en-GB"/>
        </w:rPr>
        <w:t xml:space="preserve">(2012: £1,123m) </w:t>
      </w:r>
      <w:r w:rsidRPr="00491918">
        <w:t>government bonds</w:t>
      </w:r>
      <w:r w:rsidRPr="00491918">
        <w:rPr>
          <w:lang w:val="en-GB"/>
        </w:rPr>
        <w:t xml:space="preserve"> </w:t>
      </w:r>
      <w:r w:rsidRPr="00491918">
        <w:t>held at fair value</w:t>
      </w:r>
      <w:r w:rsidRPr="00491918">
        <w:rPr>
          <w:lang w:val="en-GB"/>
        </w:rPr>
        <w:t xml:space="preserve"> through profit and loss and </w:t>
      </w:r>
      <w:r w:rsidRPr="00491918">
        <w:t>AFS government bonds</w:t>
      </w:r>
      <w:r w:rsidR="00743F6E" w:rsidRPr="00491918">
        <w:rPr>
          <w:lang w:val="en-GB"/>
        </w:rPr>
        <w:t xml:space="preserve"> of £720m (2012: £1,537m). </w:t>
      </w:r>
      <w:r w:rsidRPr="00491918">
        <w:t>AFS government bonds</w:t>
      </w:r>
      <w:r w:rsidRPr="00491918">
        <w:rPr>
          <w:lang w:val="en-GB"/>
        </w:rPr>
        <w:t xml:space="preserve"> has £14m cumulative fair value gain (2012: £28m)</w:t>
      </w:r>
      <w:r w:rsidRPr="00491918">
        <w:t xml:space="preserve"> held in the AFS reserve</w:t>
      </w:r>
    </w:p>
    <w:p w:rsidR="000D1659" w:rsidRPr="00491918" w:rsidRDefault="000D1659" w:rsidP="00EC729A">
      <w:pPr>
        <w:pStyle w:val="Level1Bullet-BarcRA37"/>
        <w:numPr>
          <w:ilvl w:val="0"/>
          <w:numId w:val="188"/>
        </w:numPr>
        <w:spacing w:before="120" w:after="120"/>
      </w:pPr>
      <w:r w:rsidRPr="00491918">
        <w:rPr>
          <w:b/>
        </w:rPr>
        <w:t>Residential mortgages</w:t>
      </w:r>
      <w:r w:rsidRPr="00491918">
        <w:t xml:space="preserve"> </w:t>
      </w:r>
    </w:p>
    <w:p w:rsidR="000D1659" w:rsidRPr="00491918" w:rsidRDefault="000D1659" w:rsidP="00EC729A">
      <w:pPr>
        <w:pStyle w:val="Level2Bullet-BarcRA10"/>
        <w:numPr>
          <w:ilvl w:val="2"/>
          <w:numId w:val="190"/>
        </w:numPr>
        <w:tabs>
          <w:tab w:val="num" w:pos="709"/>
        </w:tabs>
        <w:spacing w:before="90" w:after="90"/>
        <w:ind w:left="709" w:hanging="425"/>
      </w:pPr>
      <w:r w:rsidRPr="00491918">
        <w:t>£16,03</w:t>
      </w:r>
      <w:r w:rsidRPr="00491918">
        <w:rPr>
          <w:lang w:val="en-GB"/>
        </w:rPr>
        <w:t>4</w:t>
      </w:r>
      <w:r w:rsidRPr="00491918">
        <w:t>m (2012: £15,591m) secured on residential property with average valuation weighted marked to market LTVs of 46.6% (2012: 46.7%). CRL coverage of 24% (2012: 23%) marginally increased</w:t>
      </w:r>
    </w:p>
    <w:p w:rsidR="000D1659" w:rsidRPr="00491918" w:rsidRDefault="000D1659" w:rsidP="00EC729A">
      <w:pPr>
        <w:pStyle w:val="Level2Bullet-BarcRA10"/>
        <w:numPr>
          <w:ilvl w:val="2"/>
          <w:numId w:val="190"/>
        </w:numPr>
        <w:tabs>
          <w:tab w:val="num" w:pos="709"/>
        </w:tabs>
        <w:spacing w:before="90" w:after="90"/>
        <w:ind w:left="709" w:hanging="425"/>
      </w:pPr>
      <w:r w:rsidRPr="00491918">
        <w:t>90 day arrears at 1.0% (2012: 1.0%) were broadly stable, however gross charge off rates improved to 0.7% (2012: 0.8%)</w:t>
      </w:r>
    </w:p>
    <w:p w:rsidR="000D1659" w:rsidRPr="00491918" w:rsidRDefault="000D1659" w:rsidP="00EC729A">
      <w:pPr>
        <w:pStyle w:val="Level1Bullet-BarcRA37"/>
        <w:numPr>
          <w:ilvl w:val="0"/>
          <w:numId w:val="188"/>
        </w:numPr>
        <w:spacing w:before="120" w:after="120"/>
        <w:rPr>
          <w:b/>
        </w:rPr>
      </w:pPr>
      <w:r w:rsidRPr="00491918">
        <w:rPr>
          <w:b/>
        </w:rPr>
        <w:t xml:space="preserve"> Corporate </w:t>
      </w:r>
    </w:p>
    <w:p w:rsidR="000D1659" w:rsidRPr="00491918" w:rsidRDefault="000D1659" w:rsidP="00EC729A">
      <w:pPr>
        <w:pStyle w:val="Level2Bullet-BarcRA10"/>
        <w:numPr>
          <w:ilvl w:val="2"/>
          <w:numId w:val="190"/>
        </w:numPr>
        <w:tabs>
          <w:tab w:val="num" w:pos="709"/>
        </w:tabs>
        <w:spacing w:before="90" w:after="90"/>
        <w:ind w:left="709" w:hanging="425"/>
      </w:pPr>
      <w:r w:rsidRPr="00491918">
        <w:t>£967m (2012: £1,234m) focused on large corporate clients with limited exposure to property sector</w:t>
      </w:r>
    </w:p>
    <w:p w:rsidR="000D1659" w:rsidRPr="00491918" w:rsidRDefault="000D1659" w:rsidP="00EC729A">
      <w:pPr>
        <w:pStyle w:val="Level2Bullet-BarcRA10"/>
        <w:numPr>
          <w:ilvl w:val="2"/>
          <w:numId w:val="190"/>
        </w:numPr>
        <w:tabs>
          <w:tab w:val="num" w:pos="709"/>
        </w:tabs>
        <w:spacing w:before="90" w:after="90"/>
        <w:ind w:left="709" w:hanging="425"/>
      </w:pPr>
      <w:r w:rsidRPr="00491918">
        <w:t xml:space="preserve">Balances on </w:t>
      </w:r>
      <w:r w:rsidRPr="00491918">
        <w:rPr>
          <w:lang w:val="en-US"/>
        </w:rPr>
        <w:t>EWL</w:t>
      </w:r>
      <w:r w:rsidRPr="00491918">
        <w:t xml:space="preserve"> increased in 2013 due to the inclusion of a single counterparty. Excluding this counterparty, balances on early warning list have been broadly stable</w:t>
      </w:r>
    </w:p>
    <w:p w:rsidR="000D1659" w:rsidRPr="00491918" w:rsidRDefault="000D1659" w:rsidP="00EC729A">
      <w:pPr>
        <w:pStyle w:val="Level1Bullet-BarcRA37"/>
        <w:numPr>
          <w:ilvl w:val="0"/>
          <w:numId w:val="188"/>
        </w:numPr>
        <w:spacing w:before="120" w:after="120"/>
      </w:pPr>
      <w:r w:rsidRPr="00491918">
        <w:rPr>
          <w:b/>
        </w:rPr>
        <w:t xml:space="preserve"> Other retail lending</w:t>
      </w:r>
      <w:r w:rsidRPr="00491918">
        <w:t xml:space="preserve"> </w:t>
      </w:r>
    </w:p>
    <w:p w:rsidR="000D1659" w:rsidRPr="00491918" w:rsidRDefault="000D1659" w:rsidP="00EC729A">
      <w:pPr>
        <w:pStyle w:val="Level2Bullet-BarcRA10"/>
        <w:numPr>
          <w:ilvl w:val="2"/>
          <w:numId w:val="190"/>
        </w:numPr>
        <w:tabs>
          <w:tab w:val="num" w:pos="709"/>
        </w:tabs>
        <w:spacing w:before="90" w:after="90"/>
        <w:ind w:left="709" w:hanging="425"/>
      </w:pPr>
      <w:r w:rsidRPr="00491918">
        <w:t>£</w:t>
      </w:r>
      <w:r w:rsidRPr="00491918">
        <w:rPr>
          <w:lang w:val="en-GB"/>
        </w:rPr>
        <w:t>1,194</w:t>
      </w:r>
      <w:r w:rsidRPr="00491918">
        <w:t>m (2012: £1,337m) Italian salary advance loans (repayment deducted at source by qualifying employers and Barclays is insured in the event of termi</w:t>
      </w:r>
      <w:r w:rsidR="00743F6E" w:rsidRPr="00491918">
        <w:t>nation of employment or death).</w:t>
      </w:r>
      <w:r w:rsidR="00743F6E" w:rsidRPr="00491918">
        <w:rPr>
          <w:lang w:val="en-GB"/>
        </w:rPr>
        <w:t xml:space="preserve"> </w:t>
      </w:r>
      <w:r w:rsidRPr="00491918">
        <w:t>Arrears rates on salary loans deteriorated during 2013 while charge-off rates improved</w:t>
      </w:r>
    </w:p>
    <w:p w:rsidR="000D1659" w:rsidRPr="00491918" w:rsidRDefault="000D1659" w:rsidP="00EC729A">
      <w:pPr>
        <w:pStyle w:val="Level2Bullet-BarcRA10"/>
        <w:numPr>
          <w:ilvl w:val="2"/>
          <w:numId w:val="190"/>
        </w:numPr>
        <w:tabs>
          <w:tab w:val="num" w:pos="709"/>
        </w:tabs>
        <w:spacing w:before="90" w:after="90"/>
        <w:ind w:left="709" w:hanging="425"/>
      </w:pPr>
      <w:r w:rsidRPr="00491918">
        <w:t>£</w:t>
      </w:r>
      <w:r w:rsidRPr="00491918">
        <w:rPr>
          <w:lang w:val="en-GB"/>
        </w:rPr>
        <w:t>418</w:t>
      </w:r>
      <w:r w:rsidRPr="00491918">
        <w:t xml:space="preserve">m (2012: £434m) credit cards and other unsecured loans. Arrears rates (both 30 and 90 days) in cards and unsecured loans slightly increased while gross charge-off rates have improved in </w:t>
      </w:r>
      <w:r w:rsidRPr="00491918">
        <w:rPr>
          <w:lang w:val="en-US"/>
        </w:rPr>
        <w:t>H1</w:t>
      </w:r>
      <w:r w:rsidRPr="00491918">
        <w:t>13</w:t>
      </w:r>
    </w:p>
    <w:p w:rsidR="000D1659" w:rsidRPr="00491918" w:rsidRDefault="000D1659" w:rsidP="00EC729A">
      <w:pPr>
        <w:pStyle w:val="NoteandSourceText-BarcRA18"/>
        <w:numPr>
          <w:ilvl w:val="0"/>
          <w:numId w:val="192"/>
        </w:numPr>
        <w:ind w:left="284" w:hanging="284"/>
      </w:pPr>
      <w:r w:rsidRPr="00491918">
        <w:t xml:space="preserve">‘Cost’ refers to the fair value of the asset at recognition, less any impairment booked. ‘AFS Reserve’ is the cumulative fair value gain or loss on the assets that is held in equity. ‘Total’ is the fair value of the assets at the balance sheet date. </w:t>
      </w:r>
    </w:p>
    <w:p w:rsidR="000D1659" w:rsidRPr="00491918" w:rsidRDefault="000D1659">
      <w:pPr>
        <w:spacing w:line="14" w:lineRule="exact"/>
      </w:pPr>
      <w:r w:rsidRPr="00491918">
        <w:br w:type="page"/>
      </w:r>
    </w:p>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7202F"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35"/>
              <w:rPr>
                <w:lang w:val="en-GB"/>
              </w:rPr>
            </w:pPr>
            <w:r w:rsidRPr="00491918">
              <w:rPr>
                <w:lang w:val="en-GB"/>
              </w:rPr>
              <w:lastRenderedPageBreak/>
              <w:t xml:space="preserve">Credit </w:t>
            </w:r>
            <w:r w:rsidRPr="00491918">
              <w:t>Risk</w:t>
            </w: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79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61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81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81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96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930" w:type="dxa"/>
            <w:tcBorders>
              <w:top w:val="nil"/>
              <w:left w:val="nil"/>
              <w:bottom w:val="nil"/>
              <w:right w:val="nil"/>
            </w:tcBorders>
            <w:shd w:val="clear" w:color="auto" w:fill="FFFFFF"/>
            <w:tcMar>
              <w:left w:w="36" w:type="dxa"/>
              <w:right w:w="36" w:type="dxa"/>
            </w:tcMar>
            <w:vAlign w:val="bottom"/>
          </w:tcPr>
          <w:p w:rsidR="0007202F" w:rsidRPr="00491918" w:rsidRDefault="0007202F">
            <w:pPr>
              <w:jc w:val="right"/>
              <w:rPr>
                <w:b/>
                <w:color w:val="000000"/>
                <w:sz w:val="16"/>
              </w:rPr>
            </w:pP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jc w:val="center"/>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7202F" w:rsidRPr="00491918" w:rsidRDefault="0007202F">
            <w:pPr>
              <w:jc w:val="center"/>
              <w:rPr>
                <w:b/>
                <w:color w:val="000000"/>
                <w:sz w:val="16"/>
              </w:rPr>
            </w:pPr>
          </w:p>
        </w:tc>
        <w:tc>
          <w:tcPr>
            <w:tcW w:w="817" w:type="dxa"/>
            <w:tcBorders>
              <w:top w:val="nil"/>
              <w:left w:val="nil"/>
              <w:bottom w:val="nil"/>
              <w:right w:val="nil"/>
            </w:tcBorders>
            <w:shd w:val="clear" w:color="auto" w:fill="FFFFFF"/>
            <w:tcMar>
              <w:left w:w="36" w:type="dxa"/>
              <w:right w:w="36" w:type="dxa"/>
            </w:tcMar>
            <w:vAlign w:val="center"/>
          </w:tcPr>
          <w:p w:rsidR="0007202F" w:rsidRPr="00491918" w:rsidRDefault="0007202F">
            <w:pPr>
              <w:jc w:val="right"/>
              <w:rPr>
                <w:color w:val="000000"/>
                <w:sz w:val="16"/>
              </w:rPr>
            </w:pP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4"/>
              </w:rPr>
              <w:t>Portugal</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E9782A" w:rsidRPr="00491918" w:rsidTr="00F84A40">
        <w:trPr>
          <w:trHeight w:val="158"/>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4"/>
              </w:rPr>
              <w:t xml:space="preserve"> </w:t>
            </w:r>
          </w:p>
        </w:tc>
        <w:tc>
          <w:tcPr>
            <w:tcW w:w="2205" w:type="dxa"/>
            <w:gridSpan w:val="3"/>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24"/>
              </w:rPr>
            </w:pPr>
            <w:r w:rsidRPr="00491918">
              <w:rPr>
                <w:b/>
                <w:color w:val="000000"/>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3195" w:type="dxa"/>
            <w:gridSpan w:val="4"/>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Derivatives</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Fair Value through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Cash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Profit and Loss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Assets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Net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Assets</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Collateral</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Net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124 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(124)</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235 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(235)</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168 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(134)</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(34)</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48 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(23)</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79 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(4)</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47 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252 </w:t>
            </w:r>
          </w:p>
        </w:tc>
      </w:tr>
      <w:tr w:rsidR="000D1659" w:rsidRPr="00491918" w:rsidTr="00F84A40">
        <w:trPr>
          <w:trHeight w:hRule="exact" w:val="95"/>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F84A40">
        <w:trPr>
          <w:trHeight w:val="95"/>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Available for Sale Assets as at 30.06.13</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Fair Value through OCI</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Cost</w:t>
            </w:r>
            <w:r w:rsidRPr="00491918">
              <w:rPr>
                <w:b/>
                <w:color w:val="000000"/>
                <w:sz w:val="16"/>
                <w:vertAlign w:val="superscript"/>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AFS Reserve</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Total</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p>
        </w:tc>
      </w:tr>
      <w:tr w:rsidR="00E9782A"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425"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177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E9782A" w:rsidRPr="00491918" w:rsidTr="00F84A40">
        <w:trPr>
          <w:trHeight w:val="240"/>
        </w:trPr>
        <w:tc>
          <w:tcPr>
            <w:tcW w:w="2310" w:type="dxa"/>
            <w:gridSpan w:val="2"/>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Sovereign</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350 </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355 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594 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331 </w:t>
            </w:r>
          </w:p>
        </w:tc>
      </w:tr>
      <w:tr w:rsidR="000D1659" w:rsidRPr="00491918" w:rsidTr="00F84A40">
        <w:trPr>
          <w:trHeight w:hRule="exact" w:val="9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 xml:space="preserve"> </w:t>
            </w:r>
          </w:p>
        </w:tc>
      </w:tr>
      <w:tr w:rsidR="00E9782A" w:rsidRPr="00491918" w:rsidTr="00F84A40">
        <w:trPr>
          <w:trHeight w:val="16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Loans and Advances as at 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Impairment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Held at Amortised Cost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Gross </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Allowances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33 </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28 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3,633 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(38)</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3,595 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3,474 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1,450 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(320)</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1,130 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1,375 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1,882 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(162)</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1,720 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1,783 </w:t>
            </w:r>
          </w:p>
        </w:tc>
      </w:tr>
      <w:tr w:rsidR="000D1659" w:rsidRPr="00491918" w:rsidTr="00F84A40">
        <w:trPr>
          <w:trHeight w:hRule="exact" w:val="9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rsidTr="00F84A40">
        <w:trPr>
          <w:trHeight w:val="95"/>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£m</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Financial institutions</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Residential mortgages</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728 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889 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1,793 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1,673 </w:t>
            </w:r>
          </w:p>
        </w:tc>
      </w:tr>
    </w:tbl>
    <w:p w:rsidR="000D1659" w:rsidRPr="00491918" w:rsidRDefault="000D1659"/>
    <w:p w:rsidR="000D1659" w:rsidRPr="00491918" w:rsidRDefault="000D1659" w:rsidP="00EC729A">
      <w:pPr>
        <w:pStyle w:val="Level1Bullet-BarcRA38"/>
        <w:numPr>
          <w:ilvl w:val="0"/>
          <w:numId w:val="194"/>
        </w:numPr>
        <w:spacing w:before="100" w:after="100"/>
      </w:pPr>
      <w:r w:rsidRPr="00491918">
        <w:rPr>
          <w:b/>
        </w:rPr>
        <w:t>Sovereign</w:t>
      </w:r>
      <w:r w:rsidRPr="00491918">
        <w:rPr>
          <w:b/>
          <w:lang w:val="en-GB"/>
        </w:rPr>
        <w:t xml:space="preserve"> </w:t>
      </w:r>
    </w:p>
    <w:p w:rsidR="000D1659" w:rsidRPr="00491918" w:rsidRDefault="000D1659" w:rsidP="00EC729A">
      <w:pPr>
        <w:pStyle w:val="Level2Bullet-BarcRA11"/>
        <w:numPr>
          <w:ilvl w:val="2"/>
          <w:numId w:val="196"/>
        </w:numPr>
        <w:tabs>
          <w:tab w:val="num" w:pos="709"/>
        </w:tabs>
        <w:spacing w:before="100" w:after="100"/>
        <w:ind w:left="709" w:hanging="425"/>
      </w:pPr>
      <w:r w:rsidRPr="00491918">
        <w:rPr>
          <w:lang w:val="en-GB"/>
        </w:rPr>
        <w:t xml:space="preserve">£388m (2012: £637m) of largely </w:t>
      </w:r>
      <w:r w:rsidRPr="00491918">
        <w:t>AFS government bonds</w:t>
      </w:r>
      <w:r w:rsidRPr="00491918">
        <w:rPr>
          <w:lang w:val="en-GB"/>
        </w:rPr>
        <w:t>. N</w:t>
      </w:r>
      <w:r w:rsidRPr="00491918">
        <w:t>o impairment and £</w:t>
      </w:r>
      <w:r w:rsidRPr="00491918">
        <w:rPr>
          <w:lang w:val="en-GB"/>
        </w:rPr>
        <w:t>5</w:t>
      </w:r>
      <w:r w:rsidRPr="00491918">
        <w:t xml:space="preserve">m </w:t>
      </w:r>
      <w:r w:rsidRPr="00491918">
        <w:rPr>
          <w:lang w:val="en-GB"/>
        </w:rPr>
        <w:t>(2012: £4m loss) cumulative fair value gain</w:t>
      </w:r>
      <w:r w:rsidRPr="00491918">
        <w:t xml:space="preserve"> held in the AFS reserve</w:t>
      </w:r>
    </w:p>
    <w:p w:rsidR="000D1659" w:rsidRPr="00491918" w:rsidRDefault="000D1659" w:rsidP="00EC729A">
      <w:pPr>
        <w:pStyle w:val="Level1Bullet-BarcRA38"/>
        <w:numPr>
          <w:ilvl w:val="0"/>
          <w:numId w:val="194"/>
        </w:numPr>
        <w:spacing w:before="100" w:after="100"/>
      </w:pPr>
      <w:r w:rsidRPr="00491918">
        <w:rPr>
          <w:b/>
        </w:rPr>
        <w:t>Residential mortgages</w:t>
      </w:r>
    </w:p>
    <w:p w:rsidR="000D1659" w:rsidRPr="00491918" w:rsidRDefault="000D1659" w:rsidP="00EC729A">
      <w:pPr>
        <w:pStyle w:val="Level2Bullet-BarcRA11"/>
        <w:numPr>
          <w:ilvl w:val="2"/>
          <w:numId w:val="196"/>
        </w:numPr>
        <w:tabs>
          <w:tab w:val="num" w:pos="709"/>
        </w:tabs>
        <w:spacing w:before="100" w:after="100"/>
        <w:ind w:left="709" w:hanging="425"/>
        <w:rPr>
          <w:lang w:val="en-GB"/>
        </w:rPr>
      </w:pPr>
      <w:r w:rsidRPr="00491918">
        <w:rPr>
          <w:lang w:val="en-GB"/>
        </w:rPr>
        <w:t>Secured on residential property with average balance weighted LTVs of 79.7% (2012: 77.6%). The higher LTV is reflected in a higher CRL coverage of 33% (2012: 29%)</w:t>
      </w:r>
    </w:p>
    <w:p w:rsidR="000D1659" w:rsidRPr="00491918" w:rsidRDefault="000D1659" w:rsidP="00EC729A">
      <w:pPr>
        <w:pStyle w:val="Level2Bullet-BarcRA11"/>
        <w:numPr>
          <w:ilvl w:val="2"/>
          <w:numId w:val="196"/>
        </w:numPr>
        <w:tabs>
          <w:tab w:val="num" w:pos="709"/>
        </w:tabs>
        <w:spacing w:before="100" w:after="100"/>
        <w:ind w:left="709" w:hanging="425"/>
        <w:rPr>
          <w:lang w:val="en-GB"/>
        </w:rPr>
      </w:pPr>
      <w:r w:rsidRPr="00491918">
        <w:rPr>
          <w:lang w:val="en-GB"/>
        </w:rPr>
        <w:t>90 day arrears rates improved to 0.4% (2012: 0.7%) while recoveries impairment coverage increased to 30.0% (2012: 25.6%) driven by an increase in loss given default rates</w:t>
      </w:r>
    </w:p>
    <w:p w:rsidR="000D1659" w:rsidRPr="00491918" w:rsidRDefault="000D1659" w:rsidP="00EC729A">
      <w:pPr>
        <w:pStyle w:val="Level1Bullet-BarcRA38"/>
        <w:numPr>
          <w:ilvl w:val="0"/>
          <w:numId w:val="194"/>
        </w:numPr>
        <w:spacing w:before="100" w:after="100"/>
        <w:rPr>
          <w:b/>
        </w:rPr>
      </w:pPr>
      <w:r w:rsidRPr="00491918">
        <w:rPr>
          <w:b/>
        </w:rPr>
        <w:t xml:space="preserve"> Corporate</w:t>
      </w:r>
    </w:p>
    <w:p w:rsidR="000D1659" w:rsidRPr="00491918" w:rsidRDefault="000D1659" w:rsidP="00EC729A">
      <w:pPr>
        <w:pStyle w:val="Level2Bullet-BarcRA11"/>
        <w:numPr>
          <w:ilvl w:val="2"/>
          <w:numId w:val="196"/>
        </w:numPr>
        <w:tabs>
          <w:tab w:val="num" w:pos="709"/>
        </w:tabs>
        <w:spacing w:before="100" w:after="100"/>
        <w:ind w:left="709" w:hanging="425"/>
        <w:rPr>
          <w:lang w:val="en-GB"/>
        </w:rPr>
      </w:pPr>
      <w:r w:rsidRPr="00491918">
        <w:rPr>
          <w:lang w:val="en-GB"/>
        </w:rPr>
        <w:t>Net lending to corporates of £1,130m (2012: £1,375m), with CRLs of £548m (2012: £501m), impairment allowance of £320m (2012: £296m) and CRL coverage of 58% (2012: 59%)</w:t>
      </w:r>
    </w:p>
    <w:p w:rsidR="000D1659" w:rsidRPr="00491918" w:rsidRDefault="000D1659" w:rsidP="00EC729A">
      <w:pPr>
        <w:pStyle w:val="Level2Bullet-BarcRA11"/>
        <w:numPr>
          <w:ilvl w:val="2"/>
          <w:numId w:val="196"/>
        </w:numPr>
        <w:tabs>
          <w:tab w:val="num" w:pos="709"/>
        </w:tabs>
        <w:spacing w:before="100" w:after="100"/>
        <w:ind w:left="709" w:hanging="425"/>
        <w:rPr>
          <w:lang w:val="en-GB"/>
        </w:rPr>
      </w:pPr>
      <w:r w:rsidRPr="00491918">
        <w:rPr>
          <w:lang w:val="en-GB"/>
        </w:rPr>
        <w:t>Net lending to the property and construction industry of £302m (2012: £364m) secured, in part, against real estate collateral, with CRLs of £294m (2012: £275m), impairment allowance of £160m (2012: £149m) and CRL coverage of 54% (2012: 54%)</w:t>
      </w:r>
    </w:p>
    <w:p w:rsidR="000D1659" w:rsidRPr="00491918" w:rsidRDefault="000D1659" w:rsidP="00EC729A">
      <w:pPr>
        <w:pStyle w:val="Level1Bullet-BarcRA38"/>
        <w:numPr>
          <w:ilvl w:val="0"/>
          <w:numId w:val="194"/>
        </w:numPr>
        <w:spacing w:before="100" w:after="100"/>
      </w:pPr>
      <w:r w:rsidRPr="00491918">
        <w:rPr>
          <w:b/>
        </w:rPr>
        <w:t xml:space="preserve"> Other retail lending</w:t>
      </w:r>
    </w:p>
    <w:p w:rsidR="00C10958" w:rsidRPr="00491918" w:rsidRDefault="000D1659" w:rsidP="00EC729A">
      <w:pPr>
        <w:pStyle w:val="Level2Bullet-BarcRA11"/>
        <w:numPr>
          <w:ilvl w:val="2"/>
          <w:numId w:val="196"/>
        </w:numPr>
        <w:tabs>
          <w:tab w:val="num" w:pos="709"/>
        </w:tabs>
        <w:spacing w:before="100" w:after="100"/>
        <w:ind w:left="709" w:hanging="425"/>
        <w:rPr>
          <w:lang w:val="en-GB"/>
        </w:rPr>
      </w:pPr>
      <w:r w:rsidRPr="00491918">
        <w:rPr>
          <w:lang w:val="en-GB"/>
        </w:rPr>
        <w:t>£965m (2012: £950m) credit cards and unsecured loans. During 2013, arrears rates in cards portfolio deteriorated while c</w:t>
      </w:r>
      <w:r w:rsidR="00C10958" w:rsidRPr="00491918">
        <w:rPr>
          <w:lang w:val="en-GB"/>
        </w:rPr>
        <w:t>harge-off rates remained stable</w:t>
      </w:r>
    </w:p>
    <w:p w:rsidR="000D1659" w:rsidRPr="00491918" w:rsidRDefault="000D1659" w:rsidP="00EC729A">
      <w:pPr>
        <w:pStyle w:val="Level2Bullet-BarcRA11"/>
        <w:numPr>
          <w:ilvl w:val="2"/>
          <w:numId w:val="196"/>
        </w:numPr>
        <w:tabs>
          <w:tab w:val="num" w:pos="709"/>
        </w:tabs>
        <w:spacing w:before="100" w:after="100"/>
        <w:ind w:left="709" w:hanging="425"/>
        <w:rPr>
          <w:lang w:val="en-GB"/>
        </w:rPr>
      </w:pPr>
      <w:r w:rsidRPr="00491918">
        <w:rPr>
          <w:lang w:val="en-GB"/>
        </w:rPr>
        <w:t>CRL coverage of 78% (2012: 74%) driven by credit cards and unsecured loans exposure</w:t>
      </w:r>
    </w:p>
    <w:p w:rsidR="001B0DD0" w:rsidRPr="00491918" w:rsidRDefault="001B0DD0" w:rsidP="001B0DD0">
      <w:pPr>
        <w:pStyle w:val="NoteandSourceText-BarcRA19"/>
        <w:numPr>
          <w:ilvl w:val="0"/>
          <w:numId w:val="0"/>
        </w:numPr>
        <w:spacing w:before="0" w:after="0"/>
        <w:ind w:left="284"/>
      </w:pPr>
    </w:p>
    <w:p w:rsidR="000D1659" w:rsidRPr="00491918" w:rsidRDefault="000D1659" w:rsidP="00EC729A">
      <w:pPr>
        <w:pStyle w:val="NoteandSourceText-BarcRA19"/>
        <w:numPr>
          <w:ilvl w:val="0"/>
          <w:numId w:val="198"/>
        </w:numPr>
        <w:spacing w:before="0" w:after="0"/>
        <w:ind w:left="284" w:hanging="284"/>
      </w:pPr>
      <w:r w:rsidRPr="00491918">
        <w:t xml:space="preserve">‘Cost’ refers to the fair value of the asset at recognition, less any impairment booked. ‘AFS Reserve’ is the cumulative fair value gain or loss on the assets that is held in equity. ‘Total’ is the fair value of the assets at the balance sheet date. </w:t>
      </w:r>
    </w:p>
    <w:p w:rsidR="000D1659" w:rsidRPr="00491918" w:rsidRDefault="000D1659">
      <w:pPr>
        <w:spacing w:line="14" w:lineRule="exact"/>
      </w:pPr>
      <w:r w:rsidRPr="00491918">
        <w:br w:type="page"/>
      </w:r>
    </w:p>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7202F"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35"/>
              <w:rPr>
                <w:lang w:val="en-GB"/>
              </w:rPr>
            </w:pPr>
            <w:r w:rsidRPr="00491918">
              <w:rPr>
                <w:lang w:val="en-GB"/>
              </w:rPr>
              <w:lastRenderedPageBreak/>
              <w:t xml:space="preserve">Credit </w:t>
            </w:r>
            <w:r w:rsidRPr="00491918">
              <w:t>Risk</w:t>
            </w: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79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615"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81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81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960" w:type="dxa"/>
            <w:tcBorders>
              <w:top w:val="nil"/>
              <w:left w:val="nil"/>
              <w:bottom w:val="nil"/>
              <w:right w:val="nil"/>
            </w:tcBorders>
            <w:shd w:val="clear" w:color="auto" w:fill="FFFFFF"/>
            <w:tcMar>
              <w:left w:w="36" w:type="dxa"/>
              <w:right w:w="36" w:type="dxa"/>
            </w:tcMar>
            <w:vAlign w:val="bottom"/>
          </w:tcPr>
          <w:p w:rsidR="0007202F" w:rsidRPr="00491918" w:rsidRDefault="0007202F">
            <w:pPr>
              <w:rPr>
                <w:color w:val="000000"/>
                <w:sz w:val="16"/>
              </w:rPr>
            </w:pPr>
          </w:p>
        </w:tc>
        <w:tc>
          <w:tcPr>
            <w:tcW w:w="930" w:type="dxa"/>
            <w:tcBorders>
              <w:top w:val="nil"/>
              <w:left w:val="nil"/>
              <w:bottom w:val="nil"/>
              <w:right w:val="nil"/>
            </w:tcBorders>
            <w:shd w:val="clear" w:color="auto" w:fill="FFFFFF"/>
            <w:tcMar>
              <w:left w:w="36" w:type="dxa"/>
              <w:right w:w="36" w:type="dxa"/>
            </w:tcMar>
            <w:vAlign w:val="bottom"/>
          </w:tcPr>
          <w:p w:rsidR="0007202F" w:rsidRPr="00491918" w:rsidRDefault="0007202F">
            <w:pPr>
              <w:jc w:val="right"/>
              <w:rPr>
                <w:b/>
                <w:color w:val="000000"/>
                <w:sz w:val="16"/>
              </w:rPr>
            </w:pPr>
          </w:p>
        </w:tc>
        <w:tc>
          <w:tcPr>
            <w:tcW w:w="705" w:type="dxa"/>
            <w:tcBorders>
              <w:top w:val="nil"/>
              <w:left w:val="nil"/>
              <w:bottom w:val="nil"/>
              <w:right w:val="nil"/>
            </w:tcBorders>
            <w:shd w:val="clear" w:color="auto" w:fill="FFFFFF"/>
            <w:tcMar>
              <w:left w:w="36" w:type="dxa"/>
              <w:right w:w="36" w:type="dxa"/>
            </w:tcMar>
            <w:vAlign w:val="bottom"/>
          </w:tcPr>
          <w:p w:rsidR="0007202F" w:rsidRPr="00491918" w:rsidRDefault="0007202F">
            <w:pPr>
              <w:jc w:val="center"/>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7202F" w:rsidRPr="00491918" w:rsidRDefault="0007202F">
            <w:pPr>
              <w:jc w:val="center"/>
              <w:rPr>
                <w:b/>
                <w:color w:val="000000"/>
                <w:sz w:val="16"/>
              </w:rPr>
            </w:pPr>
          </w:p>
        </w:tc>
        <w:tc>
          <w:tcPr>
            <w:tcW w:w="817" w:type="dxa"/>
            <w:tcBorders>
              <w:top w:val="nil"/>
              <w:left w:val="nil"/>
              <w:bottom w:val="nil"/>
              <w:right w:val="nil"/>
            </w:tcBorders>
            <w:shd w:val="clear" w:color="auto" w:fill="FFFFFF"/>
            <w:tcMar>
              <w:left w:w="36" w:type="dxa"/>
              <w:right w:w="36" w:type="dxa"/>
            </w:tcMar>
            <w:vAlign w:val="center"/>
          </w:tcPr>
          <w:p w:rsidR="0007202F" w:rsidRPr="00491918" w:rsidRDefault="0007202F">
            <w:pPr>
              <w:jc w:val="right"/>
              <w:rPr>
                <w:color w:val="000000"/>
                <w:sz w:val="16"/>
              </w:rPr>
            </w:pP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4"/>
              </w:rPr>
              <w:t>Ireland</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4"/>
              </w:rPr>
              <w:t xml:space="preserve"> </w:t>
            </w:r>
          </w:p>
        </w:tc>
        <w:tc>
          <w:tcPr>
            <w:tcW w:w="2205" w:type="dxa"/>
            <w:gridSpan w:val="3"/>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24"/>
              </w:rPr>
            </w:pPr>
            <w:r w:rsidRPr="00491918">
              <w:rPr>
                <w:b/>
                <w:color w:val="000000"/>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3195" w:type="dxa"/>
            <w:gridSpan w:val="4"/>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Derivatives</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Fair Value through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Cash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Profit and Loss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Assets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Net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Assets</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Collateral</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Net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175 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(175)</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269 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(253)</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16 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1,183 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(54)</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1,129 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3,611 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(2,578)</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(987)</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46 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538 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1,713 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1,558 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190 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(58)</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132 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146 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(58)</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(2)</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86 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79 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297 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293 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Available for Sale Assets as at 30.06.13</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Fair Value through OCI</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425"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Cost</w:t>
            </w:r>
            <w:r w:rsidRPr="00491918">
              <w:rPr>
                <w:b/>
                <w:color w:val="000000"/>
                <w:sz w:val="16"/>
                <w:vertAlign w:val="superscript"/>
              </w:rPr>
              <w:t>1 </w:t>
            </w:r>
          </w:p>
        </w:tc>
        <w:tc>
          <w:tcPr>
            <w:tcW w:w="1770" w:type="dxa"/>
            <w:gridSpan w:val="2"/>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AFS Reserve</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Total</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p>
        </w:tc>
      </w:tr>
      <w:tr w:rsidR="00E9782A"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425"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1770" w:type="dxa"/>
            <w:gridSpan w:val="2"/>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E9782A" w:rsidRPr="00491918" w:rsidTr="00F84A40">
        <w:trPr>
          <w:trHeight w:val="240"/>
        </w:trPr>
        <w:tc>
          <w:tcPr>
            <w:tcW w:w="2310" w:type="dxa"/>
            <w:gridSpan w:val="2"/>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Sovereign</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9 </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43 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60 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Loans and Advances as at 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Impairment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Held at Amortised Cost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Gross </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Allowances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2,439 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2,439 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1,967 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108 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852 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843 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830 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114 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83 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£m</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18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627 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628 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728 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1,007 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9 </w:t>
            </w:r>
          </w:p>
        </w:tc>
      </w:tr>
    </w:tbl>
    <w:p w:rsidR="000D1659" w:rsidRPr="00491918" w:rsidRDefault="000D1659"/>
    <w:p w:rsidR="000D1659" w:rsidRPr="00491918" w:rsidRDefault="000D1659" w:rsidP="00EC729A">
      <w:pPr>
        <w:pStyle w:val="Level1Bullet-BarcRA39"/>
        <w:numPr>
          <w:ilvl w:val="0"/>
          <w:numId w:val="200"/>
        </w:numPr>
        <w:spacing w:before="100" w:after="100"/>
        <w:rPr>
          <w:b/>
        </w:rPr>
      </w:pPr>
      <w:r w:rsidRPr="00491918">
        <w:rPr>
          <w:b/>
        </w:rPr>
        <w:t>Financial institutions</w:t>
      </w:r>
    </w:p>
    <w:p w:rsidR="000D1659" w:rsidRPr="00491918" w:rsidRDefault="000D1659" w:rsidP="00EC729A">
      <w:pPr>
        <w:pStyle w:val="Level2Bullet-BarcRA12"/>
        <w:numPr>
          <w:ilvl w:val="2"/>
          <w:numId w:val="202"/>
        </w:numPr>
        <w:tabs>
          <w:tab w:val="num" w:pos="709"/>
        </w:tabs>
        <w:spacing w:before="100" w:after="100"/>
        <w:ind w:left="709" w:hanging="425"/>
      </w:pPr>
      <w:r w:rsidRPr="00491918">
        <w:t>Exposure focused on financial institutions with investment grade credit ratings</w:t>
      </w:r>
    </w:p>
    <w:p w:rsidR="000D1659" w:rsidRPr="00491918" w:rsidRDefault="000D1659" w:rsidP="00EC729A">
      <w:pPr>
        <w:pStyle w:val="Level2Bullet-BarcRA12"/>
        <w:numPr>
          <w:ilvl w:val="2"/>
          <w:numId w:val="202"/>
        </w:numPr>
        <w:tabs>
          <w:tab w:val="num" w:pos="709"/>
        </w:tabs>
        <w:spacing w:before="100" w:after="100"/>
        <w:ind w:left="709" w:hanging="425"/>
      </w:pPr>
      <w:r w:rsidRPr="00491918">
        <w:t>Exposure to Irish banks amounted to £</w:t>
      </w:r>
      <w:r w:rsidRPr="00491918">
        <w:rPr>
          <w:lang w:val="en-GB"/>
        </w:rPr>
        <w:t>153</w:t>
      </w:r>
      <w:r w:rsidRPr="00491918">
        <w:t>m</w:t>
      </w:r>
      <w:r w:rsidRPr="00491918">
        <w:rPr>
          <w:lang w:val="en-GB"/>
        </w:rPr>
        <w:t xml:space="preserve"> (2012: £102m)</w:t>
      </w:r>
    </w:p>
    <w:p w:rsidR="000D1659" w:rsidRPr="00491918" w:rsidRDefault="000D1659" w:rsidP="00EC729A">
      <w:pPr>
        <w:pStyle w:val="Level2Bullet-BarcRA12"/>
        <w:numPr>
          <w:ilvl w:val="2"/>
          <w:numId w:val="202"/>
        </w:numPr>
        <w:tabs>
          <w:tab w:val="num" w:pos="709"/>
        </w:tabs>
        <w:spacing w:before="100" w:after="100"/>
        <w:ind w:left="709" w:hanging="425"/>
      </w:pPr>
      <w:r w:rsidRPr="00491918">
        <w:t>£</w:t>
      </w:r>
      <w:r w:rsidRPr="00491918">
        <w:rPr>
          <w:lang w:val="en-GB"/>
        </w:rPr>
        <w:t>1.5</w:t>
      </w:r>
      <w:r w:rsidRPr="00491918">
        <w:t xml:space="preserve">bn </w:t>
      </w:r>
      <w:r w:rsidRPr="00491918">
        <w:rPr>
          <w:lang w:val="en-GB"/>
        </w:rPr>
        <w:t xml:space="preserve">(2012: £1.4bn) </w:t>
      </w:r>
      <w:r w:rsidRPr="00491918">
        <w:t>of loans relate to issuers domiciled in Ireland whose principal business and exposures are outside of Ireland</w:t>
      </w:r>
    </w:p>
    <w:p w:rsidR="000D1659" w:rsidRPr="00491918" w:rsidRDefault="000D1659" w:rsidP="00EC729A">
      <w:pPr>
        <w:pStyle w:val="Level1Bullet-BarcRA39"/>
        <w:numPr>
          <w:ilvl w:val="0"/>
          <w:numId w:val="200"/>
        </w:numPr>
        <w:spacing w:before="100" w:after="100"/>
        <w:rPr>
          <w:b/>
        </w:rPr>
      </w:pPr>
      <w:r w:rsidRPr="00491918">
        <w:rPr>
          <w:b/>
        </w:rPr>
        <w:t xml:space="preserve">Corporate </w:t>
      </w:r>
    </w:p>
    <w:p w:rsidR="000D1659" w:rsidRPr="00491918" w:rsidRDefault="000D1659" w:rsidP="00EC729A">
      <w:pPr>
        <w:pStyle w:val="Level2Bullet-BarcRA12"/>
        <w:numPr>
          <w:ilvl w:val="2"/>
          <w:numId w:val="202"/>
        </w:numPr>
        <w:tabs>
          <w:tab w:val="num" w:pos="709"/>
        </w:tabs>
        <w:spacing w:before="100" w:after="100"/>
        <w:ind w:left="709" w:hanging="425"/>
      </w:pPr>
      <w:r w:rsidRPr="00491918">
        <w:t>£</w:t>
      </w:r>
      <w:r w:rsidRPr="00491918">
        <w:rPr>
          <w:lang w:val="en-GB"/>
        </w:rPr>
        <w:t>843</w:t>
      </w:r>
      <w:r w:rsidRPr="00491918">
        <w:t xml:space="preserve">m </w:t>
      </w:r>
      <w:r w:rsidRPr="00491918">
        <w:rPr>
          <w:lang w:val="en-GB"/>
        </w:rPr>
        <w:t xml:space="preserve">(2012: £830m) net </w:t>
      </w:r>
      <w:r w:rsidRPr="00491918">
        <w:t xml:space="preserve">loans and advances, including a significant proportion to other multinational entities domiciled in Ireland, whose principal businesses and exposures are outside of Ireland </w:t>
      </w:r>
    </w:p>
    <w:p w:rsidR="000D1659" w:rsidRPr="00491918" w:rsidRDefault="000D1659" w:rsidP="00EC729A">
      <w:pPr>
        <w:pStyle w:val="Level2Bullet-BarcRA12"/>
        <w:numPr>
          <w:ilvl w:val="2"/>
          <w:numId w:val="202"/>
        </w:numPr>
        <w:tabs>
          <w:tab w:val="num" w:pos="709"/>
        </w:tabs>
        <w:spacing w:before="100" w:after="100"/>
        <w:ind w:left="709" w:hanging="425"/>
      </w:pPr>
      <w:r w:rsidRPr="00491918">
        <w:t>The portfolio continues to perform and has not been materially impacted by the decline in the property sector</w:t>
      </w:r>
    </w:p>
    <w:p w:rsidR="000D1659" w:rsidRPr="00491918" w:rsidRDefault="000D1659" w:rsidP="000D1659">
      <w:pPr>
        <w:pStyle w:val="Level2Bullet-BarcRA12"/>
        <w:numPr>
          <w:ilvl w:val="0"/>
          <w:numId w:val="0"/>
        </w:numPr>
        <w:tabs>
          <w:tab w:val="left" w:pos="720"/>
        </w:tabs>
        <w:spacing w:before="100" w:after="100"/>
        <w:ind w:left="284"/>
        <w:rPr>
          <w:lang w:val="en-GB"/>
        </w:rPr>
      </w:pPr>
    </w:p>
    <w:p w:rsidR="000D1659" w:rsidRPr="00491918" w:rsidRDefault="000D1659" w:rsidP="000D1659">
      <w:pPr>
        <w:pStyle w:val="Level2Bullet-BarcRA12"/>
        <w:numPr>
          <w:ilvl w:val="0"/>
          <w:numId w:val="0"/>
        </w:numPr>
        <w:tabs>
          <w:tab w:val="left" w:pos="720"/>
        </w:tabs>
        <w:spacing w:before="100" w:after="100"/>
        <w:ind w:left="284"/>
        <w:rPr>
          <w:lang w:val="en-GB"/>
        </w:rPr>
      </w:pPr>
    </w:p>
    <w:p w:rsidR="00C80BB5" w:rsidRPr="00491918" w:rsidRDefault="00C80BB5" w:rsidP="000D1659">
      <w:pPr>
        <w:pStyle w:val="Level2Bullet-BarcRA12"/>
        <w:numPr>
          <w:ilvl w:val="0"/>
          <w:numId w:val="0"/>
        </w:numPr>
        <w:tabs>
          <w:tab w:val="left" w:pos="720"/>
        </w:tabs>
        <w:spacing w:before="100" w:after="100"/>
        <w:ind w:left="284"/>
        <w:rPr>
          <w:lang w:val="en-GB"/>
        </w:rPr>
      </w:pPr>
    </w:p>
    <w:p w:rsidR="000D1659" w:rsidRPr="00491918" w:rsidRDefault="000D1659" w:rsidP="000D1659">
      <w:pPr>
        <w:pStyle w:val="Level2Bullet-BarcRA12"/>
        <w:numPr>
          <w:ilvl w:val="0"/>
          <w:numId w:val="0"/>
        </w:numPr>
        <w:tabs>
          <w:tab w:val="left" w:pos="720"/>
        </w:tabs>
        <w:spacing w:before="100" w:after="100"/>
        <w:ind w:left="284"/>
        <w:rPr>
          <w:lang w:val="en-GB"/>
        </w:rPr>
      </w:pPr>
    </w:p>
    <w:p w:rsidR="000D1659" w:rsidRPr="00491918" w:rsidRDefault="000D1659" w:rsidP="000D1659">
      <w:pPr>
        <w:pStyle w:val="Level2Bullet-BarcRA12"/>
        <w:numPr>
          <w:ilvl w:val="0"/>
          <w:numId w:val="0"/>
        </w:numPr>
        <w:tabs>
          <w:tab w:val="left" w:pos="720"/>
        </w:tabs>
        <w:spacing w:before="100" w:after="100"/>
        <w:ind w:left="284"/>
        <w:rPr>
          <w:lang w:val="en-GB"/>
        </w:rPr>
      </w:pPr>
    </w:p>
    <w:p w:rsidR="000D1659" w:rsidRPr="00491918" w:rsidRDefault="000D1659" w:rsidP="000D1659">
      <w:pPr>
        <w:pStyle w:val="NoteandSourceText-BarcRA200"/>
        <w:numPr>
          <w:ilvl w:val="0"/>
          <w:numId w:val="0"/>
        </w:numPr>
        <w:ind w:left="284"/>
      </w:pPr>
    </w:p>
    <w:p w:rsidR="00FE5C4F" w:rsidRPr="00491918" w:rsidRDefault="00FE5C4F" w:rsidP="000D1659">
      <w:pPr>
        <w:pStyle w:val="NoteandSourceText-BarcRA200"/>
        <w:numPr>
          <w:ilvl w:val="0"/>
          <w:numId w:val="0"/>
        </w:numPr>
        <w:ind w:left="284"/>
      </w:pPr>
    </w:p>
    <w:p w:rsidR="000D1659" w:rsidRPr="00491918" w:rsidRDefault="000D1659" w:rsidP="00EC729A">
      <w:pPr>
        <w:pStyle w:val="NoteandSourceText-BarcRA200"/>
        <w:numPr>
          <w:ilvl w:val="0"/>
          <w:numId w:val="204"/>
        </w:numPr>
        <w:ind w:left="284" w:hanging="284"/>
      </w:pPr>
      <w:r w:rsidRPr="00491918">
        <w:t>‘Cost’ refers to the fair value of the asset at recognition, less any impairment booked. ‘AFS Reserve’ is the cumulative fair value gain or loss on the assets that is held in equity. ‘Total’ is the fair value of the assets at the balance sheet date.</w:t>
      </w:r>
    </w:p>
    <w:p w:rsidR="0007202F" w:rsidRPr="00491918" w:rsidRDefault="0007202F" w:rsidP="0007202F">
      <w:pPr>
        <w:pStyle w:val="NoteandSourceText-BarcRA200"/>
        <w:numPr>
          <w:ilvl w:val="0"/>
          <w:numId w:val="0"/>
        </w:numPr>
        <w:ind w:left="284"/>
      </w:pPr>
    </w:p>
    <w:p w:rsidR="000D1659" w:rsidRPr="00491918" w:rsidRDefault="000D1659">
      <w:pPr>
        <w:spacing w:line="14" w:lineRule="exact"/>
      </w:pPr>
      <w:r w:rsidRPr="00491918">
        <w:br w:type="page"/>
      </w:r>
    </w:p>
    <w:p w:rsidR="0007202F" w:rsidRPr="00491918" w:rsidRDefault="0007202F">
      <w:pPr>
        <w:spacing w:line="14" w:lineRule="exact"/>
      </w:pPr>
    </w:p>
    <w:p w:rsidR="0007202F" w:rsidRPr="00491918" w:rsidRDefault="0007202F">
      <w:pPr>
        <w:spacing w:line="14" w:lineRule="exact"/>
      </w:pPr>
    </w:p>
    <w:p w:rsidR="0007202F" w:rsidRPr="00491918" w:rsidRDefault="0007202F" w:rsidP="0007202F">
      <w:pPr>
        <w:pStyle w:val="HeadingLevel1-BarcRA35"/>
        <w:rPr>
          <w:lang w:val="en-GB"/>
        </w:rPr>
      </w:pPr>
      <w:r w:rsidRPr="00491918">
        <w:rPr>
          <w:lang w:val="en-GB"/>
        </w:rPr>
        <w:t xml:space="preserve">Credit </w:t>
      </w:r>
      <w:r w:rsidRPr="00491918">
        <w:t>Risk</w:t>
      </w:r>
    </w:p>
    <w:p w:rsidR="0007202F" w:rsidRPr="00491918" w:rsidRDefault="0007202F">
      <w:pPr>
        <w:spacing w:line="14" w:lineRule="exact"/>
      </w:pPr>
    </w:p>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4"/>
              </w:rPr>
              <w:t>Cyprus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4"/>
              </w:rPr>
              <w:t xml:space="preserve"> </w:t>
            </w:r>
          </w:p>
        </w:tc>
        <w:tc>
          <w:tcPr>
            <w:tcW w:w="2205" w:type="dxa"/>
            <w:gridSpan w:val="3"/>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24"/>
              </w:rPr>
            </w:pPr>
            <w:r w:rsidRPr="00491918">
              <w:rPr>
                <w:b/>
                <w:color w:val="000000"/>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3195" w:type="dxa"/>
            <w:gridSpan w:val="4"/>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Derivatives</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Fair Value through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Cash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Profit and Loss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Assets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Net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Assets</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Collateral</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Net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75 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(75)</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(17)</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Loans and Advances as at 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Impairment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Held at Amortised Cost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Gross </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Allowances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45 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44 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119 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120 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94 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29 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26 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£m</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33 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94 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15 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37 </w:t>
            </w:r>
          </w:p>
        </w:tc>
      </w:tr>
    </w:tbl>
    <w:p w:rsidR="000D1659" w:rsidRPr="00491918" w:rsidRDefault="000D1659">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p w:rsidR="00C80BB5" w:rsidRPr="00491918" w:rsidRDefault="00C80BB5">
      <w:pPr>
        <w:spacing w:line="14" w:lineRule="exact"/>
      </w:pPr>
    </w:p>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4"/>
              </w:rPr>
              <w:t>Greece</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Designated at FV through P&amp;L</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24"/>
              </w:rPr>
              <w:t xml:space="preserve"> </w:t>
            </w:r>
          </w:p>
        </w:tc>
        <w:tc>
          <w:tcPr>
            <w:tcW w:w="2205" w:type="dxa"/>
            <w:gridSpan w:val="3"/>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24"/>
              </w:rPr>
            </w:pPr>
            <w:r w:rsidRPr="00491918">
              <w:rPr>
                <w:b/>
                <w:color w:val="000000"/>
                <w:sz w:val="16"/>
              </w:rPr>
              <w:t>Trading Portfolio</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3195" w:type="dxa"/>
            <w:gridSpan w:val="4"/>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Derivatives</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Fair Value through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9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 xml:space="preserve">Cash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center"/>
              <w:rPr>
                <w:b/>
                <w:color w:val="000000"/>
                <w:sz w:val="16"/>
              </w:rPr>
            </w:pP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Profit and Loss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Assets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Net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Assets</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Liabilities</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rPr>
            </w:pPr>
            <w:r w:rsidRPr="00491918">
              <w:rPr>
                <w:b/>
                <w:color w:val="000000"/>
                <w:sz w:val="16"/>
              </w:rPr>
              <w:t>Collateral</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Net </w:t>
            </w:r>
          </w:p>
        </w:tc>
        <w:tc>
          <w:tcPr>
            <w:tcW w:w="930"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£m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Sovereign</w:t>
            </w:r>
          </w:p>
        </w:tc>
        <w:tc>
          <w:tcPr>
            <w:tcW w:w="70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79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Financial institutions</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1,123 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(315)</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(801)</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37 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37 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 </w:t>
            </w:r>
          </w:p>
        </w:tc>
        <w:tc>
          <w:tcPr>
            <w:tcW w:w="960"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37 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E9782A"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4830" w:type="dxa"/>
            <w:gridSpan w:val="6"/>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Loans and Advances as at 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r w:rsidRPr="00491918">
              <w:rPr>
                <w:b/>
                <w:color w:val="000000"/>
                <w:sz w:val="16"/>
                <w:vertAlign w:val="superscript"/>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vertAlign w:val="superscript"/>
              </w:rPr>
            </w:pPr>
            <w:r w:rsidRPr="00491918">
              <w:rPr>
                <w:b/>
                <w:color w:val="000000"/>
                <w:sz w:val="16"/>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Impairment </w:t>
            </w:r>
          </w:p>
        </w:tc>
        <w:tc>
          <w:tcPr>
            <w:tcW w:w="93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Held at Amortised Cost</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Gross </w:t>
            </w:r>
            <w:r w:rsidRPr="00491918">
              <w:rPr>
                <w:b/>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vertAlign w:val="superscript"/>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Allowances</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79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r w:rsidRPr="00491918">
              <w:rPr>
                <w:color w:val="000000"/>
                <w:sz w:val="16"/>
                <w:vertAlign w:val="superscript"/>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93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Residential mortgages</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8 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58 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21 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(7)</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14 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9 </w:t>
            </w: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r>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30.06.13</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Total</w:t>
            </w:r>
          </w:p>
          <w:p w:rsidR="000D1659" w:rsidRPr="00491918" w:rsidRDefault="000D1659">
            <w:pPr>
              <w:jc w:val="right"/>
              <w:rPr>
                <w:b/>
                <w:color w:val="000000"/>
                <w:sz w:val="16"/>
              </w:rPr>
            </w:pPr>
            <w:r w:rsidRPr="00491918">
              <w:rPr>
                <w:b/>
                <w:color w:val="000000"/>
                <w:sz w:val="16"/>
              </w:rPr>
              <w:t>as at</w:t>
            </w:r>
          </w:p>
          <w:p w:rsidR="000D1659" w:rsidRPr="00491918" w:rsidRDefault="000D1659">
            <w:pPr>
              <w:jc w:val="right"/>
              <w:rPr>
                <w:b/>
                <w:color w:val="000000"/>
                <w:sz w:val="16"/>
              </w:rPr>
            </w:pPr>
            <w:r w:rsidRPr="00491918">
              <w:rPr>
                <w:b/>
                <w:color w:val="000000"/>
                <w:sz w:val="16"/>
              </w:rPr>
              <w:t>31.12.12</w:t>
            </w:r>
          </w:p>
        </w:tc>
      </w:tr>
      <w:tr w:rsidR="00E9782A" w:rsidRPr="00491918" w:rsidTr="00F84A40">
        <w:trPr>
          <w:trHeight w:val="240"/>
        </w:trPr>
        <w:tc>
          <w:tcPr>
            <w:tcW w:w="3810" w:type="dxa"/>
            <w:gridSpan w:val="4"/>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Contingent Liabilities and Commitments</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hRule="exac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vMerge/>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817" w:type="dxa"/>
            <w:vMerge/>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p>
        </w:tc>
      </w:tr>
      <w:tr w:rsidR="000D1659" w:rsidRPr="00491918" w:rsidTr="00F84A40">
        <w:trPr>
          <w:trHeight w:val="240"/>
        </w:trPr>
        <w:tc>
          <w:tcPr>
            <w:tcW w:w="16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9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18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61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£m</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817" w:type="dxa"/>
            <w:tcBorders>
              <w:top w:val="nil"/>
              <w:left w:val="nil"/>
              <w:bottom w:val="single" w:sz="6" w:space="0" w:color="7F7F7F"/>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£m</w:t>
            </w:r>
          </w:p>
        </w:tc>
      </w:tr>
    </w:tbl>
    <w:p w:rsidR="00F92E6D" w:rsidRPr="00491918" w:rsidRDefault="00F92E6D"/>
    <w:tbl>
      <w:tblPr>
        <w:tblW w:w="9817" w:type="dxa"/>
        <w:tblLayout w:type="fixed"/>
        <w:tblLook w:val="0000" w:firstRow="0" w:lastRow="0" w:firstColumn="0" w:lastColumn="0" w:noHBand="0" w:noVBand="0"/>
      </w:tblPr>
      <w:tblGrid>
        <w:gridCol w:w="1605"/>
        <w:gridCol w:w="705"/>
        <w:gridCol w:w="795"/>
        <w:gridCol w:w="705"/>
        <w:gridCol w:w="180"/>
        <w:gridCol w:w="615"/>
        <w:gridCol w:w="810"/>
        <w:gridCol w:w="810"/>
        <w:gridCol w:w="960"/>
        <w:gridCol w:w="930"/>
        <w:gridCol w:w="705"/>
        <w:gridCol w:w="180"/>
        <w:gridCol w:w="817"/>
      </w:tblGrid>
      <w:tr w:rsidR="000D1659" w:rsidRPr="00491918" w:rsidTr="00F84A40">
        <w:trPr>
          <w:trHeight w:val="240"/>
        </w:trPr>
        <w:tc>
          <w:tcPr>
            <w:tcW w:w="16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Corporate</w:t>
            </w:r>
          </w:p>
        </w:tc>
        <w:tc>
          <w:tcPr>
            <w:tcW w:w="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3 </w:t>
            </w:r>
          </w:p>
        </w:tc>
      </w:tr>
      <w:tr w:rsidR="00E9782A" w:rsidRPr="00491918" w:rsidTr="00F84A40">
        <w:trPr>
          <w:trHeight w:val="240"/>
        </w:trPr>
        <w:tc>
          <w:tcPr>
            <w:tcW w:w="2310" w:type="dxa"/>
            <w:gridSpan w:val="2"/>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retail lending</w:t>
            </w:r>
          </w:p>
        </w:tc>
        <w:tc>
          <w:tcPr>
            <w:tcW w:w="79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61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r w:rsidRPr="00491918">
              <w:rPr>
                <w:color w:val="000000"/>
                <w:sz w:val="16"/>
                <w:vertAlign w:val="superscript"/>
              </w:rPr>
              <w:t xml:space="preserve"> </w:t>
            </w:r>
          </w:p>
        </w:tc>
        <w:tc>
          <w:tcPr>
            <w:tcW w:w="81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70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817"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2 </w:t>
            </w:r>
          </w:p>
        </w:tc>
      </w:tr>
    </w:tbl>
    <w:p w:rsidR="000D1659" w:rsidRPr="00491918" w:rsidRDefault="000D1659">
      <w:pPr>
        <w:spacing w:line="14" w:lineRule="exact"/>
      </w:pPr>
      <w:r w:rsidRPr="00491918">
        <w:br w:type="page"/>
      </w:r>
    </w:p>
    <w:p w:rsidR="0007202F" w:rsidRPr="00491918" w:rsidRDefault="0007202F" w:rsidP="0007202F">
      <w:pPr>
        <w:pStyle w:val="HeadingLevel1-BarcRA35"/>
        <w:rPr>
          <w:lang w:val="en-GB"/>
        </w:rPr>
      </w:pPr>
      <w:r w:rsidRPr="00491918">
        <w:rPr>
          <w:lang w:val="en-GB"/>
        </w:rPr>
        <w:lastRenderedPageBreak/>
        <w:t xml:space="preserve">Credit </w:t>
      </w:r>
      <w:r w:rsidRPr="00491918">
        <w:t>Risk</w:t>
      </w:r>
    </w:p>
    <w:p w:rsidR="000D1659" w:rsidRPr="00491918" w:rsidRDefault="000D1659" w:rsidP="008D6001">
      <w:pPr>
        <w:pStyle w:val="NoteandSourceText-BarcRA21"/>
        <w:numPr>
          <w:ilvl w:val="0"/>
          <w:numId w:val="0"/>
        </w:numPr>
        <w:tabs>
          <w:tab w:val="left" w:pos="0"/>
        </w:tabs>
        <w:jc w:val="left"/>
        <w:outlineLvl w:val="0"/>
      </w:pPr>
      <w:r w:rsidRPr="00491918">
        <w:rPr>
          <w:b/>
          <w:bCs/>
          <w:i w:val="0"/>
          <w:iCs w:val="0"/>
          <w:color w:val="000000"/>
          <w:sz w:val="20"/>
          <w:szCs w:val="20"/>
          <w:lang w:val="la-Latn"/>
        </w:rPr>
        <w:t xml:space="preserve">Credit </w:t>
      </w:r>
      <w:r w:rsidRPr="00491918">
        <w:rPr>
          <w:b/>
          <w:bCs/>
          <w:i w:val="0"/>
          <w:iCs w:val="0"/>
          <w:color w:val="000000"/>
          <w:sz w:val="20"/>
          <w:szCs w:val="20"/>
          <w:lang w:val="en-US"/>
        </w:rPr>
        <w:t>d</w:t>
      </w:r>
      <w:r w:rsidRPr="00491918">
        <w:rPr>
          <w:b/>
          <w:bCs/>
          <w:i w:val="0"/>
          <w:iCs w:val="0"/>
          <w:color w:val="000000"/>
          <w:sz w:val="20"/>
          <w:szCs w:val="20"/>
          <w:lang w:val="la-Latn"/>
        </w:rPr>
        <w:t xml:space="preserve">erivatives </w:t>
      </w:r>
      <w:r w:rsidRPr="00491918">
        <w:rPr>
          <w:b/>
          <w:bCs/>
          <w:i w:val="0"/>
          <w:iCs w:val="0"/>
          <w:color w:val="000000"/>
          <w:sz w:val="20"/>
          <w:szCs w:val="20"/>
          <w:lang w:val="en-US"/>
        </w:rPr>
        <w:t>r</w:t>
      </w:r>
      <w:r w:rsidRPr="00491918">
        <w:rPr>
          <w:b/>
          <w:bCs/>
          <w:i w:val="0"/>
          <w:iCs w:val="0"/>
          <w:color w:val="000000"/>
          <w:sz w:val="20"/>
          <w:szCs w:val="20"/>
          <w:lang w:val="la-Latn"/>
        </w:rPr>
        <w:t xml:space="preserve">eferencing Eurozone </w:t>
      </w:r>
      <w:r w:rsidRPr="00491918">
        <w:rPr>
          <w:b/>
          <w:bCs/>
          <w:i w:val="0"/>
          <w:iCs w:val="0"/>
          <w:color w:val="000000"/>
          <w:sz w:val="20"/>
          <w:szCs w:val="20"/>
          <w:lang w:val="en-US"/>
        </w:rPr>
        <w:t>s</w:t>
      </w:r>
      <w:r w:rsidRPr="00491918">
        <w:rPr>
          <w:b/>
          <w:bCs/>
          <w:i w:val="0"/>
          <w:iCs w:val="0"/>
          <w:color w:val="000000"/>
          <w:sz w:val="20"/>
          <w:szCs w:val="20"/>
          <w:lang w:val="la-Latn"/>
        </w:rPr>
        <w:t xml:space="preserve">overeign </w:t>
      </w:r>
      <w:r w:rsidRPr="00491918">
        <w:rPr>
          <w:b/>
          <w:bCs/>
          <w:i w:val="0"/>
          <w:iCs w:val="0"/>
          <w:color w:val="000000"/>
          <w:sz w:val="20"/>
          <w:szCs w:val="20"/>
          <w:lang w:val="en-US"/>
        </w:rPr>
        <w:t>d</w:t>
      </w:r>
      <w:r w:rsidRPr="00491918">
        <w:rPr>
          <w:b/>
          <w:bCs/>
          <w:i w:val="0"/>
          <w:iCs w:val="0"/>
          <w:color w:val="000000"/>
          <w:sz w:val="20"/>
          <w:szCs w:val="20"/>
          <w:lang w:val="la-Latn"/>
        </w:rPr>
        <w:t>ebt</w:t>
      </w:r>
    </w:p>
    <w:p w:rsidR="000D1659" w:rsidRPr="00491918" w:rsidRDefault="000D1659" w:rsidP="000D1659">
      <w:pPr>
        <w:pStyle w:val="Level1Bullet-BarcRA290"/>
      </w:pPr>
      <w:r w:rsidRPr="00491918">
        <w:rPr>
          <w:lang w:val="en-GB"/>
        </w:rPr>
        <w:t>The Group enters into credit mitigation arrangements (principally credit default swaps and total return swaps) for which the reference asset is government debt. For Italy and Portugal, these have the net effect of reducing the Group’s exposure in the event of sovereign default</w:t>
      </w:r>
    </w:p>
    <w:p w:rsidR="000D1659" w:rsidRPr="00491918" w:rsidRDefault="000D1659"/>
    <w:tbl>
      <w:tblPr>
        <w:tblW w:w="0" w:type="auto"/>
        <w:tblLayout w:type="fixed"/>
        <w:tblLook w:val="0000" w:firstRow="0" w:lastRow="0" w:firstColumn="0" w:lastColumn="0" w:noHBand="0" w:noVBand="0"/>
      </w:tblPr>
      <w:tblGrid>
        <w:gridCol w:w="4140"/>
        <w:gridCol w:w="930"/>
        <w:gridCol w:w="915"/>
        <w:gridCol w:w="915"/>
        <w:gridCol w:w="915"/>
        <w:gridCol w:w="915"/>
        <w:gridCol w:w="915"/>
      </w:tblGrid>
      <w:tr w:rsidR="000D1659" w:rsidRPr="00491918">
        <w:trPr>
          <w:trHeight w:val="240"/>
        </w:trPr>
        <w:tc>
          <w:tcPr>
            <w:tcW w:w="4140"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16"/>
              </w:rPr>
              <w:t>As at 30.06.13</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Spain</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Italy</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Portugal</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Ireland</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Cyprus</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Greece</w:t>
            </w:r>
          </w:p>
        </w:tc>
      </w:tr>
      <w:tr w:rsidR="000D1659" w:rsidRPr="00491918">
        <w:trPr>
          <w:trHeight w:val="240"/>
        </w:trPr>
        <w:tc>
          <w:tcPr>
            <w:tcW w:w="414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930"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915" w:type="dxa"/>
            <w:tcBorders>
              <w:top w:val="nil"/>
              <w:left w:val="nil"/>
              <w:bottom w:val="single" w:sz="6" w:space="0" w:color="A5A5A5"/>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r w:rsidR="000D1659" w:rsidRPr="00491918">
        <w:trPr>
          <w:trHeight w:val="240"/>
        </w:trPr>
        <w:tc>
          <w:tcPr>
            <w:tcW w:w="414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Fair value</w:t>
            </w:r>
          </w:p>
        </w:tc>
        <w:tc>
          <w:tcPr>
            <w:tcW w:w="930"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color w:val="000000"/>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915" w:type="dxa"/>
            <w:tcBorders>
              <w:top w:val="single" w:sz="6" w:space="0" w:color="A5A5A5"/>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41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Bought</w:t>
            </w:r>
          </w:p>
        </w:tc>
        <w:tc>
          <w:tcPr>
            <w:tcW w:w="93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621 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1,249 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312 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35 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2 </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r>
      <w:tr w:rsidR="000D1659" w:rsidRPr="00491918">
        <w:trPr>
          <w:trHeight w:val="240"/>
        </w:trPr>
        <w:tc>
          <w:tcPr>
            <w:tcW w:w="414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Sold</w:t>
            </w:r>
          </w:p>
        </w:tc>
        <w:tc>
          <w:tcPr>
            <w:tcW w:w="93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(612)</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(1,186)</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(305)</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(43)</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r>
      <w:tr w:rsidR="000D1659" w:rsidRPr="00491918">
        <w:trPr>
          <w:trHeight w:val="240"/>
        </w:trPr>
        <w:tc>
          <w:tcPr>
            <w:tcW w:w="414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both"/>
              <w:rPr>
                <w:color w:val="000000"/>
                <w:sz w:val="16"/>
              </w:rPr>
            </w:pPr>
            <w:r w:rsidRPr="00491918">
              <w:rPr>
                <w:b/>
                <w:color w:val="000000"/>
                <w:sz w:val="16"/>
              </w:rPr>
              <w:t>Net derivative fair value</w:t>
            </w:r>
          </w:p>
        </w:tc>
        <w:tc>
          <w:tcPr>
            <w:tcW w:w="93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9 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63 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7 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(8)</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1 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w:t>
            </w:r>
          </w:p>
        </w:tc>
      </w:tr>
      <w:tr w:rsidR="000D1659" w:rsidRPr="00491918">
        <w:trPr>
          <w:trHeight w:hRule="exact" w:val="240"/>
        </w:trPr>
        <w:tc>
          <w:tcPr>
            <w:tcW w:w="414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414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Contract notional amount</w:t>
            </w:r>
          </w:p>
        </w:tc>
        <w:tc>
          <w:tcPr>
            <w:tcW w:w="93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9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414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Bought</w:t>
            </w:r>
          </w:p>
        </w:tc>
        <w:tc>
          <w:tcPr>
            <w:tcW w:w="93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(12,920)</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(22,132)</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(4,152)</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(3,587)</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(8)</w:t>
            </w:r>
          </w:p>
        </w:tc>
        <w:tc>
          <w:tcPr>
            <w:tcW w:w="91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r>
      <w:tr w:rsidR="000D1659" w:rsidRPr="00491918">
        <w:trPr>
          <w:trHeight w:val="240"/>
        </w:trPr>
        <w:tc>
          <w:tcPr>
            <w:tcW w:w="414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Sold</w:t>
            </w:r>
          </w:p>
        </w:tc>
        <w:tc>
          <w:tcPr>
            <w:tcW w:w="93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12,962 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21,475 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4,131 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3,632 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8 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rPr>
            </w:pPr>
            <w:r w:rsidRPr="00491918">
              <w:rPr>
                <w:color w:val="000000"/>
                <w:sz w:val="16"/>
              </w:rPr>
              <w:t>- </w:t>
            </w:r>
          </w:p>
        </w:tc>
      </w:tr>
      <w:tr w:rsidR="000D1659" w:rsidRPr="00491918">
        <w:trPr>
          <w:trHeight w:val="240"/>
        </w:trPr>
        <w:tc>
          <w:tcPr>
            <w:tcW w:w="414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both"/>
              <w:rPr>
                <w:color w:val="000000"/>
                <w:sz w:val="16"/>
              </w:rPr>
            </w:pPr>
            <w:r w:rsidRPr="00491918">
              <w:rPr>
                <w:b/>
                <w:color w:val="000000"/>
                <w:sz w:val="16"/>
              </w:rPr>
              <w:t>Net derivative notional amount</w:t>
            </w:r>
          </w:p>
        </w:tc>
        <w:tc>
          <w:tcPr>
            <w:tcW w:w="93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42 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(657)</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(21)</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45 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w:t>
            </w:r>
          </w:p>
        </w:tc>
        <w:tc>
          <w:tcPr>
            <w:tcW w:w="91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w:t>
            </w:r>
          </w:p>
        </w:tc>
      </w:tr>
      <w:tr w:rsidR="000D1659" w:rsidRPr="00491918">
        <w:trPr>
          <w:trHeight w:hRule="exact" w:val="240"/>
        </w:trPr>
        <w:tc>
          <w:tcPr>
            <w:tcW w:w="414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both"/>
              <w:rPr>
                <w:b/>
                <w:color w:val="000000"/>
                <w:sz w:val="16"/>
              </w:rPr>
            </w:pPr>
            <w:r w:rsidRPr="00491918">
              <w:rPr>
                <w:b/>
                <w:color w:val="000000"/>
                <w:sz w:val="16"/>
              </w:rPr>
              <w:t xml:space="preserve"> </w:t>
            </w:r>
          </w:p>
        </w:tc>
        <w:tc>
          <w:tcPr>
            <w:tcW w:w="93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495"/>
        </w:trPr>
        <w:tc>
          <w:tcPr>
            <w:tcW w:w="414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both"/>
              <w:rPr>
                <w:b/>
                <w:color w:val="000000"/>
                <w:sz w:val="16"/>
              </w:rPr>
            </w:pPr>
            <w:r w:rsidRPr="00491918">
              <w:rPr>
                <w:b/>
                <w:color w:val="000000"/>
                <w:sz w:val="16"/>
              </w:rPr>
              <w:t>Net exposure to/(protection from) credit derivatives in the event of sovereign default (notional less fair value)</w:t>
            </w:r>
          </w:p>
        </w:tc>
        <w:tc>
          <w:tcPr>
            <w:tcW w:w="930"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51 </w:t>
            </w:r>
          </w:p>
        </w:tc>
        <w:tc>
          <w:tcPr>
            <w:tcW w:w="91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(594)</w:t>
            </w:r>
          </w:p>
        </w:tc>
        <w:tc>
          <w:tcPr>
            <w:tcW w:w="91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(14)</w:t>
            </w:r>
          </w:p>
        </w:tc>
        <w:tc>
          <w:tcPr>
            <w:tcW w:w="91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37 </w:t>
            </w:r>
          </w:p>
        </w:tc>
        <w:tc>
          <w:tcPr>
            <w:tcW w:w="91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1 </w:t>
            </w:r>
          </w:p>
        </w:tc>
        <w:tc>
          <w:tcPr>
            <w:tcW w:w="91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rPr>
            </w:pPr>
            <w:r w:rsidRPr="00491918">
              <w:rPr>
                <w:b/>
                <w:color w:val="000000"/>
                <w:sz w:val="16"/>
              </w:rPr>
              <w:t>- </w:t>
            </w:r>
          </w:p>
        </w:tc>
      </w:tr>
    </w:tbl>
    <w:p w:rsidR="000D1659" w:rsidRPr="00491918" w:rsidRDefault="000D1659"/>
    <w:tbl>
      <w:tblPr>
        <w:tblW w:w="0" w:type="auto"/>
        <w:tblLayout w:type="fixed"/>
        <w:tblLook w:val="0000" w:firstRow="0" w:lastRow="0" w:firstColumn="0" w:lastColumn="0" w:noHBand="0" w:noVBand="0"/>
      </w:tblPr>
      <w:tblGrid>
        <w:gridCol w:w="4140"/>
        <w:gridCol w:w="930"/>
        <w:gridCol w:w="915"/>
        <w:gridCol w:w="915"/>
        <w:gridCol w:w="915"/>
        <w:gridCol w:w="915"/>
        <w:gridCol w:w="915"/>
      </w:tblGrid>
      <w:tr w:rsidR="000D1659" w:rsidRPr="00491918">
        <w:trPr>
          <w:trHeight w:val="240"/>
        </w:trPr>
        <w:tc>
          <w:tcPr>
            <w:tcW w:w="4140" w:type="dxa"/>
            <w:tcBorders>
              <w:top w:val="nil"/>
              <w:left w:val="nil"/>
              <w:bottom w:val="single" w:sz="6" w:space="0" w:color="BFBFBF"/>
              <w:right w:val="nil"/>
            </w:tcBorders>
            <w:shd w:val="clear" w:color="auto" w:fill="FFFFFF"/>
            <w:tcMar>
              <w:left w:w="36" w:type="dxa"/>
              <w:right w:w="36" w:type="dxa"/>
            </w:tcMar>
            <w:vAlign w:val="center"/>
          </w:tcPr>
          <w:p w:rsidR="000D1659" w:rsidRPr="00491918" w:rsidRDefault="000D1659">
            <w:r w:rsidRPr="00491918">
              <w:rPr>
                <w:b/>
                <w:color w:val="000000"/>
                <w:sz w:val="16"/>
              </w:rPr>
              <w:t>As at 31.12.12</w:t>
            </w:r>
          </w:p>
        </w:tc>
        <w:tc>
          <w:tcPr>
            <w:tcW w:w="930" w:type="dxa"/>
            <w:tcBorders>
              <w:top w:val="nil"/>
              <w:left w:val="nil"/>
              <w:bottom w:val="single" w:sz="6" w:space="0" w:color="BFBFB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BFBFB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BFBFB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BFBFB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BFBFB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c>
          <w:tcPr>
            <w:tcW w:w="915" w:type="dxa"/>
            <w:tcBorders>
              <w:top w:val="nil"/>
              <w:left w:val="nil"/>
              <w:bottom w:val="single" w:sz="6" w:space="0" w:color="BFBFBF"/>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p>
        </w:tc>
      </w:tr>
      <w:tr w:rsidR="000D1659" w:rsidRPr="00491918">
        <w:trPr>
          <w:trHeight w:val="495"/>
        </w:trPr>
        <w:tc>
          <w:tcPr>
            <w:tcW w:w="4140" w:type="dxa"/>
            <w:tcBorders>
              <w:top w:val="single" w:sz="6" w:space="0" w:color="BFBFBF"/>
              <w:left w:val="nil"/>
              <w:bottom w:val="nil"/>
              <w:right w:val="nil"/>
            </w:tcBorders>
            <w:shd w:val="clear" w:color="auto" w:fill="FFFFFF"/>
            <w:tcMar>
              <w:left w:w="36" w:type="dxa"/>
              <w:right w:w="36" w:type="dxa"/>
            </w:tcMar>
          </w:tcPr>
          <w:p w:rsidR="000D1659" w:rsidRPr="00491918" w:rsidRDefault="000D1659">
            <w:pPr>
              <w:jc w:val="both"/>
              <w:rPr>
                <w:b/>
                <w:color w:val="000000"/>
                <w:sz w:val="16"/>
              </w:rPr>
            </w:pPr>
            <w:r w:rsidRPr="00491918">
              <w:rPr>
                <w:b/>
                <w:color w:val="000000"/>
                <w:sz w:val="16"/>
              </w:rPr>
              <w:t>Net (protection from)/exposure to credit derivatives in the event of sovereign default (notional less fair value)</w:t>
            </w:r>
          </w:p>
        </w:tc>
        <w:tc>
          <w:tcPr>
            <w:tcW w:w="930" w:type="dxa"/>
            <w:tcBorders>
              <w:top w:val="single" w:sz="6" w:space="0" w:color="BFBFBF"/>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(122)</w:t>
            </w:r>
          </w:p>
        </w:tc>
        <w:tc>
          <w:tcPr>
            <w:tcW w:w="915" w:type="dxa"/>
            <w:tcBorders>
              <w:top w:val="single" w:sz="6" w:space="0" w:color="BFBFBF"/>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(307)</w:t>
            </w:r>
          </w:p>
        </w:tc>
        <w:tc>
          <w:tcPr>
            <w:tcW w:w="915" w:type="dxa"/>
            <w:tcBorders>
              <w:top w:val="single" w:sz="6" w:space="0" w:color="BFBFBF"/>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(88)</w:t>
            </w:r>
          </w:p>
        </w:tc>
        <w:tc>
          <w:tcPr>
            <w:tcW w:w="915" w:type="dxa"/>
            <w:tcBorders>
              <w:top w:val="single" w:sz="6" w:space="0" w:color="BFBFBF"/>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44 </w:t>
            </w:r>
          </w:p>
        </w:tc>
        <w:tc>
          <w:tcPr>
            <w:tcW w:w="915" w:type="dxa"/>
            <w:tcBorders>
              <w:top w:val="single" w:sz="6" w:space="0" w:color="BFBFBF"/>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w:t>
            </w:r>
          </w:p>
        </w:tc>
        <w:tc>
          <w:tcPr>
            <w:tcW w:w="915" w:type="dxa"/>
            <w:tcBorders>
              <w:top w:val="single" w:sz="6" w:space="0" w:color="BFBFBF"/>
              <w:left w:val="nil"/>
              <w:bottom w:val="nil"/>
              <w:right w:val="nil"/>
            </w:tcBorders>
            <w:shd w:val="clear" w:color="auto" w:fill="FFFFFF"/>
            <w:tcMar>
              <w:left w:w="36" w:type="dxa"/>
              <w:right w:w="36" w:type="dxa"/>
            </w:tcMar>
          </w:tcPr>
          <w:p w:rsidR="000D1659" w:rsidRPr="00491918" w:rsidRDefault="000D1659">
            <w:pPr>
              <w:jc w:val="right"/>
              <w:rPr>
                <w:b/>
                <w:color w:val="000000"/>
                <w:sz w:val="16"/>
              </w:rPr>
            </w:pPr>
            <w:r w:rsidRPr="00491918">
              <w:rPr>
                <w:b/>
                <w:color w:val="000000"/>
                <w:sz w:val="16"/>
              </w:rPr>
              <w:t>- </w:t>
            </w:r>
          </w:p>
        </w:tc>
      </w:tr>
    </w:tbl>
    <w:p w:rsidR="000D1659" w:rsidRPr="00491918" w:rsidRDefault="000D1659"/>
    <w:p w:rsidR="000D1659" w:rsidRPr="00491918" w:rsidRDefault="000D1659" w:rsidP="000D1659">
      <w:pPr>
        <w:pStyle w:val="Level1Bullet-BarcRA401"/>
        <w:rPr>
          <w:sz w:val="18"/>
          <w:szCs w:val="18"/>
        </w:rPr>
      </w:pPr>
      <w:r w:rsidRPr="00491918">
        <w:rPr>
          <w:sz w:val="18"/>
          <w:szCs w:val="18"/>
        </w:rPr>
        <w:t>Credit derivatives are contracts whereby the default risk of an asset (reference asset) is transferred from the buyer to the seller of the credit derivative contract</w:t>
      </w:r>
    </w:p>
    <w:p w:rsidR="000D1659" w:rsidRPr="00491918" w:rsidRDefault="000D1659" w:rsidP="000D1659">
      <w:pPr>
        <w:pStyle w:val="Level1Bullet-BarcRA401"/>
        <w:rPr>
          <w:sz w:val="18"/>
          <w:szCs w:val="18"/>
        </w:rPr>
      </w:pPr>
      <w:r w:rsidRPr="00491918">
        <w:rPr>
          <w:sz w:val="18"/>
          <w:szCs w:val="18"/>
        </w:rPr>
        <w:t>Credit derivatives referencing sovereign assets are bought and sold to support client transactions and for risk management purposes</w:t>
      </w:r>
    </w:p>
    <w:p w:rsidR="000D1659" w:rsidRPr="00491918" w:rsidRDefault="000D1659" w:rsidP="000D1659">
      <w:pPr>
        <w:pStyle w:val="Level1Bullet-BarcRA401"/>
        <w:rPr>
          <w:sz w:val="18"/>
          <w:szCs w:val="18"/>
        </w:rPr>
      </w:pPr>
      <w:r w:rsidRPr="00491918">
        <w:rPr>
          <w:sz w:val="18"/>
          <w:szCs w:val="18"/>
        </w:rPr>
        <w:t>The contract notional amount represents the size of the credit derivative contracts that have been bought or sold, while the fair value represents the change in the value of the reference asset</w:t>
      </w:r>
    </w:p>
    <w:p w:rsidR="000D1659" w:rsidRPr="00491918" w:rsidRDefault="000D1659" w:rsidP="000D1659">
      <w:pPr>
        <w:pStyle w:val="Level1Bullet-BarcRA401"/>
        <w:rPr>
          <w:sz w:val="18"/>
          <w:szCs w:val="18"/>
        </w:rPr>
      </w:pPr>
      <w:r w:rsidRPr="00491918">
        <w:rPr>
          <w:sz w:val="18"/>
          <w:szCs w:val="18"/>
        </w:rPr>
        <w:t>The net protection or exposure from credit derivatives in the event of sovereign default amount represents a net purchase or sale of insurance by the Group. This insurance reduces or increases the Group’s total exposure and should be considered alongside the direct exposures disclosed in the preceding pages</w:t>
      </w:r>
    </w:p>
    <w:p w:rsidR="000D1659" w:rsidRPr="00491918" w:rsidRDefault="000D1659" w:rsidP="008D6001">
      <w:pPr>
        <w:pStyle w:val="HeadingLevel2-BarcRA110"/>
        <w:outlineLvl w:val="0"/>
        <w:rPr>
          <w:lang w:val="en-GB"/>
        </w:rPr>
      </w:pPr>
      <w:r w:rsidRPr="00491918">
        <w:t xml:space="preserve">Eurozone balance sheet </w:t>
      </w:r>
      <w:r w:rsidRPr="00491918">
        <w:rPr>
          <w:lang w:val="en-GB"/>
        </w:rPr>
        <w:t>redenomination risk</w:t>
      </w:r>
    </w:p>
    <w:p w:rsidR="000D1659" w:rsidRPr="00491918" w:rsidRDefault="000D1659" w:rsidP="000D1659">
      <w:pPr>
        <w:pStyle w:val="Level1Bullet-BarcRA2001"/>
      </w:pPr>
      <w:r w:rsidRPr="00491918">
        <w:rPr>
          <w:lang w:val="en-GB"/>
        </w:rPr>
        <w:t>Redenomination risk is the risk of financial loss to the Group should one or more countries exit the Euro, leading to the devaluation of local balance sheet assets and liabilities. The Group is directly exposed to redenomination risk where there is a mismatch between the level of locally denominated assets and liabilities</w:t>
      </w:r>
    </w:p>
    <w:p w:rsidR="000D1659" w:rsidRPr="00491918" w:rsidRDefault="000D1659" w:rsidP="000D1659">
      <w:pPr>
        <w:pStyle w:val="Level1Bullet-BarcRA2001"/>
      </w:pPr>
      <w:r w:rsidRPr="00491918">
        <w:t>Within Barclays, retail banking, corporate banking and wealth</w:t>
      </w:r>
      <w:r w:rsidRPr="00491918">
        <w:rPr>
          <w:lang w:val="en-GB"/>
        </w:rPr>
        <w:t xml:space="preserve"> management</w:t>
      </w:r>
      <w:r w:rsidRPr="00491918">
        <w:t xml:space="preserve"> activities in the Eurozone are generally booked locally within each country. Locally booked </w:t>
      </w:r>
      <w:r w:rsidRPr="00491918">
        <w:rPr>
          <w:lang w:val="en-GB"/>
        </w:rPr>
        <w:t xml:space="preserve">customer </w:t>
      </w:r>
      <w:r w:rsidRPr="00491918">
        <w:t>assets and liabilities</w:t>
      </w:r>
      <w:r w:rsidRPr="00491918">
        <w:rPr>
          <w:lang w:val="en-GB"/>
        </w:rPr>
        <w:t>, primarily loans and advances to customers and customer deposits,</w:t>
      </w:r>
      <w:r w:rsidRPr="00491918">
        <w:t xml:space="preserve"> are predominantly denominated in Euros. The </w:t>
      </w:r>
      <w:r w:rsidRPr="00491918">
        <w:rPr>
          <w:lang w:val="en-GB"/>
        </w:rPr>
        <w:t xml:space="preserve">remaining funding need </w:t>
      </w:r>
      <w:r w:rsidRPr="00491918">
        <w:t xml:space="preserve">is met through local funding secured against customer loans and advances, with any residual </w:t>
      </w:r>
      <w:r w:rsidRPr="00491918">
        <w:rPr>
          <w:lang w:val="en-GB"/>
        </w:rPr>
        <w:t>need</w:t>
      </w:r>
      <w:r w:rsidRPr="00491918">
        <w:t xml:space="preserve"> funded through the Group</w:t>
      </w:r>
    </w:p>
    <w:p w:rsidR="000D1659" w:rsidRPr="00491918" w:rsidRDefault="000D1659" w:rsidP="000D1659">
      <w:pPr>
        <w:pStyle w:val="Level1Bullet-BarcRA2001"/>
      </w:pPr>
      <w:r w:rsidRPr="00491918">
        <w:t>During H113, the net funding mismatch increased from €11.8bn to €13.6bn in Italy</w:t>
      </w:r>
      <w:r w:rsidRPr="00491918">
        <w:rPr>
          <w:lang w:val="en-GB"/>
        </w:rPr>
        <w:t xml:space="preserve"> and</w:t>
      </w:r>
      <w:r w:rsidRPr="00491918">
        <w:t xml:space="preserve"> from €4.1bn to €4.4bn in Portugal</w:t>
      </w:r>
      <w:r w:rsidRPr="00491918">
        <w:rPr>
          <w:lang w:val="en-GB"/>
        </w:rPr>
        <w:t>. The</w:t>
      </w:r>
      <w:r w:rsidRPr="00491918">
        <w:t xml:space="preserve"> surplus </w:t>
      </w:r>
      <w:r w:rsidRPr="00491918">
        <w:rPr>
          <w:lang w:val="en-GB"/>
        </w:rPr>
        <w:t xml:space="preserve">in Spain decreased from </w:t>
      </w:r>
      <w:r w:rsidRPr="00491918">
        <w:t>€2.3bn to €1.8bn. The</w:t>
      </w:r>
      <w:r w:rsidRPr="00491918">
        <w:rPr>
          <w:lang w:val="en-GB"/>
        </w:rPr>
        <w:t>se</w:t>
      </w:r>
      <w:r w:rsidRPr="00491918">
        <w:t xml:space="preserve"> increase</w:t>
      </w:r>
      <w:r w:rsidRPr="00491918">
        <w:rPr>
          <w:lang w:val="en-GB"/>
        </w:rPr>
        <w:t>s were</w:t>
      </w:r>
      <w:r w:rsidRPr="00491918">
        <w:t xml:space="preserve"> predominantly driven by a reduction in local liabilities, including the partial repayment of the European Central Bank’s 3 year LTRO in Portugal and Spain</w:t>
      </w:r>
    </w:p>
    <w:p w:rsidR="000D1659" w:rsidRPr="00491918" w:rsidRDefault="000D1659" w:rsidP="00EC729A">
      <w:pPr>
        <w:pStyle w:val="Level1Bullet-BarcRA20000"/>
        <w:numPr>
          <w:ilvl w:val="0"/>
          <w:numId w:val="210"/>
        </w:numPr>
      </w:pPr>
      <w:r w:rsidRPr="00491918">
        <w:t>Barclays</w:t>
      </w:r>
      <w:r w:rsidRPr="00491918">
        <w:rPr>
          <w:lang w:val="en-GB"/>
        </w:rPr>
        <w:t xml:space="preserve"> continues to</w:t>
      </w:r>
      <w:r w:rsidRPr="00491918">
        <w:t xml:space="preserve"> </w:t>
      </w:r>
      <w:r w:rsidRPr="00491918">
        <w:rPr>
          <w:lang w:val="en-GB"/>
        </w:rPr>
        <w:t xml:space="preserve">monitor </w:t>
      </w:r>
      <w:r w:rsidRPr="00491918">
        <w:t>the potential impact o</w:t>
      </w:r>
      <w:r w:rsidRPr="00491918">
        <w:rPr>
          <w:lang w:val="en-GB"/>
        </w:rPr>
        <w:t>f</w:t>
      </w:r>
      <w:r w:rsidRPr="00491918">
        <w:t xml:space="preserve"> the Eurozone </w:t>
      </w:r>
      <w:r w:rsidRPr="00491918">
        <w:rPr>
          <w:lang w:val="en-GB"/>
        </w:rPr>
        <w:t>volatility</w:t>
      </w:r>
      <w:r w:rsidRPr="00491918">
        <w:t xml:space="preserve"> on local </w:t>
      </w:r>
      <w:r w:rsidRPr="00491918">
        <w:rPr>
          <w:lang w:val="en-GB"/>
        </w:rPr>
        <w:t>balance sheet funding and will consider actions as appropriate to manage the risk</w:t>
      </w:r>
    </w:p>
    <w:p w:rsidR="000D1659" w:rsidRPr="00491918" w:rsidRDefault="000D1659" w:rsidP="000D1659">
      <w:pPr>
        <w:pStyle w:val="Level1Bullet-BarcRA2001"/>
      </w:pPr>
      <w:r w:rsidRPr="00491918">
        <w:t xml:space="preserve">Direct exposure to Greece is very small with negligible net funding required from Group. </w:t>
      </w:r>
      <w:r w:rsidRPr="00491918">
        <w:rPr>
          <w:lang w:val="en-GB"/>
        </w:rPr>
        <w:t>For Ireland t</w:t>
      </w:r>
      <w:r w:rsidRPr="00491918">
        <w:t>here is no local balance sheet funding requirement by the Group as total liabilities in this country exceed total assets</w:t>
      </w:r>
    </w:p>
    <w:p w:rsidR="000D1659" w:rsidRPr="00491918" w:rsidRDefault="000D1659">
      <w:pPr>
        <w:sectPr w:rsidR="000D1659" w:rsidRPr="00491918" w:rsidSect="00751636">
          <w:pgSz w:w="11905" w:h="16837"/>
          <w:pgMar w:top="851" w:right="1134" w:bottom="567" w:left="1134" w:header="851" w:footer="567" w:gutter="0"/>
          <w:cols w:space="708"/>
        </w:sectPr>
      </w:pPr>
    </w:p>
    <w:p w:rsidR="0007202F" w:rsidRPr="00491918" w:rsidRDefault="0007202F" w:rsidP="0007202F">
      <w:pPr>
        <w:pStyle w:val="HeadingLevel1-BarcRA45"/>
        <w:rPr>
          <w:lang w:val="en-GB"/>
        </w:rPr>
      </w:pPr>
      <w:r w:rsidRPr="00491918">
        <w:rPr>
          <w:lang w:val="en-GB"/>
        </w:rPr>
        <w:lastRenderedPageBreak/>
        <w:t xml:space="preserve">Market </w:t>
      </w:r>
      <w:r w:rsidRPr="00491918">
        <w:t>Risk</w:t>
      </w:r>
    </w:p>
    <w:p w:rsidR="000D1659" w:rsidRPr="00491918" w:rsidRDefault="000D1659" w:rsidP="008D6001">
      <w:pPr>
        <w:pStyle w:val="NoteandSourceText-BarcRA21"/>
        <w:numPr>
          <w:ilvl w:val="0"/>
          <w:numId w:val="0"/>
        </w:numPr>
        <w:tabs>
          <w:tab w:val="left" w:pos="0"/>
        </w:tabs>
        <w:jc w:val="left"/>
        <w:outlineLvl w:val="0"/>
        <w:rPr>
          <w:b/>
          <w:bCs/>
          <w:i w:val="0"/>
          <w:iCs w:val="0"/>
          <w:color w:val="000000"/>
          <w:sz w:val="20"/>
          <w:szCs w:val="20"/>
          <w:lang w:val="la-Latn"/>
        </w:rPr>
      </w:pPr>
      <w:r w:rsidRPr="00491918">
        <w:rPr>
          <w:b/>
          <w:bCs/>
          <w:i w:val="0"/>
          <w:iCs w:val="0"/>
          <w:color w:val="000000"/>
          <w:sz w:val="20"/>
          <w:szCs w:val="20"/>
          <w:lang w:val="la-Latn"/>
        </w:rPr>
        <w:t>Analysis of the Investment Bank’s market risk exposure</w:t>
      </w:r>
    </w:p>
    <w:p w:rsidR="000D1659" w:rsidRPr="00491918" w:rsidRDefault="000D1659" w:rsidP="000D1659">
      <w:pPr>
        <w:pStyle w:val="Level1Bullet-BarcRA410"/>
      </w:pPr>
      <w:r w:rsidRPr="00491918">
        <w:t>The Investment Bank</w:t>
      </w:r>
      <w:r w:rsidRPr="00491918">
        <w:rPr>
          <w:lang w:val="en-GB"/>
        </w:rPr>
        <w:t>’s</w:t>
      </w:r>
      <w:r w:rsidRPr="00491918">
        <w:t xml:space="preserve"> market risk positions are monitored, reported and challenged by </w:t>
      </w:r>
      <w:r w:rsidRPr="00491918">
        <w:rPr>
          <w:lang w:val="en-GB"/>
        </w:rPr>
        <w:t>an</w:t>
      </w:r>
      <w:r w:rsidRPr="00491918">
        <w:t xml:space="preserve"> independent Risk department</w:t>
      </w:r>
      <w:r w:rsidRPr="00491918">
        <w:rPr>
          <w:lang w:val="en-GB"/>
        </w:rPr>
        <w:t>. M</w:t>
      </w:r>
      <w:r w:rsidRPr="00491918">
        <w:t>easurement methodologies are continually monitored and scenarios used for stress tests are regularly reviewed to ensure that they remain appropriate</w:t>
      </w:r>
    </w:p>
    <w:p w:rsidR="000D1659" w:rsidRPr="00491918" w:rsidRDefault="000D1659" w:rsidP="000D1659">
      <w:pPr>
        <w:pStyle w:val="Level1Bullet-BarcRA410"/>
      </w:pPr>
      <w:r w:rsidRPr="00491918">
        <w:t>Daily Value at Risk (DVaR) is one of a range of</w:t>
      </w:r>
      <w:r w:rsidRPr="00491918">
        <w:rPr>
          <w:lang w:val="en-GB"/>
        </w:rPr>
        <w:t xml:space="preserve"> m</w:t>
      </w:r>
      <w:r w:rsidRPr="00491918">
        <w:t>arket risk metrics used</w:t>
      </w:r>
      <w:r w:rsidRPr="00491918">
        <w:rPr>
          <w:lang w:val="en-GB"/>
        </w:rPr>
        <w:t xml:space="preserve"> in</w:t>
      </w:r>
      <w:r w:rsidRPr="00491918">
        <w:rPr>
          <w:lang w:val="en-US"/>
        </w:rPr>
        <w:t xml:space="preserve"> the </w:t>
      </w:r>
      <w:r w:rsidRPr="00491918">
        <w:t>Investment Bank to measure and control</w:t>
      </w:r>
      <w:r w:rsidRPr="00491918">
        <w:rPr>
          <w:lang w:val="en-GB"/>
        </w:rPr>
        <w:t xml:space="preserve"> m</w:t>
      </w:r>
      <w:r w:rsidRPr="00491918">
        <w:t>arket risk. This measure is further supplemented with additional metrics used to manage the firm’s trading exposures such as stress testin</w:t>
      </w:r>
      <w:r w:rsidRPr="00491918">
        <w:rPr>
          <w:lang w:val="en-GB"/>
        </w:rPr>
        <w:t>g,</w:t>
      </w:r>
      <w:r w:rsidRPr="00491918">
        <w:t xml:space="preserve"> scenario analysi</w:t>
      </w:r>
      <w:r w:rsidRPr="00491918">
        <w:rPr>
          <w:lang w:val="en-GB"/>
        </w:rPr>
        <w:t>s and position limits</w:t>
      </w:r>
    </w:p>
    <w:p w:rsidR="000D1659" w:rsidRPr="00491918" w:rsidRDefault="000D1659" w:rsidP="000D1659">
      <w:pPr>
        <w:pStyle w:val="Level1Bullet-BarcRA410"/>
      </w:pPr>
      <w:r w:rsidRPr="00491918">
        <w:rPr>
          <w:lang w:val="en-US"/>
        </w:rPr>
        <w:t xml:space="preserve">The </w:t>
      </w:r>
      <w:r w:rsidRPr="00491918">
        <w:t xml:space="preserve">Investment Bank’s management DVaR is calculated at a 95% confidence level, assuming a one day holding period. The calculation is based on historical simulation of the most recent two years of data. </w:t>
      </w:r>
      <w:r w:rsidRPr="00491918">
        <w:rPr>
          <w:lang w:val="en-GB"/>
        </w:rPr>
        <w:t>This is calculated and reported internally on a daily basis</w:t>
      </w:r>
    </w:p>
    <w:p w:rsidR="000D1659" w:rsidRPr="00491918" w:rsidRDefault="000D1659" w:rsidP="000D1659">
      <w:pPr>
        <w:pStyle w:val="Level1Bullet-BarcRA410"/>
      </w:pPr>
      <w:r w:rsidRPr="00491918">
        <w:t>Total DVaR fell by 2</w:t>
      </w:r>
      <w:r w:rsidRPr="00491918">
        <w:rPr>
          <w:lang w:val="en-GB"/>
        </w:rPr>
        <w:t>6</w:t>
      </w:r>
      <w:r w:rsidRPr="00491918">
        <w:t>% to £31m since the same period in 2012 due to decrease</w:t>
      </w:r>
      <w:r w:rsidRPr="00491918">
        <w:rPr>
          <w:lang w:val="en-GB"/>
        </w:rPr>
        <w:t>s</w:t>
      </w:r>
      <w:r w:rsidRPr="00491918">
        <w:t xml:space="preserve"> in Foreign Exchange Risk (3</w:t>
      </w:r>
      <w:r w:rsidRPr="00491918">
        <w:rPr>
          <w:lang w:val="en-GB"/>
        </w:rPr>
        <w:t>3</w:t>
      </w:r>
      <w:r w:rsidRPr="00491918">
        <w:t>% decrease), Spread Risk (</w:t>
      </w:r>
      <w:r w:rsidRPr="00491918">
        <w:rPr>
          <w:lang w:val="en-GB"/>
        </w:rPr>
        <w:t>38</w:t>
      </w:r>
      <w:r w:rsidRPr="00491918">
        <w:t>% decrease) and Credit Risk (</w:t>
      </w:r>
      <w:r w:rsidRPr="00491918">
        <w:rPr>
          <w:lang w:val="en-GB"/>
        </w:rPr>
        <w:t>19</w:t>
      </w:r>
      <w:r w:rsidRPr="00491918">
        <w:t>% decrease)</w:t>
      </w:r>
    </w:p>
    <w:p w:rsidR="000D1659" w:rsidRPr="00491918" w:rsidRDefault="000D1659" w:rsidP="000D1659">
      <w:pPr>
        <w:pStyle w:val="Level1Bullet-BarcRA410"/>
      </w:pPr>
      <w:r w:rsidRPr="00491918">
        <w:t xml:space="preserve">The business remained well within the DVaR limits approved by the Barclays Board </w:t>
      </w:r>
      <w:r w:rsidRPr="00491918">
        <w:rPr>
          <w:lang w:val="en-GB"/>
        </w:rPr>
        <w:t xml:space="preserve">Financial </w:t>
      </w:r>
      <w:r w:rsidRPr="00491918">
        <w:t>Risk Committee throughout H113</w:t>
      </w:r>
    </w:p>
    <w:tbl>
      <w:tblPr>
        <w:tblW w:w="0" w:type="auto"/>
        <w:tblLayout w:type="fixed"/>
        <w:tblLook w:val="0000" w:firstRow="0" w:lastRow="0" w:firstColumn="0" w:lastColumn="0" w:noHBand="0" w:noVBand="0"/>
      </w:tblPr>
      <w:tblGrid>
        <w:gridCol w:w="1860"/>
        <w:gridCol w:w="825"/>
        <w:gridCol w:w="825"/>
        <w:gridCol w:w="825"/>
        <w:gridCol w:w="180"/>
        <w:gridCol w:w="825"/>
        <w:gridCol w:w="825"/>
        <w:gridCol w:w="825"/>
        <w:gridCol w:w="180"/>
        <w:gridCol w:w="810"/>
        <w:gridCol w:w="825"/>
        <w:gridCol w:w="825"/>
      </w:tblGrid>
      <w:tr w:rsidR="00E9782A" w:rsidRPr="00491918" w:rsidTr="00C80BB5">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color w:val="000000"/>
                <w:sz w:val="16"/>
              </w:rPr>
              <w:t xml:space="preserve"> </w:t>
            </w:r>
            <w:r w:rsidRPr="00491918">
              <w:rPr>
                <w:color w:val="000000"/>
                <w:sz w:val="16"/>
                <w:vertAlign w:val="superscript"/>
              </w:rPr>
              <w:t xml:space="preserve"> </w:t>
            </w:r>
          </w:p>
        </w:tc>
        <w:tc>
          <w:tcPr>
            <w:tcW w:w="2475"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vertAlign w:val="superscript"/>
              </w:rPr>
            </w:pPr>
            <w:r w:rsidRPr="00491918">
              <w:rPr>
                <w:b/>
                <w:color w:val="000000"/>
                <w:sz w:val="16"/>
              </w:rPr>
              <w:t>Half year ended 30.06.13</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2475"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Half year ended 31.12.12</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2460" w:type="dxa"/>
            <w:gridSpan w:val="3"/>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color w:val="000000"/>
                <w:sz w:val="16"/>
              </w:rPr>
            </w:pPr>
            <w:r w:rsidRPr="00491918">
              <w:rPr>
                <w:b/>
                <w:color w:val="000000"/>
                <w:sz w:val="16"/>
              </w:rPr>
              <w:t>Half year ended 30.06.12</w:t>
            </w:r>
            <w:r w:rsidRPr="00491918">
              <w:rPr>
                <w:b/>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DVaR (95%)</w:t>
            </w:r>
            <w:r w:rsidRPr="00491918">
              <w:rPr>
                <w:b/>
                <w:color w:val="000000"/>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Daily Avg</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High</w:t>
            </w:r>
            <w:r w:rsidRPr="00491918">
              <w:rPr>
                <w:b/>
                <w:color w:val="000000"/>
                <w:sz w:val="16"/>
                <w:vertAlign w:val="superscript"/>
              </w:rPr>
              <w:t>1 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Low</w:t>
            </w:r>
            <w:r w:rsidRPr="00491918">
              <w:rPr>
                <w:b/>
                <w:color w:val="000000"/>
                <w:sz w:val="16"/>
                <w:vertAlign w:val="superscript"/>
              </w:rPr>
              <w:t>1 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Daily Avg</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High</w:t>
            </w:r>
            <w:r w:rsidRPr="00491918">
              <w:rPr>
                <w:b/>
                <w:color w:val="000000"/>
                <w:sz w:val="16"/>
                <w:vertAlign w:val="superscript"/>
              </w:rPr>
              <w:t>1 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Low</w:t>
            </w:r>
            <w:r w:rsidRPr="00491918">
              <w:rPr>
                <w:b/>
                <w:color w:val="000000"/>
                <w:sz w:val="16"/>
                <w:vertAlign w:val="superscript"/>
              </w:rPr>
              <w:t>1 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Daily Avg</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High</w:t>
            </w:r>
            <w:r w:rsidRPr="00491918">
              <w:rPr>
                <w:b/>
                <w:color w:val="000000"/>
                <w:sz w:val="16"/>
                <w:vertAlign w:val="superscript"/>
              </w:rPr>
              <w:t>1 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Low</w:t>
            </w:r>
            <w:r w:rsidRPr="00491918">
              <w:rPr>
                <w:b/>
                <w:color w:val="000000"/>
                <w:sz w:val="16"/>
                <w:vertAlign w:val="superscript"/>
              </w:rPr>
              <w:t>1 </w:t>
            </w:r>
          </w:p>
        </w:tc>
      </w:tr>
      <w:tr w:rsidR="000D1659" w:rsidRPr="00491918">
        <w:trPr>
          <w:trHeight w:val="240"/>
        </w:trPr>
        <w:tc>
          <w:tcPr>
            <w:tcW w:w="18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£m</w:t>
            </w:r>
            <w:r w:rsidRPr="00491918">
              <w:rPr>
                <w:color w:val="000000"/>
                <w:sz w:val="16"/>
                <w:vertAlign w:val="superscript"/>
              </w:rPr>
              <w:t xml:space="preserve"> </w:t>
            </w:r>
          </w:p>
        </w:tc>
      </w:tr>
    </w:tbl>
    <w:p w:rsidR="00F92E6D" w:rsidRPr="00491918" w:rsidRDefault="00F92E6D"/>
    <w:tbl>
      <w:tblPr>
        <w:tblW w:w="0" w:type="auto"/>
        <w:tblLayout w:type="fixed"/>
        <w:tblLook w:val="0000" w:firstRow="0" w:lastRow="0" w:firstColumn="0" w:lastColumn="0" w:noHBand="0" w:noVBand="0"/>
      </w:tblPr>
      <w:tblGrid>
        <w:gridCol w:w="1860"/>
        <w:gridCol w:w="825"/>
        <w:gridCol w:w="825"/>
        <w:gridCol w:w="825"/>
        <w:gridCol w:w="180"/>
        <w:gridCol w:w="825"/>
        <w:gridCol w:w="825"/>
        <w:gridCol w:w="825"/>
        <w:gridCol w:w="180"/>
        <w:gridCol w:w="810"/>
        <w:gridCol w:w="825"/>
        <w:gridCol w:w="825"/>
      </w:tblGrid>
      <w:tr w:rsidR="000D1659" w:rsidRPr="00491918" w:rsidTr="00F92E6D">
        <w:trPr>
          <w:trHeight w:val="240"/>
        </w:trPr>
        <w:tc>
          <w:tcPr>
            <w:tcW w:w="186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Interest rate risk</w:t>
            </w:r>
            <w:r w:rsidRPr="00491918">
              <w:rPr>
                <w:color w:val="000000"/>
                <w:sz w:val="16"/>
                <w:vertAlign w:val="superscript"/>
              </w:rPr>
              <w:t xml:space="preserve"> </w:t>
            </w:r>
          </w:p>
        </w:tc>
        <w:tc>
          <w:tcPr>
            <w:tcW w:w="8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14 </w:t>
            </w:r>
          </w:p>
        </w:tc>
        <w:tc>
          <w:tcPr>
            <w:tcW w:w="8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24 </w:t>
            </w:r>
            <w:r w:rsidRPr="00491918">
              <w:rPr>
                <w:color w:val="000000"/>
                <w:sz w:val="16"/>
                <w:vertAlign w:val="superscript"/>
              </w:rPr>
              <w:t xml:space="preserve"> </w:t>
            </w:r>
          </w:p>
        </w:tc>
        <w:tc>
          <w:tcPr>
            <w:tcW w:w="8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6 </w:t>
            </w:r>
            <w:r w:rsidRPr="00491918">
              <w:rPr>
                <w:color w:val="000000"/>
                <w:sz w:val="16"/>
                <w:vertAlign w:val="superscript"/>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15 </w:t>
            </w:r>
          </w:p>
        </w:tc>
        <w:tc>
          <w:tcPr>
            <w:tcW w:w="8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23 </w:t>
            </w:r>
            <w:r w:rsidRPr="00491918">
              <w:rPr>
                <w:color w:val="000000"/>
                <w:sz w:val="16"/>
                <w:vertAlign w:val="superscript"/>
              </w:rPr>
              <w:t xml:space="preserve"> </w:t>
            </w:r>
          </w:p>
        </w:tc>
        <w:tc>
          <w:tcPr>
            <w:tcW w:w="8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8 </w:t>
            </w:r>
            <w:r w:rsidRPr="00491918">
              <w:rPr>
                <w:color w:val="000000"/>
                <w:sz w:val="16"/>
                <w:vertAlign w:val="superscript"/>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13 </w:t>
            </w:r>
          </w:p>
        </w:tc>
        <w:tc>
          <w:tcPr>
            <w:tcW w:w="8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22 </w:t>
            </w:r>
            <w:r w:rsidRPr="00491918">
              <w:rPr>
                <w:color w:val="000000"/>
                <w:sz w:val="16"/>
                <w:vertAlign w:val="superscript"/>
              </w:rPr>
              <w:t xml:space="preserve"> </w:t>
            </w:r>
          </w:p>
        </w:tc>
        <w:tc>
          <w:tcPr>
            <w:tcW w:w="8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7 </w:t>
            </w:r>
            <w:r w:rsidRPr="00491918">
              <w:rPr>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Credit risk</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21 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25 </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17 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33 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18 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20 </w:t>
            </w:r>
            <w:r w:rsidRPr="00491918">
              <w:rPr>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Basis risk</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13 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17 </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5 </w:t>
            </w:r>
            <w:r w:rsidRPr="00491918">
              <w:rPr>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Inflation risk</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8 </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2 </w:t>
            </w:r>
            <w:r w:rsidRPr="00491918">
              <w:rPr>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Spread risk</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15 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21 </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7 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17 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20 </w:t>
            </w:r>
            <w:r w:rsidRPr="00491918">
              <w:rPr>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Commodity risk</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8 </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4 </w:t>
            </w:r>
            <w:r w:rsidRPr="00491918">
              <w:rPr>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Equity risk</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10 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21 </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19 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17 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6 </w:t>
            </w:r>
            <w:r w:rsidRPr="00491918">
              <w:rPr>
                <w:color w:val="000000"/>
                <w:sz w:val="16"/>
                <w:vertAlign w:val="superscript"/>
              </w:rPr>
              <w:t xml:space="preserve"> </w:t>
            </w:r>
          </w:p>
        </w:tc>
      </w:tr>
      <w:tr w:rsidR="000D1659" w:rsidRPr="00491918">
        <w:trPr>
          <w:trHeight w:val="240"/>
        </w:trPr>
        <w:tc>
          <w:tcPr>
            <w:tcW w:w="18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Foreign exchange risk</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4 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7 </w:t>
            </w:r>
            <w:r w:rsidRPr="00491918">
              <w:rPr>
                <w:color w:val="000000"/>
                <w:sz w:val="16"/>
                <w:vertAlign w:val="superscript"/>
              </w:rPr>
              <w:t xml:space="preserve"> </w:t>
            </w:r>
          </w:p>
        </w:tc>
        <w:tc>
          <w:tcPr>
            <w:tcW w:w="8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2 </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10 </w:t>
            </w:r>
            <w:r w:rsidRPr="00491918">
              <w:rPr>
                <w:color w:val="000000"/>
                <w:sz w:val="16"/>
                <w:vertAlign w:val="superscript"/>
              </w:rPr>
              <w:t xml:space="preserve"> </w:t>
            </w:r>
          </w:p>
        </w:tc>
        <w:tc>
          <w:tcPr>
            <w:tcW w:w="8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3 </w:t>
            </w:r>
            <w:r w:rsidRPr="00491918">
              <w:rPr>
                <w:color w:val="000000"/>
                <w:sz w:val="16"/>
                <w:vertAlign w:val="superscript"/>
              </w:rPr>
              <w:t xml:space="preserve"> </w:t>
            </w:r>
          </w:p>
        </w:tc>
      </w:tr>
      <w:tr w:rsidR="000D1659" w:rsidRPr="00491918">
        <w:trPr>
          <w:trHeight w:val="240"/>
        </w:trPr>
        <w:tc>
          <w:tcPr>
            <w:tcW w:w="18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Diversification effect</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(55)</w:t>
            </w:r>
          </w:p>
        </w:tc>
        <w:tc>
          <w:tcPr>
            <w:tcW w:w="8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na</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na</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(66)</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na</w:t>
            </w:r>
            <w:r w:rsidRPr="00491918">
              <w:rPr>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na</w:t>
            </w:r>
            <w:r w:rsidRPr="00491918">
              <w:rPr>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na</w:t>
            </w:r>
            <w:r w:rsidRPr="00491918">
              <w:rPr>
                <w:color w:val="000000"/>
                <w:sz w:val="16"/>
                <w:vertAlign w:val="superscript"/>
              </w:rPr>
              <w:t xml:space="preserve"> </w:t>
            </w:r>
          </w:p>
        </w:tc>
      </w:tr>
      <w:tr w:rsidR="000D1659" w:rsidRPr="00491918">
        <w:trPr>
          <w:trHeight w:val="240"/>
        </w:trPr>
        <w:tc>
          <w:tcPr>
            <w:tcW w:w="18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b/>
                <w:color w:val="000000"/>
                <w:sz w:val="16"/>
              </w:rPr>
              <w:t>Total DVaR</w:t>
            </w:r>
            <w:r w:rsidRPr="00491918">
              <w:rPr>
                <w:b/>
                <w:color w:val="000000"/>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31 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39 </w:t>
            </w:r>
            <w:r w:rsidRPr="00491918">
              <w:rPr>
                <w:b/>
                <w:color w:val="000000"/>
                <w:sz w:val="16"/>
                <w:vertAlign w:val="superscript"/>
              </w:rPr>
              <w:t xml:space="preserve"> </w:t>
            </w:r>
          </w:p>
        </w:tc>
        <w:tc>
          <w:tcPr>
            <w:tcW w:w="8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23 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34 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42 </w:t>
            </w:r>
            <w:r w:rsidRPr="00491918">
              <w:rPr>
                <w:b/>
                <w:color w:val="000000"/>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27 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81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42 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75 </w:t>
            </w:r>
            <w:r w:rsidRPr="00491918">
              <w:rPr>
                <w:b/>
                <w:color w:val="000000"/>
                <w:sz w:val="16"/>
                <w:vertAlign w:val="superscript"/>
              </w:rPr>
              <w:t xml:space="preserve"> </w:t>
            </w:r>
          </w:p>
        </w:tc>
        <w:tc>
          <w:tcPr>
            <w:tcW w:w="8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29 </w:t>
            </w:r>
            <w:r w:rsidRPr="00491918">
              <w:rPr>
                <w:b/>
                <w:color w:val="000000"/>
                <w:sz w:val="16"/>
                <w:vertAlign w:val="superscript"/>
              </w:rPr>
              <w:t xml:space="preserve"> </w:t>
            </w:r>
          </w:p>
        </w:tc>
      </w:tr>
      <w:tr w:rsidR="000D1659" w:rsidRPr="00491918" w:rsidTr="00C10958">
        <w:trPr>
          <w:trHeight w:hRule="exact" w:val="70"/>
        </w:trPr>
        <w:tc>
          <w:tcPr>
            <w:tcW w:w="18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81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bl>
    <w:p w:rsidR="000D1659" w:rsidRPr="00491918" w:rsidRDefault="000D1659"/>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C80BB5" w:rsidRPr="00491918" w:rsidRDefault="00C80BB5" w:rsidP="000D1659">
      <w:pPr>
        <w:pStyle w:val="NoteSourceText-BarcRA11"/>
      </w:pPr>
    </w:p>
    <w:p w:rsidR="00C80BB5" w:rsidRPr="00491918" w:rsidRDefault="00C80BB5" w:rsidP="000D1659">
      <w:pPr>
        <w:pStyle w:val="NoteSourceText-BarcRA11"/>
      </w:pPr>
    </w:p>
    <w:p w:rsidR="00C80BB5" w:rsidRPr="00491918" w:rsidRDefault="00C80BB5" w:rsidP="000D1659">
      <w:pPr>
        <w:pStyle w:val="NoteSourceText-BarcRA11"/>
      </w:pPr>
    </w:p>
    <w:p w:rsidR="00C80BB5" w:rsidRPr="00491918" w:rsidRDefault="00C80BB5" w:rsidP="000D1659">
      <w:pPr>
        <w:pStyle w:val="NoteSourceText-BarcRA11"/>
      </w:pPr>
    </w:p>
    <w:p w:rsidR="00C80BB5" w:rsidRPr="00491918" w:rsidRDefault="00C80BB5" w:rsidP="000D1659">
      <w:pPr>
        <w:pStyle w:val="NoteSourceText-BarcRA11"/>
      </w:pPr>
    </w:p>
    <w:p w:rsidR="00C80BB5" w:rsidRPr="00491918" w:rsidRDefault="00C80BB5" w:rsidP="000D1659">
      <w:pPr>
        <w:pStyle w:val="NoteSourceText-BarcRA11"/>
      </w:pPr>
    </w:p>
    <w:p w:rsidR="00C80BB5" w:rsidRPr="00491918" w:rsidRDefault="00C80BB5" w:rsidP="000D1659">
      <w:pPr>
        <w:pStyle w:val="NoteSourceText-BarcRA11"/>
      </w:pPr>
    </w:p>
    <w:p w:rsidR="00C80BB5" w:rsidRPr="00491918" w:rsidRDefault="00C80BB5"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p>
    <w:p w:rsidR="000D1659" w:rsidRPr="00491918" w:rsidRDefault="000D1659" w:rsidP="000D1659">
      <w:pPr>
        <w:pStyle w:val="NoteSourceText-BarcRA11"/>
      </w:pPr>
      <w:r w:rsidRPr="00491918">
        <w:t>1</w:t>
      </w:r>
      <w:r w:rsidRPr="00491918">
        <w:tab/>
        <w:t>The high and low DVaR figures reported for each category did not necessarily occur on the same day as the high and low DVaR reported as a whole. Consequently a diversification effect balance for the high and low DVaR figures would not be meaningful and is therefore omitted from the above table.</w:t>
      </w:r>
    </w:p>
    <w:p w:rsidR="000D1659" w:rsidRPr="00491918" w:rsidRDefault="000D1659"/>
    <w:p w:rsidR="0007202F" w:rsidRPr="00491918" w:rsidRDefault="0007202F"/>
    <w:p w:rsidR="0007202F" w:rsidRPr="00491918" w:rsidRDefault="0007202F"/>
    <w:p w:rsidR="0007202F" w:rsidRPr="00491918" w:rsidRDefault="0007202F"/>
    <w:p w:rsidR="0007202F" w:rsidRPr="00491918" w:rsidRDefault="0007202F">
      <w:pPr>
        <w:sectPr w:rsidR="0007202F" w:rsidRPr="00491918" w:rsidSect="00751636">
          <w:headerReference w:type="default" r:id="rId28"/>
          <w:pgSz w:w="11905" w:h="16837"/>
          <w:pgMar w:top="851" w:right="1134" w:bottom="567" w:left="1134" w:header="851" w:footer="567" w:gutter="0"/>
          <w:cols w:space="708"/>
        </w:sectPr>
      </w:pPr>
    </w:p>
    <w:p w:rsidR="0007202F" w:rsidRPr="00491918" w:rsidRDefault="0007202F" w:rsidP="0007202F">
      <w:pPr>
        <w:pStyle w:val="HeadingLevel1-BarcRA47"/>
        <w:rPr>
          <w:lang w:val="en-GB"/>
        </w:rPr>
      </w:pPr>
      <w:r w:rsidRPr="00491918">
        <w:lastRenderedPageBreak/>
        <w:t xml:space="preserve">Statement of </w:t>
      </w:r>
      <w:r w:rsidRPr="00491918">
        <w:rPr>
          <w:lang w:val="en-GB"/>
        </w:rPr>
        <w:t>D</w:t>
      </w:r>
      <w:r w:rsidRPr="00491918">
        <w:t>irectors</w:t>
      </w:r>
      <w:r w:rsidRPr="00491918">
        <w:rPr>
          <w:lang w:val="en-GB"/>
        </w:rPr>
        <w:t>’</w:t>
      </w:r>
      <w:r w:rsidRPr="00491918">
        <w:t xml:space="preserve"> </w:t>
      </w:r>
      <w:r w:rsidRPr="00491918">
        <w:rPr>
          <w:lang w:val="en-GB"/>
        </w:rPr>
        <w:t>R</w:t>
      </w:r>
      <w:r w:rsidRPr="00491918">
        <w:t>esponsibilities</w:t>
      </w:r>
    </w:p>
    <w:p w:rsidR="0007202F" w:rsidRPr="00491918" w:rsidRDefault="0007202F" w:rsidP="000D1659">
      <w:pPr>
        <w:pStyle w:val="BodyText-BarcRA74"/>
      </w:pPr>
    </w:p>
    <w:p w:rsidR="000D1659" w:rsidRPr="00491918" w:rsidRDefault="000D1659" w:rsidP="000D1659">
      <w:pPr>
        <w:pStyle w:val="BodyText-BarcRA74"/>
      </w:pPr>
      <w:r w:rsidRPr="00491918">
        <w:t xml:space="preserve">The Directors confirm to the best of their knowledge that the condensed consolidated interim financial statements set out on pages </w:t>
      </w:r>
      <w:r w:rsidR="001E7AF6" w:rsidRPr="00491918">
        <w:t>11</w:t>
      </w:r>
      <w:r w:rsidRPr="00491918">
        <w:t xml:space="preserve"> to </w:t>
      </w:r>
      <w:r w:rsidR="001E7AF6" w:rsidRPr="00491918">
        <w:t>15</w:t>
      </w:r>
      <w:r w:rsidRPr="00491918">
        <w:t xml:space="preserve"> and </w:t>
      </w:r>
      <w:r w:rsidR="001E7AF6" w:rsidRPr="00491918">
        <w:t>97</w:t>
      </w:r>
      <w:r w:rsidRPr="00491918">
        <w:t xml:space="preserve"> to </w:t>
      </w:r>
      <w:r w:rsidR="001E7AF6" w:rsidRPr="00491918">
        <w:t>130</w:t>
      </w:r>
      <w:r w:rsidRPr="00491918">
        <w:t xml:space="preserve"> have been prepared in accordance with International Accounting Standard 34, ‘Interim Financial Reporting’, as adopted by the European Union, and that the interim management report herein includes a fair review of the information required by Disclosure and Transparency Rules 4.2.7 and 4.2.8 namely:</w:t>
      </w:r>
    </w:p>
    <w:p w:rsidR="000D1659" w:rsidRPr="00491918" w:rsidRDefault="000D1659" w:rsidP="000D1659">
      <w:pPr>
        <w:pStyle w:val="Level1Bullet-BarcRA42"/>
      </w:pPr>
      <w:r w:rsidRPr="00491918">
        <w:rPr>
          <w:lang w:val="en-GB"/>
        </w:rPr>
        <w:t>A</w:t>
      </w:r>
      <w:r w:rsidRPr="00491918">
        <w:t>n indication of important events that have occurred during the six months ended 30 June 201</w:t>
      </w:r>
      <w:r w:rsidRPr="00491918">
        <w:rPr>
          <w:lang w:val="en-GB"/>
        </w:rPr>
        <w:t>3</w:t>
      </w:r>
      <w:r w:rsidRPr="00491918">
        <w:t xml:space="preserve"> and their</w:t>
      </w:r>
      <w:r w:rsidRPr="00491918">
        <w:rPr>
          <w:lang w:val="en-GB"/>
        </w:rPr>
        <w:t xml:space="preserve"> </w:t>
      </w:r>
      <w:r w:rsidRPr="00491918">
        <w:t>impact on the condensed consolidated interim financial statements, and a description of the principal risks and</w:t>
      </w:r>
      <w:r w:rsidRPr="00491918">
        <w:rPr>
          <w:lang w:val="en-GB"/>
        </w:rPr>
        <w:t xml:space="preserve"> </w:t>
      </w:r>
      <w:r w:rsidRPr="00491918">
        <w:t>uncertainties for the remaining six months of the financial year</w:t>
      </w:r>
    </w:p>
    <w:p w:rsidR="000D1659" w:rsidRPr="00491918" w:rsidRDefault="000D1659" w:rsidP="000D1659">
      <w:pPr>
        <w:pStyle w:val="Level1Bullet-BarcRA42"/>
      </w:pPr>
      <w:r w:rsidRPr="00491918">
        <w:rPr>
          <w:lang w:val="en-GB"/>
        </w:rPr>
        <w:t>M</w:t>
      </w:r>
      <w:r w:rsidRPr="00491918">
        <w:t>aterial related party transactions in the six months ended 30 June 201</w:t>
      </w:r>
      <w:r w:rsidRPr="00491918">
        <w:rPr>
          <w:lang w:val="en-GB"/>
        </w:rPr>
        <w:t>3</w:t>
      </w:r>
      <w:r w:rsidRPr="00491918">
        <w:t xml:space="preserve"> and any material changes in the</w:t>
      </w:r>
      <w:r w:rsidRPr="00491918">
        <w:rPr>
          <w:lang w:val="en-GB"/>
        </w:rPr>
        <w:t xml:space="preserve"> </w:t>
      </w:r>
      <w:r w:rsidRPr="00491918">
        <w:t>related party transactions described in the last Annual Report</w:t>
      </w:r>
    </w:p>
    <w:p w:rsidR="000D1659" w:rsidRPr="00491918" w:rsidRDefault="000D1659" w:rsidP="000D1659">
      <w:pPr>
        <w:pStyle w:val="BodyText-BarcRA74"/>
      </w:pPr>
      <w:r w:rsidRPr="00491918">
        <w:t>On behalf of the Board</w:t>
      </w:r>
    </w:p>
    <w:p w:rsidR="000D1659" w:rsidRPr="00491918" w:rsidRDefault="000D1659" w:rsidP="000D1659">
      <w:pPr>
        <w:pStyle w:val="BodyText-BarcRA74"/>
      </w:pPr>
    </w:p>
    <w:p w:rsidR="000D1659" w:rsidRPr="00491918" w:rsidRDefault="000D1659" w:rsidP="000D1659">
      <w:pPr>
        <w:pStyle w:val="BodyText-BarcRA74"/>
      </w:pPr>
    </w:p>
    <w:p w:rsidR="000D1659" w:rsidRPr="00491918" w:rsidRDefault="000D1659" w:rsidP="000D1659">
      <w:pPr>
        <w:pStyle w:val="BodyText-BarcRA74"/>
      </w:pPr>
    </w:p>
    <w:p w:rsidR="000D1659" w:rsidRPr="00491918" w:rsidRDefault="000D1659" w:rsidP="000D1659">
      <w:pPr>
        <w:pStyle w:val="BodyText-BarcRA74"/>
      </w:pPr>
    </w:p>
    <w:p w:rsidR="000D1659" w:rsidRPr="00491918" w:rsidRDefault="000D1659" w:rsidP="000D1659">
      <w:pPr>
        <w:pStyle w:val="BodyText-BarcRA74"/>
      </w:pPr>
    </w:p>
    <w:p w:rsidR="000D1659" w:rsidRPr="00491918" w:rsidRDefault="000D1659" w:rsidP="000D1659">
      <w:pPr>
        <w:pStyle w:val="BodyText-BarcRA74"/>
      </w:pPr>
    </w:p>
    <w:p w:rsidR="000D1659" w:rsidRPr="00491918" w:rsidRDefault="000D1659" w:rsidP="000D1659">
      <w:pPr>
        <w:pStyle w:val="BodyText-BarcRA74"/>
      </w:pPr>
    </w:p>
    <w:p w:rsidR="000D1659" w:rsidRPr="00491918" w:rsidRDefault="000D1659" w:rsidP="000D1659">
      <w:pPr>
        <w:pStyle w:val="BodyText-BarcRA74"/>
        <w:rPr>
          <w:b/>
        </w:rPr>
      </w:pPr>
      <w:r w:rsidRPr="00491918">
        <w:rPr>
          <w:b/>
        </w:rPr>
        <w:t xml:space="preserve">Antony Jenkins </w:t>
      </w:r>
      <w:r w:rsidRPr="00491918">
        <w:rPr>
          <w:b/>
        </w:rPr>
        <w:tab/>
      </w:r>
      <w:r w:rsidRPr="00491918">
        <w:rPr>
          <w:b/>
        </w:rPr>
        <w:tab/>
      </w:r>
      <w:r w:rsidRPr="00491918">
        <w:rPr>
          <w:b/>
        </w:rPr>
        <w:tab/>
      </w:r>
      <w:r w:rsidRPr="00491918">
        <w:rPr>
          <w:b/>
        </w:rPr>
        <w:tab/>
      </w:r>
      <w:r w:rsidRPr="00491918">
        <w:rPr>
          <w:b/>
        </w:rPr>
        <w:tab/>
      </w:r>
      <w:r w:rsidR="00C80BB5" w:rsidRPr="00491918">
        <w:rPr>
          <w:b/>
        </w:rPr>
        <w:tab/>
      </w:r>
      <w:r w:rsidRPr="00491918">
        <w:rPr>
          <w:b/>
        </w:rPr>
        <w:tab/>
        <w:t>Chris Lucas</w:t>
      </w:r>
    </w:p>
    <w:p w:rsidR="000D1659" w:rsidRPr="00491918" w:rsidRDefault="000D1659" w:rsidP="000D1659">
      <w:pPr>
        <w:pStyle w:val="BodyText-BarcRA74"/>
      </w:pPr>
      <w:r w:rsidRPr="00491918">
        <w:t>Group Chief Executive</w:t>
      </w:r>
      <w:r w:rsidRPr="00491918">
        <w:tab/>
      </w:r>
      <w:r w:rsidRPr="00491918">
        <w:tab/>
      </w:r>
      <w:r w:rsidRPr="00491918">
        <w:tab/>
      </w:r>
      <w:r w:rsidRPr="00491918">
        <w:tab/>
      </w:r>
      <w:r w:rsidRPr="00491918">
        <w:tab/>
      </w:r>
      <w:r w:rsidRPr="00491918">
        <w:tab/>
        <w:t>Group Finance Director</w:t>
      </w:r>
    </w:p>
    <w:p w:rsidR="000D1659" w:rsidRPr="00491918" w:rsidRDefault="000D1659">
      <w:pPr>
        <w:sectPr w:rsidR="000D1659" w:rsidRPr="00491918" w:rsidSect="00751636">
          <w:headerReference w:type="default" r:id="rId29"/>
          <w:pgSz w:w="11905" w:h="16837"/>
          <w:pgMar w:top="851" w:right="1134" w:bottom="567" w:left="1134" w:header="851" w:footer="567" w:gutter="0"/>
          <w:cols w:space="708"/>
        </w:sectPr>
      </w:pPr>
    </w:p>
    <w:p w:rsidR="0007202F" w:rsidRPr="00491918" w:rsidRDefault="0007202F" w:rsidP="0007202F">
      <w:pPr>
        <w:pStyle w:val="HeadingLevel1-BarcRA49"/>
        <w:rPr>
          <w:lang w:val="en-GB"/>
        </w:rPr>
      </w:pPr>
      <w:r w:rsidRPr="00491918">
        <w:rPr>
          <w:lang w:val="en-GB"/>
        </w:rPr>
        <w:lastRenderedPageBreak/>
        <w:t>Independent Auditors’ Review Report to Barclays PLC</w:t>
      </w:r>
    </w:p>
    <w:p w:rsidR="000D1659" w:rsidRPr="00491918" w:rsidRDefault="000D1659" w:rsidP="008D6001">
      <w:pPr>
        <w:pStyle w:val="Normal104"/>
        <w:jc w:val="both"/>
        <w:outlineLvl w:val="0"/>
        <w:rPr>
          <w:b/>
          <w:bCs/>
        </w:rPr>
      </w:pPr>
      <w:r w:rsidRPr="00491918">
        <w:rPr>
          <w:b/>
          <w:bCs/>
        </w:rPr>
        <w:t>Introduction</w:t>
      </w:r>
    </w:p>
    <w:p w:rsidR="000D1659" w:rsidRPr="00491918" w:rsidRDefault="000D1659" w:rsidP="000D1659">
      <w:pPr>
        <w:pStyle w:val="Normal104"/>
        <w:jc w:val="both"/>
      </w:pPr>
    </w:p>
    <w:p w:rsidR="005921C2" w:rsidRPr="00491918" w:rsidRDefault="005921C2" w:rsidP="00DF44D1">
      <w:pPr>
        <w:jc w:val="both"/>
        <w:rPr>
          <w:rFonts w:eastAsia="Times New Roman" w:cs="Times New Roman"/>
          <w:sz w:val="18"/>
          <w:lang w:val="en-GB"/>
        </w:rPr>
      </w:pPr>
      <w:r w:rsidRPr="00491918">
        <w:rPr>
          <w:rFonts w:eastAsia="Times New Roman" w:cs="Times New Roman"/>
          <w:sz w:val="18"/>
          <w:lang w:val="en-GB"/>
        </w:rPr>
        <w:t>We have been engaged by Barclays PLC to review the condensed set of consolidated interim financial statements in the interim results announcement for the six months ended 30 June 2013, which comprises the Condensed Consolidated Income Statement, Condensed Consolidated Statement of Profit or Loss and other Comprehensive Income, Condensed Consolidated Balance Sheet, Condensed Consolidated Statement of Changes in Equity, Condensed Consolidated Cash Flow Statement and related notes. We have read the other information contained in the interim results announcement and considered whether it contains any apparent misstatements or material inconsistencies with the information in the condensed consolidated interim financial statements.</w:t>
      </w:r>
    </w:p>
    <w:p w:rsidR="000D1659" w:rsidRPr="00491918" w:rsidRDefault="000D1659" w:rsidP="00DF44D1">
      <w:pPr>
        <w:pStyle w:val="Normal104"/>
        <w:jc w:val="both"/>
      </w:pPr>
    </w:p>
    <w:p w:rsidR="000D1659" w:rsidRPr="00491918" w:rsidRDefault="000D1659" w:rsidP="008D6001">
      <w:pPr>
        <w:pStyle w:val="Normal104"/>
        <w:jc w:val="both"/>
        <w:outlineLvl w:val="0"/>
        <w:rPr>
          <w:b/>
          <w:bCs/>
          <w:sz w:val="20"/>
          <w:vertAlign w:val="superscript"/>
        </w:rPr>
      </w:pPr>
      <w:r w:rsidRPr="00491918">
        <w:rPr>
          <w:b/>
          <w:bCs/>
        </w:rPr>
        <w:t>Directors’ responsibilities</w:t>
      </w:r>
      <w:r w:rsidRPr="00491918">
        <w:rPr>
          <w:b/>
          <w:bCs/>
          <w:vertAlign w:val="superscript"/>
        </w:rPr>
        <w:t>1,2</w:t>
      </w:r>
    </w:p>
    <w:p w:rsidR="000D1659" w:rsidRPr="00491918" w:rsidRDefault="000D1659" w:rsidP="00DF44D1">
      <w:pPr>
        <w:pStyle w:val="Normal104"/>
        <w:jc w:val="both"/>
      </w:pPr>
    </w:p>
    <w:p w:rsidR="005921C2" w:rsidRPr="00491918" w:rsidRDefault="005921C2" w:rsidP="00DF44D1">
      <w:pPr>
        <w:pStyle w:val="Normal104"/>
        <w:jc w:val="both"/>
      </w:pPr>
      <w:r w:rsidRPr="00491918">
        <w:t>The interim results announcement is the responsibility of, and has been approved by, the Directors. The Directors are responsible for preparing the interim results announcement in accordance with the Disclosure and Transparency Rules of the United Kingdom's Financial Conduct Authority.</w:t>
      </w:r>
    </w:p>
    <w:p w:rsidR="005921C2" w:rsidRPr="00491918" w:rsidRDefault="005921C2" w:rsidP="00DF44D1">
      <w:pPr>
        <w:pStyle w:val="Normal104"/>
        <w:jc w:val="both"/>
      </w:pPr>
    </w:p>
    <w:p w:rsidR="005921C2" w:rsidRPr="00491918" w:rsidRDefault="005921C2" w:rsidP="00DF44D1">
      <w:pPr>
        <w:jc w:val="both"/>
        <w:rPr>
          <w:rFonts w:eastAsia="Times New Roman" w:cs="Times New Roman"/>
          <w:sz w:val="18"/>
          <w:lang w:val="en-GB"/>
        </w:rPr>
      </w:pPr>
      <w:r w:rsidRPr="00491918">
        <w:rPr>
          <w:rFonts w:eastAsia="Times New Roman" w:cs="Times New Roman"/>
          <w:sz w:val="18"/>
          <w:lang w:val="en-GB"/>
        </w:rPr>
        <w:t>As disclosed in the ‘ Accounting Policies’ section, the annual financial statements of the Group are prepared in accordance with IFRSs as adopted by the European Union. The condensed consolidated interim financial statements included in this interim results announcement has been prepared in accordance with International Accounting Standard 34, "Interim Financial Reporting", as adopted by the European Union.</w:t>
      </w:r>
    </w:p>
    <w:p w:rsidR="005921C2" w:rsidRPr="00491918" w:rsidRDefault="005921C2" w:rsidP="00DF44D1">
      <w:pPr>
        <w:jc w:val="both"/>
        <w:rPr>
          <w:rFonts w:eastAsia="Times New Roman" w:cs="Times New Roman"/>
          <w:sz w:val="18"/>
          <w:lang w:val="en-GB"/>
        </w:rPr>
      </w:pPr>
    </w:p>
    <w:p w:rsidR="000D1659" w:rsidRPr="00491918" w:rsidRDefault="000D1659" w:rsidP="008D6001">
      <w:pPr>
        <w:pStyle w:val="Normal104"/>
        <w:jc w:val="both"/>
        <w:outlineLvl w:val="0"/>
        <w:rPr>
          <w:b/>
          <w:bCs/>
        </w:rPr>
      </w:pPr>
      <w:r w:rsidRPr="00491918">
        <w:rPr>
          <w:b/>
          <w:bCs/>
        </w:rPr>
        <w:t>Our responsibility</w:t>
      </w:r>
    </w:p>
    <w:p w:rsidR="000D1659" w:rsidRPr="00491918" w:rsidRDefault="000D1659" w:rsidP="00DF44D1">
      <w:pPr>
        <w:pStyle w:val="Normal104"/>
        <w:jc w:val="both"/>
      </w:pPr>
    </w:p>
    <w:p w:rsidR="005921C2" w:rsidRPr="00491918" w:rsidRDefault="005921C2" w:rsidP="00DF44D1">
      <w:pPr>
        <w:jc w:val="both"/>
        <w:rPr>
          <w:rFonts w:eastAsia="Times New Roman" w:cs="Times New Roman"/>
          <w:sz w:val="18"/>
          <w:lang w:val="en-GB"/>
        </w:rPr>
      </w:pPr>
      <w:r w:rsidRPr="00491918">
        <w:rPr>
          <w:rFonts w:eastAsia="Times New Roman" w:cs="Times New Roman"/>
          <w:sz w:val="18"/>
          <w:lang w:val="en-GB"/>
        </w:rPr>
        <w:t>Our responsibility is to express to the company a conclusion on the condensed consolidated interim financial statements in the interim results announcement based on our review. This report, including the conclusion, has been prepared for and only for the company for the purpose of the Disclosure and Transparency Rules of the Financial Conduct Authority and for no other purpose. We do not, in producing this report, accept or assume responsibility for any other purpose or to any other person to whom this report is shown or into whose hands it may come save where expressly agreed by our prior consent in writing.</w:t>
      </w:r>
    </w:p>
    <w:p w:rsidR="000D1659" w:rsidRPr="00491918" w:rsidRDefault="000D1659" w:rsidP="00DF44D1">
      <w:pPr>
        <w:pStyle w:val="Normal104"/>
        <w:jc w:val="both"/>
      </w:pPr>
    </w:p>
    <w:p w:rsidR="000D1659" w:rsidRPr="00491918" w:rsidRDefault="000D1659" w:rsidP="008D6001">
      <w:pPr>
        <w:pStyle w:val="Normal104"/>
        <w:jc w:val="both"/>
        <w:outlineLvl w:val="0"/>
        <w:rPr>
          <w:b/>
          <w:bCs/>
        </w:rPr>
      </w:pPr>
      <w:r w:rsidRPr="00491918">
        <w:rPr>
          <w:b/>
          <w:bCs/>
        </w:rPr>
        <w:t>Scope of review</w:t>
      </w:r>
    </w:p>
    <w:p w:rsidR="000D1659" w:rsidRPr="00491918" w:rsidRDefault="000D1659" w:rsidP="00DF44D1">
      <w:pPr>
        <w:pStyle w:val="Normal104"/>
        <w:jc w:val="both"/>
      </w:pPr>
    </w:p>
    <w:p w:rsidR="005921C2" w:rsidRPr="00491918" w:rsidRDefault="005921C2" w:rsidP="00DF44D1">
      <w:pPr>
        <w:jc w:val="both"/>
        <w:rPr>
          <w:rFonts w:eastAsia="Times New Roman" w:cs="Times New Roman"/>
          <w:sz w:val="18"/>
          <w:lang w:val="en-GB"/>
        </w:rPr>
      </w:pPr>
      <w:r w:rsidRPr="00491918">
        <w:rPr>
          <w:rFonts w:eastAsia="Times New Roman" w:cs="Times New Roman"/>
          <w:sz w:val="18"/>
          <w:lang w:val="en-GB"/>
        </w:rPr>
        <w:t>We conducted our review in accordance with International Standard on Review Engagements (</w:t>
      </w:r>
      <w:smartTag w:uri="urn:schemas-microsoft-com:office:smarttags" w:element="country-region">
        <w:r w:rsidRPr="00491918">
          <w:rPr>
            <w:rFonts w:eastAsia="Times New Roman" w:cs="Times New Roman"/>
            <w:sz w:val="18"/>
            <w:lang w:val="en-GB"/>
          </w:rPr>
          <w:t>UK</w:t>
        </w:r>
      </w:smartTag>
      <w:r w:rsidRPr="00491918">
        <w:rPr>
          <w:rFonts w:eastAsia="Times New Roman" w:cs="Times New Roman"/>
          <w:sz w:val="18"/>
          <w:lang w:val="en-GB"/>
        </w:rPr>
        <w:t xml:space="preserve"> and </w:t>
      </w:r>
      <w:smartTag w:uri="urn:schemas-microsoft-com:office:smarttags" w:element="country-region">
        <w:r w:rsidRPr="00491918">
          <w:rPr>
            <w:rFonts w:eastAsia="Times New Roman" w:cs="Times New Roman"/>
            <w:sz w:val="18"/>
            <w:lang w:val="en-GB"/>
          </w:rPr>
          <w:t>Ireland</w:t>
        </w:r>
      </w:smartTag>
      <w:r w:rsidRPr="00491918">
        <w:rPr>
          <w:rFonts w:eastAsia="Times New Roman" w:cs="Times New Roman"/>
          <w:sz w:val="18"/>
          <w:lang w:val="en-GB"/>
        </w:rPr>
        <w:t xml:space="preserve">) 2410, ‘Review of Interim Financial Information Performed by the Independent Auditor of the Entity’ issued by the Auditing Practices Board for use in the </w:t>
      </w:r>
      <w:smartTag w:uri="urn:schemas-microsoft-com:office:smarttags" w:element="country-region">
        <w:smartTag w:uri="urn:schemas-microsoft-com:office:smarttags" w:element="place">
          <w:r w:rsidRPr="00491918">
            <w:rPr>
              <w:rFonts w:eastAsia="Times New Roman" w:cs="Times New Roman"/>
              <w:sz w:val="18"/>
              <w:lang w:val="en-GB"/>
            </w:rPr>
            <w:t>United Kingdom</w:t>
          </w:r>
        </w:smartTag>
      </w:smartTag>
      <w:r w:rsidRPr="00491918">
        <w:rPr>
          <w:rFonts w:eastAsia="Times New Roman" w:cs="Times New Roman"/>
          <w:sz w:val="18"/>
          <w:lang w:val="en-GB"/>
        </w:rPr>
        <w:t>.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w:t>
      </w:r>
      <w:smartTag w:uri="urn:schemas-microsoft-com:office:smarttags" w:element="country-region">
        <w:r w:rsidRPr="00491918">
          <w:rPr>
            <w:rFonts w:eastAsia="Times New Roman" w:cs="Times New Roman"/>
            <w:sz w:val="18"/>
            <w:lang w:val="en-GB"/>
          </w:rPr>
          <w:t>UK</w:t>
        </w:r>
      </w:smartTag>
      <w:r w:rsidRPr="00491918">
        <w:rPr>
          <w:rFonts w:eastAsia="Times New Roman" w:cs="Times New Roman"/>
          <w:sz w:val="18"/>
          <w:lang w:val="en-GB"/>
        </w:rPr>
        <w:t xml:space="preserve"> and </w:t>
      </w:r>
      <w:smartTag w:uri="urn:schemas-microsoft-com:office:smarttags" w:element="country-region">
        <w:smartTag w:uri="urn:schemas-microsoft-com:office:smarttags" w:element="place">
          <w:r w:rsidRPr="00491918">
            <w:rPr>
              <w:rFonts w:eastAsia="Times New Roman" w:cs="Times New Roman"/>
              <w:sz w:val="18"/>
              <w:lang w:val="en-GB"/>
            </w:rPr>
            <w:t>Ireland</w:t>
          </w:r>
        </w:smartTag>
      </w:smartTag>
      <w:r w:rsidRPr="00491918">
        <w:rPr>
          <w:rFonts w:eastAsia="Times New Roman" w:cs="Times New Roman"/>
          <w:sz w:val="18"/>
          <w:lang w:val="en-GB"/>
        </w:rPr>
        <w:t>) and consequently does not enable us to obtain assurance that we would become aware of all significant matters that might be identified in an audit. Accordingly, we do not express an audit opinion.</w:t>
      </w:r>
    </w:p>
    <w:p w:rsidR="005921C2" w:rsidRPr="00491918" w:rsidRDefault="005921C2" w:rsidP="00DF44D1">
      <w:pPr>
        <w:jc w:val="both"/>
        <w:rPr>
          <w:rFonts w:eastAsia="Times New Roman" w:cs="Times New Roman"/>
          <w:sz w:val="18"/>
          <w:lang w:val="en-GB"/>
        </w:rPr>
      </w:pPr>
    </w:p>
    <w:p w:rsidR="000D1659" w:rsidRPr="00491918" w:rsidRDefault="000D1659" w:rsidP="008D6001">
      <w:pPr>
        <w:pStyle w:val="Normal104"/>
        <w:jc w:val="both"/>
        <w:outlineLvl w:val="0"/>
        <w:rPr>
          <w:b/>
          <w:bCs/>
        </w:rPr>
      </w:pPr>
      <w:r w:rsidRPr="00491918">
        <w:rPr>
          <w:b/>
          <w:bCs/>
        </w:rPr>
        <w:t>Conclusion</w:t>
      </w:r>
    </w:p>
    <w:p w:rsidR="000D1659" w:rsidRPr="00491918" w:rsidRDefault="000D1659" w:rsidP="00DF44D1">
      <w:pPr>
        <w:pStyle w:val="Normal104"/>
        <w:jc w:val="both"/>
      </w:pPr>
    </w:p>
    <w:p w:rsidR="005921C2" w:rsidRPr="00491918" w:rsidRDefault="005921C2" w:rsidP="00DF44D1">
      <w:pPr>
        <w:jc w:val="both"/>
        <w:rPr>
          <w:rFonts w:eastAsia="Times New Roman" w:cs="Times New Roman"/>
          <w:sz w:val="18"/>
          <w:lang w:val="en-GB"/>
        </w:rPr>
      </w:pPr>
      <w:r w:rsidRPr="00491918">
        <w:rPr>
          <w:rFonts w:eastAsia="Times New Roman" w:cs="Times New Roman"/>
          <w:sz w:val="18"/>
          <w:lang w:val="en-GB"/>
        </w:rPr>
        <w:t>Based on our review, nothing has come to our attention that causes us to believe that the condensed consolidated interim financial statements in the interim results announcement for the six months ended 30 June 2013 are not prepared, in all material respects, in accordance with International Accounting Standard 34 as adopted by the European Union and the Disclosure and Transparency Rules of the United Kingdom's Financial Conduct Authority.</w:t>
      </w:r>
    </w:p>
    <w:p w:rsidR="005921C2" w:rsidRPr="00491918" w:rsidRDefault="005921C2" w:rsidP="00DF44D1">
      <w:pPr>
        <w:jc w:val="both"/>
        <w:rPr>
          <w:rFonts w:eastAsia="Times New Roman" w:cs="Times New Roman"/>
          <w:sz w:val="18"/>
          <w:lang w:val="en-GB"/>
        </w:rPr>
      </w:pPr>
    </w:p>
    <w:p w:rsidR="00EC729A" w:rsidRPr="00491918" w:rsidRDefault="00EC729A" w:rsidP="005921C2">
      <w:pPr>
        <w:rPr>
          <w:rFonts w:eastAsia="Times New Roman" w:cs="Times New Roman"/>
          <w:sz w:val="18"/>
          <w:lang w:val="en-GB"/>
        </w:rPr>
      </w:pPr>
    </w:p>
    <w:p w:rsidR="00EC729A" w:rsidRPr="00491918" w:rsidRDefault="00EC729A" w:rsidP="005921C2">
      <w:pPr>
        <w:rPr>
          <w:rFonts w:eastAsia="Times New Roman" w:cs="Times New Roman"/>
          <w:sz w:val="18"/>
          <w:lang w:val="en-GB"/>
        </w:rPr>
      </w:pPr>
    </w:p>
    <w:p w:rsidR="00EC729A" w:rsidRPr="00491918" w:rsidRDefault="00EC729A" w:rsidP="005921C2">
      <w:pPr>
        <w:rPr>
          <w:rFonts w:eastAsia="Times New Roman" w:cs="Times New Roman"/>
          <w:sz w:val="18"/>
          <w:lang w:val="en-GB"/>
        </w:rPr>
      </w:pPr>
    </w:p>
    <w:p w:rsidR="005921C2" w:rsidRPr="00491918" w:rsidRDefault="005921C2" w:rsidP="005921C2">
      <w:pPr>
        <w:rPr>
          <w:rFonts w:eastAsia="Times New Roman" w:cs="Times New Roman"/>
          <w:sz w:val="18"/>
          <w:lang w:val="en-GB"/>
        </w:rPr>
      </w:pPr>
      <w:r w:rsidRPr="00491918">
        <w:rPr>
          <w:rFonts w:eastAsia="Times New Roman" w:cs="Times New Roman"/>
          <w:sz w:val="18"/>
          <w:lang w:val="en-GB"/>
        </w:rPr>
        <w:t>PricewaterhouseCoopers LLP</w:t>
      </w:r>
      <w:r w:rsidRPr="00491918">
        <w:rPr>
          <w:rFonts w:eastAsia="Times New Roman" w:cs="Times New Roman"/>
          <w:sz w:val="18"/>
          <w:lang w:val="en-GB"/>
        </w:rPr>
        <w:br/>
        <w:t xml:space="preserve">Chartered Accountants </w:t>
      </w:r>
    </w:p>
    <w:p w:rsidR="005921C2" w:rsidRPr="00491918" w:rsidRDefault="005921C2" w:rsidP="005921C2">
      <w:pPr>
        <w:rPr>
          <w:rFonts w:eastAsia="Times New Roman" w:cs="Times New Roman"/>
          <w:sz w:val="18"/>
          <w:lang w:val="en-GB"/>
        </w:rPr>
      </w:pPr>
      <w:r w:rsidRPr="00491918">
        <w:rPr>
          <w:rFonts w:eastAsia="Times New Roman" w:cs="Times New Roman"/>
          <w:sz w:val="18"/>
          <w:lang w:val="en-GB"/>
        </w:rPr>
        <w:t>London, United Kingdom</w:t>
      </w:r>
    </w:p>
    <w:p w:rsidR="000D1659" w:rsidRPr="00491918" w:rsidRDefault="005921C2" w:rsidP="005921C2">
      <w:pPr>
        <w:pStyle w:val="Normal104"/>
      </w:pPr>
      <w:r w:rsidRPr="00491918">
        <w:t>29 July 2013</w:t>
      </w:r>
      <w:r w:rsidRPr="00491918">
        <w:br/>
      </w:r>
    </w:p>
    <w:p w:rsidR="000D1659" w:rsidRPr="00491918" w:rsidRDefault="000D1659" w:rsidP="000D1659">
      <w:pPr>
        <w:pStyle w:val="Normal104"/>
        <w:jc w:val="both"/>
      </w:pPr>
    </w:p>
    <w:p w:rsidR="00B54618" w:rsidRPr="00491918" w:rsidRDefault="00B54618" w:rsidP="000D1659">
      <w:pPr>
        <w:pStyle w:val="Normal104"/>
        <w:jc w:val="both"/>
      </w:pPr>
    </w:p>
    <w:p w:rsidR="000D1659" w:rsidRPr="00491918" w:rsidRDefault="000D1659" w:rsidP="00B54618">
      <w:pPr>
        <w:pStyle w:val="Normal104"/>
        <w:ind w:left="284" w:hanging="284"/>
        <w:jc w:val="both"/>
      </w:pPr>
    </w:p>
    <w:p w:rsidR="005921C2" w:rsidRPr="00491918" w:rsidRDefault="005921C2" w:rsidP="00CC41A9">
      <w:pPr>
        <w:pStyle w:val="NoteandSourceText-BarcRA200"/>
        <w:numPr>
          <w:ilvl w:val="0"/>
          <w:numId w:val="240"/>
        </w:numPr>
        <w:ind w:left="284" w:hanging="284"/>
      </w:pPr>
      <w:r w:rsidRPr="00491918">
        <w:t>The maintenance and integrity of the Barclays website is the responsibility of the directors; the work carried out by the auditors does not involve consideration of these matters and, accordingly, the auditors accept no responsibility for any changes that may have occurred to the financial statements since they were initially presented on the website.</w:t>
      </w:r>
    </w:p>
    <w:p w:rsidR="00131A67" w:rsidRPr="00491918" w:rsidRDefault="005921C2" w:rsidP="00CC41A9">
      <w:pPr>
        <w:pStyle w:val="NoteandSourceText-BarcRA200"/>
        <w:numPr>
          <w:ilvl w:val="0"/>
          <w:numId w:val="240"/>
        </w:numPr>
        <w:ind w:left="0" w:firstLine="0"/>
        <w:sectPr w:rsidR="00131A67" w:rsidRPr="00491918" w:rsidSect="00751636">
          <w:headerReference w:type="default" r:id="rId30"/>
          <w:pgSz w:w="11905" w:h="16837"/>
          <w:pgMar w:top="851" w:right="1134" w:bottom="567" w:left="1134" w:header="851" w:footer="567" w:gutter="0"/>
          <w:cols w:space="708"/>
        </w:sectPr>
      </w:pPr>
      <w:r w:rsidRPr="00491918">
        <w:t xml:space="preserve"> Legislation in the United Kingdom governing the preparation and dissemination of financial statements may differ from legislation in other jurisdictions.</w:t>
      </w:r>
    </w:p>
    <w:p w:rsidR="00131A67" w:rsidRPr="00491918" w:rsidRDefault="00131A67" w:rsidP="00131A67">
      <w:pPr>
        <w:pStyle w:val="NoteandSourceText-BarcRA200"/>
        <w:numPr>
          <w:ilvl w:val="0"/>
          <w:numId w:val="0"/>
        </w:numPr>
        <w:sectPr w:rsidR="00131A67" w:rsidRPr="00491918" w:rsidSect="00751636">
          <w:type w:val="continuous"/>
          <w:pgSz w:w="11905" w:h="16837"/>
          <w:pgMar w:top="851" w:right="1134" w:bottom="567" w:left="1134" w:header="851" w:footer="567" w:gutter="0"/>
          <w:cols w:space="708"/>
        </w:sectPr>
      </w:pPr>
    </w:p>
    <w:p w:rsidR="00DA356B" w:rsidRPr="00491918" w:rsidRDefault="00DA356B" w:rsidP="0007202F">
      <w:pPr>
        <w:pStyle w:val="HeadingLevel1-BarcRA49"/>
        <w:rPr>
          <w:lang w:val="en-GB"/>
        </w:rPr>
      </w:pPr>
    </w:p>
    <w:p w:rsidR="0007202F" w:rsidRPr="00491918" w:rsidRDefault="0007202F" w:rsidP="0007202F">
      <w:pPr>
        <w:pStyle w:val="HeadingLevel1-BarcRA49"/>
      </w:pPr>
      <w:r w:rsidRPr="00491918">
        <w:t>Financial Statement Notes</w:t>
      </w:r>
    </w:p>
    <w:p w:rsidR="000D1659" w:rsidRPr="00491918" w:rsidRDefault="000D1659" w:rsidP="008D6001">
      <w:pPr>
        <w:pStyle w:val="HeadingLevel1-BarcRA50"/>
        <w:jc w:val="left"/>
        <w:outlineLvl w:val="0"/>
        <w:rPr>
          <w:lang w:val="en-GB"/>
        </w:rPr>
      </w:pPr>
      <w:r w:rsidRPr="00491918">
        <w:t>1.</w:t>
      </w:r>
      <w:r w:rsidRPr="00491918">
        <w:rPr>
          <w:lang w:val="en-GB"/>
        </w:rPr>
        <w:t xml:space="preserve"> </w:t>
      </w:r>
      <w:r w:rsidRPr="00491918">
        <w:t xml:space="preserve"> </w:t>
      </w:r>
      <w:r w:rsidRPr="00491918">
        <w:rPr>
          <w:lang w:val="en-GB"/>
        </w:rPr>
        <w:t xml:space="preserve">  </w:t>
      </w:r>
      <w:r w:rsidRPr="00491918">
        <w:t>Basis of preparation</w:t>
      </w:r>
    </w:p>
    <w:p w:rsidR="000D1659" w:rsidRPr="00491918" w:rsidRDefault="000D1659" w:rsidP="000D1659">
      <w:pPr>
        <w:pStyle w:val="Normal105"/>
        <w:jc w:val="both"/>
        <w:rPr>
          <w:szCs w:val="18"/>
        </w:rPr>
      </w:pPr>
      <w:r w:rsidRPr="00491918">
        <w:rPr>
          <w:szCs w:val="18"/>
        </w:rPr>
        <w:t>The Results Announcement has been prepared in accordance with IAS 34 Interim Financial Reporting, using the same accounting policies and methods of computation as those used in the 2012 Annual Report, except for the following accounting standards which were adopted by the Group on 1 January 2013:</w:t>
      </w:r>
    </w:p>
    <w:p w:rsidR="000D1659" w:rsidRPr="00491918" w:rsidRDefault="000D1659" w:rsidP="000D1659">
      <w:pPr>
        <w:pStyle w:val="Normal105"/>
        <w:jc w:val="both"/>
        <w:rPr>
          <w:szCs w:val="18"/>
        </w:rPr>
      </w:pPr>
    </w:p>
    <w:p w:rsidR="000D1659" w:rsidRPr="00491918" w:rsidRDefault="000D1659" w:rsidP="008D6001">
      <w:pPr>
        <w:pStyle w:val="Normal105"/>
        <w:jc w:val="both"/>
        <w:outlineLvl w:val="0"/>
        <w:rPr>
          <w:b/>
          <w:szCs w:val="18"/>
        </w:rPr>
      </w:pPr>
      <w:r w:rsidRPr="00491918">
        <w:rPr>
          <w:b/>
          <w:szCs w:val="18"/>
        </w:rPr>
        <w:t xml:space="preserve">IFRS 10 Consolidated Financial Statements </w:t>
      </w:r>
    </w:p>
    <w:p w:rsidR="000D1659" w:rsidRPr="00491918" w:rsidRDefault="000D1659" w:rsidP="000D1659">
      <w:pPr>
        <w:pStyle w:val="Normal105"/>
        <w:jc w:val="both"/>
        <w:rPr>
          <w:b/>
          <w:szCs w:val="18"/>
        </w:rPr>
      </w:pPr>
    </w:p>
    <w:p w:rsidR="000D1659" w:rsidRPr="00491918" w:rsidRDefault="000D1659" w:rsidP="000D1659">
      <w:pPr>
        <w:pStyle w:val="Normal105"/>
        <w:jc w:val="both"/>
        <w:rPr>
          <w:szCs w:val="18"/>
        </w:rPr>
      </w:pPr>
      <w:r w:rsidRPr="00491918">
        <w:rPr>
          <w:szCs w:val="18"/>
        </w:rPr>
        <w:t xml:space="preserve">IFRS 10 replaced requirements in IAS 27 Consolidated and Separate Financial Statements and SIC 12 Consolidation – Special Purpose Entities. This introduced new criteria to determine whether entities in which the Group has interests should be consolidated. The implementation of IFRS 10 resulted in the Group consolidating some entities that were previously not consolidated and deconsolidating some entities that were previously consolidated, principally impacting the consolidation of entities in the Investment Bank with credit market exposures. </w:t>
      </w:r>
    </w:p>
    <w:p w:rsidR="000D1659" w:rsidRPr="00491918" w:rsidRDefault="000D1659" w:rsidP="000D1659">
      <w:pPr>
        <w:pStyle w:val="Normal105"/>
        <w:jc w:val="both"/>
        <w:rPr>
          <w:szCs w:val="18"/>
        </w:rPr>
      </w:pPr>
    </w:p>
    <w:p w:rsidR="000D1659" w:rsidRPr="00491918" w:rsidRDefault="000D1659" w:rsidP="008D6001">
      <w:pPr>
        <w:pStyle w:val="Normal105"/>
        <w:jc w:val="both"/>
        <w:outlineLvl w:val="0"/>
        <w:rPr>
          <w:b/>
          <w:szCs w:val="18"/>
        </w:rPr>
      </w:pPr>
      <w:r w:rsidRPr="00491918">
        <w:rPr>
          <w:b/>
          <w:szCs w:val="18"/>
        </w:rPr>
        <w:t xml:space="preserve">IAS 19 (Revised 2011) Employee Benefits </w:t>
      </w:r>
    </w:p>
    <w:p w:rsidR="000D1659" w:rsidRPr="00491918" w:rsidRDefault="000D1659" w:rsidP="000D1659">
      <w:pPr>
        <w:pStyle w:val="Normal105"/>
        <w:jc w:val="both"/>
        <w:rPr>
          <w:b/>
          <w:szCs w:val="18"/>
        </w:rPr>
      </w:pPr>
    </w:p>
    <w:p w:rsidR="000D1659" w:rsidRPr="00491918" w:rsidRDefault="000D1659" w:rsidP="000D1659">
      <w:pPr>
        <w:pStyle w:val="Normal105"/>
        <w:jc w:val="both"/>
        <w:rPr>
          <w:szCs w:val="18"/>
        </w:rPr>
      </w:pPr>
      <w:r w:rsidRPr="00491918">
        <w:rPr>
          <w:szCs w:val="18"/>
        </w:rPr>
        <w:t xml:space="preserve">IAS 19 (Revised 2011), amongst other changes, requires actuarial gains and losses arising from defined benefit pension schemes to be recognised in full. Previously the Group deferred these over the remaining average service lives of the employees (known as the ‘corridor’ approach). </w:t>
      </w:r>
    </w:p>
    <w:p w:rsidR="000D1659" w:rsidRPr="00491918" w:rsidRDefault="000D1659" w:rsidP="000D1659">
      <w:pPr>
        <w:pStyle w:val="Normal105"/>
        <w:jc w:val="both"/>
        <w:rPr>
          <w:szCs w:val="18"/>
        </w:rPr>
      </w:pPr>
    </w:p>
    <w:p w:rsidR="000D1659" w:rsidRPr="00491918" w:rsidRDefault="000D1659" w:rsidP="000D1659">
      <w:pPr>
        <w:pStyle w:val="Normal105"/>
        <w:jc w:val="both"/>
        <w:rPr>
          <w:szCs w:val="18"/>
        </w:rPr>
      </w:pPr>
      <w:r w:rsidRPr="00491918">
        <w:rPr>
          <w:szCs w:val="18"/>
        </w:rPr>
        <w:t>Comparatives have been fully restated for IFRS 10 and IA</w:t>
      </w:r>
      <w:r w:rsidR="00FE5C4F" w:rsidRPr="00491918">
        <w:rPr>
          <w:szCs w:val="18"/>
        </w:rPr>
        <w:t>S19</w:t>
      </w:r>
      <w:r w:rsidRPr="00491918">
        <w:rPr>
          <w:szCs w:val="18"/>
        </w:rPr>
        <w:t xml:space="preserve"> in accordance with their trans</w:t>
      </w:r>
      <w:r w:rsidR="00FE5C4F" w:rsidRPr="00491918">
        <w:rPr>
          <w:szCs w:val="18"/>
        </w:rPr>
        <w:t>ition requirements. IFRS 10</w:t>
      </w:r>
      <w:r w:rsidRPr="00491918">
        <w:rPr>
          <w:szCs w:val="18"/>
        </w:rPr>
        <w:t xml:space="preserve"> requires the presentation of restated comparatives immediately prior to the first period of application</w:t>
      </w:r>
      <w:r w:rsidR="00FE5C4F" w:rsidRPr="00491918">
        <w:rPr>
          <w:szCs w:val="18"/>
        </w:rPr>
        <w:t xml:space="preserve"> only</w:t>
      </w:r>
      <w:r w:rsidRPr="00491918">
        <w:rPr>
          <w:szCs w:val="18"/>
        </w:rPr>
        <w:t xml:space="preserve">. The Group published a restatement document on 16 April 2013 describing the financial impacts of IFRS 10 and IAS 19. </w:t>
      </w:r>
    </w:p>
    <w:p w:rsidR="000D1659" w:rsidRPr="00491918" w:rsidRDefault="000D1659" w:rsidP="000D1659">
      <w:pPr>
        <w:pStyle w:val="Normal105"/>
        <w:jc w:val="both"/>
        <w:rPr>
          <w:szCs w:val="18"/>
        </w:rPr>
      </w:pPr>
    </w:p>
    <w:p w:rsidR="000D1659" w:rsidRPr="00491918" w:rsidRDefault="000D1659" w:rsidP="000D1659">
      <w:pPr>
        <w:pStyle w:val="Normal10000"/>
        <w:jc w:val="both"/>
      </w:pPr>
      <w:r w:rsidRPr="00491918">
        <w:t>The financial impact on the Group for the year ended 31 December 2012 had IFRS 10 and IAS 19 been adopted is shown in the table below:</w:t>
      </w:r>
    </w:p>
    <w:p w:rsidR="000D1659" w:rsidRPr="00491918" w:rsidRDefault="000D1659" w:rsidP="000D1659">
      <w:pPr>
        <w:pStyle w:val="Normal10000"/>
        <w:jc w:val="both"/>
      </w:pPr>
    </w:p>
    <w:tbl>
      <w:tblPr>
        <w:tblW w:w="0" w:type="auto"/>
        <w:tblLayout w:type="fixed"/>
        <w:tblLook w:val="04A0" w:firstRow="1" w:lastRow="0" w:firstColumn="1" w:lastColumn="0" w:noHBand="0" w:noVBand="1"/>
      </w:tblPr>
      <w:tblGrid>
        <w:gridCol w:w="4271"/>
        <w:gridCol w:w="18"/>
        <w:gridCol w:w="1276"/>
        <w:gridCol w:w="64"/>
        <w:gridCol w:w="1358"/>
        <w:gridCol w:w="1358"/>
        <w:gridCol w:w="338"/>
        <w:gridCol w:w="709"/>
        <w:gridCol w:w="298"/>
        <w:gridCol w:w="13"/>
      </w:tblGrid>
      <w:tr w:rsidR="000D1659" w:rsidRPr="00491918" w:rsidTr="000D1659">
        <w:trPr>
          <w:gridAfter w:val="1"/>
          <w:wAfter w:w="13" w:type="dxa"/>
          <w:trHeight w:val="261"/>
        </w:trPr>
        <w:tc>
          <w:tcPr>
            <w:tcW w:w="4289" w:type="dxa"/>
            <w:gridSpan w:val="2"/>
            <w:shd w:val="clear" w:color="auto" w:fill="FFFFFF"/>
            <w:tcMar>
              <w:top w:w="0" w:type="dxa"/>
              <w:left w:w="36" w:type="dxa"/>
              <w:bottom w:w="0" w:type="dxa"/>
              <w:right w:w="36" w:type="dxa"/>
            </w:tcMar>
            <w:vAlign w:val="bottom"/>
          </w:tcPr>
          <w:p w:rsidR="000D1659" w:rsidRPr="00491918" w:rsidRDefault="000D1659">
            <w:pPr>
              <w:pStyle w:val="Normal105"/>
              <w:rPr>
                <w:rFonts w:eastAsia="Expert Sans Regular" w:cs="Expert Sans Regular"/>
                <w:sz w:val="16"/>
                <w:szCs w:val="16"/>
                <w:lang w:val="en-US"/>
              </w:rPr>
            </w:pPr>
            <w:r w:rsidRPr="00491918">
              <w:rPr>
                <w:b/>
                <w:color w:val="000000"/>
                <w:sz w:val="16"/>
                <w:szCs w:val="16"/>
              </w:rPr>
              <w:t>Impact of Accounting Restatements</w:t>
            </w:r>
            <w:r w:rsidRPr="00491918">
              <w:rPr>
                <w:b/>
                <w:color w:val="000000"/>
                <w:sz w:val="16"/>
                <w:szCs w:val="16"/>
                <w:vertAlign w:val="superscript"/>
              </w:rPr>
              <w:t xml:space="preserve"> </w:t>
            </w:r>
          </w:p>
        </w:tc>
        <w:tc>
          <w:tcPr>
            <w:tcW w:w="1276" w:type="dxa"/>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b/>
                <w:color w:val="000000"/>
                <w:sz w:val="16"/>
                <w:szCs w:val="16"/>
                <w:vertAlign w:val="superscript"/>
                <w:lang w:val="en-US"/>
              </w:rPr>
            </w:pPr>
            <w:r w:rsidRPr="00491918">
              <w:rPr>
                <w:b/>
                <w:color w:val="000000"/>
                <w:sz w:val="16"/>
                <w:szCs w:val="16"/>
              </w:rPr>
              <w:t xml:space="preserve"> </w:t>
            </w:r>
          </w:p>
        </w:tc>
        <w:tc>
          <w:tcPr>
            <w:tcW w:w="3118" w:type="dxa"/>
            <w:gridSpan w:val="4"/>
            <w:tcBorders>
              <w:top w:val="nil"/>
              <w:left w:val="nil"/>
              <w:bottom w:val="single" w:sz="6" w:space="0" w:color="969696"/>
              <w:right w:val="nil"/>
            </w:tcBorders>
            <w:shd w:val="clear" w:color="auto" w:fill="FFFFFF"/>
            <w:tcMar>
              <w:top w:w="0" w:type="dxa"/>
              <w:left w:w="36" w:type="dxa"/>
              <w:bottom w:w="0" w:type="dxa"/>
              <w:right w:w="36" w:type="dxa"/>
            </w:tcMar>
            <w:vAlign w:val="bottom"/>
          </w:tcPr>
          <w:p w:rsidR="000D1659" w:rsidRPr="00491918" w:rsidRDefault="000D1659">
            <w:pPr>
              <w:pStyle w:val="Normal105"/>
              <w:jc w:val="center"/>
              <w:rPr>
                <w:rFonts w:eastAsia="Expert Sans Regular" w:cs="Expert Sans Regular"/>
                <w:b/>
                <w:color w:val="000000"/>
                <w:sz w:val="16"/>
                <w:szCs w:val="16"/>
                <w:lang w:val="en-US"/>
              </w:rPr>
            </w:pPr>
            <w:r w:rsidRPr="00491918">
              <w:rPr>
                <w:b/>
                <w:color w:val="000000"/>
                <w:sz w:val="16"/>
                <w:szCs w:val="16"/>
              </w:rPr>
              <w:t>Restatement Adjustments</w:t>
            </w:r>
          </w:p>
        </w:tc>
        <w:tc>
          <w:tcPr>
            <w:tcW w:w="709" w:type="dxa"/>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 xml:space="preserve"> </w:t>
            </w:r>
          </w:p>
        </w:tc>
        <w:tc>
          <w:tcPr>
            <w:tcW w:w="298" w:type="dxa"/>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 xml:space="preserve"> </w:t>
            </w:r>
          </w:p>
        </w:tc>
      </w:tr>
      <w:tr w:rsidR="000D1659" w:rsidRPr="00491918" w:rsidTr="006C0EE3">
        <w:trPr>
          <w:trHeight w:val="404"/>
        </w:trPr>
        <w:tc>
          <w:tcPr>
            <w:tcW w:w="4271" w:type="dxa"/>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b/>
                <w:color w:val="000000"/>
                <w:sz w:val="16"/>
                <w:szCs w:val="16"/>
                <w:lang w:val="en-US"/>
              </w:rPr>
            </w:pPr>
            <w:r w:rsidRPr="00491918">
              <w:rPr>
                <w:b/>
                <w:color w:val="000000"/>
                <w:sz w:val="16"/>
                <w:szCs w:val="16"/>
              </w:rPr>
              <w:t xml:space="preserve"> </w:t>
            </w:r>
            <w:r w:rsidRPr="00491918">
              <w:rPr>
                <w:b/>
                <w:color w:val="000000"/>
                <w:sz w:val="16"/>
                <w:szCs w:val="16"/>
                <w:vertAlign w:val="superscript"/>
              </w:rPr>
              <w:t xml:space="preserve"> </w:t>
            </w:r>
          </w:p>
        </w:tc>
        <w:tc>
          <w:tcPr>
            <w:tcW w:w="1358" w:type="dxa"/>
            <w:gridSpan w:val="3"/>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b/>
                <w:color w:val="000000"/>
                <w:sz w:val="16"/>
                <w:szCs w:val="16"/>
                <w:vertAlign w:val="superscript"/>
                <w:lang w:val="en-US"/>
              </w:rPr>
            </w:pPr>
            <w:r w:rsidRPr="00491918">
              <w:rPr>
                <w:b/>
                <w:color w:val="000000"/>
                <w:sz w:val="16"/>
                <w:szCs w:val="16"/>
              </w:rPr>
              <w:t>2012 as</w:t>
            </w:r>
          </w:p>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Published</w:t>
            </w:r>
          </w:p>
        </w:tc>
        <w:tc>
          <w:tcPr>
            <w:tcW w:w="1358" w:type="dxa"/>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IFRS 10</w:t>
            </w:r>
          </w:p>
        </w:tc>
        <w:tc>
          <w:tcPr>
            <w:tcW w:w="1358" w:type="dxa"/>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IAS 19</w:t>
            </w:r>
          </w:p>
        </w:tc>
        <w:tc>
          <w:tcPr>
            <w:tcW w:w="1358" w:type="dxa"/>
            <w:gridSpan w:val="4"/>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 xml:space="preserve">2012 as </w:t>
            </w:r>
          </w:p>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Restated</w:t>
            </w:r>
          </w:p>
        </w:tc>
      </w:tr>
      <w:tr w:rsidR="000D1659" w:rsidRPr="00491918" w:rsidTr="006C0EE3">
        <w:trPr>
          <w:trHeight w:val="155"/>
        </w:trPr>
        <w:tc>
          <w:tcPr>
            <w:tcW w:w="4271" w:type="dxa"/>
            <w:tcBorders>
              <w:top w:val="nil"/>
              <w:left w:val="nil"/>
              <w:bottom w:val="single" w:sz="6" w:space="0" w:color="969696"/>
              <w:right w:val="nil"/>
            </w:tcBorders>
            <w:shd w:val="clear" w:color="auto" w:fill="FFFFFF"/>
            <w:tcMar>
              <w:top w:w="0" w:type="dxa"/>
              <w:left w:w="36" w:type="dxa"/>
              <w:bottom w:w="0" w:type="dxa"/>
              <w:right w:w="36" w:type="dxa"/>
            </w:tcMar>
            <w:vAlign w:val="bottom"/>
          </w:tcPr>
          <w:p w:rsidR="000D1659" w:rsidRPr="00491918" w:rsidRDefault="000D1659">
            <w:pPr>
              <w:pStyle w:val="Normal105"/>
              <w:rPr>
                <w:rFonts w:eastAsia="Expert Sans Regular" w:cs="Expert Sans Regular"/>
                <w:b/>
                <w:color w:val="000000"/>
                <w:sz w:val="16"/>
                <w:szCs w:val="16"/>
                <w:lang w:val="en-US"/>
              </w:rPr>
            </w:pPr>
            <w:r w:rsidRPr="00491918">
              <w:rPr>
                <w:b/>
                <w:color w:val="000000"/>
                <w:sz w:val="16"/>
                <w:szCs w:val="16"/>
              </w:rPr>
              <w:t>Adjusted Income Statement</w:t>
            </w:r>
            <w:r w:rsidRPr="00491918">
              <w:rPr>
                <w:color w:val="000000"/>
                <w:sz w:val="16"/>
                <w:szCs w:val="16"/>
                <w:vertAlign w:val="superscript"/>
              </w:rPr>
              <w:t xml:space="preserve"> </w:t>
            </w:r>
          </w:p>
        </w:tc>
        <w:tc>
          <w:tcPr>
            <w:tcW w:w="1358" w:type="dxa"/>
            <w:gridSpan w:val="3"/>
            <w:tcBorders>
              <w:top w:val="nil"/>
              <w:left w:val="nil"/>
              <w:bottom w:val="single" w:sz="6" w:space="0" w:color="969696"/>
              <w:right w:val="nil"/>
            </w:tcBorders>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color w:val="000000"/>
                <w:sz w:val="16"/>
                <w:szCs w:val="16"/>
                <w:vertAlign w:val="superscript"/>
                <w:lang w:val="en-US"/>
              </w:rPr>
            </w:pPr>
            <w:r w:rsidRPr="00491918">
              <w:rPr>
                <w:color w:val="000000"/>
                <w:sz w:val="16"/>
                <w:szCs w:val="16"/>
              </w:rPr>
              <w:t>£m</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£m</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£m</w:t>
            </w:r>
          </w:p>
        </w:tc>
        <w:tc>
          <w:tcPr>
            <w:tcW w:w="1358" w:type="dxa"/>
            <w:gridSpan w:val="4"/>
            <w:tcBorders>
              <w:top w:val="nil"/>
              <w:left w:val="nil"/>
              <w:bottom w:val="single" w:sz="6" w:space="0" w:color="969696"/>
              <w:right w:val="nil"/>
            </w:tcBorders>
            <w:shd w:val="clear" w:color="auto" w:fill="FFFFFF"/>
            <w:tcMar>
              <w:top w:w="0" w:type="dxa"/>
              <w:left w:w="36" w:type="dxa"/>
              <w:bottom w:w="0" w:type="dxa"/>
              <w:right w:w="36" w:type="dxa"/>
            </w:tcMar>
            <w:vAlign w:val="bottom"/>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£m</w:t>
            </w:r>
          </w:p>
        </w:tc>
      </w:tr>
    </w:tbl>
    <w:p w:rsidR="00F92E6D" w:rsidRPr="00491918" w:rsidRDefault="00F92E6D"/>
    <w:tbl>
      <w:tblPr>
        <w:tblW w:w="0" w:type="auto"/>
        <w:tblLayout w:type="fixed"/>
        <w:tblLook w:val="04A0" w:firstRow="1" w:lastRow="0" w:firstColumn="1" w:lastColumn="0" w:noHBand="0" w:noVBand="1"/>
      </w:tblPr>
      <w:tblGrid>
        <w:gridCol w:w="4271"/>
        <w:gridCol w:w="1358"/>
        <w:gridCol w:w="1358"/>
        <w:gridCol w:w="1358"/>
        <w:gridCol w:w="1358"/>
      </w:tblGrid>
      <w:tr w:rsidR="000D1659" w:rsidRPr="00491918" w:rsidTr="00F92E6D">
        <w:trPr>
          <w:trHeight w:val="290"/>
        </w:trPr>
        <w:tc>
          <w:tcPr>
            <w:tcW w:w="4271" w:type="dxa"/>
            <w:tcBorders>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color w:val="000000"/>
                <w:sz w:val="16"/>
                <w:szCs w:val="16"/>
                <w:lang w:val="en-US"/>
              </w:rPr>
            </w:pPr>
            <w:r w:rsidRPr="00491918">
              <w:rPr>
                <w:color w:val="000000"/>
                <w:sz w:val="16"/>
                <w:szCs w:val="16"/>
              </w:rPr>
              <w:t>Profit before tax</w:t>
            </w:r>
            <w:r w:rsidRPr="00491918">
              <w:rPr>
                <w:color w:val="000000"/>
                <w:sz w:val="16"/>
                <w:szCs w:val="16"/>
                <w:vertAlign w:val="superscript"/>
              </w:rPr>
              <w:t xml:space="preserve"> </w:t>
            </w:r>
          </w:p>
        </w:tc>
        <w:tc>
          <w:tcPr>
            <w:tcW w:w="1358" w:type="dxa"/>
            <w:tcBorders>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vertAlign w:val="superscript"/>
                <w:lang w:val="en-US"/>
              </w:rPr>
            </w:pPr>
            <w:r w:rsidRPr="00491918">
              <w:rPr>
                <w:color w:val="000000"/>
                <w:sz w:val="16"/>
                <w:szCs w:val="16"/>
              </w:rPr>
              <w:t>7,048 </w:t>
            </w:r>
          </w:p>
        </w:tc>
        <w:tc>
          <w:tcPr>
            <w:tcW w:w="1358" w:type="dxa"/>
            <w:tcBorders>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573 </w:t>
            </w:r>
          </w:p>
        </w:tc>
        <w:tc>
          <w:tcPr>
            <w:tcW w:w="1358" w:type="dxa"/>
            <w:tcBorders>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(22)</w:t>
            </w:r>
          </w:p>
        </w:tc>
        <w:tc>
          <w:tcPr>
            <w:tcW w:w="1358" w:type="dxa"/>
            <w:tcBorders>
              <w:left w:val="nil"/>
              <w:bottom w:val="nil"/>
              <w:right w:val="nil"/>
            </w:tcBorders>
            <w:shd w:val="clear" w:color="auto" w:fill="EAEAEA"/>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7,599 </w:t>
            </w:r>
          </w:p>
        </w:tc>
      </w:tr>
      <w:tr w:rsidR="000D1659" w:rsidRPr="00491918" w:rsidTr="000D1659">
        <w:trPr>
          <w:trHeight w:val="290"/>
        </w:trPr>
        <w:tc>
          <w:tcPr>
            <w:tcW w:w="4271"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color w:val="000000"/>
                <w:sz w:val="16"/>
                <w:szCs w:val="16"/>
                <w:lang w:val="en-US"/>
              </w:rPr>
            </w:pPr>
            <w:r w:rsidRPr="00491918">
              <w:rPr>
                <w:color w:val="000000"/>
                <w:sz w:val="16"/>
                <w:szCs w:val="16"/>
              </w:rPr>
              <w:t>Tax</w:t>
            </w:r>
            <w:r w:rsidRPr="00491918">
              <w:rPr>
                <w:color w:val="000000"/>
                <w:sz w:val="16"/>
                <w:szCs w:val="16"/>
                <w:vertAlign w:val="superscript"/>
              </w:rPr>
              <w:t xml:space="preserve"> </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vertAlign w:val="superscript"/>
                <w:lang w:val="en-US"/>
              </w:rPr>
            </w:pPr>
            <w:r w:rsidRPr="00491918">
              <w:rPr>
                <w:color w:val="000000"/>
                <w:sz w:val="16"/>
                <w:szCs w:val="16"/>
              </w:rPr>
              <w:t>(2,025)</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(134)</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 </w:t>
            </w:r>
          </w:p>
        </w:tc>
        <w:tc>
          <w:tcPr>
            <w:tcW w:w="1358" w:type="dxa"/>
            <w:tcBorders>
              <w:top w:val="nil"/>
              <w:left w:val="nil"/>
              <w:bottom w:val="single" w:sz="6" w:space="0" w:color="969696"/>
              <w:right w:val="nil"/>
            </w:tcBorders>
            <w:shd w:val="clear" w:color="auto" w:fill="EAEAEA"/>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(2,159)</w:t>
            </w:r>
          </w:p>
        </w:tc>
      </w:tr>
      <w:tr w:rsidR="000D1659" w:rsidRPr="00491918" w:rsidTr="000D1659">
        <w:trPr>
          <w:trHeight w:val="290"/>
        </w:trPr>
        <w:tc>
          <w:tcPr>
            <w:tcW w:w="4271"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b/>
                <w:color w:val="000000"/>
                <w:sz w:val="16"/>
                <w:szCs w:val="16"/>
                <w:lang w:val="en-US"/>
              </w:rPr>
            </w:pPr>
            <w:r w:rsidRPr="00491918">
              <w:rPr>
                <w:b/>
                <w:color w:val="000000"/>
                <w:sz w:val="16"/>
                <w:szCs w:val="16"/>
              </w:rPr>
              <w:t>Profit after tax</w:t>
            </w:r>
            <w:r w:rsidRPr="00491918">
              <w:rPr>
                <w:b/>
                <w:color w:val="000000"/>
                <w:sz w:val="16"/>
                <w:szCs w:val="16"/>
                <w:vertAlign w:val="superscript"/>
              </w:rPr>
              <w:t xml:space="preserve"> </w:t>
            </w:r>
          </w:p>
        </w:tc>
        <w:tc>
          <w:tcPr>
            <w:tcW w:w="1358"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 w:val="16"/>
                <w:szCs w:val="16"/>
                <w:vertAlign w:val="superscript"/>
                <w:lang w:val="en-US"/>
              </w:rPr>
            </w:pPr>
            <w:r w:rsidRPr="00491918">
              <w:rPr>
                <w:b/>
                <w:color w:val="000000"/>
                <w:sz w:val="16"/>
                <w:szCs w:val="16"/>
              </w:rPr>
              <w:t>5,023 </w:t>
            </w:r>
          </w:p>
        </w:tc>
        <w:tc>
          <w:tcPr>
            <w:tcW w:w="1358"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439 </w:t>
            </w:r>
          </w:p>
        </w:tc>
        <w:tc>
          <w:tcPr>
            <w:tcW w:w="1358"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(22)</w:t>
            </w:r>
          </w:p>
        </w:tc>
        <w:tc>
          <w:tcPr>
            <w:tcW w:w="1358" w:type="dxa"/>
            <w:tcBorders>
              <w:top w:val="single" w:sz="6" w:space="0" w:color="969696"/>
              <w:left w:val="nil"/>
              <w:bottom w:val="nil"/>
              <w:right w:val="nil"/>
            </w:tcBorders>
            <w:shd w:val="clear" w:color="auto" w:fill="EAEAEA"/>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 w:val="16"/>
                <w:szCs w:val="16"/>
                <w:lang w:val="en-US"/>
              </w:rPr>
            </w:pPr>
            <w:r w:rsidRPr="00491918">
              <w:rPr>
                <w:b/>
                <w:color w:val="000000"/>
                <w:sz w:val="16"/>
                <w:szCs w:val="16"/>
              </w:rPr>
              <w:t>5,440 </w:t>
            </w:r>
          </w:p>
        </w:tc>
      </w:tr>
      <w:tr w:rsidR="000D1659" w:rsidRPr="00491918" w:rsidTr="000D1659">
        <w:trPr>
          <w:trHeight w:hRule="exact" w:val="102"/>
        </w:trPr>
        <w:tc>
          <w:tcPr>
            <w:tcW w:w="4271" w:type="dxa"/>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color w:val="000000"/>
                <w:sz w:val="16"/>
                <w:szCs w:val="16"/>
                <w:lang w:val="en-US"/>
              </w:rPr>
            </w:pPr>
            <w:r w:rsidRPr="00491918">
              <w:rPr>
                <w:color w:val="000000"/>
                <w:sz w:val="16"/>
                <w:szCs w:val="16"/>
              </w:rPr>
              <w:t xml:space="preserve"> </w:t>
            </w:r>
            <w:r w:rsidRPr="00491918">
              <w:rPr>
                <w:color w:val="000000"/>
                <w:sz w:val="16"/>
                <w:szCs w:val="16"/>
                <w:vertAlign w:val="superscript"/>
              </w:rPr>
              <w:t xml:space="preserve">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vertAlign w:val="superscript"/>
                <w:lang w:val="en-US"/>
              </w:rPr>
            </w:pPr>
            <w:r w:rsidRPr="00491918">
              <w:rPr>
                <w:color w:val="000000"/>
                <w:sz w:val="16"/>
                <w:szCs w:val="16"/>
              </w:rPr>
              <w:t xml:space="preserve">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 xml:space="preserve">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 xml:space="preserve">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 xml:space="preserve"> </w:t>
            </w:r>
          </w:p>
        </w:tc>
      </w:tr>
      <w:tr w:rsidR="000D1659" w:rsidRPr="00491918" w:rsidTr="006C0EE3">
        <w:trPr>
          <w:trHeight w:val="131"/>
        </w:trPr>
        <w:tc>
          <w:tcPr>
            <w:tcW w:w="4271"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color w:val="000000"/>
                <w:sz w:val="16"/>
                <w:szCs w:val="16"/>
                <w:lang w:val="en-US"/>
              </w:rPr>
            </w:pPr>
            <w:r w:rsidRPr="00491918">
              <w:rPr>
                <w:b/>
                <w:color w:val="000000"/>
                <w:sz w:val="16"/>
                <w:szCs w:val="16"/>
              </w:rPr>
              <w:t>Balance Sheet</w:t>
            </w:r>
            <w:r w:rsidRPr="00491918">
              <w:rPr>
                <w:b/>
                <w:color w:val="000000"/>
                <w:szCs w:val="16"/>
                <w:vertAlign w:val="superscript"/>
              </w:rPr>
              <w:t xml:space="preserve"> </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Cs w:val="16"/>
                <w:vertAlign w:val="superscript"/>
                <w:lang w:val="en-US"/>
              </w:rPr>
            </w:pPr>
            <w:r w:rsidRPr="00491918">
              <w:rPr>
                <w:color w:val="000000"/>
                <w:sz w:val="16"/>
                <w:szCs w:val="16"/>
              </w:rPr>
              <w:t xml:space="preserve"> </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 xml:space="preserve"> </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 xml:space="preserve"> </w:t>
            </w:r>
          </w:p>
        </w:tc>
        <w:tc>
          <w:tcPr>
            <w:tcW w:w="1358" w:type="dxa"/>
            <w:tcBorders>
              <w:top w:val="nil"/>
              <w:left w:val="nil"/>
              <w:bottom w:val="single" w:sz="6" w:space="0" w:color="969696"/>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 xml:space="preserve"> </w:t>
            </w:r>
          </w:p>
        </w:tc>
      </w:tr>
      <w:tr w:rsidR="000D1659" w:rsidRPr="00491918" w:rsidTr="000D1659">
        <w:trPr>
          <w:trHeight w:val="290"/>
        </w:trPr>
        <w:tc>
          <w:tcPr>
            <w:tcW w:w="4271"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color w:val="000000"/>
                <w:sz w:val="16"/>
                <w:szCs w:val="16"/>
                <w:lang w:val="en-US"/>
              </w:rPr>
            </w:pPr>
            <w:r w:rsidRPr="00491918">
              <w:rPr>
                <w:color w:val="000000"/>
                <w:sz w:val="16"/>
                <w:szCs w:val="16"/>
              </w:rPr>
              <w:t>Total assets</w:t>
            </w:r>
            <w:r w:rsidRPr="00491918">
              <w:rPr>
                <w:b/>
                <w:color w:val="000000"/>
                <w:sz w:val="16"/>
                <w:szCs w:val="16"/>
                <w:vertAlign w:val="superscript"/>
              </w:rPr>
              <w:t xml:space="preserve"> </w:t>
            </w:r>
          </w:p>
        </w:tc>
        <w:tc>
          <w:tcPr>
            <w:tcW w:w="1358"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 w:val="16"/>
                <w:szCs w:val="16"/>
                <w:vertAlign w:val="superscript"/>
                <w:lang w:val="en-US"/>
              </w:rPr>
            </w:pPr>
            <w:r w:rsidRPr="00491918">
              <w:rPr>
                <w:color w:val="000000"/>
                <w:sz w:val="16"/>
                <w:szCs w:val="16"/>
              </w:rPr>
              <w:t>1,490,321 </w:t>
            </w:r>
          </w:p>
        </w:tc>
        <w:tc>
          <w:tcPr>
            <w:tcW w:w="1358"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(144)</w:t>
            </w:r>
          </w:p>
        </w:tc>
        <w:tc>
          <w:tcPr>
            <w:tcW w:w="1358" w:type="dxa"/>
            <w:tcBorders>
              <w:top w:val="single" w:sz="6" w:space="0" w:color="969696"/>
              <w:left w:val="nil"/>
              <w:bottom w:val="nil"/>
              <w:right w:val="nil"/>
            </w:tcBorders>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(1,842)</w:t>
            </w:r>
          </w:p>
        </w:tc>
        <w:tc>
          <w:tcPr>
            <w:tcW w:w="1358" w:type="dxa"/>
            <w:tcBorders>
              <w:top w:val="single" w:sz="6" w:space="0" w:color="969696"/>
              <w:left w:val="nil"/>
              <w:bottom w:val="nil"/>
              <w:right w:val="nil"/>
            </w:tcBorders>
            <w:shd w:val="clear" w:color="auto" w:fill="EAEAEA"/>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1,488,335 </w:t>
            </w:r>
          </w:p>
        </w:tc>
      </w:tr>
      <w:tr w:rsidR="000D1659" w:rsidRPr="00491918" w:rsidTr="000D1659">
        <w:trPr>
          <w:trHeight w:val="290"/>
        </w:trPr>
        <w:tc>
          <w:tcPr>
            <w:tcW w:w="4271" w:type="dxa"/>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color w:val="000000"/>
                <w:sz w:val="16"/>
                <w:szCs w:val="16"/>
                <w:lang w:val="en-US"/>
              </w:rPr>
            </w:pPr>
            <w:r w:rsidRPr="00491918">
              <w:rPr>
                <w:color w:val="000000"/>
                <w:sz w:val="16"/>
                <w:szCs w:val="16"/>
              </w:rPr>
              <w:t>Total liabilities</w:t>
            </w:r>
            <w:r w:rsidRPr="00491918">
              <w:rPr>
                <w:b/>
                <w:color w:val="000000"/>
                <w:sz w:val="16"/>
                <w:szCs w:val="16"/>
                <w:vertAlign w:val="superscript"/>
              </w:rPr>
              <w:t xml:space="preserve">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 w:val="16"/>
                <w:szCs w:val="16"/>
                <w:vertAlign w:val="superscript"/>
                <w:lang w:val="en-US"/>
              </w:rPr>
            </w:pPr>
            <w:r w:rsidRPr="00491918">
              <w:rPr>
                <w:color w:val="000000"/>
                <w:sz w:val="16"/>
                <w:szCs w:val="16"/>
              </w:rPr>
              <w:t>1,427,364 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333 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652 </w:t>
            </w:r>
          </w:p>
        </w:tc>
        <w:tc>
          <w:tcPr>
            <w:tcW w:w="1358" w:type="dxa"/>
            <w:shd w:val="clear" w:color="auto" w:fill="EAEAEA"/>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1,428,349 </w:t>
            </w:r>
          </w:p>
        </w:tc>
      </w:tr>
      <w:tr w:rsidR="000D1659" w:rsidRPr="00491918" w:rsidTr="000D1659">
        <w:trPr>
          <w:trHeight w:val="290"/>
        </w:trPr>
        <w:tc>
          <w:tcPr>
            <w:tcW w:w="4271" w:type="dxa"/>
            <w:shd w:val="clear" w:color="auto" w:fill="FFFFFF"/>
            <w:tcMar>
              <w:top w:w="0" w:type="dxa"/>
              <w:left w:w="36" w:type="dxa"/>
              <w:bottom w:w="0" w:type="dxa"/>
              <w:right w:w="36" w:type="dxa"/>
            </w:tcMar>
            <w:vAlign w:val="center"/>
          </w:tcPr>
          <w:p w:rsidR="000D1659" w:rsidRPr="00491918" w:rsidRDefault="000D1659">
            <w:pPr>
              <w:pStyle w:val="Normal105"/>
              <w:rPr>
                <w:rFonts w:eastAsia="Expert Sans Regular" w:cs="Expert Sans Regular"/>
                <w:color w:val="000000"/>
                <w:sz w:val="16"/>
                <w:szCs w:val="16"/>
                <w:lang w:val="en-US"/>
              </w:rPr>
            </w:pPr>
            <w:r w:rsidRPr="00491918">
              <w:rPr>
                <w:color w:val="000000"/>
                <w:sz w:val="16"/>
                <w:szCs w:val="16"/>
              </w:rPr>
              <w:t>Total shareholders' equity</w:t>
            </w:r>
            <w:r w:rsidRPr="00491918">
              <w:rPr>
                <w:b/>
                <w:color w:val="000000"/>
                <w:sz w:val="16"/>
                <w:szCs w:val="16"/>
                <w:vertAlign w:val="superscript"/>
              </w:rPr>
              <w:t xml:space="preserve">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b/>
                <w:color w:val="000000"/>
                <w:sz w:val="16"/>
                <w:szCs w:val="16"/>
                <w:vertAlign w:val="superscript"/>
                <w:lang w:val="en-US"/>
              </w:rPr>
            </w:pPr>
            <w:r w:rsidRPr="00491918">
              <w:rPr>
                <w:color w:val="000000"/>
                <w:sz w:val="16"/>
                <w:szCs w:val="16"/>
              </w:rPr>
              <w:t>62,957 </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(477)</w:t>
            </w:r>
          </w:p>
        </w:tc>
        <w:tc>
          <w:tcPr>
            <w:tcW w:w="1358" w:type="dxa"/>
            <w:shd w:val="clear" w:color="auto" w:fill="FFFFFF"/>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(2,494)</w:t>
            </w:r>
          </w:p>
        </w:tc>
        <w:tc>
          <w:tcPr>
            <w:tcW w:w="1358" w:type="dxa"/>
            <w:shd w:val="clear" w:color="auto" w:fill="EAEAEA"/>
            <w:tcMar>
              <w:top w:w="0" w:type="dxa"/>
              <w:left w:w="36" w:type="dxa"/>
              <w:bottom w:w="0" w:type="dxa"/>
              <w:right w:w="36" w:type="dxa"/>
            </w:tcMar>
            <w:vAlign w:val="center"/>
          </w:tcPr>
          <w:p w:rsidR="000D1659" w:rsidRPr="00491918" w:rsidRDefault="000D1659">
            <w:pPr>
              <w:pStyle w:val="Normal105"/>
              <w:jc w:val="right"/>
              <w:rPr>
                <w:rFonts w:eastAsia="Expert Sans Regular" w:cs="Expert Sans Regular"/>
                <w:color w:val="000000"/>
                <w:sz w:val="16"/>
                <w:szCs w:val="16"/>
                <w:lang w:val="en-US"/>
              </w:rPr>
            </w:pPr>
            <w:r w:rsidRPr="00491918">
              <w:rPr>
                <w:color w:val="000000"/>
                <w:sz w:val="16"/>
                <w:szCs w:val="16"/>
              </w:rPr>
              <w:t>59,986 </w:t>
            </w:r>
          </w:p>
        </w:tc>
      </w:tr>
    </w:tbl>
    <w:p w:rsidR="000D1659" w:rsidRPr="00491918" w:rsidRDefault="000D1659" w:rsidP="000D1659">
      <w:pPr>
        <w:pStyle w:val="Normal105"/>
        <w:jc w:val="both"/>
        <w:rPr>
          <w:szCs w:val="18"/>
        </w:rPr>
      </w:pPr>
    </w:p>
    <w:p w:rsidR="000D1659" w:rsidRPr="00491918" w:rsidRDefault="000D1659" w:rsidP="008D6001">
      <w:pPr>
        <w:pStyle w:val="Normal105"/>
        <w:jc w:val="both"/>
        <w:outlineLvl w:val="0"/>
        <w:rPr>
          <w:b/>
          <w:szCs w:val="18"/>
        </w:rPr>
      </w:pPr>
      <w:r w:rsidRPr="00491918">
        <w:rPr>
          <w:b/>
          <w:szCs w:val="18"/>
        </w:rPr>
        <w:t>IFRS 13 Fair Value Measurement</w:t>
      </w:r>
    </w:p>
    <w:p w:rsidR="000D1659" w:rsidRPr="00491918" w:rsidRDefault="000D1659" w:rsidP="000D1659">
      <w:pPr>
        <w:pStyle w:val="Normal105"/>
        <w:jc w:val="both"/>
        <w:rPr>
          <w:b/>
          <w:szCs w:val="18"/>
        </w:rPr>
      </w:pPr>
      <w:r w:rsidRPr="00491918">
        <w:rPr>
          <w:b/>
          <w:szCs w:val="18"/>
        </w:rPr>
        <w:t xml:space="preserve"> </w:t>
      </w:r>
    </w:p>
    <w:p w:rsidR="000D1659" w:rsidRPr="00491918" w:rsidRDefault="000D1659" w:rsidP="000D1659">
      <w:pPr>
        <w:pStyle w:val="Normal105"/>
        <w:jc w:val="both"/>
        <w:rPr>
          <w:szCs w:val="18"/>
        </w:rPr>
      </w:pPr>
      <w:r w:rsidRPr="00491918">
        <w:rPr>
          <w:szCs w:val="18"/>
        </w:rPr>
        <w:t>IFRS 13 provides comprehensive guidance on how to calculate the fair value of financial and non-financial assets. The adoption of IFRS 13 did not have a material financial impact on the Group.</w:t>
      </w:r>
    </w:p>
    <w:p w:rsidR="000D1659" w:rsidRPr="00491918" w:rsidRDefault="000D1659" w:rsidP="000D1659">
      <w:pPr>
        <w:pStyle w:val="Normal105"/>
        <w:jc w:val="both"/>
        <w:rPr>
          <w:b/>
          <w:sz w:val="20"/>
          <w:szCs w:val="18"/>
        </w:rPr>
      </w:pPr>
    </w:p>
    <w:p w:rsidR="000D1659" w:rsidRPr="00491918" w:rsidRDefault="000D1659" w:rsidP="008D6001">
      <w:pPr>
        <w:pStyle w:val="Normal105"/>
        <w:jc w:val="both"/>
        <w:outlineLvl w:val="0"/>
        <w:rPr>
          <w:b/>
          <w:sz w:val="20"/>
          <w:szCs w:val="18"/>
        </w:rPr>
      </w:pPr>
      <w:r w:rsidRPr="00491918">
        <w:rPr>
          <w:b/>
          <w:sz w:val="20"/>
          <w:szCs w:val="18"/>
        </w:rPr>
        <w:t>Future accounting developments</w:t>
      </w:r>
    </w:p>
    <w:p w:rsidR="000D1659" w:rsidRPr="00491918" w:rsidRDefault="000D1659" w:rsidP="000D1659">
      <w:pPr>
        <w:pStyle w:val="Normal105"/>
        <w:jc w:val="both"/>
        <w:rPr>
          <w:szCs w:val="18"/>
        </w:rPr>
      </w:pPr>
    </w:p>
    <w:p w:rsidR="000D1659" w:rsidRPr="00491918" w:rsidRDefault="000D1659" w:rsidP="008D6001">
      <w:pPr>
        <w:pStyle w:val="Normal105"/>
        <w:jc w:val="both"/>
        <w:outlineLvl w:val="0"/>
        <w:rPr>
          <w:b/>
          <w:szCs w:val="18"/>
        </w:rPr>
      </w:pPr>
      <w:r w:rsidRPr="00491918">
        <w:rPr>
          <w:b/>
          <w:szCs w:val="18"/>
        </w:rPr>
        <w:t>IFRS 9 Financial Instruments</w:t>
      </w:r>
    </w:p>
    <w:p w:rsidR="000D1659" w:rsidRPr="00491918" w:rsidRDefault="000D1659" w:rsidP="000D1659">
      <w:pPr>
        <w:pStyle w:val="Normal105"/>
        <w:jc w:val="both"/>
        <w:rPr>
          <w:b/>
          <w:szCs w:val="18"/>
        </w:rPr>
      </w:pPr>
    </w:p>
    <w:p w:rsidR="000D1659" w:rsidRPr="00491918" w:rsidRDefault="000D1659" w:rsidP="000D1659">
      <w:pPr>
        <w:pStyle w:val="Normal105"/>
        <w:jc w:val="both"/>
        <w:rPr>
          <w:szCs w:val="18"/>
        </w:rPr>
      </w:pPr>
      <w:r w:rsidRPr="00491918">
        <w:rPr>
          <w:szCs w:val="18"/>
        </w:rPr>
        <w:t>IFRS 9 will change the classification and therefore the measurement of its financial assets, the recognition of impairment and hedge accounting. In addition to these changes, the portion of gains and losses arising from changes in the Group’s credit rating included in changes in the value of the Group</w:t>
      </w:r>
      <w:r w:rsidRPr="00491918">
        <w:rPr>
          <w:rFonts w:eastAsia="MS Mincho" w:cs="MS Mincho"/>
          <w:szCs w:val="18"/>
        </w:rPr>
        <w:t>’</w:t>
      </w:r>
      <w:r w:rsidRPr="00491918">
        <w:rPr>
          <w:szCs w:val="18"/>
        </w:rPr>
        <w:t>s issued debt securities held at fair value through profit or loss will be included in other comprehensive income rather than the income statement. The proposals have yet to be finalised and it is therefore not yet possible to estimate the financial effects. The current effective date is 1 January 2015, but may be delayed.</w:t>
      </w:r>
    </w:p>
    <w:p w:rsidR="00E26508" w:rsidRPr="00491918" w:rsidRDefault="000D1659" w:rsidP="00E26508">
      <w:pPr>
        <w:pStyle w:val="HeadingLevel2-BarcRA20"/>
        <w:rPr>
          <w:lang w:val="en-GB"/>
        </w:rPr>
      </w:pPr>
      <w:r w:rsidRPr="00491918">
        <w:rPr>
          <w:b w:val="0"/>
          <w:bCs w:val="0"/>
          <w:color w:val="auto"/>
          <w:sz w:val="18"/>
          <w:szCs w:val="18"/>
          <w:lang w:val="en-GB"/>
        </w:rPr>
        <w:t>For more information on future accounting changes, refer to the Barclays 2012 Annual Report.</w:t>
      </w:r>
      <w:r w:rsidR="00E26508" w:rsidRPr="00491918">
        <w:t xml:space="preserve"> </w:t>
      </w:r>
    </w:p>
    <w:p w:rsidR="00DF44D1" w:rsidRPr="00491918" w:rsidRDefault="00DF44D1" w:rsidP="00E26508">
      <w:pPr>
        <w:pStyle w:val="HeadingLevel2-BarcRA20"/>
        <w:rPr>
          <w:color w:val="auto"/>
          <w:lang w:val="en-GB"/>
        </w:rPr>
      </w:pPr>
    </w:p>
    <w:p w:rsidR="0007202F" w:rsidRPr="00491918" w:rsidRDefault="0007202F" w:rsidP="008D6001">
      <w:pPr>
        <w:pStyle w:val="HeadingLevel2-BarcRA20"/>
        <w:outlineLvl w:val="0"/>
        <w:rPr>
          <w:color w:val="auto"/>
          <w:lang w:val="en-GB"/>
        </w:rPr>
      </w:pPr>
    </w:p>
    <w:p w:rsidR="00DA356B" w:rsidRPr="00491918" w:rsidRDefault="00DA356B" w:rsidP="00DA356B">
      <w:pPr>
        <w:pStyle w:val="BodyText-BarcRA65"/>
      </w:pPr>
    </w:p>
    <w:p w:rsidR="0007202F" w:rsidRPr="00491918" w:rsidRDefault="0007202F" w:rsidP="0007202F">
      <w:pPr>
        <w:pStyle w:val="HeadingLevel1-BarcRA49"/>
      </w:pPr>
      <w:r w:rsidRPr="00491918">
        <w:t>Financial Statement Notes</w:t>
      </w:r>
    </w:p>
    <w:p w:rsidR="00E26508" w:rsidRPr="00491918" w:rsidRDefault="0007202F" w:rsidP="008D6001">
      <w:pPr>
        <w:pStyle w:val="HeadingLevel2-BarcRA20"/>
        <w:outlineLvl w:val="0"/>
        <w:rPr>
          <w:color w:val="auto"/>
        </w:rPr>
      </w:pPr>
      <w:r w:rsidRPr="00491918">
        <w:rPr>
          <w:color w:val="auto"/>
          <w:lang w:val="en-GB"/>
        </w:rPr>
        <w:t>G</w:t>
      </w:r>
      <w:r w:rsidR="00E26508" w:rsidRPr="00491918">
        <w:rPr>
          <w:color w:val="auto"/>
        </w:rPr>
        <w:t>oing Concern</w:t>
      </w:r>
    </w:p>
    <w:p w:rsidR="00E26508" w:rsidRPr="00491918" w:rsidRDefault="00E26508" w:rsidP="005E323A">
      <w:pPr>
        <w:pStyle w:val="BodyText-BarcRA81"/>
      </w:pPr>
      <w:r w:rsidRPr="00491918">
        <w:t>The Group's business activities and financial position, the factors likely to affect its future development and performance, and its objectives and policies in managing the financial risks to which it is exposed and its capital are discussed in the Results by Business, Performance Management and Risk Management sections.</w:t>
      </w:r>
    </w:p>
    <w:p w:rsidR="000D1659" w:rsidRPr="00491918" w:rsidRDefault="00E26508" w:rsidP="005E323A">
      <w:pPr>
        <w:pStyle w:val="BodyText-BarcRA81"/>
      </w:pPr>
      <w:r w:rsidRPr="00491918">
        <w:t>The Directors confirm they are satisfied that the Group has adequate resources to continue in business for the foreseeable future. For this reason, they continue to adopt the going concern basis for preparing accounts.</w:t>
      </w:r>
    </w:p>
    <w:tbl>
      <w:tblPr>
        <w:tblW w:w="10080" w:type="dxa"/>
        <w:tblLayout w:type="fixed"/>
        <w:tblLook w:val="0000" w:firstRow="0" w:lastRow="0" w:firstColumn="0" w:lastColumn="0" w:noHBand="0" w:noVBand="0"/>
      </w:tblPr>
      <w:tblGrid>
        <w:gridCol w:w="6270"/>
        <w:gridCol w:w="435"/>
        <w:gridCol w:w="1125"/>
        <w:gridCol w:w="1125"/>
        <w:gridCol w:w="1125"/>
      </w:tblGrid>
      <w:tr w:rsidR="000D1659"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szCs w:val="18"/>
              </w:rPr>
            </w:pPr>
            <w:r w:rsidRPr="00491918">
              <w:rPr>
                <w:b/>
                <w:color w:val="000000"/>
                <w:sz w:val="24"/>
                <w:szCs w:val="18"/>
              </w:rPr>
              <w:t>2.    Net Interest Income</w:t>
            </w:r>
          </w:p>
        </w:tc>
        <w:tc>
          <w:tcPr>
            <w:tcW w:w="43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szCs w:val="18"/>
              </w:rPr>
            </w:pPr>
            <w:r w:rsidRPr="00491918">
              <w:rPr>
                <w:b/>
                <w:color w:val="000000"/>
                <w:sz w:val="24"/>
                <w:szCs w:val="18"/>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szCs w:val="18"/>
              </w:rPr>
            </w:pPr>
            <w:r w:rsidRPr="00491918">
              <w:rPr>
                <w:b/>
                <w:color w:val="000000"/>
                <w:sz w:val="24"/>
                <w:szCs w:val="18"/>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szCs w:val="18"/>
              </w:rPr>
            </w:pPr>
            <w:r w:rsidRPr="00491918">
              <w:rPr>
                <w:color w:val="000000"/>
                <w:sz w:val="20"/>
                <w:szCs w:val="18"/>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20"/>
                <w:szCs w:val="18"/>
              </w:rPr>
            </w:pPr>
            <w:r w:rsidRPr="00491918">
              <w:rPr>
                <w:color w:val="000000"/>
                <w:sz w:val="20"/>
                <w:szCs w:val="18"/>
              </w:rPr>
              <w:t xml:space="preserve"> </w:t>
            </w:r>
          </w:p>
        </w:tc>
      </w:tr>
      <w:tr w:rsidR="000D1659"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0"/>
                <w:szCs w:val="18"/>
              </w:rPr>
            </w:pPr>
            <w:r w:rsidRPr="00491918">
              <w:rPr>
                <w:color w:val="000000"/>
                <w:sz w:val="16"/>
                <w:szCs w:val="18"/>
              </w:rPr>
              <w:t xml:space="preserve"> </w:t>
            </w:r>
          </w:p>
        </w:tc>
        <w:tc>
          <w:tcPr>
            <w:tcW w:w="4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Half Year</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Half Year</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Half Year</w:t>
            </w:r>
          </w:p>
        </w:tc>
      </w:tr>
      <w:tr w:rsidR="000D1659"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4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Ended</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Ended</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Ended</w:t>
            </w:r>
          </w:p>
        </w:tc>
      </w:tr>
      <w:tr w:rsidR="000D1659"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lastRenderedPageBreak/>
              <w:t xml:space="preserve"> </w:t>
            </w:r>
          </w:p>
        </w:tc>
        <w:tc>
          <w:tcPr>
            <w:tcW w:w="4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31.12.12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30.06.12</w:t>
            </w:r>
          </w:p>
        </w:tc>
      </w:tr>
      <w:tr w:rsidR="000D1659" w:rsidRPr="00491918" w:rsidTr="00B91E4A">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43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r>
      <w:tr w:rsidR="000D1659" w:rsidRPr="00491918" w:rsidTr="00B91E4A">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Cash and balances with central banks</w:t>
            </w:r>
          </w:p>
        </w:tc>
        <w:tc>
          <w:tcPr>
            <w:tcW w:w="43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101 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84 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169 </w:t>
            </w:r>
          </w:p>
        </w:tc>
      </w:tr>
      <w:tr w:rsidR="000D1659"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Available for sale investments</w:t>
            </w:r>
            <w:r w:rsidR="00BC2391" w:rsidRPr="00491918">
              <w:rPr>
                <w:color w:val="000000"/>
                <w:sz w:val="16"/>
                <w:szCs w:val="18"/>
                <w:vertAlign w:val="superscript"/>
              </w:rPr>
              <w:t>1</w:t>
            </w:r>
          </w:p>
        </w:tc>
        <w:tc>
          <w:tcPr>
            <w:tcW w:w="4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881 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674 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1,062 </w:t>
            </w:r>
          </w:p>
        </w:tc>
      </w:tr>
      <w:tr w:rsidR="000D1659"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Loans and advances to banks </w:t>
            </w:r>
          </w:p>
        </w:tc>
        <w:tc>
          <w:tcPr>
            <w:tcW w:w="43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215 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191 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185 </w:t>
            </w:r>
          </w:p>
        </w:tc>
      </w:tr>
      <w:tr w:rsidR="000D1659"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Loans and advances to customers</w:t>
            </w:r>
          </w:p>
        </w:tc>
        <w:tc>
          <w:tcPr>
            <w:tcW w:w="435" w:type="dxa"/>
            <w:tcBorders>
              <w:top w:val="nil"/>
              <w:left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7,939 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7,984 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8,464 </w:t>
            </w:r>
          </w:p>
        </w:tc>
      </w:tr>
      <w:tr w:rsidR="00B91E4A" w:rsidRPr="00491918" w:rsidTr="00B91E4A">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Other</w:t>
            </w:r>
          </w:p>
        </w:tc>
        <w:tc>
          <w:tcPr>
            <w:tcW w:w="43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115 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220 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179 </w:t>
            </w:r>
          </w:p>
        </w:tc>
      </w:tr>
      <w:tr w:rsidR="00B91E4A" w:rsidRPr="00491918" w:rsidTr="00B91E4A">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b/>
                <w:color w:val="000000"/>
                <w:sz w:val="16"/>
                <w:szCs w:val="18"/>
              </w:rPr>
              <w:t>Interest income</w:t>
            </w:r>
          </w:p>
        </w:tc>
        <w:tc>
          <w:tcPr>
            <w:tcW w:w="435" w:type="dxa"/>
            <w:tcBorders>
              <w:top w:val="single" w:sz="6" w:space="0" w:color="969696"/>
              <w:left w:val="nil"/>
              <w:right w:val="nil"/>
            </w:tcBorders>
            <w:shd w:val="clear" w:color="auto" w:fill="FFFFFF"/>
            <w:tcMar>
              <w:left w:w="36" w:type="dxa"/>
              <w:right w:w="36" w:type="dxa"/>
            </w:tcMar>
            <w:vAlign w:val="center"/>
          </w:tcPr>
          <w:p w:rsidR="00B91E4A" w:rsidRPr="00491918" w:rsidRDefault="00B91E4A">
            <w:pPr>
              <w:rPr>
                <w:b/>
                <w:color w:val="000000"/>
                <w:sz w:val="16"/>
                <w:szCs w:val="18"/>
              </w:rPr>
            </w:pPr>
            <w:r w:rsidRPr="00491918">
              <w:rPr>
                <w:color w:val="000000"/>
                <w:sz w:val="16"/>
                <w:szCs w:val="18"/>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9,251 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9,153 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10,059 </w:t>
            </w:r>
          </w:p>
        </w:tc>
      </w:tr>
      <w:tr w:rsidR="00B91E4A" w:rsidRPr="00491918" w:rsidTr="00B91E4A">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b/>
                <w:color w:val="000000"/>
                <w:sz w:val="16"/>
                <w:szCs w:val="18"/>
              </w:rPr>
            </w:pPr>
            <w:r w:rsidRPr="00491918">
              <w:rPr>
                <w:color w:val="000000"/>
                <w:sz w:val="16"/>
                <w:szCs w:val="18"/>
              </w:rPr>
              <w:t xml:space="preserve"> </w:t>
            </w:r>
          </w:p>
        </w:tc>
        <w:tc>
          <w:tcPr>
            <w:tcW w:w="43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 xml:space="preserve"> </w:t>
            </w:r>
          </w:p>
        </w:tc>
      </w:tr>
      <w:tr w:rsidR="00B91E4A" w:rsidRPr="00491918" w:rsidTr="00B91E4A">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Deposits from banks</w:t>
            </w:r>
          </w:p>
        </w:tc>
        <w:tc>
          <w:tcPr>
            <w:tcW w:w="43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(98)</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(86)</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(171)</w:t>
            </w:r>
          </w:p>
        </w:tc>
      </w:tr>
      <w:tr w:rsidR="00B91E4A"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Customer accounts</w:t>
            </w:r>
            <w:r w:rsidR="00BC2391" w:rsidRPr="00491918">
              <w:rPr>
                <w:color w:val="000000"/>
                <w:sz w:val="16"/>
                <w:szCs w:val="18"/>
                <w:vertAlign w:val="superscript"/>
              </w:rPr>
              <w:t>1</w:t>
            </w:r>
          </w:p>
        </w:tc>
        <w:tc>
          <w:tcPr>
            <w:tcW w:w="435" w:type="dxa"/>
            <w:tcBorders>
              <w:top w:val="nil"/>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p>
        </w:tc>
        <w:tc>
          <w:tcPr>
            <w:tcW w:w="1125" w:type="dxa"/>
            <w:tcBorders>
              <w:top w:val="nil"/>
              <w:left w:val="nil"/>
              <w:bottom w:val="nil"/>
              <w:right w:val="nil"/>
            </w:tcBorders>
            <w:shd w:val="clear" w:color="auto" w:fill="EAEAEA"/>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(1,363)</w:t>
            </w:r>
          </w:p>
        </w:tc>
        <w:tc>
          <w:tcPr>
            <w:tcW w:w="1125" w:type="dxa"/>
            <w:tcBorders>
              <w:top w:val="nil"/>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(1,260)</w:t>
            </w:r>
          </w:p>
        </w:tc>
        <w:tc>
          <w:tcPr>
            <w:tcW w:w="1125" w:type="dxa"/>
            <w:tcBorders>
              <w:top w:val="nil"/>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(1,225)</w:t>
            </w:r>
          </w:p>
        </w:tc>
      </w:tr>
      <w:tr w:rsidR="00B91E4A"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Debt securities in issue</w:t>
            </w:r>
          </w:p>
        </w:tc>
        <w:tc>
          <w:tcPr>
            <w:tcW w:w="435" w:type="dxa"/>
            <w:tcBorders>
              <w:top w:val="nil"/>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 xml:space="preserve"> </w:t>
            </w:r>
          </w:p>
        </w:tc>
        <w:tc>
          <w:tcPr>
            <w:tcW w:w="1125" w:type="dxa"/>
            <w:tcBorders>
              <w:top w:val="nil"/>
              <w:left w:val="nil"/>
              <w:bottom w:val="nil"/>
              <w:right w:val="nil"/>
            </w:tcBorders>
            <w:shd w:val="clear" w:color="auto" w:fill="EAEAEA"/>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(1,241)</w:t>
            </w:r>
          </w:p>
        </w:tc>
        <w:tc>
          <w:tcPr>
            <w:tcW w:w="1125" w:type="dxa"/>
            <w:tcBorders>
              <w:top w:val="nil"/>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(1,342)</w:t>
            </w:r>
          </w:p>
        </w:tc>
        <w:tc>
          <w:tcPr>
            <w:tcW w:w="1125" w:type="dxa"/>
            <w:tcBorders>
              <w:top w:val="nil"/>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(1,579)</w:t>
            </w:r>
          </w:p>
        </w:tc>
      </w:tr>
      <w:tr w:rsidR="00B91E4A" w:rsidRPr="00491918" w:rsidTr="00B91E4A">
        <w:trPr>
          <w:trHeight w:val="240"/>
        </w:trPr>
        <w:tc>
          <w:tcPr>
            <w:tcW w:w="6270" w:type="dxa"/>
            <w:tcBorders>
              <w:top w:val="nil"/>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Subordinated liabilities</w:t>
            </w:r>
          </w:p>
        </w:tc>
        <w:tc>
          <w:tcPr>
            <w:tcW w:w="435" w:type="dxa"/>
            <w:tcBorders>
              <w:top w:val="nil"/>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 xml:space="preserve"> </w:t>
            </w:r>
          </w:p>
        </w:tc>
        <w:tc>
          <w:tcPr>
            <w:tcW w:w="1125" w:type="dxa"/>
            <w:tcBorders>
              <w:top w:val="nil"/>
              <w:left w:val="nil"/>
              <w:bottom w:val="nil"/>
              <w:right w:val="nil"/>
            </w:tcBorders>
            <w:shd w:val="clear" w:color="auto" w:fill="EAEAEA"/>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(879)</w:t>
            </w:r>
          </w:p>
        </w:tc>
        <w:tc>
          <w:tcPr>
            <w:tcW w:w="1125" w:type="dxa"/>
            <w:tcBorders>
              <w:top w:val="nil"/>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(815)</w:t>
            </w:r>
          </w:p>
        </w:tc>
        <w:tc>
          <w:tcPr>
            <w:tcW w:w="1125" w:type="dxa"/>
            <w:tcBorders>
              <w:top w:val="nil"/>
              <w:left w:val="nil"/>
              <w:bottom w:val="nil"/>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(817)</w:t>
            </w:r>
          </w:p>
        </w:tc>
      </w:tr>
      <w:tr w:rsidR="00B91E4A" w:rsidRPr="00491918" w:rsidTr="00B91E4A">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Other</w:t>
            </w:r>
          </w:p>
        </w:tc>
        <w:tc>
          <w:tcPr>
            <w:tcW w:w="43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(93)</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(125)</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(138)</w:t>
            </w:r>
          </w:p>
        </w:tc>
      </w:tr>
      <w:tr w:rsidR="00B91E4A" w:rsidRPr="00491918" w:rsidTr="00B91E4A">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b/>
                <w:color w:val="000000"/>
                <w:sz w:val="16"/>
                <w:szCs w:val="18"/>
              </w:rPr>
              <w:t>Interest expense</w:t>
            </w:r>
          </w:p>
        </w:tc>
        <w:tc>
          <w:tcPr>
            <w:tcW w:w="43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rPr>
                <w:b/>
                <w:color w:val="000000"/>
                <w:sz w:val="16"/>
                <w:szCs w:val="18"/>
              </w:rPr>
            </w:pPr>
            <w:r w:rsidRPr="00491918">
              <w:rPr>
                <w:b/>
                <w:color w:val="000000"/>
                <w:sz w:val="16"/>
                <w:szCs w:val="18"/>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(3,674)</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(3,628)</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(3,930)</w:t>
            </w:r>
          </w:p>
        </w:tc>
      </w:tr>
      <w:tr w:rsidR="00B91E4A" w:rsidRPr="00491918" w:rsidTr="00B91E4A">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b/>
                <w:color w:val="000000"/>
                <w:sz w:val="16"/>
                <w:szCs w:val="18"/>
              </w:rPr>
            </w:pPr>
            <w:r w:rsidRPr="00491918">
              <w:rPr>
                <w:color w:val="000000"/>
                <w:sz w:val="16"/>
                <w:szCs w:val="18"/>
              </w:rPr>
              <w:t xml:space="preserve"> </w:t>
            </w:r>
          </w:p>
        </w:tc>
        <w:tc>
          <w:tcPr>
            <w:tcW w:w="43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B91E4A" w:rsidRPr="00491918" w:rsidRDefault="00B91E4A">
            <w:pPr>
              <w:jc w:val="right"/>
              <w:rPr>
                <w:color w:val="000000"/>
                <w:sz w:val="16"/>
                <w:szCs w:val="18"/>
              </w:rPr>
            </w:pPr>
            <w:r w:rsidRPr="00491918">
              <w:rPr>
                <w:color w:val="000000"/>
                <w:sz w:val="16"/>
                <w:szCs w:val="18"/>
              </w:rPr>
              <w:t xml:space="preserve"> </w:t>
            </w:r>
          </w:p>
        </w:tc>
      </w:tr>
      <w:tr w:rsidR="00B91E4A" w:rsidRPr="00491918" w:rsidTr="00B91E4A">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rPr>
                <w:color w:val="000000"/>
                <w:sz w:val="16"/>
                <w:szCs w:val="18"/>
              </w:rPr>
            </w:pPr>
            <w:r w:rsidRPr="00491918">
              <w:rPr>
                <w:b/>
                <w:color w:val="000000"/>
                <w:sz w:val="16"/>
                <w:szCs w:val="18"/>
              </w:rPr>
              <w:t>Net interest income</w:t>
            </w:r>
          </w:p>
        </w:tc>
        <w:tc>
          <w:tcPr>
            <w:tcW w:w="43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rPr>
                <w:b/>
                <w:color w:val="000000"/>
                <w:sz w:val="16"/>
                <w:szCs w:val="18"/>
              </w:rPr>
            </w:pPr>
            <w:r w:rsidRPr="00491918">
              <w:rPr>
                <w:b/>
                <w:color w:val="000000"/>
                <w:sz w:val="16"/>
                <w:szCs w:val="18"/>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5,577 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5,525 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B91E4A" w:rsidRPr="00491918" w:rsidRDefault="00B91E4A">
            <w:pPr>
              <w:jc w:val="right"/>
              <w:rPr>
                <w:b/>
                <w:color w:val="000000"/>
                <w:sz w:val="16"/>
                <w:szCs w:val="18"/>
              </w:rPr>
            </w:pPr>
            <w:r w:rsidRPr="00491918">
              <w:rPr>
                <w:b/>
                <w:color w:val="000000"/>
                <w:sz w:val="16"/>
                <w:szCs w:val="18"/>
              </w:rPr>
              <w:t>6,129 </w:t>
            </w:r>
          </w:p>
        </w:tc>
      </w:tr>
    </w:tbl>
    <w:p w:rsidR="000D1659" w:rsidRPr="00491918" w:rsidRDefault="000D1659">
      <w:pPr>
        <w:rPr>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6C0EE3" w:rsidRPr="00491918" w:rsidRDefault="006C0EE3" w:rsidP="000D1659">
      <w:pPr>
        <w:pStyle w:val="Normal106"/>
        <w:ind w:left="142" w:hanging="142"/>
        <w:rPr>
          <w:i/>
          <w:sz w:val="14"/>
          <w:szCs w:val="18"/>
        </w:rPr>
      </w:pPr>
    </w:p>
    <w:p w:rsidR="005E323A" w:rsidRPr="00491918" w:rsidRDefault="005E323A" w:rsidP="000D1659">
      <w:pPr>
        <w:pStyle w:val="Normal106"/>
        <w:ind w:left="142" w:hanging="142"/>
        <w:rPr>
          <w:i/>
          <w:sz w:val="14"/>
          <w:szCs w:val="18"/>
        </w:rPr>
      </w:pPr>
    </w:p>
    <w:p w:rsidR="005E323A" w:rsidRPr="00491918" w:rsidRDefault="005E323A" w:rsidP="000D1659">
      <w:pPr>
        <w:pStyle w:val="Normal106"/>
        <w:ind w:left="142" w:hanging="142"/>
        <w:rPr>
          <w:i/>
          <w:sz w:val="14"/>
          <w:szCs w:val="18"/>
        </w:rPr>
      </w:pPr>
    </w:p>
    <w:p w:rsidR="006C0EE3" w:rsidRPr="00491918" w:rsidRDefault="006C0EE3" w:rsidP="00E26508">
      <w:pPr>
        <w:pStyle w:val="Normal106"/>
        <w:rPr>
          <w:i/>
          <w:sz w:val="14"/>
          <w:szCs w:val="18"/>
        </w:rPr>
      </w:pPr>
    </w:p>
    <w:p w:rsidR="00E26508" w:rsidRPr="00491918" w:rsidRDefault="00E26508" w:rsidP="00E26508">
      <w:pPr>
        <w:pStyle w:val="Normal106"/>
        <w:rPr>
          <w:i/>
          <w:sz w:val="14"/>
          <w:szCs w:val="18"/>
        </w:rPr>
      </w:pPr>
    </w:p>
    <w:p w:rsidR="006C0EE3" w:rsidRPr="00491918" w:rsidRDefault="006C0EE3" w:rsidP="00E26508">
      <w:pPr>
        <w:pStyle w:val="Normal106"/>
        <w:rPr>
          <w:i/>
          <w:sz w:val="14"/>
          <w:szCs w:val="18"/>
        </w:rPr>
      </w:pPr>
    </w:p>
    <w:p w:rsidR="000D1659" w:rsidRPr="00491918" w:rsidRDefault="00DF44D1" w:rsidP="00DF44D1">
      <w:pPr>
        <w:pStyle w:val="BodyText-BarcRA78"/>
        <w:ind w:left="284" w:hanging="284"/>
        <w:rPr>
          <w:i/>
          <w:sz w:val="14"/>
        </w:rPr>
      </w:pPr>
      <w:r w:rsidRPr="00491918">
        <w:rPr>
          <w:i/>
          <w:sz w:val="14"/>
        </w:rPr>
        <w:t>1</w:t>
      </w:r>
      <w:r w:rsidRPr="00491918">
        <w:rPr>
          <w:i/>
          <w:sz w:val="14"/>
        </w:rPr>
        <w:tab/>
      </w:r>
      <w:r w:rsidR="000D1659" w:rsidRPr="00491918">
        <w:rPr>
          <w:i/>
          <w:sz w:val="14"/>
        </w:rPr>
        <w:t>The June 2012 comparative for interest income from available for sale investments has been restated from £1,703m to £1,062m and the comparative for interest expense from customer accounts from £1,866m t</w:t>
      </w:r>
      <w:r w:rsidR="00FE5C4F" w:rsidRPr="00491918">
        <w:rPr>
          <w:i/>
          <w:sz w:val="14"/>
        </w:rPr>
        <w:t>o £1,225m to more appropriately</w:t>
      </w:r>
      <w:r w:rsidR="000D1659" w:rsidRPr="00491918">
        <w:rPr>
          <w:i/>
          <w:sz w:val="14"/>
        </w:rPr>
        <w:t xml:space="preserve"> reflect the nature of certain transactions. Total net interest income does not change.</w:t>
      </w:r>
    </w:p>
    <w:p w:rsidR="000D1659" w:rsidRPr="00491918" w:rsidRDefault="000D1659" w:rsidP="00DF44D1">
      <w:pPr>
        <w:pStyle w:val="BodyText-BarcRA78"/>
        <w:ind w:left="284" w:hanging="284"/>
        <w:rPr>
          <w:i/>
          <w:sz w:val="14"/>
        </w:rPr>
        <w:sectPr w:rsidR="000D1659" w:rsidRPr="00491918" w:rsidSect="00751636">
          <w:headerReference w:type="default" r:id="rId31"/>
          <w:type w:val="continuous"/>
          <w:pgSz w:w="11905" w:h="16837"/>
          <w:pgMar w:top="851" w:right="1134" w:bottom="567" w:left="1134" w:header="851" w:footer="567" w:gutter="0"/>
          <w:cols w:space="708"/>
        </w:sectPr>
      </w:pPr>
    </w:p>
    <w:p w:rsidR="0007202F" w:rsidRPr="00491918" w:rsidRDefault="0007202F" w:rsidP="0007202F">
      <w:pPr>
        <w:pStyle w:val="HeadingLevel1-BarcRA49"/>
      </w:pPr>
      <w:r w:rsidRPr="00491918">
        <w:lastRenderedPageBreak/>
        <w:t>Financial Statement Notes</w:t>
      </w:r>
    </w:p>
    <w:p w:rsidR="000D1659" w:rsidRPr="00491918" w:rsidRDefault="000D1659" w:rsidP="00D4757C">
      <w:pPr>
        <w:pStyle w:val="HeadingLevel1-BarcRA51"/>
      </w:pPr>
      <w:r w:rsidRPr="00491918">
        <w:t xml:space="preserve"> 3.   Staff Costs</w:t>
      </w:r>
      <w:r w:rsidRPr="00491918">
        <w:rPr>
          <w:vertAlign w:val="superscript"/>
        </w:rPr>
        <w:t>1</w:t>
      </w:r>
    </w:p>
    <w:tbl>
      <w:tblPr>
        <w:tblW w:w="0" w:type="auto"/>
        <w:tblLayout w:type="fixed"/>
        <w:tblLook w:val="0000" w:firstRow="0" w:lastRow="0" w:firstColumn="0" w:lastColumn="0" w:noHBand="0" w:noVBand="0"/>
      </w:tblPr>
      <w:tblGrid>
        <w:gridCol w:w="6270"/>
        <w:gridCol w:w="1125"/>
        <w:gridCol w:w="1125"/>
        <w:gridCol w:w="1125"/>
      </w:tblGrid>
      <w:tr w:rsidR="000D1659" w:rsidRPr="00491918">
        <w:trPr>
          <w:trHeight w:val="48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sz w:val="24"/>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Half Year Ended</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b/>
                <w:color w:val="000000"/>
                <w:sz w:val="16"/>
              </w:rPr>
              <w:t>Compensation costs</w:t>
            </w:r>
            <w:r w:rsidRPr="00491918">
              <w:rPr>
                <w:b/>
                <w:color w:val="000000"/>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£m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Deferred bonus charge</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FE5C4F">
            <w:pPr>
              <w:jc w:val="right"/>
              <w:rPr>
                <w:color w:val="000000"/>
                <w:sz w:val="16"/>
                <w:vertAlign w:val="superscript"/>
              </w:rPr>
            </w:pPr>
            <w:r w:rsidRPr="00491918">
              <w:rPr>
                <w:color w:val="000000"/>
                <w:sz w:val="16"/>
              </w:rPr>
              <w:t>655</w:t>
            </w:r>
            <w:r w:rsidR="000D1659" w:rsidRPr="00491918">
              <w:rPr>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568 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655 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Current year bonus charges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FE5C4F">
            <w:pPr>
              <w:jc w:val="right"/>
              <w:rPr>
                <w:color w:val="000000"/>
                <w:sz w:val="16"/>
                <w:vertAlign w:val="superscript"/>
              </w:rPr>
            </w:pPr>
            <w:r w:rsidRPr="00491918">
              <w:rPr>
                <w:color w:val="000000"/>
                <w:sz w:val="16"/>
              </w:rPr>
              <w:t>511</w:t>
            </w:r>
            <w:r w:rsidR="000D1659"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328 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539 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Sales commissions, commitments and other incentives</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FE5C4F">
            <w:pPr>
              <w:jc w:val="right"/>
              <w:rPr>
                <w:color w:val="000000"/>
                <w:sz w:val="16"/>
                <w:vertAlign w:val="superscript"/>
              </w:rPr>
            </w:pPr>
            <w:r w:rsidRPr="00491918">
              <w:rPr>
                <w:color w:val="000000"/>
                <w:sz w:val="16"/>
              </w:rPr>
              <w:t>204</w:t>
            </w:r>
            <w:r w:rsidR="000D1659" w:rsidRPr="00491918">
              <w:rPr>
                <w:color w:val="000000"/>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844B98">
            <w:pPr>
              <w:jc w:val="right"/>
              <w:rPr>
                <w:color w:val="000000"/>
                <w:sz w:val="16"/>
              </w:rPr>
            </w:pPr>
            <w:r w:rsidRPr="00491918">
              <w:rPr>
                <w:color w:val="000000"/>
                <w:sz w:val="16"/>
              </w:rPr>
              <w:t>107</w:t>
            </w:r>
            <w:r w:rsidR="000D1659" w:rsidRPr="00491918">
              <w:rPr>
                <w:color w:val="000000"/>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FE5C4F">
            <w:pPr>
              <w:jc w:val="right"/>
              <w:rPr>
                <w:color w:val="000000"/>
                <w:sz w:val="16"/>
              </w:rPr>
            </w:pPr>
            <w:r w:rsidRPr="00491918">
              <w:rPr>
                <w:color w:val="000000"/>
                <w:sz w:val="16"/>
              </w:rPr>
              <w:t>228</w:t>
            </w:r>
            <w:r w:rsidR="000D1659" w:rsidRPr="00491918">
              <w:rPr>
                <w:color w:val="000000"/>
                <w:sz w:val="16"/>
              </w:rPr>
              <w:t>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Performance costs</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FE5C4F">
            <w:pPr>
              <w:jc w:val="right"/>
              <w:rPr>
                <w:color w:val="000000"/>
                <w:sz w:val="16"/>
                <w:vertAlign w:val="superscript"/>
              </w:rPr>
            </w:pPr>
            <w:r w:rsidRPr="00491918">
              <w:rPr>
                <w:b/>
                <w:color w:val="000000"/>
                <w:sz w:val="16"/>
              </w:rPr>
              <w:t>1,370</w:t>
            </w:r>
            <w:r w:rsidR="000D1659"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44B98">
            <w:pPr>
              <w:jc w:val="right"/>
              <w:rPr>
                <w:b/>
                <w:color w:val="000000"/>
                <w:sz w:val="16"/>
              </w:rPr>
            </w:pPr>
            <w:r w:rsidRPr="00491918">
              <w:rPr>
                <w:b/>
                <w:color w:val="000000"/>
                <w:sz w:val="16"/>
              </w:rPr>
              <w:t>1,003</w:t>
            </w:r>
            <w:r w:rsidR="000D1659"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FE5C4F">
            <w:pPr>
              <w:jc w:val="right"/>
              <w:rPr>
                <w:b/>
                <w:color w:val="000000"/>
                <w:sz w:val="16"/>
              </w:rPr>
            </w:pPr>
            <w:r w:rsidRPr="00491918">
              <w:rPr>
                <w:b/>
                <w:color w:val="000000"/>
                <w:sz w:val="16"/>
              </w:rPr>
              <w:t>1,422</w:t>
            </w:r>
            <w:r w:rsidR="000D1659" w:rsidRPr="00491918">
              <w:rPr>
                <w:b/>
                <w:color w:val="000000"/>
                <w:sz w:val="16"/>
              </w:rPr>
              <w:t>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Salaries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2,703 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FE5C4F">
            <w:pPr>
              <w:jc w:val="right"/>
              <w:rPr>
                <w:color w:val="000000"/>
                <w:sz w:val="16"/>
              </w:rPr>
            </w:pPr>
            <w:r w:rsidRPr="00491918">
              <w:rPr>
                <w:color w:val="000000"/>
                <w:sz w:val="16"/>
              </w:rPr>
              <w:t>2,606</w:t>
            </w:r>
            <w:r w:rsidR="000D1659"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FE5C4F">
            <w:pPr>
              <w:jc w:val="right"/>
              <w:rPr>
                <w:color w:val="000000"/>
                <w:sz w:val="16"/>
              </w:rPr>
            </w:pPr>
            <w:r w:rsidRPr="00491918">
              <w:rPr>
                <w:color w:val="000000"/>
                <w:sz w:val="16"/>
              </w:rPr>
              <w:t>2,648</w:t>
            </w:r>
            <w:r w:rsidR="000D1659" w:rsidRPr="00491918">
              <w:rPr>
                <w:color w:val="000000"/>
                <w:sz w:val="16"/>
              </w:rPr>
              <w:t>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Social security costs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376 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31</w:t>
            </w:r>
            <w:r w:rsidR="00844B98" w:rsidRPr="00491918">
              <w:rPr>
                <w:color w:val="000000"/>
                <w:sz w:val="16"/>
              </w:rPr>
              <w:t>6</w:t>
            </w: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FE5C4F">
            <w:pPr>
              <w:jc w:val="right"/>
              <w:rPr>
                <w:color w:val="000000"/>
                <w:sz w:val="16"/>
              </w:rPr>
            </w:pPr>
            <w:r w:rsidRPr="00491918">
              <w:rPr>
                <w:color w:val="000000"/>
                <w:sz w:val="16"/>
              </w:rPr>
              <w:t>369</w:t>
            </w:r>
            <w:r w:rsidR="000D1659" w:rsidRPr="00491918">
              <w:rPr>
                <w:color w:val="000000"/>
                <w:sz w:val="16"/>
              </w:rPr>
              <w:t>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Post retirement benefits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348 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342 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Allowances and trading incentives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163 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156 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106 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 compensation costs</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FE5C4F">
            <w:pPr>
              <w:jc w:val="right"/>
              <w:rPr>
                <w:color w:val="000000"/>
                <w:sz w:val="16"/>
                <w:vertAlign w:val="superscript"/>
              </w:rPr>
            </w:pPr>
            <w:r w:rsidRPr="00491918">
              <w:rPr>
                <w:color w:val="000000"/>
                <w:sz w:val="16"/>
              </w:rPr>
              <w:t>190</w:t>
            </w:r>
            <w:r w:rsidR="000D1659" w:rsidRPr="00491918">
              <w:rPr>
                <w:color w:val="000000"/>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844B98">
            <w:pPr>
              <w:jc w:val="right"/>
              <w:rPr>
                <w:color w:val="000000"/>
                <w:sz w:val="16"/>
              </w:rPr>
            </w:pPr>
            <w:r w:rsidRPr="00491918">
              <w:rPr>
                <w:color w:val="000000"/>
                <w:sz w:val="16"/>
              </w:rPr>
              <w:t>239</w:t>
            </w:r>
            <w:r w:rsidR="000D1659" w:rsidRPr="00491918">
              <w:rPr>
                <w:color w:val="000000"/>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FE5C4F">
            <w:pPr>
              <w:jc w:val="right"/>
              <w:rPr>
                <w:color w:val="000000"/>
                <w:sz w:val="16"/>
              </w:rPr>
            </w:pPr>
            <w:r w:rsidRPr="00491918">
              <w:rPr>
                <w:color w:val="000000"/>
                <w:sz w:val="16"/>
              </w:rPr>
              <w:t>282</w:t>
            </w:r>
            <w:r w:rsidR="000D1659" w:rsidRPr="00491918">
              <w:rPr>
                <w:color w:val="000000"/>
                <w:sz w:val="16"/>
              </w:rPr>
              <w:t>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compensation costs</w:t>
            </w:r>
            <w:r w:rsidRPr="00491918">
              <w:rPr>
                <w:b/>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5,150 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rPr>
            </w:pPr>
            <w:r w:rsidRPr="00491918">
              <w:rPr>
                <w:b/>
                <w:color w:val="000000"/>
                <w:sz w:val="16"/>
              </w:rPr>
              <w:t>4,59</w:t>
            </w:r>
            <w:r w:rsidR="00844B98" w:rsidRPr="00491918">
              <w:rPr>
                <w:b/>
                <w:color w:val="000000"/>
                <w:sz w:val="16"/>
              </w:rPr>
              <w:t>0</w:t>
            </w:r>
            <w:r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rsidP="00844B98">
            <w:pPr>
              <w:jc w:val="right"/>
              <w:rPr>
                <w:b/>
                <w:color w:val="000000"/>
                <w:sz w:val="16"/>
              </w:rPr>
            </w:pPr>
            <w:r w:rsidRPr="00491918">
              <w:rPr>
                <w:b/>
                <w:color w:val="000000"/>
                <w:sz w:val="16"/>
              </w:rPr>
              <w:t>5,16</w:t>
            </w:r>
            <w:r w:rsidR="00844B98" w:rsidRPr="00491918">
              <w:rPr>
                <w:b/>
                <w:color w:val="000000"/>
                <w:sz w:val="16"/>
              </w:rPr>
              <w:t>9</w:t>
            </w:r>
            <w:r w:rsidRPr="00491918">
              <w:rPr>
                <w:b/>
                <w:color w:val="000000"/>
                <w:sz w:val="16"/>
              </w:rPr>
              <w:t> </w:t>
            </w:r>
          </w:p>
        </w:tc>
      </w:tr>
      <w:tr w:rsidR="000D1659" w:rsidRPr="0049191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Other resourcing costs</w:t>
            </w:r>
            <w:r w:rsidRPr="00491918">
              <w:rPr>
                <w:b/>
                <w:color w:val="000000"/>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Outsourcing</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522 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551 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448 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Redundancy and restructuring</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383 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Temporary staff costs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281 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210 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95 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rsidP="00844B98">
            <w:pPr>
              <w:jc w:val="right"/>
              <w:rPr>
                <w:color w:val="000000"/>
                <w:sz w:val="16"/>
              </w:rPr>
            </w:pPr>
            <w:r w:rsidRPr="00491918">
              <w:rPr>
                <w:color w:val="000000"/>
                <w:sz w:val="16"/>
              </w:rPr>
              <w:t>9</w:t>
            </w:r>
            <w:r w:rsidR="00844B98" w:rsidRPr="00491918">
              <w:rPr>
                <w:color w:val="000000"/>
                <w:sz w:val="16"/>
              </w:rPr>
              <w:t>9</w:t>
            </w:r>
            <w:r w:rsidRPr="00491918">
              <w:rPr>
                <w:color w:val="000000"/>
                <w:sz w:val="16"/>
              </w:rPr>
              <w:t>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FE5C4F">
            <w:pPr>
              <w:jc w:val="right"/>
              <w:rPr>
                <w:color w:val="000000"/>
                <w:sz w:val="16"/>
              </w:rPr>
            </w:pPr>
            <w:r w:rsidRPr="00491918">
              <w:rPr>
                <w:color w:val="000000"/>
                <w:sz w:val="16"/>
              </w:rPr>
              <w:t>61</w:t>
            </w:r>
            <w:r w:rsidR="000D1659" w:rsidRPr="00491918">
              <w:rPr>
                <w:color w:val="000000"/>
                <w:sz w:val="16"/>
              </w:rPr>
              <w:t>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Total other resourcing costs </w:t>
            </w:r>
            <w:r w:rsidRPr="00491918">
              <w:rPr>
                <w:b/>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1,281 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844B98">
            <w:pPr>
              <w:jc w:val="right"/>
              <w:rPr>
                <w:b/>
                <w:color w:val="000000"/>
                <w:sz w:val="16"/>
              </w:rPr>
            </w:pPr>
            <w:r w:rsidRPr="00491918">
              <w:rPr>
                <w:b/>
                <w:color w:val="000000"/>
                <w:sz w:val="16"/>
              </w:rPr>
              <w:t>932</w:t>
            </w:r>
            <w:r w:rsidR="000D1659" w:rsidRPr="00491918">
              <w:rPr>
                <w:b/>
                <w:color w:val="000000"/>
                <w:sz w:val="16"/>
              </w:rPr>
              <w:t>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FE5C4F">
            <w:pPr>
              <w:jc w:val="right"/>
              <w:rPr>
                <w:b/>
                <w:color w:val="000000"/>
                <w:sz w:val="16"/>
              </w:rPr>
            </w:pPr>
            <w:r w:rsidRPr="00491918">
              <w:rPr>
                <w:b/>
                <w:color w:val="000000"/>
                <w:sz w:val="16"/>
              </w:rPr>
              <w:t>776</w:t>
            </w:r>
            <w:r w:rsidR="000D1659" w:rsidRPr="00491918">
              <w:rPr>
                <w:b/>
                <w:color w:val="000000"/>
                <w:sz w:val="16"/>
              </w:rPr>
              <w:t> </w:t>
            </w:r>
          </w:p>
        </w:tc>
      </w:tr>
      <w:tr w:rsidR="000D1659" w:rsidRPr="00491918">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vertAlign w:val="superscript"/>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staff costs</w:t>
            </w:r>
            <w:r w:rsidRPr="00491918">
              <w:rPr>
                <w:b/>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rPr>
            </w:pPr>
            <w:r w:rsidRPr="00491918">
              <w:rPr>
                <w:b/>
                <w:color w:val="000000"/>
                <w:sz w:val="16"/>
              </w:rPr>
              <w:t>6,431 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5,522 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5,945 </w:t>
            </w:r>
          </w:p>
        </w:tc>
      </w:tr>
      <w:tr w:rsidR="000D1659" w:rsidRPr="00491918">
        <w:trPr>
          <w:trHeight w:hRule="exac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vertAlign w:val="superscript"/>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 xml:space="preserve">Total employees </w:t>
            </w:r>
            <w:r w:rsidRPr="00491918">
              <w:rPr>
                <w:color w:val="000000"/>
                <w:sz w:val="16"/>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vertAlign w:val="superscript"/>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 xml:space="preserve">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Full time equivalent</w:t>
            </w:r>
            <w:r w:rsidRPr="00491918">
              <w:rPr>
                <w:color w:val="000000"/>
                <w:sz w:val="16"/>
                <w:vertAlign w:val="superscript"/>
              </w:rPr>
              <w:t xml:space="preserve"> </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rPr>
            </w:pPr>
            <w:r w:rsidRPr="00491918">
              <w:rPr>
                <w:b/>
                <w:color w:val="000000"/>
                <w:sz w:val="16"/>
              </w:rPr>
              <w:t>139,900 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color w:val="000000"/>
                <w:sz w:val="16"/>
              </w:rPr>
              <w:t>139,200 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139,000 </w:t>
            </w:r>
          </w:p>
        </w:tc>
      </w:tr>
    </w:tbl>
    <w:p w:rsidR="000D1659" w:rsidRPr="00491918" w:rsidRDefault="000D1659">
      <w:pPr>
        <w:rPr>
          <w:sz w:val="24"/>
        </w:rPr>
      </w:pPr>
    </w:p>
    <w:p w:rsidR="000D1659" w:rsidRPr="00491918" w:rsidRDefault="000D1659" w:rsidP="000D1659">
      <w:pPr>
        <w:pStyle w:val="Level1Bullet-BarcRA390"/>
        <w:rPr>
          <w:szCs w:val="18"/>
          <w:lang w:val="en-GB"/>
        </w:rPr>
      </w:pPr>
      <w:r w:rsidRPr="00491918">
        <w:rPr>
          <w:szCs w:val="18"/>
          <w:lang w:val="en-GB"/>
        </w:rPr>
        <w:t>Total staff costs increased 8% to £6,431m, principally reflecting £383m redundancy and restructuring costs across Europe RBB and the Investment Bank as part of Transform.</w:t>
      </w:r>
    </w:p>
    <w:p w:rsidR="000D1659" w:rsidRPr="00491918" w:rsidRDefault="000D1659" w:rsidP="000D1659">
      <w:pPr>
        <w:pStyle w:val="Level1Bullet-BarcRA390"/>
        <w:rPr>
          <w:szCs w:val="18"/>
          <w:lang w:val="en-GB"/>
        </w:rPr>
      </w:pPr>
      <w:r w:rsidRPr="00491918">
        <w:rPr>
          <w:szCs w:val="18"/>
          <w:lang w:val="en-GB"/>
        </w:rPr>
        <w:t>Group compensation costs were broadly stable at £5,150m (2012: £5,1</w:t>
      </w:r>
      <w:r w:rsidR="00844B98" w:rsidRPr="00491918">
        <w:rPr>
          <w:szCs w:val="18"/>
          <w:lang w:val="en-GB"/>
        </w:rPr>
        <w:t>69</w:t>
      </w:r>
      <w:r w:rsidRPr="00491918">
        <w:rPr>
          <w:szCs w:val="18"/>
          <w:lang w:val="en-GB"/>
        </w:rPr>
        <w:t xml:space="preserve">m) with the Group compensation: </w:t>
      </w:r>
      <w:r w:rsidR="00FE5C4F" w:rsidRPr="00491918">
        <w:rPr>
          <w:szCs w:val="18"/>
          <w:lang w:val="en-GB"/>
        </w:rPr>
        <w:t xml:space="preserve">adjusted net operating </w:t>
      </w:r>
      <w:r w:rsidRPr="00491918">
        <w:rPr>
          <w:szCs w:val="18"/>
          <w:lang w:val="en-GB"/>
        </w:rPr>
        <w:t>income ratio</w:t>
      </w:r>
      <w:r w:rsidRPr="00491918">
        <w:rPr>
          <w:szCs w:val="18"/>
          <w:vertAlign w:val="superscript"/>
          <w:lang w:val="en-GB"/>
        </w:rPr>
        <w:t xml:space="preserve"> </w:t>
      </w:r>
      <w:r w:rsidRPr="00491918">
        <w:rPr>
          <w:szCs w:val="18"/>
          <w:lang w:val="en-GB"/>
        </w:rPr>
        <w:t>remaining at 38% (</w:t>
      </w:r>
      <w:r w:rsidR="000E4F19" w:rsidRPr="00491918">
        <w:rPr>
          <w:szCs w:val="18"/>
          <w:lang w:val="en-GB"/>
        </w:rPr>
        <w:t>FY12</w:t>
      </w:r>
      <w:r w:rsidRPr="00491918">
        <w:rPr>
          <w:szCs w:val="18"/>
          <w:lang w:val="en-GB"/>
        </w:rPr>
        <w:t xml:space="preserve">: 38%; </w:t>
      </w:r>
      <w:r w:rsidR="00391981" w:rsidRPr="00491918">
        <w:rPr>
          <w:szCs w:val="18"/>
          <w:lang w:val="en-GB"/>
        </w:rPr>
        <w:t>H1</w:t>
      </w:r>
      <w:r w:rsidRPr="00491918">
        <w:rPr>
          <w:szCs w:val="18"/>
          <w:lang w:val="en-GB"/>
        </w:rPr>
        <w:t>1</w:t>
      </w:r>
      <w:r w:rsidR="00391981" w:rsidRPr="00491918">
        <w:rPr>
          <w:szCs w:val="18"/>
          <w:lang w:val="en-GB"/>
        </w:rPr>
        <w:t>2</w:t>
      </w:r>
      <w:r w:rsidRPr="00491918">
        <w:rPr>
          <w:szCs w:val="18"/>
          <w:lang w:val="en-GB"/>
        </w:rPr>
        <w:t>: 38%). Group performance costs reduced 4% to £1,</w:t>
      </w:r>
      <w:r w:rsidR="00FE5C4F" w:rsidRPr="00491918">
        <w:rPr>
          <w:szCs w:val="18"/>
          <w:lang w:val="en-GB"/>
        </w:rPr>
        <w:t>370</w:t>
      </w:r>
      <w:r w:rsidRPr="00491918">
        <w:rPr>
          <w:szCs w:val="18"/>
          <w:lang w:val="en-GB"/>
        </w:rPr>
        <w:t>m with the Group current year bonus charge reducing 5% to £</w:t>
      </w:r>
      <w:r w:rsidR="00FE5C4F" w:rsidRPr="00491918">
        <w:rPr>
          <w:szCs w:val="18"/>
          <w:lang w:val="en-GB"/>
        </w:rPr>
        <w:t>511</w:t>
      </w:r>
      <w:r w:rsidRPr="00491918">
        <w:rPr>
          <w:szCs w:val="18"/>
          <w:lang w:val="en-GB"/>
        </w:rPr>
        <w:t xml:space="preserve">m, including £94m of deferred bonus charges accelerated as part of Transform. The deferred bonus charge </w:t>
      </w:r>
      <w:r w:rsidR="00DF44D1" w:rsidRPr="00491918">
        <w:rPr>
          <w:szCs w:val="18"/>
          <w:lang w:val="en-GB"/>
        </w:rPr>
        <w:t xml:space="preserve">for 2013 </w:t>
      </w:r>
      <w:r w:rsidRPr="00491918">
        <w:rPr>
          <w:szCs w:val="18"/>
          <w:lang w:val="en-GB"/>
        </w:rPr>
        <w:t>remained stable</w:t>
      </w:r>
      <w:r w:rsidR="00DF44D1" w:rsidRPr="00491918">
        <w:rPr>
          <w:szCs w:val="18"/>
          <w:lang w:val="en-GB"/>
        </w:rPr>
        <w:t>, and</w:t>
      </w:r>
      <w:r w:rsidR="00FE5C4F" w:rsidRPr="00491918">
        <w:rPr>
          <w:szCs w:val="18"/>
          <w:lang w:val="en-GB"/>
        </w:rPr>
        <w:t xml:space="preserve"> there was</w:t>
      </w:r>
      <w:r w:rsidRPr="00491918">
        <w:rPr>
          <w:szCs w:val="18"/>
          <w:lang w:val="en-GB"/>
        </w:rPr>
        <w:t xml:space="preserve"> an expected charge of £1.2bn (2012: £1.7bn) relating to future periods for bonus awards granted but not yet expensed as at 30 June 2013.</w:t>
      </w:r>
    </w:p>
    <w:p w:rsidR="000D1659" w:rsidRPr="00491918" w:rsidRDefault="000D1659" w:rsidP="000D1659">
      <w:pPr>
        <w:pStyle w:val="Level1Bullet-BarcRA390"/>
        <w:rPr>
          <w:szCs w:val="18"/>
          <w:lang w:val="en-GB"/>
        </w:rPr>
      </w:pPr>
      <w:r w:rsidRPr="00491918">
        <w:rPr>
          <w:szCs w:val="18"/>
          <w:lang w:val="en-GB"/>
        </w:rPr>
        <w:t>Investment Bank compensation costs were £2,542m (2012: £2,579m) with the Investment Bank compensation: income ratio remaining stable at 39% (</w:t>
      </w:r>
      <w:r w:rsidR="000E4F19" w:rsidRPr="00491918">
        <w:rPr>
          <w:szCs w:val="18"/>
          <w:lang w:val="en-GB"/>
        </w:rPr>
        <w:t>FY12</w:t>
      </w:r>
      <w:r w:rsidR="00844B98" w:rsidRPr="00491918">
        <w:rPr>
          <w:szCs w:val="18"/>
          <w:lang w:val="en-GB"/>
        </w:rPr>
        <w:t>: 40</w:t>
      </w:r>
      <w:r w:rsidRPr="00491918">
        <w:rPr>
          <w:szCs w:val="18"/>
          <w:lang w:val="en-GB"/>
        </w:rPr>
        <w:t xml:space="preserve">%; </w:t>
      </w:r>
      <w:r w:rsidR="000E4F19" w:rsidRPr="00491918">
        <w:rPr>
          <w:szCs w:val="18"/>
          <w:lang w:val="en-GB"/>
        </w:rPr>
        <w:t>H112</w:t>
      </w:r>
      <w:r w:rsidRPr="00491918">
        <w:rPr>
          <w:szCs w:val="18"/>
          <w:lang w:val="en-GB"/>
        </w:rPr>
        <w:t xml:space="preserve">: 40%). Investment Bank performance costs reduced </w:t>
      </w:r>
      <w:r w:rsidR="00FE5C4F" w:rsidRPr="00491918">
        <w:rPr>
          <w:szCs w:val="18"/>
          <w:lang w:val="en-GB"/>
        </w:rPr>
        <w:t>3</w:t>
      </w:r>
      <w:r w:rsidRPr="00491918">
        <w:rPr>
          <w:szCs w:val="18"/>
          <w:lang w:val="en-GB"/>
        </w:rPr>
        <w:t xml:space="preserve">% to £1,009m, compared to a </w:t>
      </w:r>
      <w:r w:rsidR="00FE5C4F" w:rsidRPr="00491918">
        <w:rPr>
          <w:szCs w:val="18"/>
          <w:lang w:val="en-GB"/>
        </w:rPr>
        <w:t>7</w:t>
      </w:r>
      <w:r w:rsidRPr="00491918">
        <w:rPr>
          <w:szCs w:val="18"/>
          <w:lang w:val="en-GB"/>
        </w:rPr>
        <w:t>% increase in profit before tax.</w:t>
      </w:r>
    </w:p>
    <w:p w:rsidR="000D1659" w:rsidRPr="00491918" w:rsidRDefault="000D1659" w:rsidP="000D1659">
      <w:pPr>
        <w:pStyle w:val="Level1Bullet-BarcRA390"/>
        <w:rPr>
          <w:szCs w:val="18"/>
          <w:lang w:val="en-GB"/>
        </w:rPr>
      </w:pPr>
      <w:r w:rsidRPr="00491918">
        <w:rPr>
          <w:szCs w:val="18"/>
          <w:lang w:val="en-GB"/>
        </w:rPr>
        <w:t>No awards have yet been granted in relation to the 2013 bonus pool as decisions regarding incentive awards are not taken by the Remuneration Committee until the performance for the full year can be assessed. The current year bonus charge for the first six months represents an accrual for estimated costs in accordance with accounting requirements.</w:t>
      </w:r>
    </w:p>
    <w:p w:rsidR="000D1659" w:rsidRPr="00491918" w:rsidRDefault="000D1659" w:rsidP="000D1659">
      <w:pPr>
        <w:pStyle w:val="Level1Bullet-BarcRA390"/>
        <w:spacing w:before="140" w:after="140"/>
        <w:rPr>
          <w:lang w:val="en-GB"/>
        </w:rPr>
      </w:pPr>
      <w:r w:rsidRPr="00491918">
        <w:rPr>
          <w:lang w:val="en-GB"/>
        </w:rPr>
        <w:t>Other re</w:t>
      </w:r>
      <w:r w:rsidR="00FE5C4F" w:rsidRPr="00491918">
        <w:rPr>
          <w:lang w:val="en-GB"/>
        </w:rPr>
        <w:t>sourcing costs increased by £505</w:t>
      </w:r>
      <w:r w:rsidRPr="00491918">
        <w:rPr>
          <w:lang w:val="en-GB"/>
        </w:rPr>
        <w:t xml:space="preserve">m </w:t>
      </w:r>
      <w:r w:rsidR="00FE5C4F" w:rsidRPr="00491918">
        <w:rPr>
          <w:lang w:val="en-GB"/>
        </w:rPr>
        <w:t>to £1,281m primarily due to £383</w:t>
      </w:r>
      <w:r w:rsidRPr="00491918">
        <w:rPr>
          <w:lang w:val="en-GB"/>
        </w:rPr>
        <w:t xml:space="preserve">m of redundancy and restructuring costs relating to Costs to Achieve Transform. </w:t>
      </w:r>
    </w:p>
    <w:p w:rsidR="000D1659" w:rsidRPr="00491918" w:rsidRDefault="000D1659" w:rsidP="000D1659">
      <w:pPr>
        <w:pStyle w:val="Level1Bullet-BarcRA390"/>
        <w:spacing w:before="140" w:after="140"/>
        <w:rPr>
          <w:lang w:val="en-GB"/>
        </w:rPr>
      </w:pPr>
    </w:p>
    <w:p w:rsidR="00D4757C" w:rsidRPr="00491918" w:rsidRDefault="00D4757C" w:rsidP="000D1659">
      <w:pPr>
        <w:pStyle w:val="Level1Bullet-BarcRA390"/>
        <w:spacing w:before="140" w:after="140"/>
        <w:rPr>
          <w:lang w:val="en-GB"/>
        </w:rPr>
      </w:pPr>
    </w:p>
    <w:p w:rsidR="004016B0" w:rsidRPr="00491918" w:rsidRDefault="004016B0" w:rsidP="000D1659">
      <w:pPr>
        <w:pStyle w:val="Level1Bullet-BarcRA390"/>
        <w:spacing w:before="140" w:after="140"/>
        <w:rPr>
          <w:lang w:val="en-GB"/>
        </w:rPr>
      </w:pPr>
    </w:p>
    <w:p w:rsidR="00D4757C" w:rsidRPr="00491918" w:rsidRDefault="00D4757C" w:rsidP="00844B98">
      <w:pPr>
        <w:pStyle w:val="Level1Bullet-BarcRA390"/>
        <w:spacing w:before="0" w:after="0"/>
        <w:rPr>
          <w:lang w:val="en-GB"/>
        </w:rPr>
      </w:pPr>
    </w:p>
    <w:p w:rsidR="00844B98" w:rsidRPr="00491918" w:rsidRDefault="00844B98" w:rsidP="00844B98">
      <w:pPr>
        <w:pStyle w:val="Level1Bullet-BarcRA390"/>
        <w:spacing w:before="0" w:after="0"/>
        <w:rPr>
          <w:lang w:val="en-GB"/>
        </w:rPr>
      </w:pPr>
    </w:p>
    <w:p w:rsidR="00844B98" w:rsidRPr="00491918" w:rsidRDefault="00844B98" w:rsidP="00844B98">
      <w:pPr>
        <w:pStyle w:val="BodyText-BarcRA78"/>
        <w:ind w:left="284" w:hanging="284"/>
        <w:rPr>
          <w:i/>
          <w:sz w:val="14"/>
        </w:rPr>
      </w:pPr>
      <w:r w:rsidRPr="00491918">
        <w:rPr>
          <w:i/>
          <w:sz w:val="14"/>
        </w:rPr>
        <w:t>1</w:t>
      </w:r>
      <w:r w:rsidR="00DF44D1" w:rsidRPr="00491918">
        <w:rPr>
          <w:i/>
          <w:sz w:val="14"/>
        </w:rPr>
        <w:tab/>
      </w:r>
      <w:r w:rsidRPr="00491918">
        <w:rPr>
          <w:i/>
          <w:sz w:val="14"/>
        </w:rPr>
        <w:t xml:space="preserve">For H113 the Group has realigned outsourcing costs from administration and general expenses to staff costs in order to more appropriately reflect the nature and internal management of these costs. The net effect of these movements is to reduce administration and general expenses and increase staff costs by £522m in </w:t>
      </w:r>
      <w:r w:rsidR="000E4F19" w:rsidRPr="00491918">
        <w:rPr>
          <w:i/>
          <w:sz w:val="14"/>
        </w:rPr>
        <w:t>H113</w:t>
      </w:r>
      <w:r w:rsidRPr="00491918">
        <w:rPr>
          <w:i/>
          <w:sz w:val="14"/>
        </w:rPr>
        <w:t xml:space="preserve"> and £448m in </w:t>
      </w:r>
      <w:r w:rsidR="000E4F19" w:rsidRPr="00491918">
        <w:rPr>
          <w:i/>
          <w:sz w:val="14"/>
        </w:rPr>
        <w:t>H112</w:t>
      </w:r>
      <w:r w:rsidRPr="00491918">
        <w:rPr>
          <w:i/>
          <w:sz w:val="14"/>
        </w:rPr>
        <w:t>.</w:t>
      </w:r>
    </w:p>
    <w:p w:rsidR="0007202F" w:rsidRPr="00491918" w:rsidRDefault="0007202F" w:rsidP="00844B98">
      <w:pPr>
        <w:pStyle w:val="BodyText-BarcRA78"/>
        <w:ind w:left="284" w:hanging="284"/>
      </w:pPr>
    </w:p>
    <w:p w:rsidR="0007202F" w:rsidRPr="00491918" w:rsidRDefault="0007202F" w:rsidP="00D4757C">
      <w:pPr>
        <w:pStyle w:val="HeadingLevel1-BarcRA51"/>
        <w:rPr>
          <w:lang w:val="en-GB"/>
        </w:rPr>
      </w:pPr>
    </w:p>
    <w:p w:rsidR="0007202F" w:rsidRPr="00491918" w:rsidRDefault="0007202F" w:rsidP="0007202F">
      <w:pPr>
        <w:pStyle w:val="HeadingLevel1-BarcRA49"/>
      </w:pPr>
      <w:r w:rsidRPr="00491918">
        <w:t>Financial Statement Notes</w:t>
      </w:r>
    </w:p>
    <w:p w:rsidR="000D1659" w:rsidRPr="00491918" w:rsidRDefault="000D1659" w:rsidP="00D4757C">
      <w:pPr>
        <w:pStyle w:val="HeadingLevel1-BarcRA51"/>
      </w:pPr>
      <w:r w:rsidRPr="00491918">
        <w:lastRenderedPageBreak/>
        <w:t>4.  Administration and General Expenses</w:t>
      </w:r>
      <w:r w:rsidRPr="00491918">
        <w:rPr>
          <w:vertAlign w:val="superscript"/>
        </w:rPr>
        <w:t>1</w:t>
      </w:r>
    </w:p>
    <w:tbl>
      <w:tblPr>
        <w:tblW w:w="0" w:type="auto"/>
        <w:tblLayout w:type="fixed"/>
        <w:tblLook w:val="0000" w:firstRow="0" w:lastRow="0" w:firstColumn="0" w:lastColumn="0" w:noHBand="0" w:noVBand="0"/>
      </w:tblPr>
      <w:tblGrid>
        <w:gridCol w:w="6270"/>
        <w:gridCol w:w="1125"/>
        <w:gridCol w:w="1125"/>
        <w:gridCol w:w="1125"/>
      </w:tblGrid>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sz w:val="24"/>
                <w:lang w:val="en-GB"/>
              </w:rPr>
            </w:pPr>
            <w:r w:rsidRPr="00491918">
              <w:rPr>
                <w:color w:val="000000"/>
                <w:sz w:val="16"/>
                <w:lang w:val="en-GB"/>
              </w:rPr>
              <w:t xml:space="preserve"> </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b/>
                <w:color w:val="000000"/>
                <w:sz w:val="16"/>
                <w:lang w:val="en-GB"/>
              </w:rPr>
              <w:t>Half Year  Ended</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Half Year  Ended</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Half Year  Ended</w:t>
            </w:r>
          </w:p>
        </w:tc>
      </w:tr>
      <w:tr w:rsidR="000D1659" w:rsidRPr="00491918">
        <w:trPr>
          <w:trHeight w:val="255"/>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30.06.13</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31.12.12</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30.06.12</w:t>
            </w:r>
          </w:p>
        </w:tc>
      </w:tr>
      <w:tr w:rsidR="000D1659" w:rsidRPr="00491918">
        <w:trPr>
          <w:trHeight w:val="240"/>
        </w:trPr>
        <w:tc>
          <w:tcPr>
            <w:tcW w:w="6270"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2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color w:val="000000"/>
                <w:sz w:val="16"/>
                <w:lang w:val="en-GB"/>
              </w:rPr>
              <w:t xml:space="preserve">£m </w:t>
            </w:r>
          </w:p>
        </w:tc>
        <w:tc>
          <w:tcPr>
            <w:tcW w:w="112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£m </w:t>
            </w:r>
          </w:p>
        </w:tc>
        <w:tc>
          <w:tcPr>
            <w:tcW w:w="1125" w:type="dxa"/>
            <w:tcBorders>
              <w:top w:val="nil"/>
              <w:left w:val="nil"/>
              <w:bottom w:val="single" w:sz="6" w:space="0" w:color="B2B2B2"/>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£m </w:t>
            </w:r>
          </w:p>
        </w:tc>
      </w:tr>
      <w:tr w:rsidR="000D1659" w:rsidRPr="00491918">
        <w:trPr>
          <w:trHeight w:val="240"/>
        </w:trPr>
        <w:tc>
          <w:tcPr>
            <w:tcW w:w="627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Infrastructure costs</w:t>
            </w:r>
            <w:r w:rsidRPr="00491918">
              <w:rPr>
                <w:b/>
                <w:color w:val="000000"/>
                <w:sz w:val="16"/>
                <w:vertAlign w:val="superscript"/>
                <w:lang w:val="en-GB"/>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1125" w:type="dxa"/>
            <w:tcBorders>
              <w:top w:val="single" w:sz="6" w:space="0" w:color="B2B2B2"/>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c>
          <w:tcPr>
            <w:tcW w:w="1125" w:type="dxa"/>
            <w:tcBorders>
              <w:top w:val="single" w:sz="6" w:space="0" w:color="B2B2B2"/>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Property and equipment</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899 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764 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892 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Depreciation of property, plant and equipment</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331 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332 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337 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Operating lease rentals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320 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315 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307 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Amortisation of intangible assets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234 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224 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211 </w:t>
            </w:r>
          </w:p>
        </w:tc>
      </w:tr>
      <w:tr w:rsidR="000D1659" w:rsidRPr="00491918">
        <w:trPr>
          <w:trHeight w:val="240"/>
        </w:trPr>
        <w:tc>
          <w:tcPr>
            <w:tcW w:w="627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Impairment of property, equipment and intangible assets</w:t>
            </w:r>
            <w:r w:rsidRPr="00491918">
              <w:rPr>
                <w:color w:val="000000"/>
                <w:sz w:val="16"/>
                <w:vertAlign w:val="superscript"/>
                <w:lang w:val="en-GB"/>
              </w:rPr>
              <w:t xml:space="preserve"> </w:t>
            </w:r>
          </w:p>
        </w:tc>
        <w:tc>
          <w:tcPr>
            <w:tcW w:w="1125" w:type="dxa"/>
            <w:tcBorders>
              <w:top w:val="nil"/>
              <w:left w:val="nil"/>
              <w:bottom w:val="single" w:sz="6" w:space="0" w:color="B2B2B2"/>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48 </w:t>
            </w:r>
          </w:p>
        </w:tc>
        <w:tc>
          <w:tcPr>
            <w:tcW w:w="1125"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14 </w:t>
            </w:r>
          </w:p>
        </w:tc>
        <w:tc>
          <w:tcPr>
            <w:tcW w:w="1125"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3 </w:t>
            </w:r>
          </w:p>
        </w:tc>
      </w:tr>
      <w:tr w:rsidR="000D1659" w:rsidRPr="00491918">
        <w:trPr>
          <w:trHeight w:val="240"/>
        </w:trPr>
        <w:tc>
          <w:tcPr>
            <w:tcW w:w="6270"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infrastructure costs</w:t>
            </w:r>
            <w:r w:rsidRPr="00491918">
              <w:rPr>
                <w:b/>
                <w:color w:val="000000"/>
                <w:sz w:val="16"/>
                <w:vertAlign w:val="superscript"/>
                <w:lang w:val="en-GB"/>
              </w:rPr>
              <w:t xml:space="preserve"> </w:t>
            </w:r>
          </w:p>
        </w:tc>
        <w:tc>
          <w:tcPr>
            <w:tcW w:w="1125" w:type="dxa"/>
            <w:tcBorders>
              <w:top w:val="single" w:sz="6" w:space="0" w:color="B2B2B2"/>
              <w:left w:val="nil"/>
              <w:bottom w:val="single" w:sz="6" w:space="0" w:color="B2B2B2"/>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1,832 </w:t>
            </w:r>
          </w:p>
        </w:tc>
        <w:tc>
          <w:tcPr>
            <w:tcW w:w="1125"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1,649 </w:t>
            </w:r>
          </w:p>
        </w:tc>
        <w:tc>
          <w:tcPr>
            <w:tcW w:w="1125"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1,750 </w:t>
            </w:r>
          </w:p>
        </w:tc>
      </w:tr>
      <w:tr w:rsidR="000D1659" w:rsidRPr="00491918">
        <w:trPr>
          <w:trHeight w:hRule="exact" w:val="240"/>
        </w:trPr>
        <w:tc>
          <w:tcPr>
            <w:tcW w:w="627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25" w:type="dxa"/>
            <w:tcBorders>
              <w:top w:val="single" w:sz="6" w:space="0" w:color="B2B2B2"/>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25"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Other costs</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color w:val="000000"/>
                <w:sz w:val="16"/>
                <w:lang w:val="en-GB"/>
              </w:rPr>
              <w:t>Consultancy, legal and professional fees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541 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606 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576 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Subscriptions, publications, stationery and communications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390 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360 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367 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Marketing, advertising and sponsorship</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257 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315 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257 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Travel and accommodation</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153 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167 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157 </w:t>
            </w:r>
          </w:p>
        </w:tc>
      </w:tr>
      <w:tr w:rsidR="000D1659" w:rsidRPr="00491918">
        <w:trPr>
          <w:trHeight w:val="240"/>
        </w:trPr>
        <w:tc>
          <w:tcPr>
            <w:tcW w:w="6270"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color w:val="000000"/>
                <w:sz w:val="16"/>
                <w:lang w:val="en-GB"/>
              </w:rPr>
              <w:t>Other administration and general expenses</w:t>
            </w:r>
            <w:r w:rsidRPr="00491918">
              <w:rPr>
                <w:color w:val="000000"/>
                <w:sz w:val="16"/>
                <w:vertAlign w:val="superscript"/>
                <w:lang w:val="en-GB"/>
              </w:rPr>
              <w:t xml:space="preserve"> </w:t>
            </w:r>
          </w:p>
        </w:tc>
        <w:tc>
          <w:tcPr>
            <w:tcW w:w="1125" w:type="dxa"/>
            <w:tcBorders>
              <w:top w:val="nil"/>
              <w:left w:val="nil"/>
              <w:bottom w:val="single" w:sz="6" w:space="0" w:color="B2B2B2"/>
              <w:right w:val="nil"/>
            </w:tcBorders>
            <w:shd w:val="clear" w:color="auto" w:fill="EAEAEA"/>
            <w:tcMar>
              <w:left w:w="36" w:type="dxa"/>
              <w:right w:w="36" w:type="dxa"/>
            </w:tcMar>
            <w:vAlign w:val="center"/>
          </w:tcPr>
          <w:p w:rsidR="000D1659" w:rsidRPr="00491918" w:rsidRDefault="000D1659">
            <w:pPr>
              <w:jc w:val="right"/>
              <w:rPr>
                <w:color w:val="000000"/>
                <w:sz w:val="16"/>
                <w:vertAlign w:val="superscript"/>
                <w:lang w:val="en-GB"/>
              </w:rPr>
            </w:pPr>
            <w:r w:rsidRPr="00491918">
              <w:rPr>
                <w:color w:val="000000"/>
                <w:sz w:val="16"/>
                <w:lang w:val="en-GB"/>
              </w:rPr>
              <w:t>177 </w:t>
            </w:r>
          </w:p>
        </w:tc>
        <w:tc>
          <w:tcPr>
            <w:tcW w:w="1125"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78 </w:t>
            </w:r>
          </w:p>
        </w:tc>
        <w:tc>
          <w:tcPr>
            <w:tcW w:w="1125" w:type="dxa"/>
            <w:tcBorders>
              <w:top w:val="nil"/>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color w:val="000000"/>
                <w:sz w:val="16"/>
                <w:lang w:val="en-GB"/>
              </w:rPr>
            </w:pPr>
            <w:r w:rsidRPr="00491918">
              <w:rPr>
                <w:color w:val="000000"/>
                <w:sz w:val="16"/>
                <w:lang w:val="en-GB"/>
              </w:rPr>
              <w:t xml:space="preserve"> 468 </w:t>
            </w:r>
          </w:p>
        </w:tc>
      </w:tr>
      <w:tr w:rsidR="000D1659" w:rsidRPr="00491918">
        <w:trPr>
          <w:trHeight w:val="240"/>
        </w:trPr>
        <w:tc>
          <w:tcPr>
            <w:tcW w:w="6270"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rPr>
                <w:color w:val="000000"/>
                <w:sz w:val="16"/>
                <w:lang w:val="en-GB"/>
              </w:rPr>
            </w:pPr>
            <w:r w:rsidRPr="00491918">
              <w:rPr>
                <w:b/>
                <w:color w:val="000000"/>
                <w:sz w:val="16"/>
                <w:lang w:val="en-GB"/>
              </w:rPr>
              <w:t>Total other costs</w:t>
            </w:r>
            <w:r w:rsidRPr="00491918">
              <w:rPr>
                <w:b/>
                <w:color w:val="000000"/>
                <w:sz w:val="16"/>
                <w:vertAlign w:val="superscript"/>
                <w:lang w:val="en-GB"/>
              </w:rPr>
              <w:t xml:space="preserve"> </w:t>
            </w:r>
          </w:p>
        </w:tc>
        <w:tc>
          <w:tcPr>
            <w:tcW w:w="1125" w:type="dxa"/>
            <w:tcBorders>
              <w:top w:val="single" w:sz="6" w:space="0" w:color="B2B2B2"/>
              <w:left w:val="nil"/>
              <w:bottom w:val="single" w:sz="6" w:space="0" w:color="B2B2B2"/>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1,518 </w:t>
            </w:r>
          </w:p>
        </w:tc>
        <w:tc>
          <w:tcPr>
            <w:tcW w:w="1125"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1,526 </w:t>
            </w:r>
          </w:p>
        </w:tc>
        <w:tc>
          <w:tcPr>
            <w:tcW w:w="1125"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1,825 </w:t>
            </w:r>
          </w:p>
        </w:tc>
      </w:tr>
      <w:tr w:rsidR="000D1659" w:rsidRPr="00491918">
        <w:trPr>
          <w:trHeight w:hRule="exact" w:val="240"/>
        </w:trPr>
        <w:tc>
          <w:tcPr>
            <w:tcW w:w="6270"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25" w:type="dxa"/>
            <w:tcBorders>
              <w:top w:val="single" w:sz="6" w:space="0" w:color="B2B2B2"/>
              <w:left w:val="nil"/>
              <w:bottom w:val="single" w:sz="6" w:space="0" w:color="B2B2B2"/>
              <w:right w:val="nil"/>
            </w:tcBorders>
            <w:shd w:val="clear" w:color="auto" w:fill="EAEAEA"/>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c>
          <w:tcPr>
            <w:tcW w:w="1125" w:type="dxa"/>
            <w:tcBorders>
              <w:top w:val="single" w:sz="6" w:space="0" w:color="B2B2B2"/>
              <w:left w:val="nil"/>
              <w:bottom w:val="single" w:sz="6" w:space="0" w:color="B2B2B2"/>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w:t>
            </w:r>
          </w:p>
        </w:tc>
      </w:tr>
      <w:tr w:rsidR="000D1659" w:rsidRPr="00491918">
        <w:trPr>
          <w:trHeight w:val="240"/>
        </w:trPr>
        <w:tc>
          <w:tcPr>
            <w:tcW w:w="6270"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rPr>
                <w:b/>
                <w:color w:val="000000"/>
                <w:sz w:val="16"/>
                <w:lang w:val="en-GB"/>
              </w:rPr>
            </w:pPr>
            <w:r w:rsidRPr="00491918">
              <w:rPr>
                <w:b/>
                <w:color w:val="000000"/>
                <w:sz w:val="16"/>
                <w:lang w:val="en-GB"/>
              </w:rPr>
              <w:t>Total administration and general expenses</w:t>
            </w:r>
            <w:r w:rsidRPr="00491918">
              <w:rPr>
                <w:b/>
                <w:color w:val="000000"/>
                <w:sz w:val="16"/>
                <w:vertAlign w:val="superscript"/>
                <w:lang w:val="en-GB"/>
              </w:rPr>
              <w:t xml:space="preserve"> </w:t>
            </w:r>
          </w:p>
        </w:tc>
        <w:tc>
          <w:tcPr>
            <w:tcW w:w="1125"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vertAlign w:val="superscript"/>
                <w:lang w:val="en-GB"/>
              </w:rPr>
            </w:pPr>
            <w:r w:rsidRPr="00491918">
              <w:rPr>
                <w:b/>
                <w:color w:val="000000"/>
                <w:sz w:val="16"/>
                <w:lang w:val="en-GB"/>
              </w:rPr>
              <w:t xml:space="preserve"> 3,350 </w:t>
            </w:r>
          </w:p>
        </w:tc>
        <w:tc>
          <w:tcPr>
            <w:tcW w:w="1125"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3,175 </w:t>
            </w:r>
          </w:p>
        </w:tc>
        <w:tc>
          <w:tcPr>
            <w:tcW w:w="1125" w:type="dxa"/>
            <w:tcBorders>
              <w:top w:val="single" w:sz="6" w:space="0" w:color="B2B2B2"/>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lang w:val="en-GB"/>
              </w:rPr>
            </w:pPr>
            <w:r w:rsidRPr="00491918">
              <w:rPr>
                <w:b/>
                <w:color w:val="000000"/>
                <w:sz w:val="16"/>
                <w:lang w:val="en-GB"/>
              </w:rPr>
              <w:t xml:space="preserve"> 3,575 </w:t>
            </w:r>
          </w:p>
        </w:tc>
      </w:tr>
    </w:tbl>
    <w:p w:rsidR="000D1659" w:rsidRPr="00491918" w:rsidRDefault="000D1659" w:rsidP="000D1659">
      <w:pPr>
        <w:pStyle w:val="BodyText-BarcRA78"/>
      </w:pPr>
      <w:r w:rsidRPr="00491918">
        <w:rPr>
          <w:rFonts w:eastAsia="Calibri"/>
          <w:szCs w:val="18"/>
          <w:lang w:eastAsia="en-GB"/>
        </w:rPr>
        <w:t>Administration and general expenses have reduced 6% to £3,350m (2012: £3,575m) primarily reflecting the non-</w:t>
      </w:r>
      <w:r w:rsidRPr="00491918">
        <w:t>recurrence of the £290m penalty relating to the industry wide investigation into the setting of interbank offered rates, offset by costs to achieve Transform of £160m.</w:t>
      </w:r>
    </w:p>
    <w:p w:rsidR="000D1659" w:rsidRPr="00491918" w:rsidRDefault="000D1659">
      <w:pPr>
        <w:rPr>
          <w:i/>
          <w:sz w:val="14"/>
        </w:rPr>
      </w:pPr>
    </w:p>
    <w:p w:rsidR="000D1659" w:rsidRPr="00491918" w:rsidRDefault="000D1659" w:rsidP="000D1659">
      <w:pPr>
        <w:pStyle w:val="Normal1101"/>
        <w:rPr>
          <w:rFonts w:ascii="Expert Sans Regular" w:hAnsi="Expert Sans Regular"/>
          <w:b/>
          <w:sz w:val="24"/>
          <w:szCs w:val="24"/>
        </w:rPr>
      </w:pPr>
      <w:r w:rsidRPr="00491918">
        <w:rPr>
          <w:rFonts w:ascii="Expert Sans Regular" w:hAnsi="Expert Sans Regular"/>
          <w:b/>
          <w:sz w:val="24"/>
          <w:szCs w:val="24"/>
        </w:rPr>
        <w:t xml:space="preserve">5. </w:t>
      </w:r>
      <w:r w:rsidRPr="00491918">
        <w:rPr>
          <w:rFonts w:ascii="Expert Sans Regular" w:hAnsi="Expert Sans Regular"/>
          <w:b/>
          <w:sz w:val="24"/>
          <w:szCs w:val="24"/>
        </w:rPr>
        <w:tab/>
        <w:t xml:space="preserve">UK Bank Levy </w:t>
      </w:r>
    </w:p>
    <w:p w:rsidR="000D1659" w:rsidRPr="00491918" w:rsidRDefault="000D1659" w:rsidP="000D1659">
      <w:pPr>
        <w:pStyle w:val="Normal490"/>
        <w:autoSpaceDE w:val="0"/>
        <w:autoSpaceDN w:val="0"/>
        <w:adjustRightInd w:val="0"/>
        <w:jc w:val="both"/>
        <w:rPr>
          <w:iCs/>
        </w:rPr>
      </w:pPr>
      <w:r w:rsidRPr="00491918">
        <w:t>UK legislation was enacted in July 2011 to introduce an annual bank levy, which is calculated by reference to the Group’s year end liabilities. The levy resulted in an additional operating expense of £345m for the year ended 31 December 2012. The total cost for 2013 is expected to be approximately £</w:t>
      </w:r>
      <w:r w:rsidRPr="00491918">
        <w:rPr>
          <w:iCs/>
        </w:rPr>
        <w:t>520m, all of which is due to be recognised on 31 December 2013 in accordance with IFRS.</w:t>
      </w:r>
    </w:p>
    <w:p w:rsidR="000D1659" w:rsidRPr="00491918" w:rsidRDefault="000D1659" w:rsidP="000D1659">
      <w:pPr>
        <w:pStyle w:val="Normal490"/>
        <w:autoSpaceDE w:val="0"/>
        <w:autoSpaceDN w:val="0"/>
        <w:adjustRightInd w:val="0"/>
        <w:jc w:val="both"/>
        <w:rPr>
          <w:iCs/>
        </w:rPr>
      </w:pPr>
    </w:p>
    <w:p w:rsidR="000D1659" w:rsidRPr="00491918" w:rsidRDefault="000D1659"/>
    <w:p w:rsidR="000D1659" w:rsidRPr="00491918" w:rsidRDefault="000D1659" w:rsidP="000D1659">
      <w:pPr>
        <w:pStyle w:val="HeadingLevel1-BarcRA51"/>
      </w:pPr>
      <w:r w:rsidRPr="00491918">
        <w:t>6.</w:t>
      </w:r>
      <w:r w:rsidRPr="00491918">
        <w:tab/>
        <w:t>Tax</w:t>
      </w:r>
    </w:p>
    <w:p w:rsidR="000D1659" w:rsidRPr="00491918" w:rsidRDefault="000D1659" w:rsidP="000D1659">
      <w:pPr>
        <w:pStyle w:val="Normal111"/>
        <w:autoSpaceDE w:val="0"/>
        <w:autoSpaceDN w:val="0"/>
        <w:adjustRightInd w:val="0"/>
        <w:jc w:val="both"/>
        <w:rPr>
          <w:szCs w:val="20"/>
        </w:rPr>
      </w:pPr>
      <w:r w:rsidRPr="00491918">
        <w:rPr>
          <w:szCs w:val="20"/>
        </w:rPr>
        <w:t>T</w:t>
      </w:r>
      <w:r w:rsidR="00FE5C4F" w:rsidRPr="00491918">
        <w:rPr>
          <w:szCs w:val="20"/>
        </w:rPr>
        <w:t>he tax charge for H113 was £</w:t>
      </w:r>
      <w:r w:rsidR="005E323A" w:rsidRPr="00491918">
        <w:rPr>
          <w:szCs w:val="20"/>
        </w:rPr>
        <w:t xml:space="preserve">594m </w:t>
      </w:r>
      <w:r w:rsidRPr="00491918">
        <w:rPr>
          <w:szCs w:val="20"/>
        </w:rPr>
        <w:t>(2012: £313m) representing an effective tax rate of 3</w:t>
      </w:r>
      <w:r w:rsidR="005E323A" w:rsidRPr="00491918">
        <w:rPr>
          <w:szCs w:val="20"/>
        </w:rPr>
        <w:t>5.4</w:t>
      </w:r>
      <w:r w:rsidRPr="00491918">
        <w:rPr>
          <w:szCs w:val="20"/>
        </w:rPr>
        <w:t>% (2012: 35.9%). The effective tax ra</w:t>
      </w:r>
      <w:r w:rsidR="0038365D" w:rsidRPr="00491918">
        <w:rPr>
          <w:szCs w:val="20"/>
        </w:rPr>
        <w:t>te for both periods is higher than</w:t>
      </w:r>
      <w:r w:rsidRPr="00491918">
        <w:rPr>
          <w:szCs w:val="20"/>
        </w:rPr>
        <w:t xml:space="preserve"> the UK tax rate of 23.25% (2012: 24.5%) because</w:t>
      </w:r>
      <w:r w:rsidR="0038365D" w:rsidRPr="00491918">
        <w:rPr>
          <w:szCs w:val="20"/>
        </w:rPr>
        <w:t xml:space="preserve"> of profits</w:t>
      </w:r>
      <w:r w:rsidRPr="00491918">
        <w:rPr>
          <w:szCs w:val="20"/>
        </w:rPr>
        <w:t xml:space="preserve"> outside of the UK being taxed at local statutory tax rates that are </w:t>
      </w:r>
      <w:r w:rsidR="0038365D" w:rsidRPr="00491918">
        <w:rPr>
          <w:szCs w:val="20"/>
        </w:rPr>
        <w:t xml:space="preserve">higher than </w:t>
      </w:r>
      <w:r w:rsidRPr="00491918">
        <w:rPr>
          <w:szCs w:val="20"/>
        </w:rPr>
        <w:t>the UK statutory tax rate, non-creditable ta</w:t>
      </w:r>
      <w:r w:rsidR="0038365D" w:rsidRPr="00491918">
        <w:rPr>
          <w:szCs w:val="20"/>
        </w:rPr>
        <w:t xml:space="preserve">xes and non-deductible expenses, partially offset by the </w:t>
      </w:r>
      <w:r w:rsidR="005E323A" w:rsidRPr="00491918">
        <w:rPr>
          <w:szCs w:val="20"/>
        </w:rPr>
        <w:t xml:space="preserve">effect </w:t>
      </w:r>
      <w:r w:rsidR="0038365D" w:rsidRPr="00491918">
        <w:rPr>
          <w:szCs w:val="20"/>
        </w:rPr>
        <w:t>of non-taxable gains and income.</w:t>
      </w:r>
    </w:p>
    <w:p w:rsidR="000D1659" w:rsidRPr="00491918" w:rsidRDefault="000D1659">
      <w:pPr>
        <w:rPr>
          <w:szCs w:val="20"/>
        </w:rPr>
      </w:pPr>
    </w:p>
    <w:tbl>
      <w:tblPr>
        <w:tblW w:w="0" w:type="auto"/>
        <w:tblLayout w:type="fixed"/>
        <w:tblLook w:val="0000" w:firstRow="0" w:lastRow="0" w:firstColumn="0" w:lastColumn="0" w:noHBand="0" w:noVBand="0"/>
      </w:tblPr>
      <w:tblGrid>
        <w:gridCol w:w="3705"/>
        <w:gridCol w:w="960"/>
        <w:gridCol w:w="960"/>
        <w:gridCol w:w="960"/>
        <w:gridCol w:w="180"/>
        <w:gridCol w:w="960"/>
        <w:gridCol w:w="960"/>
        <w:gridCol w:w="960"/>
      </w:tblGrid>
      <w:tr w:rsidR="000D1659" w:rsidRPr="00491918">
        <w:trPr>
          <w:trHeight w:hRule="exac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szCs w:val="20"/>
              </w:rPr>
            </w:pPr>
            <w:r w:rsidRPr="00491918">
              <w:rPr>
                <w:color w:val="000000"/>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c>
          <w:tcPr>
            <w:tcW w:w="96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 </w:t>
            </w:r>
          </w:p>
        </w:tc>
      </w:tr>
      <w:tr w:rsidR="008503A2" w:rsidRPr="00491918" w:rsidTr="00F92E6D">
        <w:trPr>
          <w:trHeight w:val="240"/>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b/>
                <w:color w:val="000000"/>
                <w:sz w:val="16"/>
                <w:szCs w:val="20"/>
              </w:rPr>
              <w:t xml:space="preserve"> </w:t>
            </w:r>
          </w:p>
        </w:tc>
        <w:tc>
          <w:tcPr>
            <w:tcW w:w="288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szCs w:val="20"/>
              </w:rPr>
            </w:pPr>
            <w:r w:rsidRPr="00491918">
              <w:rPr>
                <w:b/>
                <w:color w:val="000000"/>
                <w:sz w:val="16"/>
                <w:szCs w:val="20"/>
              </w:rPr>
              <w:t>Assets</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szCs w:val="20"/>
              </w:rPr>
            </w:pPr>
            <w:r w:rsidRPr="00491918">
              <w:rPr>
                <w:b/>
                <w:color w:val="000000"/>
                <w:sz w:val="16"/>
                <w:szCs w:val="20"/>
              </w:rPr>
              <w:t xml:space="preserve"> </w:t>
            </w:r>
          </w:p>
        </w:tc>
        <w:tc>
          <w:tcPr>
            <w:tcW w:w="2880"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szCs w:val="20"/>
              </w:rPr>
            </w:pPr>
            <w:r w:rsidRPr="00491918">
              <w:rPr>
                <w:b/>
                <w:color w:val="000000"/>
                <w:sz w:val="16"/>
                <w:szCs w:val="20"/>
              </w:rPr>
              <w:t>Liabilities</w:t>
            </w:r>
          </w:p>
        </w:tc>
      </w:tr>
      <w:tr w:rsidR="000D1659" w:rsidRPr="00491918">
        <w:trPr>
          <w:trHeight w:val="225"/>
        </w:trPr>
        <w:tc>
          <w:tcPr>
            <w:tcW w:w="370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b/>
                <w:color w:val="000000"/>
                <w:sz w:val="16"/>
                <w:szCs w:val="20"/>
              </w:rPr>
              <w:t>Current and Deferred Tax Assets and Liabilities</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31.12.12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30.06.12</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30.06.13</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31.12.12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30.06.12</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b/>
                <w:color w:val="000000"/>
                <w:sz w:val="16"/>
                <w:szCs w:val="20"/>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color w:val="000000"/>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£m</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£m</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£m</w:t>
            </w:r>
          </w:p>
        </w:tc>
      </w:tr>
    </w:tbl>
    <w:p w:rsidR="00F92E6D" w:rsidRPr="00491918" w:rsidRDefault="00F92E6D"/>
    <w:tbl>
      <w:tblPr>
        <w:tblW w:w="0" w:type="auto"/>
        <w:tblLayout w:type="fixed"/>
        <w:tblLook w:val="0000" w:firstRow="0" w:lastRow="0" w:firstColumn="0" w:lastColumn="0" w:noHBand="0" w:noVBand="0"/>
      </w:tblPr>
      <w:tblGrid>
        <w:gridCol w:w="3705"/>
        <w:gridCol w:w="960"/>
        <w:gridCol w:w="960"/>
        <w:gridCol w:w="960"/>
        <w:gridCol w:w="180"/>
        <w:gridCol w:w="960"/>
        <w:gridCol w:w="960"/>
        <w:gridCol w:w="960"/>
      </w:tblGrid>
      <w:tr w:rsidR="000D1659" w:rsidRPr="00491918" w:rsidTr="00F92E6D">
        <w:trPr>
          <w:trHeight w:val="240"/>
        </w:trPr>
        <w:tc>
          <w:tcPr>
            <w:tcW w:w="370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Current tax</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149  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252  </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266  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60" w:type="dxa"/>
            <w:tcBorders>
              <w:left w:val="nil"/>
              <w:bottom w:val="nil"/>
              <w:right w:val="nil"/>
            </w:tcBorders>
            <w:shd w:val="clear" w:color="auto" w:fill="EAEAEA"/>
            <w:tcMar>
              <w:left w:w="36" w:type="dxa"/>
              <w:right w:w="36" w:type="dxa"/>
            </w:tcMar>
            <w:vAlign w:val="center"/>
          </w:tcPr>
          <w:p w:rsidR="000D1659" w:rsidRPr="00491918" w:rsidRDefault="000D1659" w:rsidP="005E323A">
            <w:pPr>
              <w:jc w:val="right"/>
              <w:rPr>
                <w:color w:val="000000"/>
                <w:sz w:val="16"/>
                <w:szCs w:val="20"/>
              </w:rPr>
            </w:pPr>
            <w:r w:rsidRPr="00491918">
              <w:rPr>
                <w:color w:val="000000"/>
                <w:sz w:val="16"/>
                <w:szCs w:val="20"/>
              </w:rPr>
              <w:t>(</w:t>
            </w:r>
            <w:r w:rsidR="005E323A" w:rsidRPr="00491918">
              <w:rPr>
                <w:color w:val="000000"/>
                <w:sz w:val="16"/>
                <w:szCs w:val="20"/>
              </w:rPr>
              <w:t>698</w:t>
            </w:r>
            <w:r w:rsidRPr="00491918">
              <w:rPr>
                <w:color w:val="000000"/>
                <w:sz w:val="16"/>
                <w:szCs w:val="20"/>
              </w:rPr>
              <w:t>)</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(621)</w:t>
            </w:r>
          </w:p>
        </w:tc>
        <w:tc>
          <w:tcPr>
            <w:tcW w:w="96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(352)</w:t>
            </w:r>
          </w:p>
        </w:tc>
      </w:tr>
      <w:tr w:rsidR="000D1659" w:rsidRPr="00491918">
        <w:trPr>
          <w:trHeight w:val="240"/>
        </w:trPr>
        <w:tc>
          <w:tcPr>
            <w:tcW w:w="370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Deferred tax</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rsidP="005E323A">
            <w:pPr>
              <w:jc w:val="right"/>
              <w:rPr>
                <w:color w:val="000000"/>
                <w:sz w:val="16"/>
                <w:szCs w:val="20"/>
              </w:rPr>
            </w:pPr>
            <w:r w:rsidRPr="00491918">
              <w:rPr>
                <w:color w:val="000000"/>
                <w:sz w:val="16"/>
                <w:szCs w:val="20"/>
              </w:rPr>
              <w:t>4,</w:t>
            </w:r>
            <w:r w:rsidR="005E323A" w:rsidRPr="00491918">
              <w:rPr>
                <w:color w:val="000000"/>
                <w:sz w:val="16"/>
                <w:szCs w:val="20"/>
              </w:rPr>
              <w:t>548</w:t>
            </w:r>
            <w:r w:rsidRPr="00491918">
              <w:rPr>
                <w:color w:val="000000"/>
                <w:sz w:val="16"/>
                <w:szCs w:val="20"/>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3,563  </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3,693  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60"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(284)</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(341)</w:t>
            </w:r>
          </w:p>
        </w:tc>
        <w:tc>
          <w:tcPr>
            <w:tcW w:w="96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(647)</w:t>
            </w:r>
          </w:p>
        </w:tc>
      </w:tr>
      <w:tr w:rsidR="000D1659" w:rsidRPr="00491918">
        <w:trPr>
          <w:trHeight w:val="240"/>
        </w:trPr>
        <w:tc>
          <w:tcPr>
            <w:tcW w:w="370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b/>
                <w:color w:val="000000"/>
                <w:sz w:val="16"/>
                <w:szCs w:val="20"/>
              </w:rPr>
              <w:t>Total</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5E323A">
            <w:pPr>
              <w:jc w:val="right"/>
              <w:rPr>
                <w:b/>
                <w:color w:val="000000"/>
                <w:sz w:val="16"/>
                <w:szCs w:val="20"/>
              </w:rPr>
            </w:pPr>
            <w:r w:rsidRPr="00491918">
              <w:rPr>
                <w:b/>
                <w:color w:val="000000"/>
                <w:sz w:val="16"/>
                <w:szCs w:val="20"/>
              </w:rPr>
              <w:t>4,6</w:t>
            </w:r>
            <w:r w:rsidR="005E323A" w:rsidRPr="00491918">
              <w:rPr>
                <w:b/>
                <w:color w:val="000000"/>
                <w:sz w:val="16"/>
                <w:szCs w:val="20"/>
              </w:rPr>
              <w:t>97</w:t>
            </w:r>
            <w:r w:rsidRPr="00491918">
              <w:rPr>
                <w:b/>
                <w:color w:val="000000"/>
                <w:sz w:val="16"/>
                <w:szCs w:val="20"/>
              </w:rPr>
              <w:t xml:space="preserve">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3,815  </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3,959  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color w:val="000000"/>
                <w:sz w:val="16"/>
                <w:szCs w:val="20"/>
              </w:rPr>
              <w:t xml:space="preserve"> </w:t>
            </w:r>
          </w:p>
        </w:tc>
        <w:tc>
          <w:tcPr>
            <w:tcW w:w="960"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rsidP="005E323A">
            <w:pPr>
              <w:jc w:val="right"/>
              <w:rPr>
                <w:color w:val="000000"/>
                <w:sz w:val="16"/>
                <w:szCs w:val="20"/>
              </w:rPr>
            </w:pPr>
            <w:r w:rsidRPr="00491918">
              <w:rPr>
                <w:b/>
                <w:color w:val="000000"/>
                <w:sz w:val="16"/>
                <w:szCs w:val="20"/>
              </w:rPr>
              <w:t>(9</w:t>
            </w:r>
            <w:r w:rsidR="005E323A" w:rsidRPr="00491918">
              <w:rPr>
                <w:b/>
                <w:color w:val="000000"/>
                <w:sz w:val="16"/>
                <w:szCs w:val="20"/>
              </w:rPr>
              <w:t>82</w:t>
            </w:r>
            <w:r w:rsidRPr="00491918">
              <w:rPr>
                <w:b/>
                <w:color w:val="000000"/>
                <w:sz w:val="16"/>
                <w:szCs w:val="20"/>
              </w:rPr>
              <w:t>)</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(962)</w:t>
            </w:r>
          </w:p>
        </w:tc>
        <w:tc>
          <w:tcPr>
            <w:tcW w:w="96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(999)</w:t>
            </w:r>
          </w:p>
        </w:tc>
      </w:tr>
    </w:tbl>
    <w:p w:rsidR="000D1659" w:rsidRPr="00491918" w:rsidRDefault="000D1659">
      <w:pPr>
        <w:rPr>
          <w:szCs w:val="20"/>
        </w:rPr>
      </w:pPr>
    </w:p>
    <w:p w:rsidR="00D4757C" w:rsidRPr="00491918" w:rsidRDefault="00D4757C" w:rsidP="000D1659">
      <w:pPr>
        <w:pStyle w:val="Normal120"/>
        <w:autoSpaceDE w:val="0"/>
        <w:autoSpaceDN w:val="0"/>
        <w:adjustRightInd w:val="0"/>
        <w:jc w:val="both"/>
        <w:rPr>
          <w:color w:val="000000"/>
          <w:szCs w:val="20"/>
        </w:rPr>
      </w:pPr>
    </w:p>
    <w:p w:rsidR="000D1659" w:rsidRPr="00491918" w:rsidRDefault="000D1659" w:rsidP="008D6001">
      <w:pPr>
        <w:pStyle w:val="Normal120"/>
        <w:autoSpaceDE w:val="0"/>
        <w:autoSpaceDN w:val="0"/>
        <w:adjustRightInd w:val="0"/>
        <w:jc w:val="both"/>
        <w:outlineLvl w:val="0"/>
        <w:rPr>
          <w:color w:val="000000"/>
          <w:szCs w:val="20"/>
        </w:rPr>
      </w:pPr>
      <w:r w:rsidRPr="00491918">
        <w:rPr>
          <w:color w:val="000000"/>
          <w:szCs w:val="20"/>
        </w:rPr>
        <w:t>The deferred tax asset of £4,</w:t>
      </w:r>
      <w:r w:rsidR="005E323A" w:rsidRPr="00491918">
        <w:rPr>
          <w:color w:val="000000"/>
          <w:szCs w:val="20"/>
        </w:rPr>
        <w:t>548</w:t>
      </w:r>
      <w:r w:rsidR="00586D52" w:rsidRPr="00491918">
        <w:rPr>
          <w:color w:val="000000"/>
          <w:szCs w:val="20"/>
        </w:rPr>
        <w:t>m (</w:t>
      </w:r>
      <w:r w:rsidRPr="00491918">
        <w:rPr>
          <w:color w:val="000000"/>
          <w:szCs w:val="20"/>
        </w:rPr>
        <w:t xml:space="preserve">2012: £3,563m) mainly relates to amounts in the UK, USA and Spain. </w:t>
      </w:r>
    </w:p>
    <w:p w:rsidR="00D4757C" w:rsidRPr="00491918" w:rsidRDefault="00D4757C" w:rsidP="000D1659">
      <w:pPr>
        <w:pStyle w:val="Normal120"/>
        <w:autoSpaceDE w:val="0"/>
        <w:autoSpaceDN w:val="0"/>
        <w:adjustRightInd w:val="0"/>
        <w:jc w:val="both"/>
        <w:rPr>
          <w:color w:val="000000"/>
          <w:szCs w:val="20"/>
        </w:rPr>
      </w:pPr>
    </w:p>
    <w:p w:rsidR="000F2DD4" w:rsidRPr="00491918" w:rsidRDefault="000F2DD4" w:rsidP="000D1659">
      <w:pPr>
        <w:pStyle w:val="Normal120"/>
        <w:autoSpaceDE w:val="0"/>
        <w:autoSpaceDN w:val="0"/>
        <w:adjustRightInd w:val="0"/>
        <w:jc w:val="both"/>
        <w:rPr>
          <w:color w:val="000000"/>
          <w:szCs w:val="20"/>
        </w:rPr>
      </w:pPr>
    </w:p>
    <w:p w:rsidR="000F2DD4" w:rsidRPr="00491918" w:rsidRDefault="000F2DD4" w:rsidP="000D1659">
      <w:pPr>
        <w:pStyle w:val="Normal120"/>
        <w:autoSpaceDE w:val="0"/>
        <w:autoSpaceDN w:val="0"/>
        <w:adjustRightInd w:val="0"/>
        <w:jc w:val="both"/>
        <w:rPr>
          <w:color w:val="000000"/>
          <w:szCs w:val="20"/>
        </w:rPr>
      </w:pPr>
    </w:p>
    <w:p w:rsidR="00844B98" w:rsidRPr="00491918" w:rsidRDefault="00844B98" w:rsidP="000D1659">
      <w:pPr>
        <w:pStyle w:val="Normal120"/>
        <w:autoSpaceDE w:val="0"/>
        <w:autoSpaceDN w:val="0"/>
        <w:adjustRightInd w:val="0"/>
        <w:jc w:val="both"/>
        <w:rPr>
          <w:color w:val="000000"/>
          <w:szCs w:val="20"/>
        </w:rPr>
      </w:pPr>
    </w:p>
    <w:p w:rsidR="00D4757C" w:rsidRPr="00491918" w:rsidRDefault="00D4757C" w:rsidP="00844B98">
      <w:pPr>
        <w:pStyle w:val="BodyText-BarcRA78"/>
        <w:ind w:left="284" w:hanging="284"/>
        <w:rPr>
          <w:i/>
          <w:sz w:val="14"/>
        </w:rPr>
      </w:pPr>
      <w:r w:rsidRPr="00491918">
        <w:rPr>
          <w:i/>
          <w:sz w:val="14"/>
        </w:rPr>
        <w:t>1</w:t>
      </w:r>
      <w:r w:rsidR="00DF44D1" w:rsidRPr="00491918">
        <w:rPr>
          <w:i/>
          <w:sz w:val="14"/>
        </w:rPr>
        <w:tab/>
      </w:r>
      <w:r w:rsidRPr="00491918">
        <w:rPr>
          <w:i/>
          <w:sz w:val="14"/>
        </w:rPr>
        <w:t xml:space="preserve">For </w:t>
      </w:r>
      <w:r w:rsidR="000E4F19" w:rsidRPr="00491918">
        <w:rPr>
          <w:i/>
          <w:sz w:val="14"/>
        </w:rPr>
        <w:t>H113</w:t>
      </w:r>
      <w:r w:rsidRPr="00491918">
        <w:rPr>
          <w:i/>
          <w:sz w:val="14"/>
        </w:rPr>
        <w:t xml:space="preserve"> the Group has realigned outsourcing costs from administration and general expenses to staff costs in order to more appropriately reflect the nature and internal management of these costs. The net effect of these movements is to reduce administration and general expenses and increase staff costs by £522m in </w:t>
      </w:r>
      <w:r w:rsidR="000E4F19" w:rsidRPr="00491918">
        <w:rPr>
          <w:i/>
          <w:sz w:val="14"/>
        </w:rPr>
        <w:t>H113</w:t>
      </w:r>
      <w:r w:rsidRPr="00491918">
        <w:rPr>
          <w:i/>
          <w:sz w:val="14"/>
        </w:rPr>
        <w:t xml:space="preserve"> and £448m in </w:t>
      </w:r>
      <w:r w:rsidR="000E4F19" w:rsidRPr="00491918">
        <w:rPr>
          <w:i/>
          <w:sz w:val="14"/>
        </w:rPr>
        <w:t>H112</w:t>
      </w:r>
      <w:r w:rsidRPr="00491918">
        <w:rPr>
          <w:i/>
          <w:sz w:val="14"/>
        </w:rPr>
        <w:t>.</w:t>
      </w:r>
    </w:p>
    <w:p w:rsidR="0007202F" w:rsidRPr="00491918" w:rsidRDefault="0007202F" w:rsidP="00844B98">
      <w:pPr>
        <w:pStyle w:val="BodyText-BarcRA78"/>
        <w:ind w:left="284" w:hanging="284"/>
      </w:pPr>
    </w:p>
    <w:p w:rsidR="0007202F" w:rsidRPr="00491918" w:rsidRDefault="0007202F" w:rsidP="00844B98">
      <w:pPr>
        <w:pStyle w:val="BodyText-BarcRA78"/>
        <w:ind w:left="284" w:hanging="284"/>
      </w:pPr>
    </w:p>
    <w:p w:rsidR="0007202F" w:rsidRPr="00491918" w:rsidRDefault="0007202F" w:rsidP="0007202F">
      <w:pPr>
        <w:pStyle w:val="HeadingLevel1-BarcRA49"/>
      </w:pPr>
      <w:r w:rsidRPr="00491918">
        <w:t>Financial Statement Notes</w:t>
      </w:r>
    </w:p>
    <w:tbl>
      <w:tblPr>
        <w:tblW w:w="0" w:type="auto"/>
        <w:tblLayout w:type="fixed"/>
        <w:tblLook w:val="0000" w:firstRow="0" w:lastRow="0" w:firstColumn="0" w:lastColumn="0" w:noHBand="0" w:noVBand="0"/>
      </w:tblPr>
      <w:tblGrid>
        <w:gridCol w:w="3615"/>
        <w:gridCol w:w="975"/>
        <w:gridCol w:w="975"/>
        <w:gridCol w:w="975"/>
        <w:gridCol w:w="180"/>
        <w:gridCol w:w="975"/>
        <w:gridCol w:w="975"/>
        <w:gridCol w:w="975"/>
      </w:tblGrid>
      <w:tr w:rsidR="000D1659" w:rsidRPr="00491918">
        <w:trPr>
          <w:trHeight w:hRule="exact" w:val="135"/>
        </w:trPr>
        <w:tc>
          <w:tcPr>
            <w:tcW w:w="3615" w:type="dxa"/>
            <w:tcBorders>
              <w:top w:val="nil"/>
              <w:left w:val="nil"/>
              <w:bottom w:val="nil"/>
              <w:right w:val="nil"/>
            </w:tcBorders>
            <w:shd w:val="clear" w:color="auto" w:fill="FFFFFF"/>
            <w:tcMar>
              <w:left w:w="36" w:type="dxa"/>
              <w:right w:w="36" w:type="dxa"/>
            </w:tcMar>
            <w:vAlign w:val="bottom"/>
          </w:tcPr>
          <w:p w:rsidR="000D1659" w:rsidRPr="00491918" w:rsidRDefault="000D1659">
            <w:pPr>
              <w:rPr>
                <w:szCs w:val="20"/>
              </w:rPr>
            </w:pPr>
          </w:p>
        </w:tc>
        <w:tc>
          <w:tcPr>
            <w:tcW w:w="9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20"/>
              </w:rPr>
            </w:pPr>
            <w:r w:rsidRPr="00491918">
              <w:rPr>
                <w:rFonts w:ascii="Barclays Sans" w:eastAsia="Barclays Sans" w:hAnsi="Barclays Sans" w:cs="Barclays Sans"/>
                <w:color w:val="000000"/>
                <w:sz w:val="16"/>
                <w:szCs w:val="20"/>
              </w:rPr>
              <w:t xml:space="preserve"> </w:t>
            </w:r>
          </w:p>
        </w:tc>
        <w:tc>
          <w:tcPr>
            <w:tcW w:w="9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20"/>
              </w:rPr>
            </w:pPr>
            <w:r w:rsidRPr="00491918">
              <w:rPr>
                <w:rFonts w:ascii="Barclays Sans" w:eastAsia="Barclays Sans" w:hAnsi="Barclays Sans" w:cs="Barclays Sans"/>
                <w:color w:val="000000"/>
                <w:sz w:val="16"/>
                <w:szCs w:val="20"/>
              </w:rPr>
              <w:t xml:space="preserve"> </w:t>
            </w:r>
          </w:p>
        </w:tc>
        <w:tc>
          <w:tcPr>
            <w:tcW w:w="9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20"/>
              </w:rPr>
            </w:pPr>
            <w:r w:rsidRPr="00491918">
              <w:rPr>
                <w:rFonts w:ascii="Barclays Sans" w:eastAsia="Barclays Sans" w:hAnsi="Barclays Sans" w:cs="Barclays Sans"/>
                <w:color w:val="000000"/>
                <w:sz w:val="16"/>
                <w:szCs w:val="20"/>
              </w:rPr>
              <w:t xml:space="preserve">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20"/>
              </w:rPr>
            </w:pPr>
            <w:r w:rsidRPr="00491918">
              <w:rPr>
                <w:rFonts w:ascii="Barclays Sans" w:eastAsia="Barclays Sans" w:hAnsi="Barclays Sans" w:cs="Barclays Sans"/>
                <w:color w:val="000000"/>
                <w:sz w:val="16"/>
                <w:szCs w:val="20"/>
              </w:rPr>
              <w:t xml:space="preserve"> </w:t>
            </w:r>
          </w:p>
        </w:tc>
        <w:tc>
          <w:tcPr>
            <w:tcW w:w="9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20"/>
              </w:rPr>
            </w:pPr>
            <w:r w:rsidRPr="00491918">
              <w:rPr>
                <w:rFonts w:ascii="Barclays Sans" w:eastAsia="Barclays Sans" w:hAnsi="Barclays Sans" w:cs="Barclays Sans"/>
                <w:color w:val="000000"/>
                <w:sz w:val="16"/>
                <w:szCs w:val="20"/>
              </w:rPr>
              <w:t xml:space="preserve"> </w:t>
            </w:r>
          </w:p>
        </w:tc>
        <w:tc>
          <w:tcPr>
            <w:tcW w:w="9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20"/>
              </w:rPr>
            </w:pPr>
            <w:r w:rsidRPr="00491918">
              <w:rPr>
                <w:rFonts w:ascii="Barclays Sans" w:eastAsia="Barclays Sans" w:hAnsi="Barclays Sans" w:cs="Barclays Sans"/>
                <w:color w:val="000000"/>
                <w:sz w:val="16"/>
                <w:szCs w:val="20"/>
              </w:rPr>
              <w:t xml:space="preserve"> </w:t>
            </w:r>
          </w:p>
        </w:tc>
        <w:tc>
          <w:tcPr>
            <w:tcW w:w="97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szCs w:val="20"/>
              </w:rPr>
            </w:pPr>
            <w:r w:rsidRPr="00491918">
              <w:rPr>
                <w:rFonts w:ascii="Barclays Sans" w:eastAsia="Barclays Sans" w:hAnsi="Barclays Sans" w:cs="Barclays Sans"/>
                <w:color w:val="000000"/>
                <w:sz w:val="16"/>
                <w:szCs w:val="20"/>
              </w:rPr>
              <w:t xml:space="preserve"> </w:t>
            </w:r>
          </w:p>
        </w:tc>
      </w:tr>
      <w:tr w:rsidR="008503A2" w:rsidRPr="00491918" w:rsidTr="00D4757C">
        <w:trPr>
          <w:trHeight w:val="285"/>
        </w:trPr>
        <w:tc>
          <w:tcPr>
            <w:tcW w:w="9645" w:type="dxa"/>
            <w:gridSpan w:val="8"/>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szCs w:val="20"/>
              </w:rPr>
            </w:pPr>
            <w:r w:rsidRPr="00491918">
              <w:rPr>
                <w:b/>
                <w:color w:val="000000"/>
                <w:sz w:val="24"/>
                <w:szCs w:val="20"/>
              </w:rPr>
              <w:t>7.       Non-controlling Interests</w:t>
            </w:r>
          </w:p>
        </w:tc>
      </w:tr>
      <w:tr w:rsidR="008503A2" w:rsidRPr="00491918" w:rsidTr="00D4757C">
        <w:trPr>
          <w:trHeight w:val="465"/>
        </w:trPr>
        <w:tc>
          <w:tcPr>
            <w:tcW w:w="36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szCs w:val="20"/>
              </w:rPr>
            </w:pPr>
            <w:r w:rsidRPr="00491918">
              <w:rPr>
                <w:color w:val="000000"/>
                <w:sz w:val="18"/>
                <w:szCs w:val="20"/>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color w:val="000000"/>
                <w:sz w:val="18"/>
                <w:szCs w:val="20"/>
              </w:rPr>
            </w:pPr>
            <w:r w:rsidRPr="00491918">
              <w:rPr>
                <w:b/>
                <w:color w:val="000000"/>
                <w:sz w:val="16"/>
                <w:szCs w:val="20"/>
              </w:rPr>
              <w:t>Profit Attributable to Non-controlling Interest</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center"/>
              <w:rPr>
                <w:b/>
                <w:color w:val="000000"/>
                <w:sz w:val="16"/>
                <w:szCs w:val="20"/>
              </w:rPr>
            </w:pPr>
            <w:r w:rsidRPr="00491918">
              <w:rPr>
                <w:b/>
                <w:color w:val="000000"/>
                <w:sz w:val="16"/>
                <w:szCs w:val="20"/>
              </w:rPr>
              <w:t xml:space="preserve"> </w:t>
            </w:r>
          </w:p>
        </w:tc>
        <w:tc>
          <w:tcPr>
            <w:tcW w:w="2925" w:type="dxa"/>
            <w:gridSpan w:val="3"/>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center"/>
              <w:rPr>
                <w:b/>
                <w:color w:val="000000"/>
                <w:sz w:val="16"/>
                <w:szCs w:val="20"/>
              </w:rPr>
            </w:pPr>
            <w:r w:rsidRPr="00491918">
              <w:rPr>
                <w:b/>
                <w:color w:val="000000"/>
                <w:sz w:val="16"/>
                <w:szCs w:val="20"/>
              </w:rPr>
              <w:t>Equity Attributable to Non-controlling Interest</w:t>
            </w:r>
          </w:p>
        </w:tc>
      </w:tr>
      <w:tr w:rsidR="000D1659" w:rsidRPr="00491918">
        <w:trPr>
          <w:trHeight w:val="480"/>
        </w:trPr>
        <w:tc>
          <w:tcPr>
            <w:tcW w:w="36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color w:val="000000"/>
                <w:sz w:val="16"/>
                <w:szCs w:val="20"/>
              </w:rPr>
              <w:lastRenderedPageBreak/>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b/>
                <w:color w:val="000000"/>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Half Year Ended</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 xml:space="preserve"> </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Half Year Ended</w:t>
            </w:r>
          </w:p>
        </w:tc>
        <w:tc>
          <w:tcPr>
            <w:tcW w:w="97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Half Year Ended</w:t>
            </w:r>
          </w:p>
        </w:tc>
      </w:tr>
      <w:tr w:rsidR="000D1659" w:rsidRPr="00491918">
        <w:trPr>
          <w:trHeight w:val="240"/>
        </w:trPr>
        <w:tc>
          <w:tcPr>
            <w:tcW w:w="361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b/>
                <w:color w:val="000000"/>
                <w:sz w:val="16"/>
                <w:szCs w:val="20"/>
              </w:rPr>
              <w:t xml:space="preserve">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30.06.13</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31.12.12</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30.06.12</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 xml:space="preserve">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30.06.13</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31.12.12</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30.06.12</w:t>
            </w:r>
          </w:p>
        </w:tc>
      </w:tr>
      <w:tr w:rsidR="000D1659" w:rsidRPr="00491918">
        <w:trPr>
          <w:trHeight w:val="240"/>
        </w:trPr>
        <w:tc>
          <w:tcPr>
            <w:tcW w:w="3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color w:val="000000"/>
                <w:sz w:val="16"/>
                <w:szCs w:val="20"/>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r>
    </w:tbl>
    <w:p w:rsidR="00F92E6D" w:rsidRPr="00491918" w:rsidRDefault="00F92E6D"/>
    <w:tbl>
      <w:tblPr>
        <w:tblW w:w="0" w:type="auto"/>
        <w:tblLayout w:type="fixed"/>
        <w:tblLook w:val="0000" w:firstRow="0" w:lastRow="0" w:firstColumn="0" w:lastColumn="0" w:noHBand="0" w:noVBand="0"/>
      </w:tblPr>
      <w:tblGrid>
        <w:gridCol w:w="3615"/>
        <w:gridCol w:w="975"/>
        <w:gridCol w:w="975"/>
        <w:gridCol w:w="975"/>
        <w:gridCol w:w="180"/>
        <w:gridCol w:w="975"/>
        <w:gridCol w:w="975"/>
        <w:gridCol w:w="975"/>
      </w:tblGrid>
      <w:tr w:rsidR="000D1659" w:rsidRPr="00491918" w:rsidTr="00F92E6D">
        <w:trPr>
          <w:trHeight w:val="240"/>
        </w:trPr>
        <w:tc>
          <w:tcPr>
            <w:tcW w:w="361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Barclays Bank PLC Issued:</w:t>
            </w:r>
          </w:p>
        </w:tc>
        <w:tc>
          <w:tcPr>
            <w:tcW w:w="9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r>
      <w:tr w:rsidR="000D1659" w:rsidRPr="00491918">
        <w:trPr>
          <w:trHeight w:val="240"/>
        </w:trPr>
        <w:tc>
          <w:tcPr>
            <w:tcW w:w="3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Preference shares</w:t>
            </w:r>
          </w:p>
        </w:tc>
        <w:tc>
          <w:tcPr>
            <w:tcW w:w="9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239 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230 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232 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5,948 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5,927 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5,942 </w:t>
            </w:r>
          </w:p>
        </w:tc>
      </w:tr>
      <w:tr w:rsidR="000D1659" w:rsidRPr="00491918">
        <w:trPr>
          <w:trHeight w:val="240"/>
        </w:trPr>
        <w:tc>
          <w:tcPr>
            <w:tcW w:w="3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Upper Tier 2 instruments</w:t>
            </w:r>
          </w:p>
        </w:tc>
        <w:tc>
          <w:tcPr>
            <w:tcW w:w="9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486 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591 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589 </w:t>
            </w:r>
          </w:p>
        </w:tc>
      </w:tr>
      <w:tr w:rsidR="000D1659" w:rsidRPr="00491918">
        <w:trPr>
          <w:trHeight w:val="240"/>
        </w:trPr>
        <w:tc>
          <w:tcPr>
            <w:tcW w:w="361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 xml:space="preserve">Absa Group Limited </w:t>
            </w:r>
          </w:p>
        </w:tc>
        <w:tc>
          <w:tcPr>
            <w:tcW w:w="9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158 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150 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154 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2,509 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2,737 </w:t>
            </w:r>
          </w:p>
        </w:tc>
        <w:tc>
          <w:tcPr>
            <w:tcW w:w="97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2,842 </w:t>
            </w:r>
          </w:p>
        </w:tc>
      </w:tr>
      <w:tr w:rsidR="000D1659" w:rsidRPr="00491918">
        <w:trPr>
          <w:trHeight w:val="240"/>
        </w:trPr>
        <w:tc>
          <w:tcPr>
            <w:tcW w:w="361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Other non-controlling interests</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14 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13 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22 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 </w:t>
            </w:r>
          </w:p>
        </w:tc>
        <w:tc>
          <w:tcPr>
            <w:tcW w:w="97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111 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116 </w:t>
            </w:r>
          </w:p>
        </w:tc>
        <w:tc>
          <w:tcPr>
            <w:tcW w:w="97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112 </w:t>
            </w:r>
          </w:p>
        </w:tc>
      </w:tr>
      <w:tr w:rsidR="000D1659" w:rsidRPr="00491918" w:rsidTr="00D4757C">
        <w:trPr>
          <w:trHeight w:val="240"/>
        </w:trPr>
        <w:tc>
          <w:tcPr>
            <w:tcW w:w="361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b/>
                <w:color w:val="000000"/>
                <w:sz w:val="16"/>
                <w:szCs w:val="20"/>
              </w:rPr>
              <w:t>Total</w:t>
            </w:r>
          </w:p>
        </w:tc>
        <w:tc>
          <w:tcPr>
            <w:tcW w:w="975" w:type="dxa"/>
            <w:tcBorders>
              <w:top w:val="single" w:sz="6" w:space="0" w:color="969696"/>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412 </w:t>
            </w:r>
          </w:p>
        </w:tc>
        <w:tc>
          <w:tcPr>
            <w:tcW w:w="97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395 </w:t>
            </w:r>
          </w:p>
        </w:tc>
        <w:tc>
          <w:tcPr>
            <w:tcW w:w="97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410 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 xml:space="preserve"> </w:t>
            </w:r>
          </w:p>
        </w:tc>
        <w:tc>
          <w:tcPr>
            <w:tcW w:w="975" w:type="dxa"/>
            <w:tcBorders>
              <w:top w:val="single" w:sz="6" w:space="0" w:color="969696"/>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9,054 </w:t>
            </w:r>
          </w:p>
        </w:tc>
        <w:tc>
          <w:tcPr>
            <w:tcW w:w="97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9,371 </w:t>
            </w:r>
          </w:p>
        </w:tc>
        <w:tc>
          <w:tcPr>
            <w:tcW w:w="97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9,485 </w:t>
            </w:r>
          </w:p>
        </w:tc>
      </w:tr>
      <w:tr w:rsidR="00D4757C" w:rsidRPr="00491918" w:rsidTr="0038365D">
        <w:trPr>
          <w:trHeight w:val="653"/>
        </w:trPr>
        <w:tc>
          <w:tcPr>
            <w:tcW w:w="361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pPr>
              <w:rPr>
                <w:b/>
                <w:color w:val="000000"/>
                <w:sz w:val="16"/>
                <w:szCs w:val="20"/>
              </w:rPr>
            </w:pPr>
          </w:p>
          <w:p w:rsidR="00D4757C" w:rsidRPr="00491918" w:rsidRDefault="00D4757C">
            <w:pPr>
              <w:rPr>
                <w:b/>
                <w:color w:val="000000"/>
                <w:sz w:val="16"/>
                <w:szCs w:val="20"/>
              </w:rPr>
            </w:pPr>
          </w:p>
        </w:tc>
        <w:tc>
          <w:tcPr>
            <w:tcW w:w="975" w:type="dxa"/>
            <w:tcBorders>
              <w:top w:val="single" w:sz="6" w:space="0" w:color="969696"/>
              <w:left w:val="nil"/>
              <w:bottom w:val="nil"/>
              <w:right w:val="nil"/>
            </w:tcBorders>
            <w:shd w:val="clear" w:color="auto" w:fill="auto"/>
            <w:tcMar>
              <w:left w:w="36" w:type="dxa"/>
              <w:right w:w="36" w:type="dxa"/>
            </w:tcMar>
            <w:vAlign w:val="center"/>
          </w:tcPr>
          <w:p w:rsidR="00D4757C" w:rsidRPr="00491918" w:rsidRDefault="00D4757C">
            <w:pPr>
              <w:jc w:val="right"/>
              <w:rPr>
                <w:b/>
                <w:color w:val="000000"/>
                <w:sz w:val="16"/>
                <w:szCs w:val="20"/>
              </w:rPr>
            </w:pPr>
          </w:p>
        </w:tc>
        <w:tc>
          <w:tcPr>
            <w:tcW w:w="975" w:type="dxa"/>
            <w:tcBorders>
              <w:top w:val="single" w:sz="6" w:space="0" w:color="969696"/>
              <w:left w:val="nil"/>
              <w:bottom w:val="nil"/>
              <w:right w:val="nil"/>
            </w:tcBorders>
            <w:shd w:val="clear" w:color="auto" w:fill="auto"/>
            <w:tcMar>
              <w:left w:w="36" w:type="dxa"/>
              <w:right w:w="36" w:type="dxa"/>
            </w:tcMar>
            <w:vAlign w:val="center"/>
          </w:tcPr>
          <w:p w:rsidR="00D4757C" w:rsidRPr="00491918" w:rsidRDefault="00D4757C">
            <w:pPr>
              <w:jc w:val="right"/>
              <w:rPr>
                <w:b/>
                <w:color w:val="000000"/>
                <w:sz w:val="16"/>
                <w:szCs w:val="20"/>
              </w:rPr>
            </w:pPr>
          </w:p>
        </w:tc>
        <w:tc>
          <w:tcPr>
            <w:tcW w:w="975" w:type="dxa"/>
            <w:tcBorders>
              <w:top w:val="single" w:sz="6" w:space="0" w:color="969696"/>
              <w:left w:val="nil"/>
              <w:bottom w:val="nil"/>
              <w:right w:val="nil"/>
            </w:tcBorders>
            <w:shd w:val="clear" w:color="auto" w:fill="auto"/>
            <w:tcMar>
              <w:left w:w="36" w:type="dxa"/>
              <w:right w:w="36" w:type="dxa"/>
            </w:tcMar>
            <w:vAlign w:val="center"/>
          </w:tcPr>
          <w:p w:rsidR="00D4757C" w:rsidRPr="00491918" w:rsidRDefault="00D4757C">
            <w:pPr>
              <w:jc w:val="right"/>
              <w:rPr>
                <w:b/>
                <w:color w:val="000000"/>
                <w:sz w:val="16"/>
                <w:szCs w:val="20"/>
              </w:rPr>
            </w:pPr>
          </w:p>
        </w:tc>
        <w:tc>
          <w:tcPr>
            <w:tcW w:w="180" w:type="dxa"/>
            <w:tcBorders>
              <w:top w:val="nil"/>
              <w:left w:val="nil"/>
              <w:bottom w:val="nil"/>
              <w:right w:val="nil"/>
            </w:tcBorders>
            <w:shd w:val="clear" w:color="auto" w:fill="auto"/>
            <w:tcMar>
              <w:left w:w="36" w:type="dxa"/>
              <w:right w:w="36" w:type="dxa"/>
            </w:tcMar>
            <w:vAlign w:val="center"/>
          </w:tcPr>
          <w:p w:rsidR="00D4757C" w:rsidRPr="00491918" w:rsidRDefault="00D4757C">
            <w:pPr>
              <w:jc w:val="right"/>
              <w:rPr>
                <w:b/>
                <w:color w:val="000000"/>
                <w:sz w:val="16"/>
                <w:szCs w:val="20"/>
              </w:rPr>
            </w:pPr>
          </w:p>
        </w:tc>
        <w:tc>
          <w:tcPr>
            <w:tcW w:w="975" w:type="dxa"/>
            <w:tcBorders>
              <w:top w:val="single" w:sz="6" w:space="0" w:color="969696"/>
              <w:left w:val="nil"/>
              <w:bottom w:val="nil"/>
              <w:right w:val="nil"/>
            </w:tcBorders>
            <w:shd w:val="clear" w:color="auto" w:fill="auto"/>
            <w:tcMar>
              <w:left w:w="36" w:type="dxa"/>
              <w:right w:w="36" w:type="dxa"/>
            </w:tcMar>
            <w:vAlign w:val="center"/>
          </w:tcPr>
          <w:p w:rsidR="00D4757C" w:rsidRPr="00491918" w:rsidRDefault="00D4757C">
            <w:pPr>
              <w:jc w:val="right"/>
              <w:rPr>
                <w:b/>
                <w:color w:val="000000"/>
                <w:sz w:val="16"/>
                <w:szCs w:val="20"/>
              </w:rPr>
            </w:pPr>
          </w:p>
        </w:tc>
        <w:tc>
          <w:tcPr>
            <w:tcW w:w="97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pPr>
              <w:jc w:val="right"/>
              <w:rPr>
                <w:b/>
                <w:color w:val="000000"/>
                <w:sz w:val="16"/>
                <w:szCs w:val="20"/>
              </w:rPr>
            </w:pPr>
          </w:p>
        </w:tc>
        <w:tc>
          <w:tcPr>
            <w:tcW w:w="97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pPr>
              <w:jc w:val="right"/>
              <w:rPr>
                <w:b/>
                <w:color w:val="000000"/>
                <w:sz w:val="16"/>
                <w:szCs w:val="20"/>
              </w:rPr>
            </w:pPr>
          </w:p>
        </w:tc>
      </w:tr>
    </w:tbl>
    <w:p w:rsidR="000D1659" w:rsidRPr="00491918" w:rsidRDefault="000D1659">
      <w:pPr>
        <w:rPr>
          <w:szCs w:val="20"/>
        </w:rPr>
      </w:pPr>
    </w:p>
    <w:tbl>
      <w:tblPr>
        <w:tblW w:w="0" w:type="auto"/>
        <w:tblLayout w:type="fixed"/>
        <w:tblLook w:val="0000" w:firstRow="0" w:lastRow="0" w:firstColumn="0" w:lastColumn="0" w:noHBand="0" w:noVBand="0"/>
      </w:tblPr>
      <w:tblGrid>
        <w:gridCol w:w="6270"/>
        <w:gridCol w:w="1125"/>
        <w:gridCol w:w="1125"/>
        <w:gridCol w:w="1125"/>
      </w:tblGrid>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szCs w:val="20"/>
              </w:rPr>
            </w:pPr>
            <w:r w:rsidRPr="00491918">
              <w:rPr>
                <w:b/>
                <w:color w:val="000000"/>
                <w:sz w:val="24"/>
                <w:szCs w:val="20"/>
              </w:rPr>
              <w:t>8.         Earnings Per Share</w:t>
            </w:r>
            <w:r w:rsidRPr="00491918">
              <w:rPr>
                <w:b/>
                <w:color w:val="000000"/>
                <w:sz w:val="24"/>
                <w:szCs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szCs w:val="20"/>
                <w:vertAlign w:val="superscript"/>
              </w:rPr>
            </w:pPr>
            <w:r w:rsidRPr="00491918">
              <w:rPr>
                <w:color w:val="000000"/>
                <w:sz w:val="24"/>
                <w:szCs w:val="20"/>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24"/>
                <w:szCs w:val="20"/>
              </w:rPr>
            </w:pPr>
            <w:r w:rsidRPr="00491918">
              <w:rPr>
                <w:color w:val="000000"/>
                <w:sz w:val="24"/>
                <w:szCs w:val="20"/>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24"/>
                <w:szCs w:val="20"/>
              </w:rPr>
            </w:pPr>
            <w:r w:rsidRPr="00491918">
              <w:rPr>
                <w:color w:val="000000"/>
                <w:sz w:val="24"/>
                <w:szCs w:val="20"/>
              </w:rPr>
              <w:t xml:space="preserve"> </w:t>
            </w:r>
          </w:p>
        </w:tc>
      </w:tr>
      <w:tr w:rsidR="000D1659" w:rsidRPr="00491918">
        <w:trPr>
          <w:trHeight w:val="48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24"/>
                <w:szCs w:val="20"/>
              </w:rPr>
            </w:pPr>
            <w:r w:rsidRPr="00491918">
              <w:rPr>
                <w:b/>
                <w:color w:val="000000"/>
                <w:sz w:val="16"/>
                <w:szCs w:val="20"/>
              </w:rPr>
              <w:t xml:space="preserve"> </w:t>
            </w:r>
            <w:r w:rsidRPr="00491918">
              <w:rPr>
                <w:b/>
                <w:color w:val="000000"/>
                <w:sz w:val="16"/>
                <w:szCs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vertAlign w:val="superscript"/>
              </w:rPr>
            </w:pPr>
            <w:r w:rsidRPr="00491918">
              <w:rPr>
                <w:b/>
                <w:color w:val="000000"/>
                <w:sz w:val="16"/>
                <w:szCs w:val="20"/>
              </w:rPr>
              <w:t>Half Year Ended</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Half Year Ended</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Half Year Ended</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color w:val="000000"/>
                <w:sz w:val="16"/>
                <w:szCs w:val="20"/>
              </w:rPr>
              <w:t xml:space="preserve"> </w:t>
            </w:r>
            <w:r w:rsidRPr="00491918">
              <w:rPr>
                <w:color w:val="000000"/>
                <w:sz w:val="16"/>
                <w:szCs w:val="20"/>
                <w:vertAlign w:val="superscript"/>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vertAlign w:val="superscript"/>
              </w:rPr>
            </w:pPr>
            <w:r w:rsidRPr="00491918">
              <w:rPr>
                <w:b/>
                <w:color w:val="000000"/>
                <w:sz w:val="16"/>
                <w:szCs w:val="20"/>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31.12.12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30.06.12</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color w:val="000000"/>
                <w:sz w:val="16"/>
                <w:szCs w:val="20"/>
              </w:rPr>
              <w:t xml:space="preserve"> </w:t>
            </w:r>
            <w:r w:rsidRPr="00491918">
              <w:rPr>
                <w:color w:val="000000"/>
                <w:sz w:val="16"/>
                <w:szCs w:val="20"/>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vertAlign w:val="superscript"/>
              </w:rPr>
            </w:pPr>
            <w:r w:rsidRPr="00491918">
              <w:rPr>
                <w:color w:val="000000"/>
                <w:sz w:val="16"/>
                <w:szCs w:val="20"/>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 xml:space="preserve">£m </w:t>
            </w:r>
          </w:p>
        </w:tc>
      </w:tr>
      <w:tr w:rsidR="000D1659" w:rsidRPr="00491918">
        <w:trPr>
          <w:trHeight w:val="240"/>
        </w:trPr>
        <w:tc>
          <w:tcPr>
            <w:tcW w:w="6270"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Profit/(loss) attributable to equity holders of the parent</w:t>
            </w:r>
            <w:r w:rsidRPr="00491918">
              <w:rPr>
                <w:color w:val="000000"/>
                <w:sz w:val="16"/>
                <w:szCs w:val="20"/>
                <w:vertAlign w:val="superscript"/>
              </w:rPr>
              <w:t xml:space="preserve"> </w:t>
            </w:r>
          </w:p>
        </w:tc>
        <w:tc>
          <w:tcPr>
            <w:tcW w:w="1125" w:type="dxa"/>
            <w:tcBorders>
              <w:top w:val="single" w:sz="6" w:space="0" w:color="969696"/>
              <w:left w:val="nil"/>
              <w:bottom w:val="single" w:sz="6" w:space="0" w:color="969696"/>
              <w:right w:val="nil"/>
            </w:tcBorders>
            <w:shd w:val="clear" w:color="auto" w:fill="D8D8D8"/>
            <w:tcMar>
              <w:left w:w="36" w:type="dxa"/>
              <w:right w:w="36" w:type="dxa"/>
            </w:tcMar>
            <w:vAlign w:val="center"/>
          </w:tcPr>
          <w:p w:rsidR="000D1659" w:rsidRPr="00491918" w:rsidRDefault="000D1659" w:rsidP="00206F8B">
            <w:pPr>
              <w:jc w:val="right"/>
              <w:rPr>
                <w:color w:val="000000"/>
                <w:sz w:val="16"/>
                <w:szCs w:val="20"/>
                <w:vertAlign w:val="superscript"/>
              </w:rPr>
            </w:pPr>
            <w:r w:rsidRPr="00491918">
              <w:rPr>
                <w:color w:val="000000"/>
                <w:sz w:val="16"/>
                <w:szCs w:val="20"/>
              </w:rPr>
              <w:t xml:space="preserve"> </w:t>
            </w:r>
            <w:r w:rsidR="00206F8B" w:rsidRPr="00491918">
              <w:rPr>
                <w:color w:val="000000"/>
                <w:sz w:val="16"/>
                <w:szCs w:val="20"/>
              </w:rPr>
              <w:t>671 </w:t>
            </w:r>
          </w:p>
        </w:tc>
        <w:tc>
          <w:tcPr>
            <w:tcW w:w="112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(772)</w:t>
            </w:r>
          </w:p>
        </w:tc>
        <w:tc>
          <w:tcPr>
            <w:tcW w:w="1125" w:type="dxa"/>
            <w:tcBorders>
              <w:top w:val="single" w:sz="6" w:space="0" w:color="969696"/>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148 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b/>
                <w:color w:val="000000"/>
                <w:sz w:val="16"/>
                <w:szCs w:val="20"/>
              </w:rPr>
              <w:t>Basic weighted average number of shares in issue</w:t>
            </w:r>
            <w:r w:rsidRPr="00491918">
              <w:rPr>
                <w:b/>
                <w:color w:val="000000"/>
                <w:sz w:val="16"/>
                <w:szCs w:val="20"/>
                <w:vertAlign w:val="superscript"/>
              </w:rPr>
              <w:t>1 </w:t>
            </w:r>
          </w:p>
        </w:tc>
        <w:tc>
          <w:tcPr>
            <w:tcW w:w="1125" w:type="dxa"/>
            <w:tcBorders>
              <w:top w:val="single" w:sz="6" w:space="0" w:color="969696"/>
              <w:left w:val="nil"/>
              <w:bottom w:val="nil"/>
              <w:right w:val="nil"/>
            </w:tcBorders>
            <w:shd w:val="clear" w:color="auto" w:fill="D8D8D8"/>
            <w:tcMar>
              <w:left w:w="36" w:type="dxa"/>
              <w:right w:w="36" w:type="dxa"/>
            </w:tcMar>
            <w:vAlign w:val="center"/>
          </w:tcPr>
          <w:p w:rsidR="000D1659" w:rsidRPr="00491918" w:rsidRDefault="000D1659">
            <w:pPr>
              <w:jc w:val="right"/>
              <w:rPr>
                <w:b/>
                <w:color w:val="000000"/>
                <w:sz w:val="16"/>
                <w:szCs w:val="20"/>
                <w:vertAlign w:val="superscript"/>
              </w:rPr>
            </w:pPr>
            <w:r w:rsidRPr="00491918">
              <w:rPr>
                <w:b/>
                <w:color w:val="000000"/>
                <w:sz w:val="16"/>
                <w:szCs w:val="20"/>
              </w:rPr>
              <w:t>12,675 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12,223 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12,215 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color w:val="000000"/>
                <w:sz w:val="16"/>
                <w:szCs w:val="20"/>
              </w:rPr>
              <w:t>Number of potential ordinary shares</w:t>
            </w:r>
            <w:r w:rsidRPr="00491918">
              <w:rPr>
                <w:color w:val="000000"/>
                <w:sz w:val="16"/>
                <w:szCs w:val="20"/>
                <w:vertAlign w:val="superscript"/>
              </w:rPr>
              <w:t xml:space="preserve"> </w:t>
            </w:r>
          </w:p>
        </w:tc>
        <w:tc>
          <w:tcPr>
            <w:tcW w:w="1125" w:type="dxa"/>
            <w:tcBorders>
              <w:top w:val="nil"/>
              <w:left w:val="nil"/>
              <w:bottom w:val="single" w:sz="6" w:space="0" w:color="969696"/>
              <w:right w:val="nil"/>
            </w:tcBorders>
            <w:shd w:val="clear" w:color="auto" w:fill="D8D8D8"/>
            <w:tcMar>
              <w:left w:w="36" w:type="dxa"/>
              <w:right w:w="36" w:type="dxa"/>
            </w:tcMar>
            <w:vAlign w:val="center"/>
          </w:tcPr>
          <w:p w:rsidR="000D1659" w:rsidRPr="00491918" w:rsidRDefault="000D1659">
            <w:pPr>
              <w:jc w:val="right"/>
              <w:rPr>
                <w:color w:val="000000"/>
                <w:sz w:val="16"/>
                <w:szCs w:val="20"/>
                <w:vertAlign w:val="superscript"/>
              </w:rPr>
            </w:pPr>
            <w:r w:rsidRPr="00491918">
              <w:rPr>
                <w:color w:val="000000"/>
                <w:sz w:val="16"/>
                <w:szCs w:val="20"/>
              </w:rPr>
              <w:t>365 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375 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317 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b/>
                <w:color w:val="000000"/>
                <w:sz w:val="16"/>
                <w:szCs w:val="20"/>
              </w:rPr>
              <w:t>Diluted weighted average number of shares</w:t>
            </w:r>
            <w:r w:rsidRPr="00491918">
              <w:rPr>
                <w:b/>
                <w:color w:val="000000"/>
                <w:sz w:val="16"/>
                <w:szCs w:val="20"/>
                <w:vertAlign w:val="superscript"/>
              </w:rPr>
              <w:t xml:space="preserve"> </w:t>
            </w:r>
          </w:p>
        </w:tc>
        <w:tc>
          <w:tcPr>
            <w:tcW w:w="1125" w:type="dxa"/>
            <w:tcBorders>
              <w:top w:val="single" w:sz="6" w:space="0" w:color="969696"/>
              <w:left w:val="nil"/>
              <w:bottom w:val="nil"/>
              <w:right w:val="nil"/>
            </w:tcBorders>
            <w:shd w:val="clear" w:color="auto" w:fill="D8D8D8"/>
            <w:tcMar>
              <w:left w:w="36" w:type="dxa"/>
              <w:right w:w="36" w:type="dxa"/>
            </w:tcMar>
            <w:vAlign w:val="center"/>
          </w:tcPr>
          <w:p w:rsidR="000D1659" w:rsidRPr="00491918" w:rsidRDefault="000D1659">
            <w:pPr>
              <w:jc w:val="right"/>
              <w:rPr>
                <w:b/>
                <w:color w:val="000000"/>
                <w:sz w:val="16"/>
                <w:szCs w:val="20"/>
                <w:vertAlign w:val="superscript"/>
              </w:rPr>
            </w:pPr>
            <w:r w:rsidRPr="00491918">
              <w:rPr>
                <w:b/>
                <w:color w:val="000000"/>
                <w:sz w:val="16"/>
                <w:szCs w:val="20"/>
              </w:rPr>
              <w:t>13,040 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12,598 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12,532 </w:t>
            </w:r>
          </w:p>
        </w:tc>
      </w:tr>
      <w:tr w:rsidR="000D1659" w:rsidRPr="00491918">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color w:val="000000"/>
                <w:sz w:val="16"/>
                <w:szCs w:val="20"/>
              </w:rPr>
              <w:t xml:space="preserve"> </w:t>
            </w:r>
            <w:r w:rsidRPr="00491918">
              <w:rPr>
                <w:color w:val="000000"/>
                <w:sz w:val="16"/>
                <w:szCs w:val="20"/>
                <w:vertAlign w:val="superscript"/>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20"/>
                <w:vertAlign w:val="superscript"/>
              </w:rPr>
            </w:pPr>
            <w:r w:rsidRPr="00491918">
              <w:rPr>
                <w:b/>
                <w:color w:val="000000"/>
                <w:sz w:val="16"/>
                <w:szCs w:val="20"/>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20"/>
              </w:rPr>
            </w:pPr>
            <w:r w:rsidRPr="00491918">
              <w:rPr>
                <w:b/>
                <w:color w:val="000000"/>
                <w:sz w:val="16"/>
                <w:szCs w:val="20"/>
              </w:rPr>
              <w:t xml:space="preserve">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20"/>
              </w:rPr>
            </w:pPr>
            <w:r w:rsidRPr="00491918">
              <w:rPr>
                <w:color w:val="000000"/>
                <w:sz w:val="16"/>
                <w:szCs w:val="20"/>
              </w:rPr>
              <w:t xml:space="preserve">Basic earnings/(loss) per ordinary share </w:t>
            </w:r>
            <w:r w:rsidRPr="00491918">
              <w:rPr>
                <w:color w:val="000000"/>
                <w:sz w:val="16"/>
                <w:szCs w:val="20"/>
                <w:vertAlign w:val="superscript"/>
              </w:rPr>
              <w:t xml:space="preserve"> </w:t>
            </w:r>
          </w:p>
        </w:tc>
        <w:tc>
          <w:tcPr>
            <w:tcW w:w="1125" w:type="dxa"/>
            <w:tcBorders>
              <w:top w:val="single" w:sz="6" w:space="0" w:color="969696"/>
              <w:left w:val="nil"/>
              <w:bottom w:val="nil"/>
              <w:right w:val="nil"/>
            </w:tcBorders>
            <w:shd w:val="clear" w:color="auto" w:fill="D8D8D8"/>
            <w:tcMar>
              <w:left w:w="36" w:type="dxa"/>
              <w:right w:w="36" w:type="dxa"/>
            </w:tcMar>
            <w:vAlign w:val="center"/>
          </w:tcPr>
          <w:p w:rsidR="000D1659" w:rsidRPr="00491918" w:rsidRDefault="00206F8B" w:rsidP="00206F8B">
            <w:pPr>
              <w:jc w:val="right"/>
              <w:rPr>
                <w:color w:val="000000"/>
                <w:sz w:val="16"/>
                <w:szCs w:val="20"/>
                <w:vertAlign w:val="superscript"/>
              </w:rPr>
            </w:pPr>
            <w:r w:rsidRPr="00491918">
              <w:rPr>
                <w:color w:val="000000"/>
                <w:sz w:val="16"/>
                <w:szCs w:val="20"/>
              </w:rPr>
              <w:t>5</w:t>
            </w:r>
            <w:r w:rsidR="000D1659" w:rsidRPr="00491918">
              <w:rPr>
                <w:color w:val="000000"/>
                <w:sz w:val="16"/>
                <w:szCs w:val="20"/>
              </w:rPr>
              <w:t>.</w:t>
            </w:r>
            <w:r w:rsidRPr="00491918">
              <w:rPr>
                <w:color w:val="000000"/>
                <w:sz w:val="16"/>
                <w:szCs w:val="20"/>
              </w:rPr>
              <w:t>3</w:t>
            </w:r>
            <w:r w:rsidR="000D1659" w:rsidRPr="00491918">
              <w:rPr>
                <w:color w:val="000000"/>
                <w:sz w:val="16"/>
                <w:szCs w:val="20"/>
              </w:rPr>
              <w:t>p</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(6.3p)</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1.2p</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20"/>
              </w:rPr>
            </w:pPr>
            <w:r w:rsidRPr="00491918">
              <w:rPr>
                <w:color w:val="000000"/>
                <w:sz w:val="16"/>
                <w:szCs w:val="20"/>
              </w:rPr>
              <w:t>Diluted earnings/(loss) per ordinary share</w:t>
            </w:r>
            <w:r w:rsidRPr="00491918">
              <w:rPr>
                <w:color w:val="000000"/>
                <w:sz w:val="16"/>
                <w:szCs w:val="20"/>
                <w:vertAlign w:val="superscript"/>
              </w:rPr>
              <w:t xml:space="preserve"> </w:t>
            </w:r>
          </w:p>
        </w:tc>
        <w:tc>
          <w:tcPr>
            <w:tcW w:w="1125" w:type="dxa"/>
            <w:tcBorders>
              <w:top w:val="nil"/>
              <w:left w:val="nil"/>
              <w:bottom w:val="nil"/>
              <w:right w:val="nil"/>
            </w:tcBorders>
            <w:shd w:val="clear" w:color="auto" w:fill="D8D8D8"/>
            <w:tcMar>
              <w:left w:w="36" w:type="dxa"/>
              <w:right w:w="36" w:type="dxa"/>
            </w:tcMar>
            <w:vAlign w:val="center"/>
          </w:tcPr>
          <w:p w:rsidR="000D1659" w:rsidRPr="00491918" w:rsidRDefault="00206F8B">
            <w:pPr>
              <w:jc w:val="right"/>
              <w:rPr>
                <w:color w:val="000000"/>
                <w:sz w:val="16"/>
                <w:szCs w:val="20"/>
                <w:vertAlign w:val="superscript"/>
              </w:rPr>
            </w:pPr>
            <w:r w:rsidRPr="00491918">
              <w:rPr>
                <w:color w:val="000000"/>
                <w:sz w:val="16"/>
                <w:szCs w:val="20"/>
              </w:rPr>
              <w:t>5</w:t>
            </w:r>
            <w:r w:rsidR="000D1659" w:rsidRPr="00491918">
              <w:rPr>
                <w:color w:val="000000"/>
                <w:sz w:val="16"/>
                <w:szCs w:val="20"/>
              </w:rPr>
              <w:t>.</w:t>
            </w:r>
            <w:r w:rsidRPr="00491918">
              <w:rPr>
                <w:color w:val="000000"/>
                <w:sz w:val="16"/>
                <w:szCs w:val="20"/>
              </w:rPr>
              <w:t>2</w:t>
            </w:r>
            <w:r w:rsidR="000D1659" w:rsidRPr="00491918">
              <w:rPr>
                <w:color w:val="000000"/>
                <w:sz w:val="16"/>
                <w:szCs w:val="20"/>
              </w:rPr>
              <w:t>p</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(6.3p)</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20"/>
              </w:rPr>
            </w:pPr>
            <w:r w:rsidRPr="00491918">
              <w:rPr>
                <w:color w:val="000000"/>
                <w:sz w:val="16"/>
                <w:szCs w:val="20"/>
              </w:rPr>
              <w:t>1.2p</w:t>
            </w:r>
          </w:p>
        </w:tc>
      </w:tr>
    </w:tbl>
    <w:p w:rsidR="000D1659" w:rsidRPr="00491918" w:rsidRDefault="000D1659">
      <w:pPr>
        <w:rPr>
          <w:szCs w:val="20"/>
        </w:rPr>
      </w:pPr>
    </w:p>
    <w:p w:rsidR="000D1659" w:rsidRPr="00491918" w:rsidRDefault="000D1659" w:rsidP="000D1659">
      <w:pPr>
        <w:pStyle w:val="Normal113"/>
        <w:rPr>
          <w:rFonts w:ascii="Expert Sans Regular" w:hAnsi="Expert Sans Regular"/>
          <w:sz w:val="14"/>
          <w:szCs w:val="14"/>
        </w:rPr>
      </w:pPr>
    </w:p>
    <w:p w:rsidR="00D4757C" w:rsidRPr="00491918" w:rsidRDefault="00D4757C" w:rsidP="00D4757C">
      <w:pPr>
        <w:pStyle w:val="HeadingLevel1-BarcRA52"/>
        <w:rPr>
          <w:lang w:val="en-GB"/>
        </w:rPr>
      </w:pPr>
      <w:r w:rsidRPr="00491918">
        <w:t>9.</w:t>
      </w:r>
      <w:r w:rsidRPr="00491918">
        <w:tab/>
        <w:t>Dividends on Ordinary Shares</w:t>
      </w:r>
    </w:p>
    <w:p w:rsidR="00D4757C" w:rsidRPr="00491918" w:rsidRDefault="00D4757C" w:rsidP="00D4757C">
      <w:pPr>
        <w:pStyle w:val="Normal114"/>
        <w:jc w:val="both"/>
        <w:rPr>
          <w:szCs w:val="18"/>
          <w:lang w:eastAsia="en-GB"/>
        </w:rPr>
      </w:pPr>
      <w:r w:rsidRPr="00491918">
        <w:rPr>
          <w:szCs w:val="18"/>
          <w:lang w:eastAsia="en-GB"/>
        </w:rPr>
        <w:t>It is Barclays’ policy to declare and pay dividends on a quarterly basis. The first interim dividend for 2013 of 1p per share was paid on 7 June 2013. The Board has decided to pay on 13 September 2013, a second interim dividend for 2013 of 1p per ordinary share to shareholders on the share register on 9 August 2013, making a total for the first half of 2013 of 2p (2012: 2p). Shareholders may have their dividends reinvested in Barclays shares by joining the Barclays PLC Scrip Dividend Programme (the Programme), which was approved by shareholders at the Barclays 2013 Annual General Meeting. The Programme will initially be offered for the second interim dividend and for any dividends paid thereafter (subject to the Directors making the Programme available for each dividend).</w:t>
      </w:r>
    </w:p>
    <w:p w:rsidR="00D4757C" w:rsidRPr="00491918" w:rsidRDefault="00D4757C" w:rsidP="00D4757C">
      <w:pPr>
        <w:rPr>
          <w:szCs w:val="18"/>
          <w:lang w:eastAsia="en-GB"/>
        </w:rPr>
      </w:pPr>
    </w:p>
    <w:tbl>
      <w:tblPr>
        <w:tblW w:w="0" w:type="auto"/>
        <w:tblLayout w:type="fixed"/>
        <w:tblLook w:val="0000" w:firstRow="0" w:lastRow="0" w:firstColumn="0" w:lastColumn="0" w:noHBand="0" w:noVBand="0"/>
      </w:tblPr>
      <w:tblGrid>
        <w:gridCol w:w="2775"/>
        <w:gridCol w:w="1125"/>
        <w:gridCol w:w="1125"/>
        <w:gridCol w:w="92"/>
        <w:gridCol w:w="1125"/>
        <w:gridCol w:w="1125"/>
        <w:gridCol w:w="92"/>
        <w:gridCol w:w="1125"/>
        <w:gridCol w:w="1125"/>
      </w:tblGrid>
      <w:tr w:rsidR="00D4757C" w:rsidRPr="00491918" w:rsidTr="00F92E6D">
        <w:trPr>
          <w:trHeight w:hRule="exact" w:val="240"/>
        </w:trPr>
        <w:tc>
          <w:tcPr>
            <w:tcW w:w="277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szCs w:val="18"/>
                <w:lang w:eastAsia="en-GB"/>
              </w:rPr>
            </w:pPr>
            <w:r w:rsidRPr="00491918">
              <w:rPr>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color w:val="000000"/>
                <w:sz w:val="16"/>
                <w:szCs w:val="18"/>
                <w:lang w:eastAsia="en-GB"/>
              </w:rPr>
            </w:pPr>
            <w:r w:rsidRPr="00491918">
              <w:rPr>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color w:val="000000"/>
                <w:sz w:val="16"/>
                <w:szCs w:val="18"/>
                <w:lang w:eastAsia="en-GB"/>
              </w:rPr>
            </w:pPr>
            <w:r w:rsidRPr="00491918">
              <w:rPr>
                <w:color w:val="000000"/>
                <w:sz w:val="16"/>
                <w:szCs w:val="18"/>
                <w:lang w:eastAsia="en-GB"/>
              </w:rPr>
              <w:t xml:space="preserve"> </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color w:val="000000"/>
                <w:sz w:val="16"/>
                <w:szCs w:val="18"/>
                <w:lang w:eastAsia="en-GB"/>
              </w:rPr>
            </w:pPr>
            <w:r w:rsidRPr="00491918">
              <w:rPr>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color w:val="000000"/>
                <w:sz w:val="16"/>
                <w:szCs w:val="18"/>
                <w:lang w:eastAsia="en-GB"/>
              </w:rPr>
            </w:pPr>
            <w:r w:rsidRPr="00491918">
              <w:rPr>
                <w:rFonts w:ascii="Barclays Sans" w:eastAsia="Barclays Sans" w:hAnsi="Barclays Sans" w:cs="Barclays Sans"/>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rFonts w:ascii="Barclays Sans" w:eastAsia="Barclays Sans" w:hAnsi="Barclays Sans" w:cs="Barclays Sans"/>
                <w:color w:val="000000"/>
                <w:sz w:val="16"/>
                <w:szCs w:val="18"/>
                <w:lang w:eastAsia="en-GB"/>
              </w:rPr>
            </w:pPr>
            <w:r w:rsidRPr="00491918">
              <w:rPr>
                <w:rFonts w:ascii="Barclays Sans" w:eastAsia="Barclays Sans" w:hAnsi="Barclays Sans" w:cs="Barclays Sans"/>
                <w:color w:val="000000"/>
                <w:sz w:val="16"/>
                <w:szCs w:val="18"/>
                <w:lang w:eastAsia="en-GB"/>
              </w:rPr>
              <w:t xml:space="preserve"> </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rFonts w:ascii="Barclays Sans" w:eastAsia="Barclays Sans" w:hAnsi="Barclays Sans" w:cs="Barclays Sans"/>
                <w:color w:val="000000"/>
                <w:sz w:val="16"/>
                <w:szCs w:val="18"/>
                <w:lang w:eastAsia="en-GB"/>
              </w:rPr>
            </w:pPr>
            <w:r w:rsidRPr="00491918">
              <w:rPr>
                <w:rFonts w:ascii="Barclays Sans" w:eastAsia="Barclays Sans" w:hAnsi="Barclays Sans" w:cs="Barclays Sans"/>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rFonts w:ascii="Barclays Sans" w:eastAsia="Barclays Sans" w:hAnsi="Barclays Sans" w:cs="Barclays Sans"/>
                <w:color w:val="000000"/>
                <w:sz w:val="16"/>
                <w:szCs w:val="18"/>
                <w:lang w:eastAsia="en-GB"/>
              </w:rPr>
            </w:pPr>
            <w:r w:rsidRPr="00491918">
              <w:rPr>
                <w:rFonts w:ascii="Barclays Sans" w:eastAsia="Barclays Sans" w:hAnsi="Barclays Sans" w:cs="Barclays Sans"/>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rPr>
                <w:rFonts w:ascii="Barclays Sans" w:eastAsia="Barclays Sans" w:hAnsi="Barclays Sans" w:cs="Barclays Sans"/>
                <w:color w:val="000000"/>
                <w:sz w:val="16"/>
                <w:szCs w:val="18"/>
                <w:lang w:eastAsia="en-GB"/>
              </w:rPr>
            </w:pPr>
            <w:r w:rsidRPr="00491918">
              <w:rPr>
                <w:rFonts w:ascii="Barclays Sans" w:eastAsia="Barclays Sans" w:hAnsi="Barclays Sans" w:cs="Barclays Sans"/>
                <w:color w:val="000000"/>
                <w:sz w:val="16"/>
                <w:szCs w:val="18"/>
                <w:lang w:eastAsia="en-GB"/>
              </w:rPr>
              <w:t xml:space="preserve"> </w:t>
            </w:r>
          </w:p>
        </w:tc>
      </w:tr>
      <w:tr w:rsidR="00D4757C" w:rsidRPr="00491918" w:rsidTr="00F92E6D">
        <w:trPr>
          <w:trHeight w:val="255"/>
        </w:trPr>
        <w:tc>
          <w:tcPr>
            <w:tcW w:w="2775" w:type="dxa"/>
            <w:tcBorders>
              <w:top w:val="nil"/>
              <w:left w:val="nil"/>
              <w:bottom w:val="nil"/>
              <w:right w:val="nil"/>
            </w:tcBorders>
            <w:shd w:val="clear" w:color="auto" w:fill="FFFFFF"/>
            <w:tcMar>
              <w:left w:w="36" w:type="dxa"/>
              <w:right w:w="36" w:type="dxa"/>
            </w:tcMar>
            <w:vAlign w:val="bottom"/>
          </w:tcPr>
          <w:p w:rsidR="00D4757C" w:rsidRPr="00491918" w:rsidRDefault="00D4757C" w:rsidP="00D4757C">
            <w:pPr>
              <w:rPr>
                <w:rFonts w:ascii="Barclays Sans" w:eastAsia="Barclays Sans" w:hAnsi="Barclays Sans" w:cs="Barclays Sans"/>
                <w:color w:val="000000"/>
                <w:sz w:val="16"/>
                <w:szCs w:val="18"/>
                <w:lang w:eastAsia="en-GB"/>
              </w:rPr>
            </w:pPr>
            <w:r w:rsidRPr="00491918">
              <w:rPr>
                <w:color w:val="000000"/>
                <w:sz w:val="16"/>
                <w:szCs w:val="18"/>
                <w:lang w:eastAsia="en-GB"/>
              </w:rPr>
              <w:t xml:space="preserve"> </w:t>
            </w:r>
          </w:p>
        </w:tc>
        <w:tc>
          <w:tcPr>
            <w:tcW w:w="2250" w:type="dxa"/>
            <w:gridSpan w:val="2"/>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center"/>
              <w:rPr>
                <w:color w:val="000000"/>
                <w:sz w:val="16"/>
                <w:szCs w:val="18"/>
                <w:lang w:eastAsia="en-GB"/>
              </w:rPr>
            </w:pPr>
            <w:r w:rsidRPr="00491918">
              <w:rPr>
                <w:b/>
                <w:color w:val="000000"/>
                <w:sz w:val="16"/>
                <w:szCs w:val="18"/>
                <w:lang w:eastAsia="en-GB"/>
              </w:rPr>
              <w:t>Half Year Ended 30.06.13</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center"/>
              <w:rPr>
                <w:b/>
                <w:color w:val="000000"/>
                <w:sz w:val="16"/>
                <w:szCs w:val="18"/>
                <w:lang w:eastAsia="en-GB"/>
              </w:rPr>
            </w:pPr>
            <w:r w:rsidRPr="00491918">
              <w:rPr>
                <w:b/>
                <w:color w:val="000000"/>
                <w:sz w:val="16"/>
                <w:szCs w:val="18"/>
                <w:lang w:eastAsia="en-GB"/>
              </w:rPr>
              <w:t xml:space="preserve"> </w:t>
            </w:r>
          </w:p>
        </w:tc>
        <w:tc>
          <w:tcPr>
            <w:tcW w:w="2250" w:type="dxa"/>
            <w:gridSpan w:val="2"/>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center"/>
              <w:rPr>
                <w:b/>
                <w:color w:val="000000"/>
                <w:sz w:val="16"/>
                <w:szCs w:val="18"/>
                <w:lang w:eastAsia="en-GB"/>
              </w:rPr>
            </w:pPr>
            <w:r w:rsidRPr="00491918">
              <w:rPr>
                <w:b/>
                <w:color w:val="000000"/>
                <w:sz w:val="16"/>
                <w:szCs w:val="18"/>
                <w:lang w:eastAsia="en-GB"/>
              </w:rPr>
              <w:t>Half Year Ended 31.12.12</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center"/>
              <w:rPr>
                <w:b/>
                <w:color w:val="000000"/>
                <w:sz w:val="16"/>
                <w:szCs w:val="18"/>
                <w:lang w:eastAsia="en-GB"/>
              </w:rPr>
            </w:pPr>
            <w:r w:rsidRPr="00491918">
              <w:rPr>
                <w:b/>
                <w:color w:val="000000"/>
                <w:sz w:val="16"/>
                <w:szCs w:val="18"/>
                <w:lang w:eastAsia="en-GB"/>
              </w:rPr>
              <w:t xml:space="preserve"> </w:t>
            </w:r>
          </w:p>
        </w:tc>
        <w:tc>
          <w:tcPr>
            <w:tcW w:w="2250" w:type="dxa"/>
            <w:gridSpan w:val="2"/>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center"/>
              <w:rPr>
                <w:b/>
                <w:color w:val="000000"/>
                <w:sz w:val="16"/>
                <w:szCs w:val="18"/>
                <w:lang w:eastAsia="en-GB"/>
              </w:rPr>
            </w:pPr>
            <w:r w:rsidRPr="00491918">
              <w:rPr>
                <w:b/>
                <w:color w:val="000000"/>
                <w:sz w:val="16"/>
                <w:szCs w:val="18"/>
                <w:lang w:eastAsia="en-GB"/>
              </w:rPr>
              <w:t>Half Year Ended 30.06.12</w:t>
            </w:r>
          </w:p>
        </w:tc>
      </w:tr>
      <w:tr w:rsidR="00D4757C" w:rsidRPr="00491918" w:rsidTr="00F92E6D">
        <w:trPr>
          <w:trHeight w:val="240"/>
        </w:trPr>
        <w:tc>
          <w:tcPr>
            <w:tcW w:w="2775" w:type="dxa"/>
            <w:tcBorders>
              <w:top w:val="nil"/>
              <w:left w:val="nil"/>
              <w:bottom w:val="nil"/>
              <w:right w:val="nil"/>
            </w:tcBorders>
            <w:shd w:val="clear" w:color="auto" w:fill="FFFFFF"/>
            <w:tcMar>
              <w:left w:w="36" w:type="dxa"/>
              <w:right w:w="36" w:type="dxa"/>
            </w:tcMar>
            <w:vAlign w:val="bottom"/>
          </w:tcPr>
          <w:p w:rsidR="00D4757C" w:rsidRPr="00491918" w:rsidRDefault="00D4757C" w:rsidP="00D4757C">
            <w:pPr>
              <w:rPr>
                <w:b/>
                <w:color w:val="000000"/>
                <w:sz w:val="16"/>
                <w:szCs w:val="18"/>
                <w:lang w:eastAsia="en-GB"/>
              </w:rPr>
            </w:pPr>
            <w:r w:rsidRPr="00491918">
              <w:rPr>
                <w:b/>
                <w:color w:val="000000"/>
                <w:sz w:val="16"/>
                <w:szCs w:val="18"/>
                <w:lang w:eastAsia="en-GB"/>
              </w:rPr>
              <w:t>Dividends Paid During the Period</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Per Share</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Total</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Per Share</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Total</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 xml:space="preserve">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Per Share</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b/>
                <w:color w:val="000000"/>
                <w:sz w:val="16"/>
                <w:szCs w:val="18"/>
                <w:lang w:eastAsia="en-GB"/>
              </w:rPr>
              <w:t>Total</w:t>
            </w:r>
          </w:p>
        </w:tc>
      </w:tr>
      <w:tr w:rsidR="00D4757C" w:rsidRPr="00491918" w:rsidTr="00F92E6D">
        <w:trPr>
          <w:trHeight w:val="240"/>
        </w:trPr>
        <w:tc>
          <w:tcPr>
            <w:tcW w:w="2775" w:type="dxa"/>
            <w:tcBorders>
              <w:top w:val="nil"/>
              <w:left w:val="nil"/>
              <w:bottom w:val="single" w:sz="6" w:space="0" w:color="969696"/>
              <w:right w:val="nil"/>
            </w:tcBorders>
            <w:shd w:val="clear" w:color="auto" w:fill="FFFFFF"/>
            <w:tcMar>
              <w:left w:w="36" w:type="dxa"/>
              <w:right w:w="36" w:type="dxa"/>
            </w:tcMar>
            <w:vAlign w:val="bottom"/>
          </w:tcPr>
          <w:p w:rsidR="00D4757C" w:rsidRPr="00491918" w:rsidRDefault="00D4757C" w:rsidP="00D4757C">
            <w:pPr>
              <w:rPr>
                <w:b/>
                <w:color w:val="000000"/>
                <w:sz w:val="16"/>
                <w:szCs w:val="18"/>
                <w:lang w:eastAsia="en-GB"/>
              </w:rPr>
            </w:pPr>
            <w:r w:rsidRPr="00491918">
              <w:rPr>
                <w:b/>
                <w:color w:val="000000"/>
                <w:sz w:val="16"/>
                <w:szCs w:val="18"/>
                <w:lang w:eastAsia="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right"/>
              <w:rPr>
                <w:b/>
                <w:color w:val="000000"/>
                <w:sz w:val="16"/>
                <w:szCs w:val="18"/>
                <w:lang w:eastAsia="en-GB"/>
              </w:rPr>
            </w:pPr>
            <w:r w:rsidRPr="00491918">
              <w:rPr>
                <w:color w:val="000000"/>
                <w:sz w:val="16"/>
                <w:szCs w:val="18"/>
                <w:lang w:eastAsia="en-GB"/>
              </w:rPr>
              <w:t>Pence</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£m </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Pence</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£m </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Pence</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£m </w:t>
            </w:r>
          </w:p>
        </w:tc>
      </w:tr>
    </w:tbl>
    <w:p w:rsidR="00F92E6D" w:rsidRPr="00491918" w:rsidRDefault="00F92E6D"/>
    <w:tbl>
      <w:tblPr>
        <w:tblW w:w="0" w:type="auto"/>
        <w:tblLayout w:type="fixed"/>
        <w:tblLook w:val="0000" w:firstRow="0" w:lastRow="0" w:firstColumn="0" w:lastColumn="0" w:noHBand="0" w:noVBand="0"/>
      </w:tblPr>
      <w:tblGrid>
        <w:gridCol w:w="2775"/>
        <w:gridCol w:w="1125"/>
        <w:gridCol w:w="1125"/>
        <w:gridCol w:w="92"/>
        <w:gridCol w:w="1125"/>
        <w:gridCol w:w="1125"/>
        <w:gridCol w:w="92"/>
        <w:gridCol w:w="1125"/>
        <w:gridCol w:w="1125"/>
      </w:tblGrid>
      <w:tr w:rsidR="00D4757C" w:rsidRPr="00491918" w:rsidTr="00F92E6D">
        <w:trPr>
          <w:trHeight w:val="240"/>
        </w:trPr>
        <w:tc>
          <w:tcPr>
            <w:tcW w:w="2775" w:type="dxa"/>
            <w:tcBorders>
              <w:left w:val="nil"/>
              <w:bottom w:val="nil"/>
              <w:right w:val="nil"/>
            </w:tcBorders>
            <w:shd w:val="clear" w:color="auto" w:fill="FFFFFF"/>
            <w:tcMar>
              <w:left w:w="36" w:type="dxa"/>
              <w:right w:w="36" w:type="dxa"/>
            </w:tcMar>
            <w:vAlign w:val="bottom"/>
          </w:tcPr>
          <w:p w:rsidR="00D4757C" w:rsidRPr="00491918" w:rsidRDefault="00D4757C" w:rsidP="00D4757C">
            <w:pPr>
              <w:rPr>
                <w:color w:val="000000"/>
                <w:sz w:val="16"/>
                <w:szCs w:val="18"/>
                <w:lang w:eastAsia="en-GB"/>
              </w:rPr>
            </w:pPr>
            <w:r w:rsidRPr="00491918">
              <w:rPr>
                <w:color w:val="000000"/>
                <w:sz w:val="16"/>
                <w:szCs w:val="18"/>
                <w:lang w:eastAsia="en-GB"/>
              </w:rPr>
              <w:t>Final dividend paid during period</w:t>
            </w:r>
          </w:p>
        </w:tc>
        <w:tc>
          <w:tcPr>
            <w:tcW w:w="1125" w:type="dxa"/>
            <w:tcBorders>
              <w:left w:val="nil"/>
              <w:bottom w:val="nil"/>
              <w:right w:val="nil"/>
            </w:tcBorders>
            <w:shd w:val="clear" w:color="auto" w:fill="EAEAEA"/>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3.5p</w:t>
            </w:r>
          </w:p>
        </w:tc>
        <w:tc>
          <w:tcPr>
            <w:tcW w:w="1125" w:type="dxa"/>
            <w:tcBorders>
              <w:left w:val="nil"/>
              <w:bottom w:val="nil"/>
              <w:right w:val="nil"/>
            </w:tcBorders>
            <w:shd w:val="clear" w:color="auto" w:fill="EAEAEA"/>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442 </w:t>
            </w:r>
          </w:p>
        </w:tc>
        <w:tc>
          <w:tcPr>
            <w:tcW w:w="92" w:type="dxa"/>
            <w:tcBorders>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w:t>
            </w:r>
          </w:p>
        </w:tc>
        <w:tc>
          <w:tcPr>
            <w:tcW w:w="1125" w:type="dxa"/>
            <w:tcBorders>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w:t>
            </w:r>
          </w:p>
        </w:tc>
        <w:tc>
          <w:tcPr>
            <w:tcW w:w="1125" w:type="dxa"/>
            <w:tcBorders>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w:t>
            </w:r>
          </w:p>
        </w:tc>
        <w:tc>
          <w:tcPr>
            <w:tcW w:w="92" w:type="dxa"/>
            <w:tcBorders>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w:t>
            </w:r>
          </w:p>
        </w:tc>
        <w:tc>
          <w:tcPr>
            <w:tcW w:w="1125" w:type="dxa"/>
            <w:tcBorders>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3.0p</w:t>
            </w:r>
          </w:p>
        </w:tc>
        <w:tc>
          <w:tcPr>
            <w:tcW w:w="1125" w:type="dxa"/>
            <w:tcBorders>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366 </w:t>
            </w:r>
          </w:p>
        </w:tc>
      </w:tr>
      <w:tr w:rsidR="00D4757C" w:rsidRPr="00491918" w:rsidTr="00F92E6D">
        <w:trPr>
          <w:trHeight w:val="240"/>
        </w:trPr>
        <w:tc>
          <w:tcPr>
            <w:tcW w:w="2775" w:type="dxa"/>
            <w:tcBorders>
              <w:top w:val="nil"/>
              <w:left w:val="nil"/>
              <w:bottom w:val="nil"/>
              <w:right w:val="nil"/>
            </w:tcBorders>
            <w:shd w:val="clear" w:color="auto" w:fill="FFFFFF"/>
            <w:tcMar>
              <w:left w:w="36" w:type="dxa"/>
              <w:right w:w="36" w:type="dxa"/>
            </w:tcMar>
            <w:vAlign w:val="bottom"/>
          </w:tcPr>
          <w:p w:rsidR="00D4757C" w:rsidRPr="00491918" w:rsidRDefault="00D4757C" w:rsidP="00D4757C">
            <w:pPr>
              <w:rPr>
                <w:color w:val="000000"/>
                <w:sz w:val="16"/>
                <w:szCs w:val="18"/>
                <w:lang w:eastAsia="en-GB"/>
              </w:rPr>
            </w:pPr>
            <w:r w:rsidRPr="00491918">
              <w:rPr>
                <w:color w:val="000000"/>
                <w:sz w:val="16"/>
                <w:szCs w:val="18"/>
                <w:lang w:eastAsia="en-GB"/>
              </w:rPr>
              <w:t>Interim dividends paid during period</w:t>
            </w:r>
          </w:p>
        </w:tc>
        <w:tc>
          <w:tcPr>
            <w:tcW w:w="1125" w:type="dxa"/>
            <w:tcBorders>
              <w:top w:val="nil"/>
              <w:left w:val="nil"/>
              <w:bottom w:val="nil"/>
              <w:right w:val="nil"/>
            </w:tcBorders>
            <w:shd w:val="clear" w:color="auto" w:fill="EAEAEA"/>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1.0p</w:t>
            </w:r>
          </w:p>
        </w:tc>
        <w:tc>
          <w:tcPr>
            <w:tcW w:w="1125" w:type="dxa"/>
            <w:tcBorders>
              <w:top w:val="nil"/>
              <w:left w:val="nil"/>
              <w:bottom w:val="nil"/>
              <w:right w:val="nil"/>
            </w:tcBorders>
            <w:shd w:val="clear" w:color="auto" w:fill="EAEAEA"/>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128 </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2.0p</w:t>
            </w:r>
          </w:p>
        </w:tc>
        <w:tc>
          <w:tcPr>
            <w:tcW w:w="1125" w:type="dxa"/>
            <w:tcBorders>
              <w:top w:val="nil"/>
              <w:left w:val="nil"/>
              <w:bottom w:val="nil"/>
              <w:right w:val="nil"/>
            </w:tcBorders>
            <w:shd w:val="clear" w:color="auto" w:fill="FFFFFF"/>
            <w:tcMar>
              <w:left w:w="36" w:type="dxa"/>
              <w:right w:w="36" w:type="dxa"/>
            </w:tcMar>
            <w:vAlign w:val="bottom"/>
          </w:tcPr>
          <w:p w:rsidR="00D4757C" w:rsidRPr="00491918" w:rsidRDefault="00D4757C" w:rsidP="00D4757C">
            <w:pPr>
              <w:jc w:val="right"/>
              <w:rPr>
                <w:color w:val="000000"/>
                <w:sz w:val="16"/>
                <w:szCs w:val="18"/>
                <w:lang w:eastAsia="en-GB"/>
              </w:rPr>
            </w:pPr>
            <w:r w:rsidRPr="00491918">
              <w:rPr>
                <w:color w:val="000000"/>
                <w:sz w:val="16"/>
                <w:szCs w:val="18"/>
                <w:lang w:eastAsia="en-GB"/>
              </w:rPr>
              <w:t>245 </w:t>
            </w:r>
          </w:p>
        </w:tc>
        <w:tc>
          <w:tcPr>
            <w:tcW w:w="92"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1.0p</w:t>
            </w:r>
          </w:p>
        </w:tc>
        <w:tc>
          <w:tcPr>
            <w:tcW w:w="1125" w:type="dxa"/>
            <w:tcBorders>
              <w:top w:val="nil"/>
              <w:left w:val="nil"/>
              <w:bottom w:val="nil"/>
              <w:right w:val="nil"/>
            </w:tcBorders>
            <w:shd w:val="clear" w:color="auto" w:fill="FFFFFF"/>
            <w:tcMar>
              <w:left w:w="36" w:type="dxa"/>
              <w:right w:w="36" w:type="dxa"/>
            </w:tcMar>
            <w:vAlign w:val="center"/>
          </w:tcPr>
          <w:p w:rsidR="00D4757C" w:rsidRPr="00491918" w:rsidRDefault="00D4757C" w:rsidP="00D4757C">
            <w:pPr>
              <w:jc w:val="right"/>
              <w:rPr>
                <w:color w:val="000000"/>
                <w:sz w:val="16"/>
                <w:szCs w:val="18"/>
                <w:lang w:eastAsia="en-GB"/>
              </w:rPr>
            </w:pPr>
            <w:r w:rsidRPr="00491918">
              <w:rPr>
                <w:color w:val="000000"/>
                <w:sz w:val="16"/>
                <w:szCs w:val="18"/>
                <w:lang w:eastAsia="en-GB"/>
              </w:rPr>
              <w:t xml:space="preserve"> 122 </w:t>
            </w:r>
          </w:p>
        </w:tc>
      </w:tr>
    </w:tbl>
    <w:p w:rsidR="00D4757C" w:rsidRPr="00491918" w:rsidRDefault="00D4757C" w:rsidP="00D4757C">
      <w:pPr>
        <w:rPr>
          <w:szCs w:val="18"/>
          <w:lang w:eastAsia="en-GB"/>
        </w:rPr>
      </w:pPr>
    </w:p>
    <w:p w:rsidR="00D4757C" w:rsidRPr="00491918" w:rsidRDefault="00D4757C" w:rsidP="00D4757C">
      <w:pPr>
        <w:pStyle w:val="BodyText-BarcRA91"/>
        <w:rPr>
          <w:rFonts w:eastAsia="Calibri"/>
          <w:sz w:val="18"/>
          <w:szCs w:val="18"/>
        </w:rPr>
      </w:pPr>
      <w:r w:rsidRPr="00491918">
        <w:rPr>
          <w:sz w:val="18"/>
          <w:szCs w:val="18"/>
        </w:rPr>
        <w:t>For qualifying US and Canadian resident ADR holders, the second interim dividend of 1p per ordinary share becomes 4p per ADS (representing four shares). The ADR depositary will post the second interim dividend on 13 September 2013 to ADR holders on the record at close of business on 9 August 2013.</w:t>
      </w:r>
    </w:p>
    <w:p w:rsidR="00D4757C" w:rsidRPr="00491918" w:rsidRDefault="00D4757C" w:rsidP="000D1659">
      <w:pPr>
        <w:pStyle w:val="Normal113"/>
        <w:rPr>
          <w:rFonts w:ascii="Expert Sans Regular" w:hAnsi="Expert Sans Regular"/>
          <w:sz w:val="14"/>
          <w:szCs w:val="14"/>
        </w:rPr>
      </w:pPr>
    </w:p>
    <w:p w:rsidR="000D1659" w:rsidRPr="00491918" w:rsidRDefault="000D1659" w:rsidP="000D1659">
      <w:pPr>
        <w:pStyle w:val="Normal113"/>
        <w:rPr>
          <w:rFonts w:ascii="Expert Sans Regular" w:hAnsi="Expert Sans Regular"/>
          <w:sz w:val="14"/>
          <w:szCs w:val="14"/>
        </w:rPr>
      </w:pPr>
    </w:p>
    <w:p w:rsidR="0038365D" w:rsidRPr="00491918" w:rsidRDefault="0038365D" w:rsidP="000D1659">
      <w:pPr>
        <w:pStyle w:val="Normal113"/>
        <w:rPr>
          <w:rFonts w:ascii="Expert Sans Regular" w:hAnsi="Expert Sans Regular"/>
          <w:sz w:val="14"/>
          <w:szCs w:val="14"/>
        </w:rPr>
      </w:pPr>
    </w:p>
    <w:p w:rsidR="000D1659" w:rsidRPr="00491918" w:rsidRDefault="00DF44D1" w:rsidP="000D1659">
      <w:pPr>
        <w:pStyle w:val="NoteandSourceText-BarcRA23"/>
        <w:ind w:left="284" w:hanging="284"/>
      </w:pPr>
      <w:r w:rsidRPr="00491918">
        <w:rPr>
          <w:rFonts w:eastAsia="Calibri"/>
        </w:rPr>
        <w:t>1</w:t>
      </w:r>
      <w:r w:rsidRPr="00491918">
        <w:rPr>
          <w:rFonts w:eastAsia="Calibri"/>
        </w:rPr>
        <w:tab/>
      </w:r>
      <w:r w:rsidR="000D1659" w:rsidRPr="00491918">
        <w:rPr>
          <w:rFonts w:eastAsia="Calibri"/>
        </w:rPr>
        <w:t>The number of basic weighted average number of shares excludes Treasury shares held in employee benefit trusts for trading.</w:t>
      </w:r>
    </w:p>
    <w:p w:rsidR="000D1659" w:rsidRPr="00491918" w:rsidRDefault="000D1659">
      <w:pPr>
        <w:rPr>
          <w:sz w:val="13"/>
          <w:szCs w:val="13"/>
        </w:rPr>
      </w:pPr>
    </w:p>
    <w:p w:rsidR="0007202F" w:rsidRPr="00491918" w:rsidRDefault="0007202F">
      <w:pPr>
        <w:rPr>
          <w:sz w:val="13"/>
          <w:szCs w:val="13"/>
        </w:rPr>
      </w:pPr>
    </w:p>
    <w:p w:rsidR="0007202F" w:rsidRPr="00491918" w:rsidRDefault="0007202F">
      <w:pPr>
        <w:rPr>
          <w:sz w:val="13"/>
          <w:szCs w:val="13"/>
        </w:rPr>
      </w:pPr>
    </w:p>
    <w:p w:rsidR="0007202F" w:rsidRPr="00491918" w:rsidRDefault="0007202F">
      <w:pPr>
        <w:rPr>
          <w:sz w:val="13"/>
          <w:szCs w:val="13"/>
        </w:rPr>
      </w:pPr>
    </w:p>
    <w:p w:rsidR="0007202F" w:rsidRPr="00491918" w:rsidRDefault="0007202F">
      <w:pPr>
        <w:rPr>
          <w:sz w:val="13"/>
          <w:szCs w:val="13"/>
        </w:rPr>
      </w:pPr>
    </w:p>
    <w:p w:rsidR="0007202F" w:rsidRPr="00491918" w:rsidRDefault="0007202F">
      <w:pPr>
        <w:rPr>
          <w:sz w:val="13"/>
          <w:szCs w:val="13"/>
        </w:rPr>
      </w:pPr>
    </w:p>
    <w:p w:rsidR="0007202F" w:rsidRPr="00491918" w:rsidRDefault="0007202F">
      <w:pPr>
        <w:rPr>
          <w:sz w:val="13"/>
          <w:szCs w:val="13"/>
        </w:rPr>
      </w:pPr>
    </w:p>
    <w:p w:rsidR="0007202F" w:rsidRPr="00491918" w:rsidRDefault="0007202F" w:rsidP="0007202F">
      <w:pPr>
        <w:pStyle w:val="HeadingLevel1-BarcRA49"/>
      </w:pPr>
      <w:r w:rsidRPr="00491918">
        <w:t>Financial Statement Notes</w:t>
      </w:r>
    </w:p>
    <w:tbl>
      <w:tblPr>
        <w:tblW w:w="0" w:type="auto"/>
        <w:tblLayout w:type="fixed"/>
        <w:tblLook w:val="0000" w:firstRow="0" w:lastRow="0" w:firstColumn="0" w:lastColumn="0" w:noHBand="0" w:noVBand="0"/>
      </w:tblPr>
      <w:tblGrid>
        <w:gridCol w:w="6225"/>
        <w:gridCol w:w="1080"/>
        <w:gridCol w:w="180"/>
        <w:gridCol w:w="1080"/>
        <w:gridCol w:w="1080"/>
      </w:tblGrid>
      <w:tr w:rsidR="000D1659" w:rsidRPr="00491918">
        <w:trPr>
          <w:trHeight w:val="315"/>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eastAsia="Calibri"/>
                <w:sz w:val="18"/>
                <w:szCs w:val="18"/>
              </w:rPr>
            </w:pPr>
            <w:r w:rsidRPr="00491918">
              <w:rPr>
                <w:b/>
                <w:color w:val="000000"/>
                <w:sz w:val="24"/>
                <w:szCs w:val="18"/>
              </w:rPr>
              <w:t>10.       Derivative Financial Instruments</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24"/>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 xml:space="preserve"> </w:t>
            </w:r>
          </w:p>
        </w:tc>
      </w:tr>
      <w:tr w:rsidR="008503A2" w:rsidRPr="00491918" w:rsidTr="00D4757C">
        <w:trPr>
          <w:trHeight w:val="48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 xml:space="preserve"> </w:t>
            </w:r>
          </w:p>
        </w:tc>
        <w:tc>
          <w:tcPr>
            <w:tcW w:w="1080" w:type="dxa"/>
            <w:vMerge w:val="restart"/>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szCs w:val="18"/>
              </w:rPr>
            </w:pPr>
            <w:r w:rsidRPr="00491918">
              <w:rPr>
                <w:b/>
                <w:color w:val="000000"/>
                <w:sz w:val="16"/>
                <w:szCs w:val="18"/>
              </w:rPr>
              <w:t xml:space="preserve">Contract Notional </w:t>
            </w:r>
          </w:p>
          <w:p w:rsidR="000D1659" w:rsidRPr="00491918" w:rsidRDefault="000D1659">
            <w:pPr>
              <w:jc w:val="right"/>
              <w:rPr>
                <w:b/>
                <w:color w:val="000000"/>
                <w:sz w:val="16"/>
                <w:szCs w:val="18"/>
              </w:rPr>
            </w:pPr>
            <w:r w:rsidRPr="00491918">
              <w:rPr>
                <w:b/>
                <w:color w:val="000000"/>
                <w:sz w:val="16"/>
                <w:szCs w:val="18"/>
              </w:rPr>
              <w:t xml:space="preserve">Amount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2160" w:type="dxa"/>
            <w:gridSpan w:val="2"/>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center"/>
              <w:rPr>
                <w:color w:val="000000"/>
                <w:sz w:val="16"/>
                <w:szCs w:val="18"/>
              </w:rPr>
            </w:pPr>
            <w:r w:rsidRPr="00491918">
              <w:rPr>
                <w:b/>
                <w:color w:val="000000"/>
                <w:sz w:val="16"/>
                <w:szCs w:val="18"/>
              </w:rPr>
              <w:t>Fair Value</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As at 30.06.13</w:t>
            </w:r>
          </w:p>
        </w:tc>
        <w:tc>
          <w:tcPr>
            <w:tcW w:w="1080" w:type="dxa"/>
            <w:vMerge/>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Assets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Liabilities</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£m</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£m</w:t>
            </w:r>
          </w:p>
        </w:tc>
      </w:tr>
    </w:tbl>
    <w:p w:rsidR="00F92E6D" w:rsidRPr="00491918" w:rsidRDefault="00F92E6D"/>
    <w:tbl>
      <w:tblPr>
        <w:tblW w:w="0" w:type="auto"/>
        <w:tblLayout w:type="fixed"/>
        <w:tblLook w:val="0000" w:firstRow="0" w:lastRow="0" w:firstColumn="0" w:lastColumn="0" w:noHBand="0" w:noVBand="0"/>
      </w:tblPr>
      <w:tblGrid>
        <w:gridCol w:w="6225"/>
        <w:gridCol w:w="1080"/>
        <w:gridCol w:w="180"/>
        <w:gridCol w:w="1080"/>
        <w:gridCol w:w="1080"/>
      </w:tblGrid>
      <w:tr w:rsidR="000D1659" w:rsidRPr="00491918" w:rsidTr="00F92E6D">
        <w:trPr>
          <w:trHeight w:val="240"/>
        </w:trPr>
        <w:tc>
          <w:tcPr>
            <w:tcW w:w="6225"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Foreign exchange derivatives</w:t>
            </w:r>
          </w:p>
        </w:tc>
        <w:tc>
          <w:tcPr>
            <w:tcW w:w="1080" w:type="dxa"/>
            <w:tcBorders>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5,611,437 </w:t>
            </w:r>
          </w:p>
        </w:tc>
        <w:tc>
          <w:tcPr>
            <w:tcW w:w="180"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64,279 </w:t>
            </w:r>
          </w:p>
        </w:tc>
        <w:tc>
          <w:tcPr>
            <w:tcW w:w="1080" w:type="dxa"/>
            <w:tcBorders>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(67,837)</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lastRenderedPageBreak/>
              <w:t>Interest rate derivatives</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36,824,042 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280,046 </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(264,599)</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Credit derivatives</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1,956,420 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28,559 </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(28,128)</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Equity and stock index and commodity derivatives</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992,595 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27,159 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(33,231)</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 assets/(liabilities) held for trading</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45,384,494 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400,043 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(393,795)</w:t>
            </w:r>
          </w:p>
        </w:tc>
      </w:tr>
      <w:tr w:rsidR="000D1659" w:rsidRPr="00491918">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Derivatives in Hedge Accounting Relationships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cash flow hedges</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158,440 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1,332 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(595)</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fair value hedges</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127,140 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1,642 </w:t>
            </w:r>
          </w:p>
        </w:tc>
        <w:tc>
          <w:tcPr>
            <w:tcW w:w="1080" w:type="dxa"/>
            <w:tcBorders>
              <w:top w:val="nil"/>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(1,347)</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hedges of net investments</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22,496 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55 </w:t>
            </w:r>
          </w:p>
        </w:tc>
        <w:tc>
          <w:tcPr>
            <w:tcW w:w="1080" w:type="dxa"/>
            <w:tcBorders>
              <w:top w:val="nil"/>
              <w:left w:val="nil"/>
              <w:bottom w:val="single" w:sz="6" w:space="0" w:color="969696"/>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(388)</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 assets/(liabilities) designated in hedge accounting relationships</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308,076 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3,029 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(2,330)</w:t>
            </w:r>
          </w:p>
        </w:tc>
      </w:tr>
      <w:tr w:rsidR="000D1659" w:rsidRPr="00491918">
        <w:trPr>
          <w:trHeight w:hRule="exac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Total recognised derivative assets/(liabilities)</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45,692,570 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403,072 </w:t>
            </w:r>
          </w:p>
        </w:tc>
        <w:tc>
          <w:tcPr>
            <w:tcW w:w="1080" w:type="dxa"/>
            <w:tcBorders>
              <w:top w:val="single" w:sz="6" w:space="0" w:color="969696"/>
              <w:left w:val="nil"/>
              <w:bottom w:val="nil"/>
              <w:right w:val="nil"/>
            </w:tcBorders>
            <w:shd w:val="clear" w:color="auto" w:fill="E2E2E2"/>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(396,125)</w:t>
            </w:r>
          </w:p>
        </w:tc>
      </w:tr>
      <w:tr w:rsidR="000D1659" w:rsidRPr="00491918">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As at 31.12.12</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Foreign exchange derivatives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4,423,737 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59,299 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(63,821)</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Interest rate derivatives</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32,995,831 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351,381 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(336,625)</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Credit derivatives</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1,768,180 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29,797 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(29,208)</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Equity and stock index and commodity derivatives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1,005,366 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24,880 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(29,933)</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 assets/(liabilities) held for trading</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40,193,114 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465,357 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(459,587)</w:t>
            </w:r>
          </w:p>
        </w:tc>
      </w:tr>
      <w:tr w:rsidR="000D1659" w:rsidRPr="00491918">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Derivatives in Hedge Accounting Relationships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cash flow hedges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177,122 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2,043 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(1,097)</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fair value hedges</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108,240 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1,576 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(1,984)</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hedges of net investments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17,460 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180 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(53)</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 assets/(liabilities) designated in hedge accounting relationships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302,822 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3,799 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(3,134)</w:t>
            </w:r>
          </w:p>
        </w:tc>
      </w:tr>
      <w:tr w:rsidR="000D1659" w:rsidRPr="00491918">
        <w:trPr>
          <w:trHeight w:hRule="exac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Total recognised derivative assets/(liabilities)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40,495,936 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469,156 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(462,721)</w:t>
            </w:r>
          </w:p>
        </w:tc>
      </w:tr>
      <w:tr w:rsidR="000D1659" w:rsidRPr="00491918">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As at 30.06.12</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Foreign exchange derivatives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5,067,266 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58,663 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(63,369)</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Interest rate derivatives</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38,549,480 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374,359 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(357,665)</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Credit derivatives</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1,926,860 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48,100 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(46,539)</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Equity and stock index and commodity derivatives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1,505,558 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31,584 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(35,278)</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 assets/(liabilities) held for trading</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47,049,164 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512,706 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(502,851)</w:t>
            </w:r>
          </w:p>
        </w:tc>
      </w:tr>
      <w:tr w:rsidR="000D1659" w:rsidRPr="00491918">
        <w:trPr>
          <w:trHeight w:hRule="exac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Derivatives in Hedge Accounting Relationships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cash flow hedges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210,141 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2,760 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(1,414)</w:t>
            </w:r>
          </w:p>
        </w:tc>
      </w:tr>
      <w:tr w:rsidR="000D1659" w:rsidRPr="00491918">
        <w:trPr>
          <w:trHeight w:val="240"/>
        </w:trPr>
        <w:tc>
          <w:tcPr>
            <w:tcW w:w="6225"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fair value hedges</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133,581 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2,121 </w:t>
            </w:r>
          </w:p>
        </w:tc>
        <w:tc>
          <w:tcPr>
            <w:tcW w:w="10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(3,388)</w:t>
            </w:r>
          </w:p>
        </w:tc>
      </w:tr>
      <w:tr w:rsidR="000D1659" w:rsidRPr="00491918">
        <w:trPr>
          <w:trHeigh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color w:val="000000"/>
                <w:sz w:val="16"/>
                <w:szCs w:val="18"/>
              </w:rPr>
              <w:t>Derivatives designated as hedges of net investments</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10,246 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106 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(59)</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Derivative assets/(liabilities) designated in hedge accounting relationships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353,968 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4,987 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(4,861)</w:t>
            </w:r>
          </w:p>
        </w:tc>
      </w:tr>
      <w:tr w:rsidR="000D1659" w:rsidRPr="00491918">
        <w:trPr>
          <w:trHeight w:hRule="exact" w:val="240"/>
        </w:trPr>
        <w:tc>
          <w:tcPr>
            <w:tcW w:w="62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szCs w:val="18"/>
              </w:rPr>
            </w:pPr>
            <w:r w:rsidRPr="00491918">
              <w:rPr>
                <w:b/>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color w:val="000000"/>
                <w:sz w:val="16"/>
                <w:szCs w:val="18"/>
              </w:rPr>
              <w:t xml:space="preserve"> </w:t>
            </w:r>
          </w:p>
        </w:tc>
      </w:tr>
      <w:tr w:rsidR="000D1659" w:rsidRPr="00491918">
        <w:trPr>
          <w:trHeight w:val="240"/>
        </w:trPr>
        <w:tc>
          <w:tcPr>
            <w:tcW w:w="62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szCs w:val="18"/>
              </w:rPr>
            </w:pPr>
            <w:r w:rsidRPr="00491918">
              <w:rPr>
                <w:b/>
                <w:color w:val="000000"/>
                <w:sz w:val="16"/>
                <w:szCs w:val="18"/>
              </w:rPr>
              <w:t>Total recognised derivative assets/(liabilities)</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47,403,132 </w:t>
            </w:r>
          </w:p>
        </w:tc>
        <w:tc>
          <w:tcPr>
            <w:tcW w:w="180"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color w:val="000000"/>
                <w:sz w:val="16"/>
                <w:szCs w:val="18"/>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szCs w:val="18"/>
              </w:rPr>
            </w:pPr>
            <w:r w:rsidRPr="00491918">
              <w:rPr>
                <w:b/>
                <w:color w:val="000000"/>
                <w:sz w:val="16"/>
                <w:szCs w:val="18"/>
              </w:rPr>
              <w:t>517,693 </w:t>
            </w:r>
          </w:p>
        </w:tc>
        <w:tc>
          <w:tcPr>
            <w:tcW w:w="108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szCs w:val="18"/>
              </w:rPr>
            </w:pPr>
            <w:r w:rsidRPr="00491918">
              <w:rPr>
                <w:b/>
                <w:color w:val="000000"/>
                <w:sz w:val="16"/>
                <w:szCs w:val="18"/>
              </w:rPr>
              <w:t>(507,712)</w:t>
            </w:r>
          </w:p>
        </w:tc>
      </w:tr>
    </w:tbl>
    <w:p w:rsidR="000D1659" w:rsidRPr="00491918" w:rsidRDefault="000D1659">
      <w:pPr>
        <w:rPr>
          <w:rFonts w:eastAsia="Calibri"/>
          <w:sz w:val="18"/>
          <w:szCs w:val="18"/>
        </w:rPr>
      </w:pPr>
    </w:p>
    <w:p w:rsidR="000D1659" w:rsidRPr="00491918" w:rsidRDefault="000D1659" w:rsidP="000D1659">
      <w:pPr>
        <w:pStyle w:val="BodyText-BarcRA81"/>
        <w:rPr>
          <w:szCs w:val="18"/>
        </w:rPr>
      </w:pPr>
      <w:r w:rsidRPr="00491918">
        <w:rPr>
          <w:szCs w:val="18"/>
        </w:rPr>
        <w:t>The fair value of gross derivative assets decrease</w:t>
      </w:r>
      <w:r w:rsidR="0021631B" w:rsidRPr="00491918">
        <w:rPr>
          <w:szCs w:val="18"/>
        </w:rPr>
        <w:t>d by 14% to £403bn (</w:t>
      </w:r>
      <w:r w:rsidRPr="00491918">
        <w:rPr>
          <w:szCs w:val="18"/>
        </w:rPr>
        <w:t>2012: £469bn) reflecting the impact of optimisation initiatives to reduce gross derivative exposures and increases in the major forward curves, offset by movements in the foreign exchange rates.</w:t>
      </w:r>
    </w:p>
    <w:p w:rsidR="000D1659" w:rsidRPr="00491918" w:rsidRDefault="000D1659" w:rsidP="000D1659">
      <w:pPr>
        <w:pStyle w:val="BodyText-BarcRA81"/>
        <w:rPr>
          <w:szCs w:val="18"/>
        </w:rPr>
      </w:pPr>
      <w:r w:rsidRPr="00491918">
        <w:rPr>
          <w:szCs w:val="18"/>
        </w:rPr>
        <w:t>Information on further netting of derivative financial instruments is included within note 12, Offsetting financial assets and financial liabilities.</w:t>
      </w:r>
    </w:p>
    <w:p w:rsidR="000D1659" w:rsidRPr="00491918" w:rsidRDefault="000D1659">
      <w:pPr>
        <w:rPr>
          <w:sz w:val="18"/>
          <w:szCs w:val="18"/>
        </w:rPr>
        <w:sectPr w:rsidR="000D1659" w:rsidRPr="00491918" w:rsidSect="00751636">
          <w:pgSz w:w="11905" w:h="16837"/>
          <w:pgMar w:top="851" w:right="1134" w:bottom="567" w:left="1134" w:header="851" w:footer="567" w:gutter="0"/>
          <w:cols w:space="708"/>
        </w:sectPr>
      </w:pPr>
    </w:p>
    <w:p w:rsidR="0007202F" w:rsidRPr="00491918" w:rsidRDefault="0007202F" w:rsidP="0007202F">
      <w:pPr>
        <w:pStyle w:val="HeadingLevel1-BarcRA49"/>
      </w:pPr>
      <w:r w:rsidRPr="00491918">
        <w:lastRenderedPageBreak/>
        <w:t>Financial Statement Notes</w:t>
      </w:r>
    </w:p>
    <w:p w:rsidR="000B3F05" w:rsidRPr="00491918" w:rsidRDefault="000B3F05" w:rsidP="000B3F05">
      <w:pPr>
        <w:pStyle w:val="BarclaysBodyTextHeadingL1"/>
        <w:rPr>
          <w:rFonts w:ascii="Expert Sans Regular" w:hAnsi="Expert Sans Regular"/>
          <w:color w:val="auto"/>
          <w:lang w:val="en-GB"/>
        </w:rPr>
      </w:pPr>
      <w:r w:rsidRPr="00491918">
        <w:rPr>
          <w:rFonts w:ascii="Expert Sans Regular" w:hAnsi="Expert Sans Regular"/>
          <w:color w:val="auto"/>
          <w:lang w:val="en-GB"/>
        </w:rPr>
        <w:t>11.</w:t>
      </w:r>
      <w:r w:rsidRPr="00491918">
        <w:rPr>
          <w:rFonts w:ascii="Expert Sans Regular" w:hAnsi="Expert Sans Regular"/>
          <w:color w:val="auto"/>
          <w:lang w:val="en-GB"/>
        </w:rPr>
        <w:tab/>
        <w:t>Financial Instruments Held at Fair Value</w:t>
      </w:r>
    </w:p>
    <w:p w:rsidR="000B3F05" w:rsidRPr="00491918" w:rsidRDefault="000B3F05" w:rsidP="000B3F05">
      <w:pPr>
        <w:rPr>
          <w:lang w:val="en-GB"/>
        </w:rPr>
      </w:pPr>
    </w:p>
    <w:p w:rsidR="000B3F05" w:rsidRPr="00491918" w:rsidRDefault="000B3F05" w:rsidP="000B3F05">
      <w:pPr>
        <w:pStyle w:val="BodyText-BarcRA"/>
      </w:pPr>
      <w:r w:rsidRPr="00491918">
        <w:t xml:space="preserve">This section should be read in conjunction with Note 18 “Fair value of financial instruments” of </w:t>
      </w:r>
      <w:r w:rsidR="00C53E60" w:rsidRPr="00491918">
        <w:t>the</w:t>
      </w:r>
      <w:r w:rsidRPr="00491918">
        <w:t xml:space="preserve"> 2012 Annual Report, which provides more detail about accounting policies adopted, valuation methodologies used in calculating fair value and, the Valuation control framework which governs the oversight of valuations.</w:t>
      </w:r>
    </w:p>
    <w:p w:rsidR="000B3F05" w:rsidRPr="00491918" w:rsidRDefault="000B3F05" w:rsidP="008D6001">
      <w:pPr>
        <w:pStyle w:val="HeadingLevel2-BarcRA"/>
        <w:outlineLvl w:val="0"/>
      </w:pPr>
      <w:r w:rsidRPr="00491918">
        <w:t>Comparison of carrying amounts and fair values</w:t>
      </w:r>
    </w:p>
    <w:p w:rsidR="000B3F05" w:rsidRPr="00491918" w:rsidRDefault="000B3F05" w:rsidP="000B3F05">
      <w:pPr>
        <w:pStyle w:val="BodyText-BarcRA"/>
      </w:pPr>
      <w:r w:rsidRPr="00491918">
        <w:t xml:space="preserve">Valuation methodologies employed in calculating the fair value of financial assets and liabilities measured at amortised cost are consistent with the 2012 Annual Report disclosure. </w:t>
      </w:r>
    </w:p>
    <w:p w:rsidR="000B3F05" w:rsidRPr="00491918" w:rsidRDefault="000B3F05" w:rsidP="000B3F05">
      <w:pPr>
        <w:pStyle w:val="BodyText-BarcRA"/>
      </w:pPr>
      <w:r w:rsidRPr="00491918">
        <w:t xml:space="preserve">The following table summarises the fair value of financial assets and liabilities measured at amortised cost on the Group’s balance sheet.  </w:t>
      </w:r>
    </w:p>
    <w:p w:rsidR="000B3F05" w:rsidRPr="00491918" w:rsidRDefault="000B3F05" w:rsidP="000B3F05"/>
    <w:tbl>
      <w:tblPr>
        <w:tblW w:w="0" w:type="auto"/>
        <w:tblLayout w:type="fixed"/>
        <w:tblLook w:val="0000" w:firstRow="0" w:lastRow="0" w:firstColumn="0" w:lastColumn="0" w:noHBand="0" w:noVBand="0"/>
      </w:tblPr>
      <w:tblGrid>
        <w:gridCol w:w="5025"/>
        <w:gridCol w:w="1125"/>
        <w:gridCol w:w="1125"/>
        <w:gridCol w:w="1125"/>
        <w:gridCol w:w="1125"/>
      </w:tblGrid>
      <w:tr w:rsidR="000B3F05" w:rsidRPr="00491918" w:rsidTr="00F92E6D">
        <w:trPr>
          <w:trHeight w:val="255"/>
        </w:trPr>
        <w:tc>
          <w:tcPr>
            <w:tcW w:w="5025" w:type="dxa"/>
            <w:tcBorders>
              <w:top w:val="nil"/>
              <w:left w:val="nil"/>
              <w:bottom w:val="single" w:sz="6" w:space="0" w:color="FFFFFF"/>
              <w:right w:val="nil"/>
            </w:tcBorders>
            <w:shd w:val="clear" w:color="auto" w:fill="FFFFFF"/>
            <w:tcMar>
              <w:left w:w="36" w:type="dxa"/>
              <w:right w:w="36" w:type="dxa"/>
            </w:tcMar>
            <w:vAlign w:val="bottom"/>
          </w:tcPr>
          <w:p w:rsidR="000B3F05" w:rsidRPr="00491918" w:rsidRDefault="000B3F05" w:rsidP="000B3F05">
            <w:r w:rsidRPr="00491918">
              <w:rPr>
                <w:color w:val="000000"/>
                <w:sz w:val="16"/>
              </w:rPr>
              <w:t xml:space="preserve"> </w:t>
            </w:r>
            <w:r w:rsidRPr="00491918">
              <w:rPr>
                <w:color w:val="000000"/>
                <w:sz w:val="16"/>
                <w:vertAlign w:val="superscript"/>
              </w:rPr>
              <w:t xml:space="preserve"> </w:t>
            </w:r>
          </w:p>
        </w:tc>
        <w:tc>
          <w:tcPr>
            <w:tcW w:w="2250" w:type="dxa"/>
            <w:gridSpan w:val="2"/>
            <w:tcBorders>
              <w:top w:val="nil"/>
              <w:left w:val="nil"/>
              <w:bottom w:val="single" w:sz="6" w:space="0" w:color="FFFFFF"/>
              <w:right w:val="nil"/>
            </w:tcBorders>
            <w:shd w:val="clear" w:color="auto" w:fill="FFFFFF"/>
            <w:tcMar>
              <w:left w:w="36" w:type="dxa"/>
              <w:right w:w="36" w:type="dxa"/>
            </w:tcMar>
            <w:vAlign w:val="bottom"/>
          </w:tcPr>
          <w:p w:rsidR="000B3F05" w:rsidRPr="00491918" w:rsidRDefault="000B3F05" w:rsidP="000B3F05">
            <w:pPr>
              <w:jc w:val="center"/>
              <w:rPr>
                <w:color w:val="000000"/>
                <w:sz w:val="16"/>
                <w:vertAlign w:val="superscript"/>
              </w:rPr>
            </w:pPr>
            <w:r w:rsidRPr="00491918">
              <w:rPr>
                <w:b/>
                <w:color w:val="000000"/>
                <w:sz w:val="16"/>
              </w:rPr>
              <w:t>As at 30.06.13</w:t>
            </w:r>
          </w:p>
        </w:tc>
        <w:tc>
          <w:tcPr>
            <w:tcW w:w="2250" w:type="dxa"/>
            <w:gridSpan w:val="2"/>
            <w:tcBorders>
              <w:top w:val="nil"/>
              <w:left w:val="nil"/>
              <w:bottom w:val="single" w:sz="6" w:space="0" w:color="FFFFFF"/>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As at 31.12.12</w:t>
            </w:r>
          </w:p>
        </w:tc>
      </w:tr>
      <w:tr w:rsidR="000B3F05" w:rsidRPr="00491918" w:rsidTr="000B3F05">
        <w:trPr>
          <w:trHeight w:val="510"/>
        </w:trPr>
        <w:tc>
          <w:tcPr>
            <w:tcW w:w="50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b/>
                <w:color w:val="000000"/>
                <w:sz w:val="16"/>
              </w:rPr>
              <w:t>Carrying</w:t>
            </w:r>
          </w:p>
          <w:p w:rsidR="000B3F05" w:rsidRPr="00491918" w:rsidRDefault="000B3F05" w:rsidP="000B3F05">
            <w:pPr>
              <w:jc w:val="right"/>
              <w:rPr>
                <w:b/>
                <w:color w:val="000000"/>
                <w:sz w:val="16"/>
              </w:rPr>
            </w:pPr>
            <w:r w:rsidRPr="00491918">
              <w:rPr>
                <w:b/>
                <w:color w:val="000000"/>
                <w:sz w:val="16"/>
              </w:rPr>
              <w:t>amount</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Fair</w:t>
            </w:r>
          </w:p>
          <w:p w:rsidR="000B3F05" w:rsidRPr="00491918" w:rsidRDefault="000B3F05" w:rsidP="000B3F05">
            <w:pPr>
              <w:jc w:val="right"/>
              <w:rPr>
                <w:b/>
                <w:color w:val="000000"/>
                <w:sz w:val="16"/>
              </w:rPr>
            </w:pPr>
            <w:r w:rsidRPr="00491918">
              <w:rPr>
                <w:b/>
                <w:color w:val="000000"/>
                <w:sz w:val="16"/>
              </w:rPr>
              <w:t>value</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Carrying</w:t>
            </w:r>
          </w:p>
          <w:p w:rsidR="000B3F05" w:rsidRPr="00491918" w:rsidRDefault="000B3F05" w:rsidP="000B3F05">
            <w:pPr>
              <w:jc w:val="right"/>
              <w:rPr>
                <w:b/>
                <w:color w:val="000000"/>
                <w:sz w:val="16"/>
              </w:rPr>
            </w:pPr>
            <w:r w:rsidRPr="00491918">
              <w:rPr>
                <w:b/>
                <w:color w:val="000000"/>
                <w:sz w:val="16"/>
              </w:rPr>
              <w:t>amount</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Fair</w:t>
            </w:r>
          </w:p>
          <w:p w:rsidR="000B3F05" w:rsidRPr="00491918" w:rsidRDefault="000B3F05" w:rsidP="000B3F05">
            <w:pPr>
              <w:jc w:val="right"/>
              <w:rPr>
                <w:b/>
                <w:color w:val="000000"/>
                <w:sz w:val="16"/>
              </w:rPr>
            </w:pPr>
            <w:r w:rsidRPr="00491918">
              <w:rPr>
                <w:b/>
                <w:color w:val="000000"/>
                <w:sz w:val="16"/>
              </w:rPr>
              <w:t>value</w:t>
            </w:r>
          </w:p>
        </w:tc>
      </w:tr>
      <w:tr w:rsidR="000B3F05" w:rsidRPr="00491918" w:rsidTr="000B3F05">
        <w:trPr>
          <w:trHeight w:val="255"/>
        </w:trPr>
        <w:tc>
          <w:tcPr>
            <w:tcW w:w="5025" w:type="dxa"/>
            <w:tcBorders>
              <w:top w:val="nil"/>
              <w:left w:val="nil"/>
              <w:bottom w:val="single" w:sz="6" w:space="0" w:color="7F7F7F"/>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single" w:sz="6" w:space="0" w:color="7F7F7F"/>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b/>
                <w:color w:val="000000"/>
                <w:sz w:val="16"/>
              </w:rPr>
              <w:t>£m</w:t>
            </w:r>
          </w:p>
        </w:tc>
        <w:tc>
          <w:tcPr>
            <w:tcW w:w="1125" w:type="dxa"/>
            <w:tcBorders>
              <w:top w:val="nil"/>
              <w:left w:val="nil"/>
              <w:bottom w:val="single" w:sz="6" w:space="0" w:color="7F7F7F"/>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7F7F7F"/>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7F7F7F"/>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r>
    </w:tbl>
    <w:p w:rsidR="00F92E6D" w:rsidRPr="00491918" w:rsidRDefault="00F92E6D"/>
    <w:tbl>
      <w:tblPr>
        <w:tblW w:w="0" w:type="auto"/>
        <w:tblLayout w:type="fixed"/>
        <w:tblLook w:val="0000" w:firstRow="0" w:lastRow="0" w:firstColumn="0" w:lastColumn="0" w:noHBand="0" w:noVBand="0"/>
      </w:tblPr>
      <w:tblGrid>
        <w:gridCol w:w="5025"/>
        <w:gridCol w:w="1125"/>
        <w:gridCol w:w="1125"/>
        <w:gridCol w:w="1125"/>
        <w:gridCol w:w="1125"/>
      </w:tblGrid>
      <w:tr w:rsidR="000B3F05" w:rsidRPr="00491918" w:rsidTr="00F92E6D">
        <w:trPr>
          <w:trHeight w:val="255"/>
        </w:trPr>
        <w:tc>
          <w:tcPr>
            <w:tcW w:w="5025" w:type="dxa"/>
            <w:tcBorders>
              <w:left w:val="nil"/>
              <w:bottom w:val="nil"/>
              <w:right w:val="nil"/>
            </w:tcBorders>
            <w:shd w:val="clear" w:color="auto" w:fill="FFFFFF"/>
            <w:tcMar>
              <w:left w:w="36" w:type="dxa"/>
              <w:right w:w="36" w:type="dxa"/>
            </w:tcMar>
          </w:tcPr>
          <w:p w:rsidR="000B3F05" w:rsidRPr="00491918" w:rsidRDefault="000B3F05" w:rsidP="000B3F05">
            <w:pPr>
              <w:rPr>
                <w:b/>
                <w:color w:val="000000"/>
                <w:sz w:val="16"/>
              </w:rPr>
            </w:pPr>
            <w:r w:rsidRPr="00491918">
              <w:rPr>
                <w:b/>
                <w:color w:val="000000"/>
                <w:sz w:val="16"/>
              </w:rPr>
              <w:t>Financial assets</w:t>
            </w:r>
            <w:r w:rsidRPr="00491918">
              <w:rPr>
                <w:color w:val="000000"/>
                <w:sz w:val="16"/>
                <w:vertAlign w:val="superscript"/>
              </w:rPr>
              <w:t xml:space="preserve"> </w:t>
            </w:r>
          </w:p>
        </w:tc>
        <w:tc>
          <w:tcPr>
            <w:tcW w:w="1125" w:type="dxa"/>
            <w:tcBorders>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w:t>
            </w:r>
          </w:p>
        </w:tc>
        <w:tc>
          <w:tcPr>
            <w:tcW w:w="1125"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 xml:space="preserve"> </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Cash and balances at central banks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72,720 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72,720 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86,191 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86,191 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Items in the course of collection from other banks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2,578 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2,578 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1,473 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1,473 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Loans and advances to banks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46,451 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46,451 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40,462 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40,462 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Loans and advances to customers: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 Home loans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179,903 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169,256 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174,988 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164,608 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 Credit cards, unsecured and other retail lending</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66,351 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65,312 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66,414 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65,357 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 Corporate loans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D07A2E">
            <w:pPr>
              <w:jc w:val="right"/>
              <w:rPr>
                <w:color w:val="000000"/>
                <w:sz w:val="16"/>
                <w:vertAlign w:val="superscript"/>
              </w:rPr>
            </w:pPr>
            <w:r w:rsidRPr="00491918">
              <w:rPr>
                <w:b/>
                <w:color w:val="000000"/>
                <w:sz w:val="16"/>
              </w:rPr>
              <w:t xml:space="preserve"> 22</w:t>
            </w:r>
            <w:r w:rsidR="00D07A2E" w:rsidRPr="00491918">
              <w:rPr>
                <w:b/>
                <w:color w:val="000000"/>
                <w:sz w:val="16"/>
              </w:rPr>
              <w:t>3</w:t>
            </w:r>
            <w:r w:rsidRPr="00491918">
              <w:rPr>
                <w:b/>
                <w:color w:val="000000"/>
                <w:sz w:val="16"/>
              </w:rPr>
              <w:t>,</w:t>
            </w:r>
            <w:r w:rsidR="00D07A2E" w:rsidRPr="00491918">
              <w:rPr>
                <w:b/>
                <w:color w:val="000000"/>
                <w:sz w:val="16"/>
              </w:rPr>
              <w:t>808</w:t>
            </w:r>
            <w:r w:rsidRPr="00491918">
              <w:rPr>
                <w:b/>
                <w:color w:val="000000"/>
                <w:sz w:val="16"/>
              </w:rPr>
              <w:t>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D07A2E">
            <w:pPr>
              <w:jc w:val="right"/>
              <w:rPr>
                <w:b/>
                <w:color w:val="000000"/>
                <w:sz w:val="16"/>
              </w:rPr>
            </w:pPr>
            <w:r w:rsidRPr="00491918">
              <w:rPr>
                <w:b/>
                <w:color w:val="000000"/>
                <w:sz w:val="16"/>
              </w:rPr>
              <w:t xml:space="preserve"> 21</w:t>
            </w:r>
            <w:r w:rsidR="00D07A2E" w:rsidRPr="00491918">
              <w:rPr>
                <w:b/>
                <w:color w:val="000000"/>
                <w:sz w:val="16"/>
              </w:rPr>
              <w:t>7</w:t>
            </w:r>
            <w:r w:rsidRPr="00491918">
              <w:rPr>
                <w:b/>
                <w:color w:val="000000"/>
                <w:sz w:val="16"/>
              </w:rPr>
              <w:t>,</w:t>
            </w:r>
            <w:r w:rsidR="00D07A2E" w:rsidRPr="00491918">
              <w:rPr>
                <w:b/>
                <w:color w:val="000000"/>
                <w:sz w:val="16"/>
              </w:rPr>
              <w:t>839</w:t>
            </w:r>
            <w:r w:rsidRPr="00491918">
              <w:rPr>
                <w:b/>
                <w:color w:val="000000"/>
                <w:sz w:val="16"/>
              </w:rPr>
              <w:t>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182,504 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176,727 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Reverse repurchase agreements and other similar secured lending</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222,881 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222,881 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176,522 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176,461 </w:t>
            </w:r>
          </w:p>
        </w:tc>
      </w:tr>
      <w:tr w:rsidR="000B3F05" w:rsidRPr="00491918" w:rsidTr="000B3F05">
        <w:trPr>
          <w:trHeight w:hRule="exac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 xml:space="preserve"> </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b/>
                <w:color w:val="000000"/>
                <w:sz w:val="16"/>
              </w:rPr>
              <w:t>Financial liabilities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Deposits from banks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(78,330)</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(78,330)</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(77,012)</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(77,025)</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Items in course of collection due to other banks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(1,542)</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(1,542)</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(1,587)</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(1,587)</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Customer accounts: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 Current and demand accounts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(132,694)</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(132,694)</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(127,786)</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(127,786)</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 Savings accounts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(120,593)</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(120,593)</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(99,875)</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(99,875)</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 Other time deposits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(206,977)</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(207,058)</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(157,750)</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(157,752)</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Debt securities in issue</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(102,946)</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(103,365)</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(119,525)</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(119,669)</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Repurchase agreements and other similar secured borrowing</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(259,539)</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(259,539)</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(217,178)</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(217,178)</w:t>
            </w:r>
          </w:p>
        </w:tc>
      </w:tr>
      <w:tr w:rsidR="000B3F05" w:rsidRPr="00491918" w:rsidTr="000B3F05">
        <w:trPr>
          <w:trHeight w:val="255"/>
        </w:trPr>
        <w:tc>
          <w:tcPr>
            <w:tcW w:w="5025" w:type="dxa"/>
            <w:tcBorders>
              <w:top w:val="nil"/>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Subordinated liabilities</w:t>
            </w:r>
            <w:r w:rsidRPr="00491918">
              <w:rPr>
                <w:color w:val="000000"/>
                <w:sz w:val="16"/>
                <w:vertAlign w:val="superscript"/>
              </w:rPr>
              <w:t xml:space="preserve"> </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(22,641)</w:t>
            </w:r>
          </w:p>
        </w:tc>
        <w:tc>
          <w:tcPr>
            <w:tcW w:w="112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(22,516)</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(24,018)</w:t>
            </w:r>
          </w:p>
        </w:tc>
        <w:tc>
          <w:tcPr>
            <w:tcW w:w="112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(23,467)</w:t>
            </w:r>
          </w:p>
        </w:tc>
      </w:tr>
    </w:tbl>
    <w:p w:rsidR="000B3F05" w:rsidRPr="00491918" w:rsidRDefault="000B3F05" w:rsidP="000B3F05">
      <w:pPr>
        <w:spacing w:line="14" w:lineRule="exact"/>
      </w:pPr>
      <w:r w:rsidRPr="00491918">
        <w:br w:type="page"/>
      </w:r>
    </w:p>
    <w:p w:rsidR="0007202F" w:rsidRPr="00491918" w:rsidRDefault="0007202F" w:rsidP="0007202F">
      <w:pPr>
        <w:pStyle w:val="HeadingLevel1-BarcRA49"/>
      </w:pPr>
      <w:r w:rsidRPr="00491918">
        <w:lastRenderedPageBreak/>
        <w:t>Financial Statement Notes</w:t>
      </w:r>
    </w:p>
    <w:p w:rsidR="000B3F05" w:rsidRPr="00491918" w:rsidRDefault="000B3F05" w:rsidP="008D6001">
      <w:pPr>
        <w:pStyle w:val="HeadingLevel2-BarcRA0"/>
        <w:outlineLvl w:val="0"/>
      </w:pPr>
      <w:r w:rsidRPr="00491918">
        <w:t>Fair Value Hierarchy</w:t>
      </w:r>
    </w:p>
    <w:p w:rsidR="000B3F05" w:rsidRPr="00491918" w:rsidRDefault="000B3F05" w:rsidP="000B3F05">
      <w:pPr>
        <w:pStyle w:val="BodyText-BarcRA0"/>
      </w:pPr>
      <w:r w:rsidRPr="00491918">
        <w:rPr>
          <w:i/>
        </w:rPr>
        <w:t>IFRS 13 Fair Value Measurement</w:t>
      </w:r>
      <w:r w:rsidRPr="00491918">
        <w:t xml:space="preserve"> requires an entity to classify its financial instruments held at fair value according to a hierarchy that reflects the significance of observable market inputs. The three levels of the fair value hierarchy are defined below.</w:t>
      </w:r>
    </w:p>
    <w:p w:rsidR="000B3F05" w:rsidRPr="00491918" w:rsidRDefault="000B3F05" w:rsidP="008D6001">
      <w:pPr>
        <w:pStyle w:val="BodyText-BarcRA0"/>
        <w:outlineLvl w:val="0"/>
        <w:rPr>
          <w:b/>
        </w:rPr>
      </w:pPr>
      <w:r w:rsidRPr="00491918">
        <w:rPr>
          <w:b/>
        </w:rPr>
        <w:t xml:space="preserve">Quoted market prices – Level 1 </w:t>
      </w:r>
    </w:p>
    <w:p w:rsidR="000B3F05" w:rsidRPr="00491918" w:rsidRDefault="000B3F05" w:rsidP="000B3F05">
      <w:pPr>
        <w:pStyle w:val="BodyText-BarcRA0"/>
      </w:pPr>
      <w:r w:rsidRPr="00491918">
        <w:t xml:space="preserve">Financial instruments are classified as Level 1 if their value is observable in an active market. Such instruments are valued by reference to unadjusted quoted prices for identical assets or liabilities in active markets where the quoted price is readily available, and the price represents actual and regularly occurring market transactions on an arm’s length basis. An active market is one in which transactions occur with sufficient volume and frequency to provide pricing information on an ongoing basis. </w:t>
      </w:r>
    </w:p>
    <w:p w:rsidR="000B3F05" w:rsidRPr="00491918" w:rsidRDefault="000B3F05" w:rsidP="000B3F05">
      <w:pPr>
        <w:pStyle w:val="BodyText-BarcRA0"/>
      </w:pPr>
      <w:r w:rsidRPr="00491918">
        <w:t>This category includes liquid government bonds actively traded through an exchange or clearing house, actively traded listed equities and actively exchange-traded derivatives.</w:t>
      </w:r>
    </w:p>
    <w:p w:rsidR="000B3F05" w:rsidRPr="00491918" w:rsidRDefault="000B3F05" w:rsidP="008D6001">
      <w:pPr>
        <w:pStyle w:val="BodyText-BarcRA1"/>
        <w:outlineLvl w:val="0"/>
        <w:rPr>
          <w:b/>
        </w:rPr>
      </w:pPr>
      <w:r w:rsidRPr="00491918">
        <w:rPr>
          <w:b/>
        </w:rPr>
        <w:t xml:space="preserve">Valuation technique using observable inputs – Level 2 </w:t>
      </w:r>
    </w:p>
    <w:p w:rsidR="000B3F05" w:rsidRPr="00491918" w:rsidRDefault="000B3F05" w:rsidP="000B3F05">
      <w:pPr>
        <w:pStyle w:val="BodyText-BarcRA1"/>
      </w:pPr>
      <w:r w:rsidRPr="00491918">
        <w:t xml:space="preserve">Financial instruments classified as Level 2 have been valued using models whose inputs are observable in an active market. Valuations based on observable inputs include financial instruments such as swaps and forwards which are valued using market standard pricing techniques, and options that are commonly traded in markets where all the inputs to the market standard pricing models are observable. </w:t>
      </w:r>
    </w:p>
    <w:p w:rsidR="000B3F05" w:rsidRPr="00491918" w:rsidRDefault="000B3F05" w:rsidP="000B3F05">
      <w:pPr>
        <w:pStyle w:val="BodyText-BarcRA1"/>
      </w:pPr>
      <w:r w:rsidRPr="00491918">
        <w:t>This category includes most investment grade and liquid high yield bonds, certain asset backed securities, US agency securities, government bonds, less actively traded listed equities, bank, corporate and municipal obligations, certain OTC derivatives, certain convertible bonds, certificates of deposit, commercial paper, collateralised loan obligations (CLOs), most commodities based derivatives, credit derivatives, certain credit default swaps (CDSs), most fund units, certain loans, foreign exchange spot and forward transactions and certain issued notes.</w:t>
      </w:r>
    </w:p>
    <w:p w:rsidR="000B3F05" w:rsidRPr="00491918" w:rsidRDefault="000B3F05" w:rsidP="008D6001">
      <w:pPr>
        <w:pStyle w:val="BodyText-BarcRA1"/>
        <w:outlineLvl w:val="0"/>
        <w:rPr>
          <w:b/>
        </w:rPr>
      </w:pPr>
      <w:r w:rsidRPr="00491918">
        <w:rPr>
          <w:b/>
        </w:rPr>
        <w:t xml:space="preserve">Valuation technique using significant unobservable inputs – Level 3 </w:t>
      </w:r>
    </w:p>
    <w:p w:rsidR="000B3F05" w:rsidRPr="00491918" w:rsidRDefault="000B3F05" w:rsidP="000B3F05">
      <w:pPr>
        <w:pStyle w:val="BodyText-BarcRA1"/>
      </w:pPr>
      <w:r w:rsidRPr="00491918">
        <w:t xml:space="preserve">Financial instruments are classified as Level 3 if their valuation incorporates significant inputs that are not based on observable market data (unobservable inputs). A valuation input is considered observable if it can be directly observed from transactions in an active market, or if there is compelling external evidence demonstrating an executable exit price. An input is deemed significant if it is shown to contribute more than 10% to the valuation of a financial instrument. </w:t>
      </w:r>
    </w:p>
    <w:p w:rsidR="000B3F05" w:rsidRPr="00491918" w:rsidRDefault="000B3F05" w:rsidP="000B3F05">
      <w:pPr>
        <w:pStyle w:val="BodyText-BarcRA1"/>
      </w:pPr>
      <w:r w:rsidRPr="00491918">
        <w:t xml:space="preserve">Unobservable input levels are generally determined based on observable inputs of a similar nature, historical observations or other analytical techniques. </w:t>
      </w:r>
    </w:p>
    <w:p w:rsidR="000B3F05" w:rsidRPr="00491918" w:rsidRDefault="000B3F05" w:rsidP="000B3F05">
      <w:pPr>
        <w:pStyle w:val="BodyText-BarcRA1"/>
      </w:pPr>
      <w:r w:rsidRPr="00491918">
        <w:t xml:space="preserve">The Level 3 category includes certain corporate debt securities, distressed debt, private equity investments, commercial real estate loans, certain OTC derivatives (requiring complex and unobservable inputs such as correlations and long dated volatilities), certain convertible bonds, certain CDSs, derivative exposures to monoline insurers, certain fund units, certain asset backed securities, certain issued notes, certain CDOs (synthetic and some cash underlyings), certain CLOs and certain loans. </w:t>
      </w:r>
    </w:p>
    <w:p w:rsidR="000B3F05" w:rsidRPr="00491918" w:rsidRDefault="000B3F05" w:rsidP="000B3F05">
      <w:pPr>
        <w:spacing w:line="14" w:lineRule="exact"/>
      </w:pPr>
      <w:r w:rsidRPr="00491918">
        <w:br w:type="page"/>
      </w:r>
    </w:p>
    <w:p w:rsidR="0007202F" w:rsidRPr="00491918" w:rsidRDefault="0007202F" w:rsidP="0007202F">
      <w:pPr>
        <w:pStyle w:val="HeadingLevel1-BarcRA49"/>
      </w:pPr>
      <w:r w:rsidRPr="00491918">
        <w:lastRenderedPageBreak/>
        <w:t>Financial Statement Notes</w:t>
      </w:r>
    </w:p>
    <w:p w:rsidR="000B3F05" w:rsidRPr="00491918" w:rsidRDefault="000B3F05" w:rsidP="0021631B">
      <w:pPr>
        <w:pStyle w:val="BodyText-AR0"/>
        <w:jc w:val="both"/>
        <w:rPr>
          <w:sz w:val="18"/>
        </w:rPr>
      </w:pPr>
      <w:r w:rsidRPr="00491918">
        <w:rPr>
          <w:sz w:val="18"/>
        </w:rPr>
        <w:t>The following table shows the Group’s financial assets and liabilities that are held at fair value disaggregated by fair value hierarchy and balance sheet classification:</w:t>
      </w:r>
    </w:p>
    <w:p w:rsidR="000B3F05" w:rsidRPr="00491918" w:rsidRDefault="000B3F05" w:rsidP="000B3F05"/>
    <w:tbl>
      <w:tblPr>
        <w:tblW w:w="0" w:type="auto"/>
        <w:tblLayout w:type="fixed"/>
        <w:tblLook w:val="0000" w:firstRow="0" w:lastRow="0" w:firstColumn="0" w:lastColumn="0" w:noHBand="0" w:noVBand="0"/>
      </w:tblPr>
      <w:tblGrid>
        <w:gridCol w:w="5160"/>
        <w:gridCol w:w="1080"/>
        <w:gridCol w:w="1080"/>
        <w:gridCol w:w="1080"/>
        <w:gridCol w:w="180"/>
        <w:gridCol w:w="1080"/>
      </w:tblGrid>
      <w:tr w:rsidR="000B3F05" w:rsidRPr="00491918" w:rsidTr="0076224A">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r w:rsidRPr="00491918">
              <w:rPr>
                <w:color w:val="000000"/>
                <w:sz w:val="16"/>
              </w:rPr>
              <w:t xml:space="preserve"> </w:t>
            </w:r>
          </w:p>
        </w:tc>
        <w:tc>
          <w:tcPr>
            <w:tcW w:w="3240" w:type="dxa"/>
            <w:gridSpan w:val="3"/>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center"/>
              <w:rPr>
                <w:color w:val="000000"/>
                <w:sz w:val="16"/>
              </w:rPr>
            </w:pPr>
            <w:r w:rsidRPr="00491918">
              <w:rPr>
                <w:b/>
                <w:color w:val="000000"/>
                <w:sz w:val="16"/>
              </w:rPr>
              <w:t>Valuations based on</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r>
      <w:tr w:rsidR="000B3F05" w:rsidRPr="00491918" w:rsidTr="000B3F05">
        <w:trPr>
          <w:trHeight w:val="67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Quoted market prices</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Observable inputs</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Significant unobservable inputs</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(Level 1)</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(Level 2)</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(Level 3)</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Total</w:t>
            </w:r>
          </w:p>
        </w:tc>
      </w:tr>
      <w:tr w:rsidR="000B3F05" w:rsidRPr="00491918" w:rsidTr="000B3F05">
        <w:trPr>
          <w:trHeight w:val="225"/>
        </w:trPr>
        <w:tc>
          <w:tcPr>
            <w:tcW w:w="516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As at 30.06.13</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£m</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£m</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£m</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£m</w:t>
            </w:r>
          </w:p>
        </w:tc>
      </w:tr>
      <w:tr w:rsidR="000B3F05" w:rsidRPr="00491918" w:rsidTr="00F92E6D">
        <w:trPr>
          <w:trHeight w:val="255"/>
        </w:trPr>
        <w:tc>
          <w:tcPr>
            <w:tcW w:w="5160" w:type="dxa"/>
            <w:tcBorders>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Trading portfolio assets</w:t>
            </w:r>
          </w:p>
        </w:tc>
        <w:tc>
          <w:tcPr>
            <w:tcW w:w="108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58,758 </w:t>
            </w:r>
          </w:p>
        </w:tc>
        <w:tc>
          <w:tcPr>
            <w:tcW w:w="108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85,208 </w:t>
            </w:r>
          </w:p>
        </w:tc>
        <w:tc>
          <w:tcPr>
            <w:tcW w:w="108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8,015 </w:t>
            </w:r>
          </w:p>
        </w:tc>
        <w:tc>
          <w:tcPr>
            <w:tcW w:w="180" w:type="dxa"/>
            <w:tcBorders>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151,981 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Financial assets designated at fair value</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16,043 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25,997 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4,807 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46,847 </w:t>
            </w:r>
          </w:p>
        </w:tc>
      </w:tr>
      <w:tr w:rsidR="000B3F05" w:rsidRPr="00491918" w:rsidTr="000B3F05">
        <w:trPr>
          <w:trHeight w:val="25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Derivative financial assets</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3,128 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393,933 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6,011 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403,072 </w:t>
            </w:r>
          </w:p>
        </w:tc>
      </w:tr>
      <w:tr w:rsidR="000B3F05" w:rsidRPr="00491918" w:rsidTr="000B3F05">
        <w:trPr>
          <w:trHeight w:val="255"/>
        </w:trPr>
        <w:tc>
          <w:tcPr>
            <w:tcW w:w="516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Available for sale assets</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37,599 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51,326 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2,782 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91,707 </w:t>
            </w:r>
          </w:p>
        </w:tc>
      </w:tr>
      <w:tr w:rsidR="000B3F05" w:rsidRPr="00491918" w:rsidTr="000B3F05">
        <w:trPr>
          <w:trHeight w:val="255"/>
        </w:trPr>
        <w:tc>
          <w:tcPr>
            <w:tcW w:w="516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 assets</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115,528 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556,464 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21,615 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693,607 </w:t>
            </w:r>
          </w:p>
        </w:tc>
      </w:tr>
      <w:tr w:rsidR="000B3F05" w:rsidRPr="00491918" w:rsidTr="000B3F05">
        <w:trPr>
          <w:trHeight w:hRule="exac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Trading portfolio liabilities</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(25,504)</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(33,644)</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(212)</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(59,360)</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Financial liabilities designated at fair value</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(69,471)</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(1,803)</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(71,274)</w:t>
            </w:r>
          </w:p>
        </w:tc>
      </w:tr>
      <w:tr w:rsidR="000B3F05" w:rsidRPr="00491918" w:rsidTr="000B3F05">
        <w:trPr>
          <w:trHeight w:val="255"/>
        </w:trPr>
        <w:tc>
          <w:tcPr>
            <w:tcW w:w="516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Derivative financial liabilities</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(2,541)</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(388,450)</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(5,134)</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(396,125)</w:t>
            </w:r>
          </w:p>
        </w:tc>
      </w:tr>
      <w:tr w:rsidR="000B3F05" w:rsidRPr="00491918" w:rsidTr="000B3F05">
        <w:trPr>
          <w:trHeight w:val="255"/>
        </w:trPr>
        <w:tc>
          <w:tcPr>
            <w:tcW w:w="516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 liabilities</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(28,045)</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(491,565)</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(7,149)</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(526,759)</w:t>
            </w:r>
          </w:p>
        </w:tc>
      </w:tr>
      <w:tr w:rsidR="000B3F05" w:rsidRPr="00491918" w:rsidTr="000B3F05">
        <w:trPr>
          <w:trHeight w:hRule="exac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r>
      <w:tr w:rsidR="000B3F05" w:rsidRPr="00491918" w:rsidTr="000B3F05">
        <w:trPr>
          <w:trHeight w:val="225"/>
        </w:trPr>
        <w:tc>
          <w:tcPr>
            <w:tcW w:w="516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As at 31.12.12</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r>
      <w:tr w:rsidR="000B3F05" w:rsidRPr="00491918" w:rsidTr="000B3F05">
        <w:trPr>
          <w:trHeight w:val="225"/>
        </w:trPr>
        <w:tc>
          <w:tcPr>
            <w:tcW w:w="516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Trading portfolio assets</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51,639 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86,199 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8,514 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146,352 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Financial assets designated at fair value</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14,518 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26,025 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6,086 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46,629 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Derivative financial assets</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2,863 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460,076 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6,217 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469,156 </w:t>
            </w:r>
          </w:p>
        </w:tc>
      </w:tr>
      <w:tr w:rsidR="000B3F05" w:rsidRPr="00491918" w:rsidTr="000B3F05">
        <w:trPr>
          <w:trHeight w:val="225"/>
        </w:trPr>
        <w:tc>
          <w:tcPr>
            <w:tcW w:w="516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Available for sale assets</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28,949 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43,280 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2,880 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75,109 </w:t>
            </w:r>
          </w:p>
        </w:tc>
      </w:tr>
      <w:tr w:rsidR="000B3F05" w:rsidRPr="00491918" w:rsidTr="000B3F05">
        <w:trPr>
          <w:trHeight w:val="225"/>
        </w:trPr>
        <w:tc>
          <w:tcPr>
            <w:tcW w:w="516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 assets</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97,969 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615,580 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23,697 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737,246 </w:t>
            </w:r>
          </w:p>
        </w:tc>
      </w:tr>
      <w:tr w:rsidR="000B3F05" w:rsidRPr="00491918" w:rsidTr="000B3F05">
        <w:trPr>
          <w:trHeight w:hRule="exac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 xml:space="preserve">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Trading portfolio liabilities</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(20,294)</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(24,498)</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(44,794)</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Financial liabilities designated at fair value</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(182)</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(76,024)</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(2,355)</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(78,561)</w:t>
            </w:r>
          </w:p>
        </w:tc>
      </w:tr>
      <w:tr w:rsidR="000B3F05" w:rsidRPr="00491918" w:rsidTr="000B3F05">
        <w:trPr>
          <w:trHeight w:val="225"/>
        </w:trPr>
        <w:tc>
          <w:tcPr>
            <w:tcW w:w="516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Derivative financial liabilities</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(2,666)</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(455,068)</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(4,987)</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(462,721)</w:t>
            </w:r>
          </w:p>
        </w:tc>
      </w:tr>
      <w:tr w:rsidR="000B3F05" w:rsidRPr="00491918" w:rsidTr="000B3F05">
        <w:trPr>
          <w:trHeight w:val="225"/>
        </w:trPr>
        <w:tc>
          <w:tcPr>
            <w:tcW w:w="516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 liabilities</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(23,142)</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(555,590)</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(7,344)</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(586,076)</w:t>
            </w:r>
          </w:p>
        </w:tc>
      </w:tr>
      <w:tr w:rsidR="000B3F05" w:rsidRPr="00491918" w:rsidTr="000B3F05">
        <w:trPr>
          <w:trHeight w:hRule="exac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r>
      <w:tr w:rsidR="000B3F05" w:rsidRPr="00491918" w:rsidTr="000B3F05">
        <w:trPr>
          <w:trHeight w:val="225"/>
        </w:trPr>
        <w:tc>
          <w:tcPr>
            <w:tcW w:w="516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As at 30.06.12</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r>
      <w:tr w:rsidR="000B3F05" w:rsidRPr="00491918" w:rsidTr="000B3F05">
        <w:trPr>
          <w:trHeight w:val="225"/>
        </w:trPr>
        <w:tc>
          <w:tcPr>
            <w:tcW w:w="516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Trading portfolio assets</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71,718 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86,367 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9,367 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167,452 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Financial assets designated at fair value</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9,636 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29,388 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7,737 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46,761 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Derivative financial assets</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1,902 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507,134 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8,657 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517,693 </w:t>
            </w:r>
          </w:p>
        </w:tc>
      </w:tr>
      <w:tr w:rsidR="000B3F05" w:rsidRPr="00491918" w:rsidTr="000B3F05">
        <w:trPr>
          <w:trHeight w:val="225"/>
        </w:trPr>
        <w:tc>
          <w:tcPr>
            <w:tcW w:w="516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Available for sale assets</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31,377 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34,574 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2,974 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68,925 </w:t>
            </w:r>
          </w:p>
        </w:tc>
      </w:tr>
      <w:tr w:rsidR="000B3F05" w:rsidRPr="00491918" w:rsidTr="000B3F05">
        <w:trPr>
          <w:trHeight w:val="225"/>
        </w:trPr>
        <w:tc>
          <w:tcPr>
            <w:tcW w:w="516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 assets</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114,633 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657,463 </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28,735 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800,831 </w:t>
            </w:r>
          </w:p>
        </w:tc>
      </w:tr>
      <w:tr w:rsidR="000B3F05" w:rsidRPr="00491918" w:rsidTr="000B3F05">
        <w:trPr>
          <w:trHeight w:hRule="exac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 xml:space="preserve"> </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Trading portfolio liabilities</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(25,387)</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(26,251)</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(109)</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(51,747)</w:t>
            </w:r>
          </w:p>
        </w:tc>
      </w:tr>
      <w:tr w:rsidR="000B3F05" w:rsidRPr="00491918" w:rsidTr="000B3F05">
        <w:trPr>
          <w:trHeight w:val="225"/>
        </w:trPr>
        <w:tc>
          <w:tcPr>
            <w:tcW w:w="51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Financial liabilities designated at fair value</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(51)</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(92,169)</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(2,930)</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(95,150)</w:t>
            </w:r>
          </w:p>
        </w:tc>
      </w:tr>
      <w:tr w:rsidR="000B3F05" w:rsidRPr="00491918" w:rsidTr="000B3F05">
        <w:trPr>
          <w:trHeight w:val="225"/>
        </w:trPr>
        <w:tc>
          <w:tcPr>
            <w:tcW w:w="516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Derivative financial liabilities</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(1,885)</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(499,020)</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(6,807)</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(507,712)</w:t>
            </w:r>
          </w:p>
        </w:tc>
      </w:tr>
      <w:tr w:rsidR="000B3F05" w:rsidRPr="00491918" w:rsidTr="000B3F05">
        <w:trPr>
          <w:trHeight w:val="225"/>
        </w:trPr>
        <w:tc>
          <w:tcPr>
            <w:tcW w:w="516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 liabilities</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(27,323)</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(617,440)</w:t>
            </w:r>
          </w:p>
        </w:tc>
        <w:tc>
          <w:tcPr>
            <w:tcW w:w="108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(9,846)</w:t>
            </w:r>
          </w:p>
        </w:tc>
        <w:tc>
          <w:tcPr>
            <w:tcW w:w="18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8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(654,609)</w:t>
            </w:r>
          </w:p>
        </w:tc>
      </w:tr>
    </w:tbl>
    <w:p w:rsidR="0076224A" w:rsidRPr="00491918" w:rsidRDefault="0076224A" w:rsidP="0076224A">
      <w:pPr>
        <w:pStyle w:val="BodyText-BarcRA85"/>
      </w:pPr>
      <w:r w:rsidRPr="00491918">
        <w:t xml:space="preserve">Included in financial assets designated at fair value is the Education, Social Housing and Local Authority loan portfolio of £16.2bn (2012: £17.6bn) whose valuation continues to </w:t>
      </w:r>
      <w:r w:rsidR="00391981" w:rsidRPr="00491918">
        <w:t xml:space="preserve">use </w:t>
      </w:r>
      <w:r w:rsidRPr="00491918">
        <w:t>internal credit spreads</w:t>
      </w:r>
      <w:r w:rsidR="00391981" w:rsidRPr="00491918">
        <w:t xml:space="preserve"> among other (observable) factors</w:t>
      </w:r>
      <w:r w:rsidRPr="00491918">
        <w:t>. Valuation uncertainty arises mainly from the long dated nature of the portfolio, the lack of active secondary market in the loans and the lack of observable loan counterparty credit spreads. Should the valuation of the underlying assets become observable</w:t>
      </w:r>
      <w:r w:rsidR="00EA4D39" w:rsidRPr="00491918">
        <w:t>,</w:t>
      </w:r>
      <w:r w:rsidRPr="00491918">
        <w:t xml:space="preserve"> for instance because of sales of comparable assets by third parties</w:t>
      </w:r>
      <w:r w:rsidR="00EA4D39" w:rsidRPr="00491918">
        <w:t>,</w:t>
      </w:r>
      <w:r w:rsidRPr="00491918">
        <w:t xml:space="preserve"> this could be at a materially different valuation to the current carrying value.</w:t>
      </w:r>
    </w:p>
    <w:p w:rsidR="0076224A" w:rsidRPr="00491918" w:rsidRDefault="0076224A" w:rsidP="0076224A">
      <w:pPr>
        <w:pStyle w:val="BodyText-BarcRA2"/>
      </w:pPr>
    </w:p>
    <w:p w:rsidR="000B3F05" w:rsidRPr="00491918" w:rsidRDefault="000B3F05" w:rsidP="000B3F05">
      <w:pPr>
        <w:spacing w:line="14" w:lineRule="exact"/>
      </w:pPr>
      <w:r w:rsidRPr="00491918">
        <w:br w:type="page"/>
      </w:r>
    </w:p>
    <w:p w:rsidR="0007202F" w:rsidRPr="00491918" w:rsidRDefault="0007202F" w:rsidP="0007202F">
      <w:pPr>
        <w:pStyle w:val="HeadingLevel1-BarcRA49"/>
      </w:pPr>
      <w:r w:rsidRPr="00491918">
        <w:lastRenderedPageBreak/>
        <w:t>Financial Statement Notes</w:t>
      </w:r>
    </w:p>
    <w:p w:rsidR="000B3F05" w:rsidRPr="00491918" w:rsidRDefault="000B3F05" w:rsidP="000B3F05">
      <w:pPr>
        <w:pStyle w:val="BodyText-BarcRA2"/>
      </w:pPr>
      <w:r w:rsidRPr="00491918">
        <w:t>The following table shows the Group’s financial assets and liabilities that are held at fair value disaggregated by fair value hierarchy and product type:</w:t>
      </w:r>
    </w:p>
    <w:p w:rsidR="000B3F05" w:rsidRPr="00491918" w:rsidRDefault="000B3F05" w:rsidP="000B3F05"/>
    <w:tbl>
      <w:tblPr>
        <w:tblW w:w="9817" w:type="dxa"/>
        <w:tblLayout w:type="fixed"/>
        <w:tblLook w:val="0000" w:firstRow="0" w:lastRow="0" w:firstColumn="0" w:lastColumn="0" w:noHBand="0" w:noVBand="0"/>
      </w:tblPr>
      <w:tblGrid>
        <w:gridCol w:w="3135"/>
        <w:gridCol w:w="1065"/>
        <w:gridCol w:w="1065"/>
        <w:gridCol w:w="1065"/>
        <w:gridCol w:w="105"/>
        <w:gridCol w:w="1050"/>
        <w:gridCol w:w="1050"/>
        <w:gridCol w:w="1282"/>
      </w:tblGrid>
      <w:tr w:rsidR="000B3F05" w:rsidRPr="00491918" w:rsidTr="00DA6B51">
        <w:trPr>
          <w:trHeight w:val="195"/>
        </w:trPr>
        <w:tc>
          <w:tcPr>
            <w:tcW w:w="313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r w:rsidRPr="00491918">
              <w:rPr>
                <w:b/>
                <w:color w:val="000000"/>
                <w:sz w:val="16"/>
              </w:rPr>
              <w:t xml:space="preserve"> </w:t>
            </w:r>
            <w:r w:rsidRPr="00491918">
              <w:rPr>
                <w:b/>
                <w:color w:val="000000"/>
                <w:sz w:val="16"/>
                <w:vertAlign w:val="superscript"/>
              </w:rPr>
              <w:t xml:space="preserve"> </w:t>
            </w:r>
          </w:p>
        </w:tc>
        <w:tc>
          <w:tcPr>
            <w:tcW w:w="3195" w:type="dxa"/>
            <w:gridSpan w:val="3"/>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vertAlign w:val="superscript"/>
              </w:rPr>
            </w:pPr>
            <w:r w:rsidRPr="00491918">
              <w:rPr>
                <w:b/>
                <w:color w:val="000000"/>
                <w:sz w:val="16"/>
              </w:rPr>
              <w:t>Assets</w:t>
            </w:r>
          </w:p>
        </w:tc>
        <w:tc>
          <w:tcPr>
            <w:tcW w:w="10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 xml:space="preserve"> </w:t>
            </w:r>
          </w:p>
        </w:tc>
        <w:tc>
          <w:tcPr>
            <w:tcW w:w="3382" w:type="dxa"/>
            <w:gridSpan w:val="3"/>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Liabilities</w:t>
            </w:r>
          </w:p>
        </w:tc>
      </w:tr>
      <w:tr w:rsidR="000B3F05" w:rsidRPr="00491918" w:rsidTr="00DA6B51">
        <w:trPr>
          <w:trHeight w:val="195"/>
        </w:trPr>
        <w:tc>
          <w:tcPr>
            <w:tcW w:w="3135" w:type="dxa"/>
            <w:tcBorders>
              <w:top w:val="nil"/>
              <w:left w:val="nil"/>
              <w:bottom w:val="single" w:sz="6" w:space="0" w:color="FFFFFF"/>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3195" w:type="dxa"/>
            <w:gridSpan w:val="3"/>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b/>
                <w:color w:val="000000"/>
                <w:sz w:val="16"/>
                <w:vertAlign w:val="superscript"/>
              </w:rPr>
            </w:pPr>
            <w:r w:rsidRPr="00491918">
              <w:rPr>
                <w:b/>
                <w:color w:val="000000"/>
                <w:sz w:val="16"/>
              </w:rPr>
              <w:t>Valuation technique using</w:t>
            </w:r>
          </w:p>
        </w:tc>
        <w:tc>
          <w:tcPr>
            <w:tcW w:w="10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 xml:space="preserve"> </w:t>
            </w:r>
          </w:p>
        </w:tc>
        <w:tc>
          <w:tcPr>
            <w:tcW w:w="3382" w:type="dxa"/>
            <w:gridSpan w:val="3"/>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Valuation technique using</w:t>
            </w:r>
          </w:p>
        </w:tc>
      </w:tr>
      <w:tr w:rsidR="000B3F05" w:rsidRPr="00491918" w:rsidTr="00DA6B51">
        <w:trPr>
          <w:trHeight w:val="810"/>
        </w:trPr>
        <w:tc>
          <w:tcPr>
            <w:tcW w:w="313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06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vertAlign w:val="superscript"/>
              </w:rPr>
            </w:pPr>
            <w:r w:rsidRPr="00491918">
              <w:rPr>
                <w:b/>
                <w:color w:val="000000"/>
                <w:sz w:val="16"/>
              </w:rPr>
              <w:t>Quoted</w:t>
            </w:r>
          </w:p>
          <w:p w:rsidR="000B3F05" w:rsidRPr="00491918" w:rsidRDefault="000B3F05" w:rsidP="000B3F05">
            <w:pPr>
              <w:jc w:val="right"/>
              <w:rPr>
                <w:b/>
                <w:color w:val="000000"/>
                <w:sz w:val="16"/>
              </w:rPr>
            </w:pPr>
            <w:r w:rsidRPr="00491918">
              <w:rPr>
                <w:b/>
                <w:color w:val="000000"/>
                <w:sz w:val="16"/>
              </w:rPr>
              <w:t>market prices</w:t>
            </w:r>
          </w:p>
          <w:p w:rsidR="000B3F05" w:rsidRPr="00491918" w:rsidRDefault="000B3F05" w:rsidP="000B3F05">
            <w:pPr>
              <w:jc w:val="right"/>
              <w:rPr>
                <w:b/>
                <w:color w:val="000000"/>
                <w:sz w:val="16"/>
              </w:rPr>
            </w:pPr>
            <w:r w:rsidRPr="00491918">
              <w:rPr>
                <w:b/>
                <w:color w:val="000000"/>
                <w:sz w:val="16"/>
              </w:rPr>
              <w:t>(Level 1)</w:t>
            </w:r>
          </w:p>
        </w:tc>
        <w:tc>
          <w:tcPr>
            <w:tcW w:w="106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Observable</w:t>
            </w:r>
          </w:p>
          <w:p w:rsidR="000B3F05" w:rsidRPr="00491918" w:rsidRDefault="000B3F05" w:rsidP="000B3F05">
            <w:pPr>
              <w:jc w:val="right"/>
              <w:rPr>
                <w:b/>
                <w:color w:val="000000"/>
                <w:sz w:val="16"/>
              </w:rPr>
            </w:pPr>
            <w:r w:rsidRPr="00491918">
              <w:rPr>
                <w:b/>
                <w:color w:val="000000"/>
                <w:sz w:val="16"/>
              </w:rPr>
              <w:t>inputs</w:t>
            </w:r>
          </w:p>
          <w:p w:rsidR="000B3F05" w:rsidRPr="00491918" w:rsidRDefault="000B3F05" w:rsidP="000B3F05">
            <w:pPr>
              <w:jc w:val="right"/>
              <w:rPr>
                <w:b/>
                <w:color w:val="000000"/>
                <w:sz w:val="16"/>
              </w:rPr>
            </w:pPr>
            <w:r w:rsidRPr="00491918">
              <w:rPr>
                <w:b/>
                <w:color w:val="000000"/>
                <w:sz w:val="16"/>
              </w:rPr>
              <w:t>(Level 2)</w:t>
            </w:r>
          </w:p>
        </w:tc>
        <w:tc>
          <w:tcPr>
            <w:tcW w:w="106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Significant</w:t>
            </w:r>
          </w:p>
          <w:p w:rsidR="000B3F05" w:rsidRPr="00491918" w:rsidRDefault="000B3F05" w:rsidP="000B3F05">
            <w:pPr>
              <w:jc w:val="right"/>
              <w:rPr>
                <w:b/>
                <w:color w:val="000000"/>
                <w:sz w:val="16"/>
              </w:rPr>
            </w:pPr>
            <w:r w:rsidRPr="00491918">
              <w:rPr>
                <w:b/>
                <w:color w:val="000000"/>
                <w:sz w:val="16"/>
              </w:rPr>
              <w:t>unobservable</w:t>
            </w:r>
          </w:p>
          <w:p w:rsidR="000B3F05" w:rsidRPr="00491918" w:rsidRDefault="000B3F05" w:rsidP="000B3F05">
            <w:pPr>
              <w:jc w:val="right"/>
              <w:rPr>
                <w:b/>
                <w:color w:val="000000"/>
                <w:sz w:val="16"/>
              </w:rPr>
            </w:pPr>
            <w:r w:rsidRPr="00491918">
              <w:rPr>
                <w:b/>
                <w:color w:val="000000"/>
                <w:sz w:val="16"/>
              </w:rPr>
              <w:t>inputs</w:t>
            </w:r>
          </w:p>
          <w:p w:rsidR="000B3F05" w:rsidRPr="00491918" w:rsidRDefault="000B3F05" w:rsidP="000B3F05">
            <w:pPr>
              <w:jc w:val="right"/>
              <w:rPr>
                <w:b/>
                <w:color w:val="000000"/>
                <w:sz w:val="16"/>
              </w:rPr>
            </w:pPr>
            <w:r w:rsidRPr="00491918">
              <w:rPr>
                <w:b/>
                <w:color w:val="000000"/>
                <w:sz w:val="16"/>
              </w:rPr>
              <w:t>(Level 3)</w:t>
            </w:r>
          </w:p>
        </w:tc>
        <w:tc>
          <w:tcPr>
            <w:tcW w:w="10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Quoted</w:t>
            </w:r>
          </w:p>
          <w:p w:rsidR="000B3F05" w:rsidRPr="00491918" w:rsidRDefault="000B3F05" w:rsidP="000B3F05">
            <w:pPr>
              <w:jc w:val="right"/>
              <w:rPr>
                <w:b/>
                <w:color w:val="000000"/>
                <w:sz w:val="16"/>
              </w:rPr>
            </w:pPr>
            <w:r w:rsidRPr="00491918">
              <w:rPr>
                <w:b/>
                <w:color w:val="000000"/>
                <w:sz w:val="16"/>
              </w:rPr>
              <w:t>market prices</w:t>
            </w:r>
          </w:p>
          <w:p w:rsidR="000B3F05" w:rsidRPr="00491918" w:rsidRDefault="000B3F05" w:rsidP="000B3F05">
            <w:pPr>
              <w:jc w:val="right"/>
              <w:rPr>
                <w:b/>
                <w:color w:val="000000"/>
                <w:sz w:val="16"/>
              </w:rPr>
            </w:pPr>
            <w:r w:rsidRPr="00491918">
              <w:rPr>
                <w:b/>
                <w:color w:val="000000"/>
                <w:sz w:val="16"/>
              </w:rPr>
              <w:t>(Level 1)</w:t>
            </w:r>
          </w:p>
        </w:tc>
        <w:tc>
          <w:tcPr>
            <w:tcW w:w="10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Observable</w:t>
            </w:r>
          </w:p>
          <w:p w:rsidR="000B3F05" w:rsidRPr="00491918" w:rsidRDefault="000B3F05" w:rsidP="000B3F05">
            <w:pPr>
              <w:jc w:val="right"/>
              <w:rPr>
                <w:b/>
                <w:color w:val="000000"/>
                <w:sz w:val="16"/>
              </w:rPr>
            </w:pPr>
            <w:r w:rsidRPr="00491918">
              <w:rPr>
                <w:b/>
                <w:color w:val="000000"/>
                <w:sz w:val="16"/>
              </w:rPr>
              <w:t>inputs</w:t>
            </w:r>
          </w:p>
          <w:p w:rsidR="000B3F05" w:rsidRPr="00491918" w:rsidRDefault="000B3F05" w:rsidP="000B3F05">
            <w:pPr>
              <w:jc w:val="right"/>
              <w:rPr>
                <w:b/>
                <w:color w:val="000000"/>
                <w:sz w:val="16"/>
              </w:rPr>
            </w:pPr>
            <w:r w:rsidRPr="00491918">
              <w:rPr>
                <w:b/>
                <w:color w:val="000000"/>
                <w:sz w:val="16"/>
              </w:rPr>
              <w:t>(Level 2)</w:t>
            </w:r>
          </w:p>
        </w:tc>
        <w:tc>
          <w:tcPr>
            <w:tcW w:w="1282"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Significant</w:t>
            </w:r>
          </w:p>
          <w:p w:rsidR="000B3F05" w:rsidRPr="00491918" w:rsidRDefault="000B3F05" w:rsidP="000B3F05">
            <w:pPr>
              <w:jc w:val="right"/>
              <w:rPr>
                <w:b/>
                <w:color w:val="000000"/>
                <w:sz w:val="16"/>
              </w:rPr>
            </w:pPr>
            <w:r w:rsidRPr="00491918">
              <w:rPr>
                <w:b/>
                <w:color w:val="000000"/>
                <w:sz w:val="16"/>
              </w:rPr>
              <w:t>unobservable</w:t>
            </w:r>
          </w:p>
          <w:p w:rsidR="000B3F05" w:rsidRPr="00491918" w:rsidRDefault="000B3F05" w:rsidP="000B3F05">
            <w:pPr>
              <w:jc w:val="right"/>
              <w:rPr>
                <w:b/>
                <w:color w:val="000000"/>
                <w:sz w:val="16"/>
              </w:rPr>
            </w:pPr>
            <w:r w:rsidRPr="00491918">
              <w:rPr>
                <w:b/>
                <w:color w:val="000000"/>
                <w:sz w:val="16"/>
              </w:rPr>
              <w:t>inputs</w:t>
            </w:r>
          </w:p>
          <w:p w:rsidR="000B3F05" w:rsidRPr="00491918" w:rsidRDefault="000B3F05" w:rsidP="000B3F05">
            <w:pPr>
              <w:jc w:val="right"/>
              <w:rPr>
                <w:b/>
                <w:color w:val="000000"/>
                <w:sz w:val="16"/>
              </w:rPr>
            </w:pPr>
            <w:r w:rsidRPr="00491918">
              <w:rPr>
                <w:b/>
                <w:color w:val="000000"/>
                <w:sz w:val="16"/>
              </w:rPr>
              <w:t>(Level 3)</w:t>
            </w:r>
          </w:p>
        </w:tc>
      </w:tr>
      <w:tr w:rsidR="000B3F05" w:rsidRPr="00491918" w:rsidTr="00DA6B51">
        <w:trPr>
          <w:trHeight w:val="210"/>
        </w:trPr>
        <w:tc>
          <w:tcPr>
            <w:tcW w:w="313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106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vertAlign w:val="superscript"/>
              </w:rPr>
            </w:pPr>
            <w:r w:rsidRPr="00491918">
              <w:rPr>
                <w:b/>
                <w:color w:val="000000"/>
                <w:sz w:val="16"/>
              </w:rPr>
              <w:t>£m</w:t>
            </w:r>
          </w:p>
        </w:tc>
        <w:tc>
          <w:tcPr>
            <w:tcW w:w="106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06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0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0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282"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r>
      <w:tr w:rsidR="000B3F05" w:rsidRPr="00491918" w:rsidTr="00DA6B51">
        <w:trPr>
          <w:trHeight w:val="255"/>
        </w:trPr>
        <w:tc>
          <w:tcPr>
            <w:tcW w:w="3135" w:type="dxa"/>
            <w:tcBorders>
              <w:left w:val="nil"/>
              <w:bottom w:val="nil"/>
              <w:right w:val="nil"/>
            </w:tcBorders>
            <w:shd w:val="clear" w:color="auto" w:fill="FFFFFF"/>
            <w:tcMar>
              <w:left w:w="36" w:type="dxa"/>
              <w:right w:w="36" w:type="dxa"/>
            </w:tcMar>
          </w:tcPr>
          <w:p w:rsidR="000B3F05" w:rsidRPr="00491918" w:rsidRDefault="000B3F05" w:rsidP="000B3F05">
            <w:pPr>
              <w:rPr>
                <w:b/>
                <w:color w:val="000000"/>
                <w:sz w:val="16"/>
              </w:rPr>
            </w:pPr>
            <w:r w:rsidRPr="00491918">
              <w:rPr>
                <w:b/>
                <w:color w:val="000000"/>
                <w:sz w:val="16"/>
              </w:rPr>
              <w:t>As at 30.06.13</w:t>
            </w:r>
            <w:r w:rsidRPr="00491918">
              <w:rPr>
                <w:b/>
                <w:color w:val="000000"/>
                <w:sz w:val="16"/>
                <w:vertAlign w:val="superscript"/>
              </w:rPr>
              <w:t xml:space="preserve"> </w:t>
            </w:r>
          </w:p>
        </w:tc>
        <w:tc>
          <w:tcPr>
            <w:tcW w:w="1065"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vertAlign w:val="superscript"/>
              </w:rPr>
            </w:pPr>
            <w:r w:rsidRPr="00491918">
              <w:rPr>
                <w:b/>
                <w:color w:val="000000"/>
                <w:sz w:val="16"/>
              </w:rPr>
              <w:t xml:space="preserve"> </w:t>
            </w:r>
          </w:p>
        </w:tc>
        <w:tc>
          <w:tcPr>
            <w:tcW w:w="1065"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65"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282" w:type="dxa"/>
            <w:tcBorders>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Interest rate derivatives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281,661 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1,358 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(265,512)</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(1,029)</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Foreign exchange derivatives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2 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64,162 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170 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(68,069)</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(154)</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Credit derivatives</w:t>
            </w:r>
            <w:r w:rsidRPr="00491918">
              <w:rPr>
                <w:color w:val="000000"/>
                <w:sz w:val="16"/>
                <w:vertAlign w:val="superscript"/>
              </w:rPr>
              <w:t>1 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26,180 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2,379 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(26,941)</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(1,187)</w:t>
            </w:r>
          </w:p>
        </w:tc>
      </w:tr>
      <w:tr w:rsidR="000B3F05" w:rsidRPr="00491918" w:rsidTr="00DA6B51">
        <w:trPr>
          <w:trHeight w:val="22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Equity derivatives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3,122 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8,577 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1,500 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(2,504)</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(14,654)</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(2,038)</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Commodity derivatives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13,315 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644 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(13,312)</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(722)</w:t>
            </w:r>
          </w:p>
        </w:tc>
      </w:tr>
      <w:tr w:rsidR="000B3F05" w:rsidRPr="00491918" w:rsidTr="00DA6B51">
        <w:trPr>
          <w:trHeight w:val="450"/>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Government and government sponsored debt</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64,626 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71,545 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226 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(15,539)</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(27,704)</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r>
      <w:tr w:rsidR="000B3F05" w:rsidRPr="00491918" w:rsidTr="00DA6B51">
        <w:trPr>
          <w:trHeight w:val="22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Corporate debt</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1,346 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24,967 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3,274 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(3,802)</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Certificates of deposit, commercial paper and other money market instruments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316 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5,486 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(2,905)</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(578)</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Reverse repurchase and repurchase agreements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7,713 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(7,589)</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Non asset backed loans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18,123 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1,514 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(6)</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Asset backed securities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20 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25,438 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3,294 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(622)</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(209)</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Commercial real estate loans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1,578 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Issued debt</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(55,323)</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(1,162)</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Equity cash products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42,827 </w:t>
            </w:r>
          </w:p>
        </w:tc>
        <w:tc>
          <w:tcPr>
            <w:tcW w:w="1065" w:type="dxa"/>
            <w:tcBorders>
              <w:top w:val="nil"/>
              <w:left w:val="nil"/>
              <w:bottom w:val="nil"/>
              <w:right w:val="nil"/>
            </w:tcBorders>
            <w:shd w:val="clear" w:color="auto" w:fill="EAEAEA"/>
            <w:tcMar>
              <w:left w:w="36" w:type="dxa"/>
              <w:right w:w="36" w:type="dxa"/>
            </w:tcMar>
          </w:tcPr>
          <w:p w:rsidR="000B3F05" w:rsidRPr="00491918" w:rsidRDefault="0021631B" w:rsidP="000B3F05">
            <w:pPr>
              <w:jc w:val="right"/>
              <w:rPr>
                <w:b/>
                <w:color w:val="000000"/>
                <w:sz w:val="16"/>
              </w:rPr>
            </w:pPr>
            <w:r w:rsidRPr="00491918">
              <w:rPr>
                <w:b/>
                <w:color w:val="000000"/>
                <w:sz w:val="16"/>
              </w:rPr>
              <w:t>4,176</w:t>
            </w:r>
            <w:r w:rsidR="000B3F05"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156 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(9,964)</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21631B">
            <w:pPr>
              <w:jc w:val="right"/>
              <w:rPr>
                <w:b/>
                <w:color w:val="000000"/>
                <w:sz w:val="16"/>
              </w:rPr>
            </w:pPr>
            <w:r w:rsidRPr="00491918">
              <w:rPr>
                <w:b/>
                <w:color w:val="000000"/>
                <w:sz w:val="16"/>
              </w:rPr>
              <w:t>(</w:t>
            </w:r>
            <w:r w:rsidR="0021631B" w:rsidRPr="00491918">
              <w:rPr>
                <w:b/>
                <w:color w:val="000000"/>
                <w:sz w:val="16"/>
              </w:rPr>
              <w:t>2,197</w:t>
            </w:r>
            <w:r w:rsidRPr="00491918">
              <w:rPr>
                <w:b/>
                <w:color w:val="000000"/>
                <w:sz w:val="16"/>
              </w:rPr>
              <w:t>)</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Funds and fund linked products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936 </w:t>
            </w:r>
          </w:p>
        </w:tc>
        <w:tc>
          <w:tcPr>
            <w:tcW w:w="1065" w:type="dxa"/>
            <w:tcBorders>
              <w:top w:val="nil"/>
              <w:left w:val="nil"/>
              <w:bottom w:val="nil"/>
              <w:right w:val="nil"/>
            </w:tcBorders>
            <w:shd w:val="clear" w:color="auto" w:fill="EAEAEA"/>
            <w:tcMar>
              <w:left w:w="36" w:type="dxa"/>
              <w:right w:w="36" w:type="dxa"/>
            </w:tcMar>
          </w:tcPr>
          <w:p w:rsidR="000B3F05" w:rsidRPr="00491918" w:rsidRDefault="0021631B" w:rsidP="000B3F05">
            <w:pPr>
              <w:jc w:val="right"/>
              <w:rPr>
                <w:b/>
                <w:color w:val="000000"/>
                <w:sz w:val="16"/>
              </w:rPr>
            </w:pPr>
            <w:r w:rsidRPr="00491918">
              <w:rPr>
                <w:b/>
                <w:color w:val="000000"/>
                <w:sz w:val="16"/>
              </w:rPr>
              <w:t>1,441</w:t>
            </w:r>
            <w:r w:rsidR="000B3F05" w:rsidRPr="00491918">
              <w:rPr>
                <w:b/>
                <w:color w:val="000000"/>
                <w:sz w:val="16"/>
              </w:rPr>
              <w:t>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671 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(35)</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21631B">
            <w:pPr>
              <w:jc w:val="right"/>
              <w:rPr>
                <w:b/>
                <w:color w:val="000000"/>
                <w:sz w:val="16"/>
              </w:rPr>
            </w:pPr>
            <w:r w:rsidRPr="00491918">
              <w:rPr>
                <w:b/>
                <w:color w:val="000000"/>
                <w:sz w:val="16"/>
              </w:rPr>
              <w:t>(</w:t>
            </w:r>
            <w:r w:rsidR="0021631B" w:rsidRPr="00491918">
              <w:rPr>
                <w:b/>
                <w:color w:val="000000"/>
                <w:sz w:val="16"/>
              </w:rPr>
              <w:t>1,257</w:t>
            </w:r>
            <w:r w:rsidRPr="00491918">
              <w:rPr>
                <w:b/>
                <w:color w:val="000000"/>
                <w:sz w:val="16"/>
              </w:rPr>
              <w:t>)</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(51)</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Physical commodities</w:t>
            </w:r>
            <w:r w:rsidRPr="00491918">
              <w:rPr>
                <w:color w:val="000000"/>
                <w:sz w:val="16"/>
                <w:vertAlign w:val="superscript"/>
              </w:rPr>
              <w:t xml:space="preserve">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2,317 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3,049 </w:t>
            </w:r>
          </w:p>
        </w:tc>
        <w:tc>
          <w:tcPr>
            <w:tcW w:w="106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(76)</w:t>
            </w:r>
          </w:p>
        </w:tc>
        <w:tc>
          <w:tcPr>
            <w:tcW w:w="1282" w:type="dxa"/>
            <w:tcBorders>
              <w:top w:val="nil"/>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r>
      <w:tr w:rsidR="000B3F05" w:rsidRPr="00491918" w:rsidTr="00DA6B51">
        <w:trPr>
          <w:trHeight w:val="255"/>
        </w:trPr>
        <w:tc>
          <w:tcPr>
            <w:tcW w:w="3135"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rPr>
                <w:b/>
                <w:color w:val="000000"/>
                <w:sz w:val="16"/>
              </w:rPr>
            </w:pPr>
            <w:r w:rsidRPr="00491918">
              <w:rPr>
                <w:color w:val="000000"/>
                <w:sz w:val="16"/>
              </w:rPr>
              <w:t>Other</w:t>
            </w:r>
            <w:r w:rsidRPr="00491918">
              <w:rPr>
                <w:color w:val="000000"/>
                <w:sz w:val="16"/>
                <w:vertAlign w:val="superscript"/>
              </w:rPr>
              <w:t>2 </w:t>
            </w:r>
          </w:p>
        </w:tc>
        <w:tc>
          <w:tcPr>
            <w:tcW w:w="1065" w:type="dxa"/>
            <w:tcBorders>
              <w:top w:val="nil"/>
              <w:left w:val="nil"/>
              <w:bottom w:val="single" w:sz="6" w:space="0" w:color="A5A5A5"/>
              <w:right w:val="nil"/>
            </w:tcBorders>
            <w:shd w:val="clear" w:color="auto" w:fill="EAEAEA"/>
            <w:tcMar>
              <w:left w:w="36" w:type="dxa"/>
              <w:right w:w="36" w:type="dxa"/>
            </w:tcMar>
          </w:tcPr>
          <w:p w:rsidR="000B3F05" w:rsidRPr="00491918" w:rsidRDefault="000B3F05" w:rsidP="000B3F05">
            <w:pPr>
              <w:jc w:val="right"/>
              <w:rPr>
                <w:color w:val="000000"/>
                <w:sz w:val="16"/>
                <w:vertAlign w:val="superscript"/>
              </w:rPr>
            </w:pPr>
            <w:r w:rsidRPr="00491918">
              <w:rPr>
                <w:b/>
                <w:color w:val="000000"/>
                <w:sz w:val="16"/>
              </w:rPr>
              <w:t>14 </w:t>
            </w:r>
          </w:p>
        </w:tc>
        <w:tc>
          <w:tcPr>
            <w:tcW w:w="1065" w:type="dxa"/>
            <w:tcBorders>
              <w:top w:val="nil"/>
              <w:left w:val="nil"/>
              <w:bottom w:val="single" w:sz="6" w:space="0" w:color="A5A5A5"/>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631 </w:t>
            </w:r>
          </w:p>
        </w:tc>
        <w:tc>
          <w:tcPr>
            <w:tcW w:w="1065" w:type="dxa"/>
            <w:tcBorders>
              <w:top w:val="nil"/>
              <w:left w:val="nil"/>
              <w:bottom w:val="single" w:sz="6" w:space="0" w:color="A5A5A5"/>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4,851 </w:t>
            </w:r>
          </w:p>
        </w:tc>
        <w:tc>
          <w:tcPr>
            <w:tcW w:w="105" w:type="dxa"/>
            <w:tcBorders>
              <w:top w:val="nil"/>
              <w:left w:val="nil"/>
              <w:bottom w:val="single" w:sz="6" w:space="0" w:color="A5A5A5"/>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single" w:sz="6" w:space="0" w:color="A5A5A5"/>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w:t>
            </w:r>
          </w:p>
        </w:tc>
        <w:tc>
          <w:tcPr>
            <w:tcW w:w="1050" w:type="dxa"/>
            <w:tcBorders>
              <w:top w:val="nil"/>
              <w:left w:val="nil"/>
              <w:bottom w:val="single" w:sz="6" w:space="0" w:color="A5A5A5"/>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(1,596)</w:t>
            </w:r>
          </w:p>
        </w:tc>
        <w:tc>
          <w:tcPr>
            <w:tcW w:w="1282" w:type="dxa"/>
            <w:tcBorders>
              <w:top w:val="nil"/>
              <w:left w:val="nil"/>
              <w:bottom w:val="single" w:sz="6" w:space="0" w:color="A5A5A5"/>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(4)</w:t>
            </w:r>
          </w:p>
        </w:tc>
      </w:tr>
      <w:tr w:rsidR="000B3F05" w:rsidRPr="00491918" w:rsidTr="00DA6B51">
        <w:trPr>
          <w:trHeight w:val="210"/>
        </w:trPr>
        <w:tc>
          <w:tcPr>
            <w:tcW w:w="3135"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rPr>
                <w:b/>
                <w:color w:val="000000"/>
                <w:sz w:val="16"/>
              </w:rPr>
            </w:pPr>
            <w:r w:rsidRPr="00491918">
              <w:rPr>
                <w:b/>
                <w:color w:val="000000"/>
                <w:sz w:val="16"/>
              </w:rPr>
              <w:t>Total</w:t>
            </w:r>
            <w:r w:rsidRPr="00491918">
              <w:rPr>
                <w:b/>
                <w:color w:val="000000"/>
                <w:sz w:val="16"/>
                <w:vertAlign w:val="superscript"/>
              </w:rPr>
              <w:t xml:space="preserve"> </w:t>
            </w:r>
          </w:p>
        </w:tc>
        <w:tc>
          <w:tcPr>
            <w:tcW w:w="1065" w:type="dxa"/>
            <w:tcBorders>
              <w:top w:val="single" w:sz="6" w:space="0" w:color="A5A5A5"/>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vertAlign w:val="superscript"/>
              </w:rPr>
            </w:pPr>
            <w:r w:rsidRPr="00491918">
              <w:rPr>
                <w:b/>
                <w:color w:val="000000"/>
                <w:sz w:val="16"/>
              </w:rPr>
              <w:t>115,528 </w:t>
            </w:r>
          </w:p>
        </w:tc>
        <w:tc>
          <w:tcPr>
            <w:tcW w:w="1065" w:type="dxa"/>
            <w:tcBorders>
              <w:top w:val="single" w:sz="6" w:space="0" w:color="A5A5A5"/>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556,464 </w:t>
            </w:r>
          </w:p>
        </w:tc>
        <w:tc>
          <w:tcPr>
            <w:tcW w:w="1065" w:type="dxa"/>
            <w:tcBorders>
              <w:top w:val="single" w:sz="6" w:space="0" w:color="A5A5A5"/>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21,615 </w:t>
            </w:r>
          </w:p>
        </w:tc>
        <w:tc>
          <w:tcPr>
            <w:tcW w:w="105" w:type="dxa"/>
            <w:tcBorders>
              <w:top w:val="single" w:sz="6" w:space="0" w:color="A5A5A5"/>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(28,045)</w:t>
            </w:r>
          </w:p>
        </w:tc>
        <w:tc>
          <w:tcPr>
            <w:tcW w:w="1050" w:type="dxa"/>
            <w:tcBorders>
              <w:top w:val="single" w:sz="6" w:space="0" w:color="A5A5A5"/>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(491,565)</w:t>
            </w:r>
          </w:p>
        </w:tc>
        <w:tc>
          <w:tcPr>
            <w:tcW w:w="1282" w:type="dxa"/>
            <w:tcBorders>
              <w:top w:val="single" w:sz="6" w:space="0" w:color="A5A5A5"/>
              <w:left w:val="nil"/>
              <w:bottom w:val="nil"/>
              <w:right w:val="nil"/>
            </w:tcBorders>
            <w:shd w:val="clear" w:color="auto" w:fill="EAEAEA"/>
            <w:tcMar>
              <w:left w:w="36" w:type="dxa"/>
              <w:right w:w="36" w:type="dxa"/>
            </w:tcMar>
          </w:tcPr>
          <w:p w:rsidR="000B3F05" w:rsidRPr="00491918" w:rsidRDefault="000B3F05" w:rsidP="000B3F05">
            <w:pPr>
              <w:jc w:val="right"/>
              <w:rPr>
                <w:b/>
                <w:color w:val="000000"/>
                <w:sz w:val="16"/>
              </w:rPr>
            </w:pPr>
            <w:r w:rsidRPr="00491918">
              <w:rPr>
                <w:b/>
                <w:color w:val="000000"/>
                <w:sz w:val="16"/>
              </w:rPr>
              <w:t>(7,149)</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tcPr>
          <w:p w:rsidR="000B3F05" w:rsidRPr="00491918" w:rsidRDefault="000B3F05" w:rsidP="000B3F05">
            <w:pPr>
              <w:rPr>
                <w:b/>
                <w:color w:val="000000"/>
                <w:sz w:val="16"/>
              </w:rPr>
            </w:pPr>
            <w:r w:rsidRPr="00491918">
              <w:rPr>
                <w:b/>
                <w:color w:val="000000"/>
                <w:sz w:val="16"/>
              </w:rPr>
              <w:t>As at 31.12.12</w:t>
            </w:r>
            <w:r w:rsidRPr="00491918">
              <w:rPr>
                <w:b/>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vertAlign w:val="superscript"/>
              </w:rPr>
            </w:pPr>
            <w:r w:rsidRPr="00491918">
              <w:rPr>
                <w:b/>
                <w:color w:val="000000"/>
                <w:sz w:val="16"/>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b/>
                <w:color w:val="000000"/>
                <w:sz w:val="16"/>
              </w:rPr>
            </w:pPr>
            <w:r w:rsidRPr="00491918">
              <w:rPr>
                <w:color w:val="000000"/>
                <w:sz w:val="16"/>
              </w:rPr>
              <w:t>Interest rate derivatives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353,647 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1,353 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(338,502)</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(1,204)</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Foreign exchange derivatives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1 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59,275 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203 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(63,630)</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(244)</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Credit derivatives</w:t>
            </w:r>
            <w:r w:rsidRPr="00491918">
              <w:rPr>
                <w:color w:val="000000"/>
                <w:sz w:val="16"/>
                <w:vertAlign w:val="superscript"/>
              </w:rPr>
              <w:t>1 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26,758 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3,039 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(28,002)</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(1,206)</w:t>
            </w:r>
          </w:p>
        </w:tc>
      </w:tr>
      <w:tr w:rsidR="000B3F05" w:rsidRPr="00491918" w:rsidTr="00DA6B51">
        <w:trPr>
          <w:trHeight w:val="22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Equity derivatives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2,851 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6,281 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1,092 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(2,626)</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(10,425)</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(1,702)</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Commodity derivatives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12 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13,984 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660 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(5)</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(14,632)</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(543)</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Government and government sponsored debt</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65,598 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60,336 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367 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(13,098)</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(20,185)</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r>
      <w:tr w:rsidR="000B3F05" w:rsidRPr="00491918" w:rsidTr="00DA6B51">
        <w:trPr>
          <w:trHeight w:val="22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Corporate debt</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844 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28,640 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3,339 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(130)</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(3,312)</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(36)</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Certificates of deposit, commercial paper and other money market instruments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203 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5,443 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(5)</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(7,840)</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(760)</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Reverse repurchase and repurchase agreements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6,034 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(6,020)</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Non asset backed loans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21 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19,666 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2,365 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Asset backed securities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17 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26,787 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4,106 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(831)</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Commercial real estate loans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1,798 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Issued debt</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(57,303)</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(1,439)</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Equity cash products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26,992 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2,855 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145 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(7,236)</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(1,111)</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Funds and fund linked products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737 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2,447 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754 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(38)</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(2,000)</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(122)</w:t>
            </w:r>
          </w:p>
        </w:tc>
      </w:tr>
      <w:tr w:rsidR="000B3F05" w:rsidRPr="00491918" w:rsidTr="00DA6B51">
        <w:trPr>
          <w:trHeight w:val="255"/>
        </w:trPr>
        <w:tc>
          <w:tcPr>
            <w:tcW w:w="313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rPr>
                <w:color w:val="000000"/>
                <w:sz w:val="16"/>
              </w:rPr>
            </w:pPr>
            <w:r w:rsidRPr="00491918">
              <w:rPr>
                <w:color w:val="000000"/>
                <w:sz w:val="16"/>
              </w:rPr>
              <w:t>Physical commodities</w:t>
            </w:r>
            <w:r w:rsidRPr="00491918">
              <w:rPr>
                <w:color w:val="000000"/>
                <w:sz w:val="16"/>
                <w:vertAlign w:val="superscript"/>
              </w:rPr>
              <w:t xml:space="preserve">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678 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2,438 </w:t>
            </w:r>
          </w:p>
        </w:tc>
        <w:tc>
          <w:tcPr>
            <w:tcW w:w="106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(73)</w:t>
            </w:r>
          </w:p>
        </w:tc>
        <w:tc>
          <w:tcPr>
            <w:tcW w:w="1282" w:type="dxa"/>
            <w:tcBorders>
              <w:top w:val="nil"/>
              <w:left w:val="nil"/>
              <w:bottom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r>
      <w:tr w:rsidR="000B3F05" w:rsidRPr="00491918" w:rsidTr="00DA6B51">
        <w:trPr>
          <w:trHeight w:val="255"/>
        </w:trPr>
        <w:tc>
          <w:tcPr>
            <w:tcW w:w="3135"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rPr>
                <w:color w:val="000000"/>
                <w:sz w:val="16"/>
              </w:rPr>
            </w:pPr>
            <w:r w:rsidRPr="00491918">
              <w:rPr>
                <w:color w:val="000000"/>
                <w:sz w:val="16"/>
              </w:rPr>
              <w:t>Other</w:t>
            </w:r>
            <w:r w:rsidRPr="00491918">
              <w:rPr>
                <w:color w:val="000000"/>
                <w:sz w:val="16"/>
                <w:vertAlign w:val="superscript"/>
              </w:rPr>
              <w:t>2 </w:t>
            </w:r>
          </w:p>
        </w:tc>
        <w:tc>
          <w:tcPr>
            <w:tcW w:w="1065"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jc w:val="right"/>
              <w:rPr>
                <w:color w:val="000000"/>
                <w:sz w:val="16"/>
                <w:vertAlign w:val="superscript"/>
              </w:rPr>
            </w:pPr>
            <w:r w:rsidRPr="00491918">
              <w:rPr>
                <w:color w:val="000000"/>
                <w:sz w:val="16"/>
              </w:rPr>
              <w:t>15 </w:t>
            </w:r>
          </w:p>
        </w:tc>
        <w:tc>
          <w:tcPr>
            <w:tcW w:w="1065"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989 </w:t>
            </w:r>
          </w:p>
        </w:tc>
        <w:tc>
          <w:tcPr>
            <w:tcW w:w="1065"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4,476 </w:t>
            </w:r>
          </w:p>
        </w:tc>
        <w:tc>
          <w:tcPr>
            <w:tcW w:w="105"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050"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w:t>
            </w:r>
          </w:p>
        </w:tc>
        <w:tc>
          <w:tcPr>
            <w:tcW w:w="1050"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(1,721)</w:t>
            </w:r>
          </w:p>
        </w:tc>
        <w:tc>
          <w:tcPr>
            <w:tcW w:w="1282" w:type="dxa"/>
            <w:tcBorders>
              <w:top w:val="nil"/>
              <w:left w:val="nil"/>
              <w:bottom w:val="single" w:sz="6" w:space="0" w:color="A5A5A5"/>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(88)</w:t>
            </w:r>
          </w:p>
        </w:tc>
      </w:tr>
      <w:tr w:rsidR="000B3F05" w:rsidRPr="00491918" w:rsidTr="00DA6B51">
        <w:trPr>
          <w:trHeight w:val="210"/>
        </w:trPr>
        <w:tc>
          <w:tcPr>
            <w:tcW w:w="3135"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rPr>
                <w:color w:val="000000"/>
                <w:sz w:val="16"/>
              </w:rPr>
            </w:pPr>
            <w:r w:rsidRPr="00491918">
              <w:rPr>
                <w:b/>
                <w:color w:val="000000"/>
                <w:sz w:val="16"/>
              </w:rPr>
              <w:t>Total</w:t>
            </w:r>
            <w:r w:rsidRPr="00491918">
              <w:rPr>
                <w:b/>
                <w:color w:val="000000"/>
                <w:sz w:val="16"/>
                <w:vertAlign w:val="superscript"/>
              </w:rPr>
              <w:t xml:space="preserve"> </w:t>
            </w:r>
          </w:p>
        </w:tc>
        <w:tc>
          <w:tcPr>
            <w:tcW w:w="1065"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vertAlign w:val="superscript"/>
              </w:rPr>
            </w:pPr>
            <w:r w:rsidRPr="00491918">
              <w:rPr>
                <w:b/>
                <w:color w:val="000000"/>
                <w:sz w:val="16"/>
              </w:rPr>
              <w:t>97,969 </w:t>
            </w:r>
          </w:p>
        </w:tc>
        <w:tc>
          <w:tcPr>
            <w:tcW w:w="1065"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615,580 </w:t>
            </w:r>
          </w:p>
        </w:tc>
        <w:tc>
          <w:tcPr>
            <w:tcW w:w="1065"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23,697 </w:t>
            </w:r>
          </w:p>
        </w:tc>
        <w:tc>
          <w:tcPr>
            <w:tcW w:w="105"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050"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(23,142)</w:t>
            </w:r>
          </w:p>
        </w:tc>
        <w:tc>
          <w:tcPr>
            <w:tcW w:w="1050"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(555,590)</w:t>
            </w:r>
          </w:p>
        </w:tc>
        <w:tc>
          <w:tcPr>
            <w:tcW w:w="1282" w:type="dxa"/>
            <w:tcBorders>
              <w:top w:val="single" w:sz="6" w:space="0" w:color="A5A5A5"/>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(7,344)</w:t>
            </w:r>
          </w:p>
        </w:tc>
      </w:tr>
    </w:tbl>
    <w:p w:rsidR="000B3F05" w:rsidRPr="00491918" w:rsidRDefault="000B3F05" w:rsidP="000B3F05"/>
    <w:p w:rsidR="00BC07B1" w:rsidRPr="00491918" w:rsidRDefault="00BC07B1" w:rsidP="00BC07B1">
      <w:pPr>
        <w:pStyle w:val="NoteandSourceText-BarcRA100"/>
        <w:numPr>
          <w:ilvl w:val="0"/>
          <w:numId w:val="0"/>
        </w:numPr>
        <w:ind w:left="284"/>
      </w:pPr>
    </w:p>
    <w:p w:rsidR="00BC07B1" w:rsidRPr="00491918" w:rsidRDefault="00BC07B1" w:rsidP="00BC07B1">
      <w:pPr>
        <w:pStyle w:val="NoteandSourceText-BarcRA100"/>
        <w:numPr>
          <w:ilvl w:val="0"/>
          <w:numId w:val="0"/>
        </w:numPr>
        <w:ind w:left="284"/>
      </w:pPr>
    </w:p>
    <w:p w:rsidR="000B3F05" w:rsidRPr="00491918" w:rsidRDefault="000B3F05" w:rsidP="00CC41A9">
      <w:pPr>
        <w:pStyle w:val="NoteandSourceText-BarcRA100"/>
        <w:numPr>
          <w:ilvl w:val="0"/>
          <w:numId w:val="242"/>
        </w:numPr>
        <w:ind w:left="284" w:hanging="284"/>
      </w:pPr>
      <w:r w:rsidRPr="00491918">
        <w:t>Credit derivatives also includes derivative exposure to Monoline insurers.</w:t>
      </w:r>
    </w:p>
    <w:p w:rsidR="000B3F05" w:rsidRPr="00491918" w:rsidRDefault="000B3F05" w:rsidP="00CC41A9">
      <w:pPr>
        <w:pStyle w:val="NoteandSourceText-BarcRA100"/>
        <w:numPr>
          <w:ilvl w:val="0"/>
          <w:numId w:val="245"/>
        </w:numPr>
      </w:pPr>
      <w:r w:rsidRPr="00491918">
        <w:t>Other primarily includes receivables resulting from the acquisition of the North American businesses of Lehman Brothers</w:t>
      </w:r>
      <w:r w:rsidR="00391981" w:rsidRPr="00491918">
        <w:t>, a</w:t>
      </w:r>
      <w:r w:rsidRPr="00491918">
        <w:t>sset backed loans and private equity investments.</w:t>
      </w:r>
    </w:p>
    <w:p w:rsidR="000B3F05" w:rsidRPr="00491918" w:rsidRDefault="000B3F05" w:rsidP="000B3F05"/>
    <w:p w:rsidR="0007202F" w:rsidRPr="00491918" w:rsidRDefault="000B3F05" w:rsidP="0007202F">
      <w:pPr>
        <w:pStyle w:val="HeadingLevel1-BarcRA49"/>
      </w:pPr>
      <w:r w:rsidRPr="00491918">
        <w:rPr>
          <w:b w:val="0"/>
        </w:rPr>
        <w:br w:type="page"/>
      </w:r>
      <w:r w:rsidR="0007202F" w:rsidRPr="00491918">
        <w:lastRenderedPageBreak/>
        <w:t>Financial Statement Notes</w:t>
      </w:r>
    </w:p>
    <w:p w:rsidR="000B3F05" w:rsidRPr="00491918" w:rsidRDefault="000B3F05" w:rsidP="008D6001">
      <w:pPr>
        <w:pStyle w:val="BodyText-BarcRA3"/>
        <w:outlineLvl w:val="0"/>
        <w:rPr>
          <w:b/>
        </w:rPr>
      </w:pPr>
      <w:r w:rsidRPr="00491918">
        <w:rPr>
          <w:b/>
          <w:sz w:val="20"/>
        </w:rPr>
        <w:t>Financial assets and liabilities reclassified between Level 1 and Level 2</w:t>
      </w:r>
    </w:p>
    <w:p w:rsidR="000F04F8" w:rsidRPr="00491918" w:rsidRDefault="000F04F8" w:rsidP="0021631B">
      <w:pPr>
        <w:jc w:val="both"/>
        <w:rPr>
          <w:sz w:val="18"/>
          <w:szCs w:val="18"/>
        </w:rPr>
      </w:pPr>
      <w:r w:rsidRPr="00491918">
        <w:rPr>
          <w:sz w:val="18"/>
          <w:szCs w:val="18"/>
        </w:rPr>
        <w:t>The most recent issuance of government bonds will be the most actively traded.  When there is a new issuance of certain government bonds, any previous issuances held on the balance sheet as Level 1 will be transferred into Level 2 to reflect a decrease in trading activity.  As a result of new issuances in H113, £631m of government and government sponsored debt were transferred from Level 1 into Level 2.</w:t>
      </w:r>
    </w:p>
    <w:p w:rsidR="000B3F05" w:rsidRPr="00491918" w:rsidRDefault="000B3F05" w:rsidP="008D6001">
      <w:pPr>
        <w:pStyle w:val="HeadingLevel2-BarcRA1"/>
        <w:outlineLvl w:val="0"/>
      </w:pPr>
      <w:r w:rsidRPr="00491918">
        <w:t>Level 3 movement analysis</w:t>
      </w:r>
    </w:p>
    <w:p w:rsidR="000B3F05" w:rsidRPr="00491918" w:rsidRDefault="000B3F05" w:rsidP="000B3F05">
      <w:pPr>
        <w:pStyle w:val="BodyText-BarcRA4"/>
      </w:pPr>
      <w:r w:rsidRPr="00491918">
        <w:t>The following table summarises the movements in the Level 3 balance during the year. The table shows gains and losses and includes amounts for all financial assets and liabilities transferred to and from Level 3 during the year. Transfers have been reflected as if they had taken place at the beginning of the year.</w:t>
      </w:r>
    </w:p>
    <w:p w:rsidR="000B3F05" w:rsidRPr="00491918" w:rsidRDefault="000B3F05" w:rsidP="000B3F05"/>
    <w:tbl>
      <w:tblPr>
        <w:tblW w:w="9735" w:type="dxa"/>
        <w:tblLayout w:type="fixed"/>
        <w:tblLook w:val="0000" w:firstRow="0" w:lastRow="0" w:firstColumn="0" w:lastColumn="0" w:noHBand="0" w:noVBand="0"/>
      </w:tblPr>
      <w:tblGrid>
        <w:gridCol w:w="1395"/>
        <w:gridCol w:w="750"/>
        <w:gridCol w:w="750"/>
        <w:gridCol w:w="750"/>
        <w:gridCol w:w="750"/>
        <w:gridCol w:w="840"/>
        <w:gridCol w:w="750"/>
        <w:gridCol w:w="750"/>
        <w:gridCol w:w="750"/>
        <w:gridCol w:w="750"/>
        <w:gridCol w:w="750"/>
        <w:gridCol w:w="750"/>
      </w:tblGrid>
      <w:tr w:rsidR="000B3F05" w:rsidRPr="00491918" w:rsidTr="00F92E6D">
        <w:trPr>
          <w:trHeight w:val="225"/>
        </w:trPr>
        <w:tc>
          <w:tcPr>
            <w:tcW w:w="1395"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center"/>
              <w:rPr>
                <w:sz w:val="16"/>
                <w:szCs w:val="16"/>
              </w:rPr>
            </w:pPr>
            <w:r w:rsidRPr="00491918">
              <w:rPr>
                <w:b/>
                <w:color w:val="000000"/>
                <w:sz w:val="16"/>
                <w:szCs w:val="16"/>
              </w:rPr>
              <w:t xml:space="preserve"> </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As at 01.01.13</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Purch</w:t>
            </w:r>
            <w:r w:rsidR="00BC07B1" w:rsidRPr="00491918">
              <w:rPr>
                <w:b/>
                <w:color w:val="000000"/>
                <w:sz w:val="16"/>
                <w:szCs w:val="16"/>
              </w:rPr>
              <w:t>-</w:t>
            </w:r>
            <w:r w:rsidRPr="00491918">
              <w:rPr>
                <w:b/>
                <w:color w:val="000000"/>
                <w:sz w:val="16"/>
                <w:szCs w:val="16"/>
              </w:rPr>
              <w:t>ases</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Sales</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Issues</w:t>
            </w:r>
          </w:p>
        </w:tc>
        <w:tc>
          <w:tcPr>
            <w:tcW w:w="84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Settle</w:t>
            </w:r>
            <w:r w:rsidR="00BC07B1" w:rsidRPr="00491918">
              <w:rPr>
                <w:b/>
                <w:color w:val="000000"/>
                <w:sz w:val="16"/>
                <w:szCs w:val="16"/>
              </w:rPr>
              <w:t>-</w:t>
            </w:r>
            <w:r w:rsidRPr="00491918">
              <w:rPr>
                <w:b/>
                <w:color w:val="000000"/>
                <w:sz w:val="16"/>
                <w:szCs w:val="16"/>
              </w:rPr>
              <w:t>ments </w:t>
            </w:r>
          </w:p>
        </w:tc>
        <w:tc>
          <w:tcPr>
            <w:tcW w:w="1500" w:type="dxa"/>
            <w:gridSpan w:val="2"/>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b/>
                <w:color w:val="000000"/>
                <w:sz w:val="16"/>
                <w:szCs w:val="16"/>
              </w:rPr>
            </w:pPr>
            <w:r w:rsidRPr="00491918">
              <w:rPr>
                <w:b/>
                <w:color w:val="000000"/>
                <w:sz w:val="16"/>
                <w:szCs w:val="16"/>
              </w:rPr>
              <w:t>Total gains and losses in the period recognised in the income statement</w:t>
            </w:r>
          </w:p>
        </w:tc>
        <w:tc>
          <w:tcPr>
            <w:tcW w:w="750" w:type="dxa"/>
            <w:vMerge w:val="restart"/>
            <w:tcBorders>
              <w:top w:val="nil"/>
              <w:left w:val="nil"/>
              <w:bottom w:val="nil"/>
              <w:right w:val="nil"/>
            </w:tcBorders>
            <w:shd w:val="clear" w:color="auto" w:fill="FFFFFF"/>
            <w:tcMar>
              <w:left w:w="36" w:type="dxa"/>
              <w:right w:w="36" w:type="dxa"/>
            </w:tcMar>
            <w:vAlign w:val="center"/>
          </w:tcPr>
          <w:p w:rsidR="000B3F05" w:rsidRPr="00491918" w:rsidRDefault="000B3F05" w:rsidP="000B3F05">
            <w:pPr>
              <w:jc w:val="center"/>
              <w:rPr>
                <w:b/>
                <w:color w:val="000000"/>
                <w:sz w:val="16"/>
                <w:szCs w:val="16"/>
              </w:rPr>
            </w:pPr>
            <w:r w:rsidRPr="00491918">
              <w:rPr>
                <w:b/>
                <w:color w:val="000000"/>
                <w:sz w:val="16"/>
                <w:szCs w:val="16"/>
              </w:rPr>
              <w:t>Total gains or losses recog</w:t>
            </w:r>
            <w:r w:rsidR="00BC07B1" w:rsidRPr="00491918">
              <w:rPr>
                <w:b/>
                <w:color w:val="000000"/>
                <w:sz w:val="16"/>
                <w:szCs w:val="16"/>
              </w:rPr>
              <w:t>-</w:t>
            </w:r>
            <w:r w:rsidRPr="00491918">
              <w:rPr>
                <w:b/>
                <w:color w:val="000000"/>
                <w:sz w:val="16"/>
                <w:szCs w:val="16"/>
              </w:rPr>
              <w:t>nised in OCI</w:t>
            </w:r>
          </w:p>
        </w:tc>
        <w:tc>
          <w:tcPr>
            <w:tcW w:w="1500" w:type="dxa"/>
            <w:gridSpan w:val="2"/>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b/>
                <w:color w:val="000000"/>
                <w:sz w:val="16"/>
                <w:szCs w:val="16"/>
              </w:rPr>
            </w:pPr>
            <w:r w:rsidRPr="00491918">
              <w:rPr>
                <w:b/>
                <w:color w:val="000000"/>
                <w:sz w:val="16"/>
                <w:szCs w:val="16"/>
              </w:rPr>
              <w:t xml:space="preserve">Transfers </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As at 30.06.13</w:t>
            </w:r>
          </w:p>
        </w:tc>
      </w:tr>
      <w:tr w:rsidR="000B3F05" w:rsidRPr="00491918" w:rsidTr="00F92E6D">
        <w:trPr>
          <w:trHeight w:val="375"/>
        </w:trPr>
        <w:tc>
          <w:tcPr>
            <w:tcW w:w="1395"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84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Trading income</w:t>
            </w: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Other income</w:t>
            </w: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In</w:t>
            </w: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Out</w:t>
            </w: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r>
      <w:tr w:rsidR="000B3F05" w:rsidRPr="00491918" w:rsidTr="00F92E6D">
        <w:trPr>
          <w:trHeight w:val="225"/>
        </w:trPr>
        <w:tc>
          <w:tcPr>
            <w:tcW w:w="139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84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r>
    </w:tbl>
    <w:p w:rsidR="00F92E6D" w:rsidRPr="00491918" w:rsidRDefault="00F92E6D"/>
    <w:tbl>
      <w:tblPr>
        <w:tblW w:w="9735" w:type="dxa"/>
        <w:tblLayout w:type="fixed"/>
        <w:tblLook w:val="0000" w:firstRow="0" w:lastRow="0" w:firstColumn="0" w:lastColumn="0" w:noHBand="0" w:noVBand="0"/>
      </w:tblPr>
      <w:tblGrid>
        <w:gridCol w:w="1395"/>
        <w:gridCol w:w="750"/>
        <w:gridCol w:w="750"/>
        <w:gridCol w:w="750"/>
        <w:gridCol w:w="750"/>
        <w:gridCol w:w="840"/>
        <w:gridCol w:w="750"/>
        <w:gridCol w:w="750"/>
        <w:gridCol w:w="750"/>
        <w:gridCol w:w="750"/>
        <w:gridCol w:w="750"/>
        <w:gridCol w:w="750"/>
      </w:tblGrid>
      <w:tr w:rsidR="000B3F05" w:rsidRPr="00491918" w:rsidTr="00F92E6D">
        <w:trPr>
          <w:trHeight w:val="255"/>
        </w:trPr>
        <w:tc>
          <w:tcPr>
            <w:tcW w:w="1395" w:type="dxa"/>
            <w:tcBorders>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color w:val="000000"/>
                <w:sz w:val="16"/>
                <w:szCs w:val="16"/>
              </w:rPr>
              <w:t>Government and government sponsored debt</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321  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125  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(193)</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(23)</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(64)</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172  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Corporate debt</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3,136  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155  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(117)</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55  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74  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(33)</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3,263  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Asset backed securities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3,614  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2,207  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(3,118)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(298)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884  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121  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3,292  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Non asset backed loans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344  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(255)</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208  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Funds and fund linked products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685  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(31)</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32  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(66)</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620  </w:t>
            </w:r>
          </w:p>
        </w:tc>
      </w:tr>
      <w:tr w:rsidR="000B3F05" w:rsidRPr="00491918" w:rsidTr="00F92E6D">
        <w:trPr>
          <w:trHeight w:val="255"/>
        </w:trPr>
        <w:tc>
          <w:tcPr>
            <w:tcW w:w="1395" w:type="dxa"/>
            <w:tcBorders>
              <w:top w:val="nil"/>
              <w:left w:val="nil"/>
              <w:bottom w:val="single" w:sz="6" w:space="0" w:color="BFBFBF"/>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Other</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414  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46  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(21)</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39  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CB7479" w:rsidP="000B3F05">
            <w:pPr>
              <w:jc w:val="right"/>
              <w:rPr>
                <w:color w:val="000000"/>
                <w:sz w:val="16"/>
                <w:szCs w:val="16"/>
              </w:rPr>
            </w:pPr>
            <w:r w:rsidRPr="00491918">
              <w:rPr>
                <w:color w:val="000000"/>
                <w:sz w:val="16"/>
                <w:szCs w:val="16"/>
              </w:rPr>
              <w:t xml:space="preserve"> -   </w:t>
            </w:r>
            <w:r w:rsidR="000B3F05" w:rsidRPr="00491918">
              <w:rPr>
                <w:color w:val="000000"/>
                <w:sz w:val="16"/>
                <w:szCs w:val="16"/>
              </w:rPr>
              <w:t>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CB7479">
            <w:pPr>
              <w:jc w:val="right"/>
              <w:rPr>
                <w:color w:val="000000"/>
                <w:sz w:val="16"/>
                <w:szCs w:val="16"/>
              </w:rPr>
            </w:pPr>
            <w:r w:rsidRPr="00491918">
              <w:rPr>
                <w:color w:val="000000"/>
                <w:sz w:val="16"/>
                <w:szCs w:val="16"/>
              </w:rPr>
              <w:t>46</w:t>
            </w:r>
            <w:r w:rsidR="00CB7479" w:rsidRPr="00491918">
              <w:rPr>
                <w:color w:val="000000"/>
                <w:sz w:val="16"/>
                <w:szCs w:val="16"/>
              </w:rPr>
              <w:t>0</w:t>
            </w:r>
            <w:r w:rsidRPr="00491918">
              <w:rPr>
                <w:color w:val="000000"/>
                <w:sz w:val="16"/>
                <w:szCs w:val="16"/>
              </w:rPr>
              <w:t xml:space="preserve">  </w:t>
            </w:r>
          </w:p>
        </w:tc>
      </w:tr>
      <w:tr w:rsidR="000B3F05" w:rsidRPr="00491918" w:rsidTr="00F92E6D">
        <w:trPr>
          <w:trHeight w:val="255"/>
        </w:trPr>
        <w:tc>
          <w:tcPr>
            <w:tcW w:w="1395" w:type="dxa"/>
            <w:tcBorders>
              <w:top w:val="single" w:sz="6" w:space="0" w:color="BFBFBF"/>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b/>
                <w:color w:val="000000"/>
                <w:sz w:val="16"/>
                <w:szCs w:val="16"/>
              </w:rPr>
              <w:t>Trading portfolio assets</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8,514  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2,644  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(3,735)</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center"/>
              <w:rPr>
                <w:b/>
                <w:color w:val="000000"/>
                <w:sz w:val="16"/>
                <w:szCs w:val="16"/>
              </w:rPr>
            </w:pPr>
            <w:r w:rsidRPr="00491918">
              <w:rPr>
                <w:b/>
                <w:color w:val="000000"/>
                <w:sz w:val="16"/>
                <w:szCs w:val="16"/>
              </w:rPr>
              <w:t xml:space="preserve"> -   </w:t>
            </w:r>
          </w:p>
        </w:tc>
        <w:tc>
          <w:tcPr>
            <w:tcW w:w="84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(328)</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1,022  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(7)</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CB7479" w:rsidP="000B3F05">
            <w:pPr>
              <w:jc w:val="right"/>
              <w:rPr>
                <w:b/>
                <w:color w:val="000000"/>
                <w:sz w:val="16"/>
                <w:szCs w:val="16"/>
              </w:rPr>
            </w:pPr>
            <w:r w:rsidRPr="00491918">
              <w:rPr>
                <w:b/>
                <w:color w:val="000000"/>
                <w:sz w:val="16"/>
                <w:szCs w:val="16"/>
              </w:rPr>
              <w:t>198</w:t>
            </w:r>
            <w:r w:rsidR="000B3F05" w:rsidRPr="00491918">
              <w:rPr>
                <w:b/>
                <w:color w:val="000000"/>
                <w:sz w:val="16"/>
                <w:szCs w:val="16"/>
              </w:rPr>
              <w:t xml:space="preserve">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(293)</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CB7479">
            <w:pPr>
              <w:jc w:val="right"/>
              <w:rPr>
                <w:b/>
                <w:color w:val="000000"/>
                <w:sz w:val="16"/>
                <w:szCs w:val="16"/>
              </w:rPr>
            </w:pPr>
            <w:r w:rsidRPr="00491918">
              <w:rPr>
                <w:b/>
                <w:color w:val="000000"/>
                <w:sz w:val="16"/>
                <w:szCs w:val="16"/>
              </w:rPr>
              <w:t>8,01</w:t>
            </w:r>
            <w:r w:rsidR="00CB7479" w:rsidRPr="00491918">
              <w:rPr>
                <w:b/>
                <w:color w:val="000000"/>
                <w:sz w:val="16"/>
                <w:szCs w:val="16"/>
              </w:rPr>
              <w:t>5</w:t>
            </w:r>
            <w:r w:rsidRPr="00491918">
              <w:rPr>
                <w:b/>
                <w:color w:val="000000"/>
                <w:sz w:val="16"/>
                <w:szCs w:val="16"/>
              </w:rPr>
              <w:t xml:space="preserve">  </w:t>
            </w:r>
          </w:p>
        </w:tc>
      </w:tr>
      <w:tr w:rsidR="000B3F05" w:rsidRPr="00491918" w:rsidTr="00F92E6D">
        <w:trPr>
          <w:trHeight w:hRule="exac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Commercial real estate loans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1,798  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630  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(708)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(238)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129  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(35)</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1,578  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Non asset backed loans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2,021  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26  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(178)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(23)</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(87)</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101  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(547)</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1,306  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Asset backed loans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564  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429  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(589)</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(14)</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88  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(96)</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382  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Private equity investments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1,350  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(20)</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1,401  </w:t>
            </w:r>
          </w:p>
        </w:tc>
      </w:tr>
      <w:tr w:rsidR="000B3F05" w:rsidRPr="00491918" w:rsidTr="00F92E6D">
        <w:trPr>
          <w:trHeight w:val="255"/>
        </w:trPr>
        <w:tc>
          <w:tcPr>
            <w:tcW w:w="139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Other</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353  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17  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(130)</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(24)</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CB7479" w:rsidP="000B3F05">
            <w:pPr>
              <w:jc w:val="right"/>
              <w:rPr>
                <w:color w:val="000000"/>
                <w:sz w:val="16"/>
                <w:szCs w:val="16"/>
              </w:rPr>
            </w:pPr>
            <w:r w:rsidRPr="00491918">
              <w:rPr>
                <w:color w:val="000000"/>
                <w:sz w:val="16"/>
                <w:szCs w:val="16"/>
              </w:rPr>
              <w:t>5</w:t>
            </w:r>
            <w:r w:rsidR="000B3F05" w:rsidRPr="00491918">
              <w:rPr>
                <w:color w:val="000000"/>
                <w:sz w:val="16"/>
                <w:szCs w:val="16"/>
              </w:rPr>
              <w:t xml:space="preserve">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(81)</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CB7479">
            <w:pPr>
              <w:jc w:val="right"/>
              <w:rPr>
                <w:color w:val="000000"/>
                <w:sz w:val="16"/>
                <w:szCs w:val="16"/>
              </w:rPr>
            </w:pPr>
            <w:r w:rsidRPr="00491918">
              <w:rPr>
                <w:color w:val="000000"/>
                <w:sz w:val="16"/>
                <w:szCs w:val="16"/>
              </w:rPr>
              <w:t>1</w:t>
            </w:r>
            <w:r w:rsidR="00CB7479" w:rsidRPr="00491918">
              <w:rPr>
                <w:color w:val="000000"/>
                <w:sz w:val="16"/>
                <w:szCs w:val="16"/>
              </w:rPr>
              <w:t>40</w:t>
            </w:r>
            <w:r w:rsidRPr="00491918">
              <w:rPr>
                <w:color w:val="000000"/>
                <w:sz w:val="16"/>
                <w:szCs w:val="16"/>
              </w:rPr>
              <w:t xml:space="preserve">  </w:t>
            </w:r>
          </w:p>
        </w:tc>
      </w:tr>
      <w:tr w:rsidR="000B3F05" w:rsidRPr="00491918" w:rsidTr="00F92E6D">
        <w:trPr>
          <w:trHeight w:val="255"/>
        </w:trPr>
        <w:tc>
          <w:tcPr>
            <w:tcW w:w="139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b/>
                <w:color w:val="000000"/>
                <w:sz w:val="16"/>
                <w:szCs w:val="16"/>
              </w:rPr>
              <w:t>Financial assets designated at fair value</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6,086  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1,183  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(1,471)</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    </w:t>
            </w:r>
          </w:p>
        </w:tc>
        <w:tc>
          <w:tcPr>
            <w:tcW w:w="84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(450)</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168  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(68)</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CB7479">
            <w:pPr>
              <w:jc w:val="right"/>
              <w:rPr>
                <w:b/>
                <w:color w:val="000000"/>
                <w:sz w:val="16"/>
                <w:szCs w:val="16"/>
              </w:rPr>
            </w:pPr>
            <w:r w:rsidRPr="00491918">
              <w:rPr>
                <w:b/>
                <w:color w:val="000000"/>
                <w:sz w:val="16"/>
                <w:szCs w:val="16"/>
              </w:rPr>
              <w:t>12</w:t>
            </w:r>
            <w:r w:rsidR="00CB7479" w:rsidRPr="00491918">
              <w:rPr>
                <w:b/>
                <w:color w:val="000000"/>
                <w:sz w:val="16"/>
                <w:szCs w:val="16"/>
              </w:rPr>
              <w:t>7</w:t>
            </w:r>
            <w:r w:rsidRPr="00491918">
              <w:rPr>
                <w:b/>
                <w:color w:val="000000"/>
                <w:sz w:val="16"/>
                <w:szCs w:val="16"/>
              </w:rPr>
              <w:t xml:space="preserve">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(767)</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CB7479" w:rsidP="000B3F05">
            <w:pPr>
              <w:jc w:val="right"/>
              <w:rPr>
                <w:b/>
                <w:color w:val="000000"/>
                <w:sz w:val="16"/>
                <w:szCs w:val="16"/>
              </w:rPr>
            </w:pPr>
            <w:r w:rsidRPr="00491918">
              <w:rPr>
                <w:b/>
                <w:color w:val="000000"/>
                <w:sz w:val="16"/>
                <w:szCs w:val="16"/>
              </w:rPr>
              <w:t>4,807</w:t>
            </w:r>
            <w:r w:rsidR="000B3F05" w:rsidRPr="00491918">
              <w:rPr>
                <w:b/>
                <w:color w:val="000000"/>
                <w:sz w:val="16"/>
                <w:szCs w:val="16"/>
              </w:rPr>
              <w:t xml:space="preserve">  </w:t>
            </w:r>
          </w:p>
        </w:tc>
      </w:tr>
      <w:tr w:rsidR="000B3F05" w:rsidRPr="00491918" w:rsidTr="00F92E6D">
        <w:trPr>
          <w:trHeight w:hRule="exac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 xml:space="preserve">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Asset backed securities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492  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(520)</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(30)</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Government and government sponsored debt</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46  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54  </w:t>
            </w:r>
          </w:p>
        </w:tc>
      </w:tr>
      <w:tr w:rsidR="000B3F05" w:rsidRPr="00491918" w:rsidTr="00F92E6D">
        <w:trPr>
          <w:trHeight w:val="255"/>
        </w:trPr>
        <w:tc>
          <w:tcPr>
            <w:tcW w:w="139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Other</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2,342  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10  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(39)</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84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396  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43  </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(29)</w:t>
            </w:r>
          </w:p>
        </w:tc>
        <w:tc>
          <w:tcPr>
            <w:tcW w:w="750" w:type="dxa"/>
            <w:tcBorders>
              <w:top w:val="nil"/>
              <w:left w:val="nil"/>
              <w:bottom w:val="single" w:sz="6" w:space="0" w:color="BFBFBF"/>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2,726  </w:t>
            </w:r>
          </w:p>
        </w:tc>
      </w:tr>
      <w:tr w:rsidR="000B3F05" w:rsidRPr="00491918" w:rsidTr="00F92E6D">
        <w:trPr>
          <w:trHeight w:val="255"/>
        </w:trPr>
        <w:tc>
          <w:tcPr>
            <w:tcW w:w="139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b/>
                <w:color w:val="000000"/>
                <w:sz w:val="16"/>
                <w:szCs w:val="16"/>
              </w:rPr>
              <w:t>Available for sale investments</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2,880  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19  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(559)</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    </w:t>
            </w:r>
          </w:p>
        </w:tc>
        <w:tc>
          <w:tcPr>
            <w:tcW w:w="84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(37)</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425  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40  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43  </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(29)</w:t>
            </w:r>
          </w:p>
        </w:tc>
        <w:tc>
          <w:tcPr>
            <w:tcW w:w="750" w:type="dxa"/>
            <w:tcBorders>
              <w:top w:val="single" w:sz="6" w:space="0" w:color="BFBFB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2,782  </w:t>
            </w:r>
          </w:p>
        </w:tc>
      </w:tr>
    </w:tbl>
    <w:p w:rsidR="000B3F05" w:rsidRPr="00491918" w:rsidRDefault="000B3F05" w:rsidP="000B3F05">
      <w:pPr>
        <w:spacing w:line="14" w:lineRule="exact"/>
      </w:pPr>
      <w:r w:rsidRPr="00491918">
        <w:br w:type="page"/>
      </w:r>
    </w:p>
    <w:p w:rsidR="0007202F" w:rsidRPr="00491918" w:rsidRDefault="0007202F" w:rsidP="000B3F05">
      <w:pPr>
        <w:spacing w:line="14" w:lineRule="exact"/>
      </w:pPr>
    </w:p>
    <w:p w:rsidR="0007202F" w:rsidRPr="00491918" w:rsidRDefault="0007202F" w:rsidP="000B3F05">
      <w:pPr>
        <w:spacing w:line="14" w:lineRule="exact"/>
      </w:pPr>
    </w:p>
    <w:p w:rsidR="0007202F" w:rsidRPr="00491918" w:rsidRDefault="0007202F" w:rsidP="000B3F05">
      <w:pPr>
        <w:spacing w:line="14" w:lineRule="exact"/>
      </w:pPr>
    </w:p>
    <w:p w:rsidR="0007202F" w:rsidRPr="00491918" w:rsidRDefault="0007202F" w:rsidP="0007202F">
      <w:pPr>
        <w:pStyle w:val="HeadingLevel1-BarcRA49"/>
      </w:pPr>
      <w:r w:rsidRPr="00491918">
        <w:t>Financial Statement Notes</w:t>
      </w:r>
    </w:p>
    <w:p w:rsidR="0007202F" w:rsidRPr="00491918" w:rsidRDefault="0007202F" w:rsidP="000B3F05">
      <w:pPr>
        <w:spacing w:line="14" w:lineRule="exact"/>
      </w:pPr>
    </w:p>
    <w:tbl>
      <w:tblPr>
        <w:tblW w:w="9735" w:type="dxa"/>
        <w:tblLayout w:type="fixed"/>
        <w:tblLook w:val="0000" w:firstRow="0" w:lastRow="0" w:firstColumn="0" w:lastColumn="0" w:noHBand="0" w:noVBand="0"/>
      </w:tblPr>
      <w:tblGrid>
        <w:gridCol w:w="1395"/>
        <w:gridCol w:w="750"/>
        <w:gridCol w:w="750"/>
        <w:gridCol w:w="750"/>
        <w:gridCol w:w="750"/>
        <w:gridCol w:w="840"/>
        <w:gridCol w:w="750"/>
        <w:gridCol w:w="750"/>
        <w:gridCol w:w="750"/>
        <w:gridCol w:w="750"/>
        <w:gridCol w:w="750"/>
        <w:gridCol w:w="750"/>
      </w:tblGrid>
      <w:tr w:rsidR="000B3F05" w:rsidRPr="00491918" w:rsidTr="00F92E6D">
        <w:trPr>
          <w:trHeight w:val="225"/>
        </w:trPr>
        <w:tc>
          <w:tcPr>
            <w:tcW w:w="1395"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center"/>
              <w:rPr>
                <w:sz w:val="16"/>
                <w:szCs w:val="16"/>
              </w:rPr>
            </w:pPr>
            <w:r w:rsidRPr="00491918">
              <w:rPr>
                <w:b/>
                <w:color w:val="000000"/>
                <w:sz w:val="16"/>
                <w:szCs w:val="16"/>
              </w:rPr>
              <w:t xml:space="preserve"> </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As at 01.01.13</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Purch</w:t>
            </w:r>
            <w:r w:rsidR="00BC07B1" w:rsidRPr="00491918">
              <w:rPr>
                <w:b/>
                <w:color w:val="000000"/>
                <w:sz w:val="16"/>
                <w:szCs w:val="16"/>
              </w:rPr>
              <w:t>-</w:t>
            </w:r>
            <w:r w:rsidRPr="00491918">
              <w:rPr>
                <w:b/>
                <w:color w:val="000000"/>
                <w:sz w:val="16"/>
                <w:szCs w:val="16"/>
              </w:rPr>
              <w:t>ases</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Sales</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Issues</w:t>
            </w:r>
          </w:p>
        </w:tc>
        <w:tc>
          <w:tcPr>
            <w:tcW w:w="84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Settle</w:t>
            </w:r>
            <w:r w:rsidR="00BC07B1" w:rsidRPr="00491918">
              <w:rPr>
                <w:b/>
                <w:color w:val="000000"/>
                <w:sz w:val="16"/>
                <w:szCs w:val="16"/>
              </w:rPr>
              <w:t>-</w:t>
            </w:r>
            <w:r w:rsidRPr="00491918">
              <w:rPr>
                <w:b/>
                <w:color w:val="000000"/>
                <w:sz w:val="16"/>
                <w:szCs w:val="16"/>
              </w:rPr>
              <w:t>ments </w:t>
            </w:r>
          </w:p>
        </w:tc>
        <w:tc>
          <w:tcPr>
            <w:tcW w:w="1500" w:type="dxa"/>
            <w:gridSpan w:val="2"/>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b/>
                <w:color w:val="000000"/>
                <w:sz w:val="16"/>
                <w:szCs w:val="16"/>
              </w:rPr>
            </w:pPr>
            <w:r w:rsidRPr="00491918">
              <w:rPr>
                <w:b/>
                <w:color w:val="000000"/>
                <w:sz w:val="16"/>
                <w:szCs w:val="16"/>
              </w:rPr>
              <w:t>Total gains and losses in the period recognised in the income statement</w:t>
            </w:r>
          </w:p>
        </w:tc>
        <w:tc>
          <w:tcPr>
            <w:tcW w:w="750" w:type="dxa"/>
            <w:vMerge w:val="restart"/>
            <w:tcBorders>
              <w:top w:val="nil"/>
              <w:left w:val="nil"/>
              <w:bottom w:val="nil"/>
              <w:right w:val="nil"/>
            </w:tcBorders>
            <w:shd w:val="clear" w:color="auto" w:fill="FFFFFF"/>
            <w:tcMar>
              <w:left w:w="36" w:type="dxa"/>
              <w:right w:w="36" w:type="dxa"/>
            </w:tcMar>
            <w:vAlign w:val="center"/>
          </w:tcPr>
          <w:p w:rsidR="000B3F05" w:rsidRPr="00491918" w:rsidRDefault="000B3F05" w:rsidP="000B3F05">
            <w:pPr>
              <w:jc w:val="center"/>
              <w:rPr>
                <w:b/>
                <w:color w:val="000000"/>
                <w:sz w:val="16"/>
                <w:szCs w:val="16"/>
              </w:rPr>
            </w:pPr>
            <w:r w:rsidRPr="00491918">
              <w:rPr>
                <w:b/>
                <w:color w:val="000000"/>
                <w:sz w:val="16"/>
                <w:szCs w:val="16"/>
              </w:rPr>
              <w:t>Total gains or losses recog</w:t>
            </w:r>
            <w:r w:rsidR="00BC07B1" w:rsidRPr="00491918">
              <w:rPr>
                <w:b/>
                <w:color w:val="000000"/>
                <w:sz w:val="16"/>
                <w:szCs w:val="16"/>
              </w:rPr>
              <w:t>-</w:t>
            </w:r>
            <w:r w:rsidRPr="00491918">
              <w:rPr>
                <w:b/>
                <w:color w:val="000000"/>
                <w:sz w:val="16"/>
                <w:szCs w:val="16"/>
              </w:rPr>
              <w:t>nised in OCI</w:t>
            </w:r>
          </w:p>
        </w:tc>
        <w:tc>
          <w:tcPr>
            <w:tcW w:w="1500" w:type="dxa"/>
            <w:gridSpan w:val="2"/>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b/>
                <w:color w:val="000000"/>
                <w:sz w:val="16"/>
                <w:szCs w:val="16"/>
              </w:rPr>
            </w:pPr>
            <w:r w:rsidRPr="00491918">
              <w:rPr>
                <w:b/>
                <w:color w:val="000000"/>
                <w:sz w:val="16"/>
                <w:szCs w:val="16"/>
              </w:rPr>
              <w:t xml:space="preserve">Transfers </w:t>
            </w:r>
          </w:p>
        </w:tc>
        <w:tc>
          <w:tcPr>
            <w:tcW w:w="750" w:type="dxa"/>
            <w:vMerge w:val="restart"/>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As at 30.06.13</w:t>
            </w:r>
          </w:p>
        </w:tc>
      </w:tr>
      <w:tr w:rsidR="000B3F05" w:rsidRPr="00491918" w:rsidTr="00F92E6D">
        <w:trPr>
          <w:trHeight w:val="375"/>
        </w:trPr>
        <w:tc>
          <w:tcPr>
            <w:tcW w:w="1395"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84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Trading income</w:t>
            </w: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Other income</w:t>
            </w: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In</w:t>
            </w:r>
          </w:p>
        </w:tc>
        <w:tc>
          <w:tcPr>
            <w:tcW w:w="75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Out</w:t>
            </w:r>
          </w:p>
        </w:tc>
        <w:tc>
          <w:tcPr>
            <w:tcW w:w="750"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p>
        </w:tc>
      </w:tr>
      <w:tr w:rsidR="000B3F05" w:rsidRPr="00491918" w:rsidTr="00F92E6D">
        <w:trPr>
          <w:trHeight w:val="225"/>
        </w:trPr>
        <w:tc>
          <w:tcPr>
            <w:tcW w:w="139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84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£m</w:t>
            </w:r>
          </w:p>
        </w:tc>
      </w:tr>
    </w:tbl>
    <w:p w:rsidR="00F92E6D" w:rsidRPr="00491918" w:rsidRDefault="00F92E6D"/>
    <w:tbl>
      <w:tblPr>
        <w:tblW w:w="9735" w:type="dxa"/>
        <w:tblLayout w:type="fixed"/>
        <w:tblLook w:val="0000" w:firstRow="0" w:lastRow="0" w:firstColumn="0" w:lastColumn="0" w:noHBand="0" w:noVBand="0"/>
      </w:tblPr>
      <w:tblGrid>
        <w:gridCol w:w="1395"/>
        <w:gridCol w:w="750"/>
        <w:gridCol w:w="750"/>
        <w:gridCol w:w="750"/>
        <w:gridCol w:w="750"/>
        <w:gridCol w:w="840"/>
        <w:gridCol w:w="750"/>
        <w:gridCol w:w="750"/>
        <w:gridCol w:w="750"/>
        <w:gridCol w:w="750"/>
        <w:gridCol w:w="750"/>
        <w:gridCol w:w="750"/>
      </w:tblGrid>
      <w:tr w:rsidR="000B3F05" w:rsidRPr="00491918" w:rsidTr="00F92E6D">
        <w:trPr>
          <w:trHeight w:val="330"/>
        </w:trPr>
        <w:tc>
          <w:tcPr>
            <w:tcW w:w="1395" w:type="dxa"/>
            <w:tcBorders>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color w:val="000000"/>
                <w:sz w:val="16"/>
                <w:szCs w:val="16"/>
              </w:rPr>
              <w:t>Corporate debt</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84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2 </w:t>
            </w:r>
          </w:p>
        </w:tc>
        <w:tc>
          <w:tcPr>
            <w:tcW w:w="750"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w:t>
            </w:r>
          </w:p>
        </w:tc>
      </w:tr>
      <w:tr w:rsidR="000B3F05" w:rsidRPr="00491918" w:rsidTr="00F92E6D">
        <w:trPr>
          <w:trHeight w:val="330"/>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Other</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(239)</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84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27 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(209)</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b/>
                <w:color w:val="000000"/>
                <w:sz w:val="16"/>
                <w:szCs w:val="16"/>
              </w:rPr>
              <w:t>Trading portfolio liabilities</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(239)</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w:t>
            </w:r>
          </w:p>
        </w:tc>
        <w:tc>
          <w:tcPr>
            <w:tcW w:w="84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27 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(212)</w:t>
            </w:r>
          </w:p>
        </w:tc>
      </w:tr>
      <w:tr w:rsidR="000B3F05" w:rsidRPr="00491918" w:rsidTr="00F92E6D">
        <w:trPr>
          <w:trHeight w:hRule="exact" w:val="22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Certificates of deposit, commercial paper and other money market instruments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(760)</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(20)</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80 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71 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(578)</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Issued debt</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(1,439)</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(67)</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279 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(27)</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(36)</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114 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(1,162)</w:t>
            </w:r>
          </w:p>
        </w:tc>
      </w:tr>
      <w:tr w:rsidR="000B3F05" w:rsidRPr="00491918" w:rsidTr="00F92E6D">
        <w:trPr>
          <w:trHeight w:val="255"/>
        </w:trPr>
        <w:tc>
          <w:tcPr>
            <w:tcW w:w="1395" w:type="dxa"/>
            <w:tcBorders>
              <w:top w:val="nil"/>
              <w:left w:val="nil"/>
              <w:bottom w:val="single" w:sz="6" w:space="0" w:color="C0C0C0"/>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Other</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(156)</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84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93 </w:t>
            </w:r>
          </w:p>
        </w:tc>
        <w:tc>
          <w:tcPr>
            <w:tcW w:w="750" w:type="dxa"/>
            <w:tcBorders>
              <w:top w:val="nil"/>
              <w:left w:val="nil"/>
              <w:bottom w:val="single" w:sz="6" w:space="0" w:color="C0C0C0"/>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(63)</w:t>
            </w:r>
          </w:p>
        </w:tc>
      </w:tr>
      <w:tr w:rsidR="000B3F05" w:rsidRPr="00491918" w:rsidTr="00F92E6D">
        <w:trPr>
          <w:trHeight w:val="255"/>
        </w:trPr>
        <w:tc>
          <w:tcPr>
            <w:tcW w:w="1395" w:type="dxa"/>
            <w:tcBorders>
              <w:top w:val="single" w:sz="6" w:space="0" w:color="C0C0C0"/>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b/>
                <w:color w:val="000000"/>
                <w:sz w:val="16"/>
                <w:szCs w:val="16"/>
              </w:rPr>
              <w:t>Financial liabilities designated at fair value</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(2,355)</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5 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9 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(87)</w:t>
            </w:r>
          </w:p>
        </w:tc>
        <w:tc>
          <w:tcPr>
            <w:tcW w:w="84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278 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53 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52 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(36)</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278 </w:t>
            </w:r>
          </w:p>
        </w:tc>
        <w:tc>
          <w:tcPr>
            <w:tcW w:w="750" w:type="dxa"/>
            <w:tcBorders>
              <w:top w:val="single" w:sz="6" w:space="0" w:color="C0C0C0"/>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(1,803)</w:t>
            </w:r>
          </w:p>
        </w:tc>
      </w:tr>
      <w:tr w:rsidR="000B3F05" w:rsidRPr="00491918" w:rsidTr="00F92E6D">
        <w:trPr>
          <w:trHeight w:hRule="exac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 xml:space="preserve">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color w:val="000000"/>
                <w:sz w:val="16"/>
                <w:szCs w:val="16"/>
              </w:rPr>
              <w:t>Interest rate derivatives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149 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59 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186 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90 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(153)</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329 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Credit derivatives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1,776 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24 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(52)</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48 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(364)</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(34)</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(317)</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76 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1,157 </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Equity derivatives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(608)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163 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(238)</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(50)</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207 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(538)</w:t>
            </w:r>
          </w:p>
        </w:tc>
      </w:tr>
      <w:tr w:rsidR="000B3F05" w:rsidRPr="00491918" w:rsidTr="00F92E6D">
        <w:trPr>
          <w:trHeight w:val="255"/>
        </w:trPr>
        <w:tc>
          <w:tcPr>
            <w:tcW w:w="139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Commodity derivatives</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117 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(24)</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(114)</w:t>
            </w:r>
          </w:p>
        </w:tc>
        <w:tc>
          <w:tcPr>
            <w:tcW w:w="84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(28)</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82 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(31)</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(80)</w:t>
            </w:r>
          </w:p>
        </w:tc>
        <w:tc>
          <w:tcPr>
            <w:tcW w:w="750"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(78)</w:t>
            </w:r>
          </w:p>
        </w:tc>
      </w:tr>
      <w:tr w:rsidR="000B3F05" w:rsidRPr="00491918" w:rsidTr="00F92E6D">
        <w:trPr>
          <w:trHeight w:val="255"/>
        </w:trPr>
        <w:tc>
          <w:tcPr>
            <w:tcW w:w="139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color w:val="000000"/>
                <w:sz w:val="16"/>
                <w:szCs w:val="16"/>
              </w:rPr>
              <w:t>Other</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(204)</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2 </w:t>
            </w:r>
          </w:p>
        </w:tc>
        <w:tc>
          <w:tcPr>
            <w:tcW w:w="84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79 </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46 </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93 </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(9)</w:t>
            </w:r>
          </w:p>
        </w:tc>
        <w:tc>
          <w:tcPr>
            <w:tcW w:w="750" w:type="dxa"/>
            <w:tcBorders>
              <w:top w:val="nil"/>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7 </w:t>
            </w:r>
          </w:p>
        </w:tc>
      </w:tr>
      <w:tr w:rsidR="000B3F05" w:rsidRPr="00491918" w:rsidTr="00F92E6D">
        <w:trPr>
          <w:trHeight w:val="255"/>
        </w:trPr>
        <w:tc>
          <w:tcPr>
            <w:tcW w:w="139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szCs w:val="16"/>
              </w:rPr>
            </w:pPr>
            <w:r w:rsidRPr="00491918">
              <w:rPr>
                <w:b/>
                <w:color w:val="000000"/>
                <w:sz w:val="16"/>
                <w:szCs w:val="16"/>
              </w:rPr>
              <w:t>Net derivative financial instruments</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1,230 </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163 </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(52)</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(350)</w:t>
            </w:r>
          </w:p>
        </w:tc>
        <w:tc>
          <w:tcPr>
            <w:tcW w:w="84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150 </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(100)</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(36)</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(169)</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41 </w:t>
            </w:r>
          </w:p>
        </w:tc>
        <w:tc>
          <w:tcPr>
            <w:tcW w:w="750" w:type="dxa"/>
            <w:tcBorders>
              <w:top w:val="single" w:sz="6" w:space="0" w:color="A5A5A5"/>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877 </w:t>
            </w:r>
          </w:p>
        </w:tc>
      </w:tr>
      <w:tr w:rsidR="000B3F05" w:rsidRPr="00491918" w:rsidTr="00F92E6D">
        <w:trPr>
          <w:trHeight w:hRule="exact" w:val="255"/>
        </w:trPr>
        <w:tc>
          <w:tcPr>
            <w:tcW w:w="139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szCs w:val="16"/>
              </w:rPr>
            </w:pPr>
            <w:r w:rsidRPr="00491918">
              <w:rPr>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84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c>
          <w:tcPr>
            <w:tcW w:w="75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 xml:space="preserve"> </w:t>
            </w:r>
          </w:p>
        </w:tc>
      </w:tr>
      <w:tr w:rsidR="000B3F05" w:rsidRPr="00491918" w:rsidTr="00F92E6D">
        <w:trPr>
          <w:trHeight w:val="255"/>
        </w:trPr>
        <w:tc>
          <w:tcPr>
            <w:tcW w:w="1395" w:type="dxa"/>
            <w:tcBorders>
              <w:top w:val="single" w:sz="6" w:space="0" w:color="A5A5A5"/>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szCs w:val="16"/>
              </w:rPr>
            </w:pPr>
            <w:r w:rsidRPr="00491918">
              <w:rPr>
                <w:b/>
                <w:color w:val="000000"/>
                <w:sz w:val="16"/>
                <w:szCs w:val="16"/>
              </w:rPr>
              <w:t>Total</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16,353 </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4,013 </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(6,047)</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(437)</w:t>
            </w:r>
          </w:p>
        </w:tc>
        <w:tc>
          <w:tcPr>
            <w:tcW w:w="84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(360)</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1,144 </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366 </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39 </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163 </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(768)</w:t>
            </w:r>
          </w:p>
        </w:tc>
        <w:tc>
          <w:tcPr>
            <w:tcW w:w="750" w:type="dxa"/>
            <w:tcBorders>
              <w:top w:val="single" w:sz="6" w:space="0" w:color="A5A5A5"/>
              <w:left w:val="nil"/>
              <w:bottom w:val="single" w:sz="6" w:space="0" w:color="A5A5A5"/>
              <w:right w:val="nil"/>
            </w:tcBorders>
            <w:shd w:val="clear" w:color="auto" w:fill="EAEAEA"/>
            <w:tcMar>
              <w:left w:w="36" w:type="dxa"/>
              <w:right w:w="36" w:type="dxa"/>
            </w:tcMar>
            <w:vAlign w:val="bottom"/>
          </w:tcPr>
          <w:p w:rsidR="000B3F05" w:rsidRPr="00491918" w:rsidRDefault="000B3F05" w:rsidP="000B3F05">
            <w:pPr>
              <w:jc w:val="right"/>
              <w:rPr>
                <w:b/>
                <w:color w:val="000000"/>
                <w:sz w:val="16"/>
                <w:szCs w:val="16"/>
              </w:rPr>
            </w:pPr>
            <w:r w:rsidRPr="00491918">
              <w:rPr>
                <w:b/>
                <w:color w:val="000000"/>
                <w:sz w:val="16"/>
                <w:szCs w:val="16"/>
              </w:rPr>
              <w:t>14,466 </w:t>
            </w:r>
          </w:p>
        </w:tc>
      </w:tr>
    </w:tbl>
    <w:p w:rsidR="000B3F05" w:rsidRPr="00491918" w:rsidRDefault="000B3F05" w:rsidP="000B3F05">
      <w:pPr>
        <w:rPr>
          <w:sz w:val="16"/>
        </w:rPr>
      </w:pPr>
    </w:p>
    <w:p w:rsidR="000F04F8" w:rsidRPr="00491918" w:rsidRDefault="000F04F8" w:rsidP="0021631B">
      <w:pPr>
        <w:jc w:val="both"/>
        <w:rPr>
          <w:sz w:val="18"/>
        </w:rPr>
      </w:pPr>
      <w:r w:rsidRPr="00491918">
        <w:rPr>
          <w:sz w:val="18"/>
        </w:rPr>
        <w:t xml:space="preserve">Instruments move between Level 2 and Level 3  primarily due to i) an increase or decrease in observable market </w:t>
      </w:r>
      <w:r w:rsidR="00CB7479" w:rsidRPr="00491918">
        <w:rPr>
          <w:sz w:val="18"/>
        </w:rPr>
        <w:t>activity related to an input or</w:t>
      </w:r>
      <w:r w:rsidRPr="00491918">
        <w:rPr>
          <w:sz w:val="18"/>
        </w:rPr>
        <w:t xml:space="preserve"> ii) a change in the significance of the unobservable input.  Instruments are classified as Level 3 if an unobservable input is deemed significant as it contributes more than 10% to the valuation of a financial instrument.  There are regular reassessments of the significance of unobservable inputs which will result in transfers between Level 2 and Level 3. </w:t>
      </w:r>
    </w:p>
    <w:p w:rsidR="000F04F8" w:rsidRPr="00491918" w:rsidRDefault="000F04F8" w:rsidP="0021631B">
      <w:pPr>
        <w:jc w:val="both"/>
        <w:rPr>
          <w:sz w:val="18"/>
        </w:rPr>
      </w:pPr>
    </w:p>
    <w:p w:rsidR="000F04F8" w:rsidRPr="00491918" w:rsidRDefault="000F04F8" w:rsidP="0021631B">
      <w:pPr>
        <w:jc w:val="both"/>
        <w:rPr>
          <w:sz w:val="18"/>
        </w:rPr>
      </w:pPr>
      <w:r w:rsidRPr="00491918">
        <w:rPr>
          <w:sz w:val="18"/>
        </w:rPr>
        <w:t xml:space="preserve">During H113, transfers into Level 3 totalled £163m. Asset backed securities held as trading portfolio assets amounting to £121m were transferred into Level 3 reflecting a decrease in observable market activity. Loans designated at fair value through profit or loss with a fair value of £101m </w:t>
      </w:r>
      <w:r w:rsidR="0021631B" w:rsidRPr="00491918">
        <w:rPr>
          <w:sz w:val="18"/>
        </w:rPr>
        <w:t>and net credit derivatives of £317</w:t>
      </w:r>
      <w:r w:rsidRPr="00491918">
        <w:rPr>
          <w:sz w:val="18"/>
        </w:rPr>
        <w:t xml:space="preserve">m were transferred from Level 2 to Level 3 following a reassessment of the significance of the unobservable inputs at 30 June 2013. </w:t>
      </w:r>
    </w:p>
    <w:p w:rsidR="000F04F8" w:rsidRPr="00491918" w:rsidRDefault="000F04F8" w:rsidP="0021631B">
      <w:pPr>
        <w:jc w:val="both"/>
        <w:rPr>
          <w:sz w:val="18"/>
        </w:rPr>
      </w:pPr>
    </w:p>
    <w:p w:rsidR="000F04F8" w:rsidRPr="00491918" w:rsidRDefault="000F04F8" w:rsidP="0021631B">
      <w:pPr>
        <w:jc w:val="both"/>
        <w:rPr>
          <w:sz w:val="18"/>
        </w:rPr>
      </w:pPr>
      <w:r w:rsidRPr="00491918">
        <w:rPr>
          <w:sz w:val="18"/>
        </w:rPr>
        <w:t>Transfers out of Level 3 totalled £768m.  Certain loans designated at fair value through profit or loss with a fair value of £547m and interest rate derivatives amounting to £153m were transferred from Level 3 to Level 2 following a reassessment of the significance of the unobservable inputs used in the valuation of the loans to their fair value at 30 June 2013.  Additionally, £207</w:t>
      </w:r>
      <w:r w:rsidR="0021631B" w:rsidRPr="00491918">
        <w:rPr>
          <w:sz w:val="18"/>
        </w:rPr>
        <w:t>m of Equity derivatives, £</w:t>
      </w:r>
      <w:r w:rsidRPr="00491918">
        <w:rPr>
          <w:sz w:val="18"/>
        </w:rPr>
        <w:t>114m of Issued debt and £118m of Asset backed securities held as trading portfolio assets were transferred out of Level 3 in line with observable market activity.</w:t>
      </w:r>
    </w:p>
    <w:p w:rsidR="000B3F05" w:rsidRPr="00491918" w:rsidRDefault="000B3F05" w:rsidP="000B3F05">
      <w:pPr>
        <w:rPr>
          <w:sz w:val="16"/>
        </w:rPr>
      </w:pPr>
    </w:p>
    <w:p w:rsidR="000B3F05" w:rsidRPr="00491918" w:rsidRDefault="000B3F05" w:rsidP="000B3F05">
      <w:pPr>
        <w:pStyle w:val="NoteandSourceText-BarcRA0"/>
        <w:numPr>
          <w:ilvl w:val="0"/>
          <w:numId w:val="0"/>
        </w:numPr>
        <w:ind w:left="720"/>
      </w:pPr>
    </w:p>
    <w:p w:rsidR="000B3F05" w:rsidRPr="00491918" w:rsidRDefault="000B3F05" w:rsidP="000B3F05">
      <w:pPr>
        <w:pStyle w:val="NoteandSourceText-BarcRA0"/>
        <w:numPr>
          <w:ilvl w:val="0"/>
          <w:numId w:val="0"/>
        </w:numPr>
        <w:ind w:left="720"/>
      </w:pPr>
    </w:p>
    <w:p w:rsidR="000B3F05" w:rsidRPr="00491918" w:rsidRDefault="000B3F05" w:rsidP="000B3F05">
      <w:pPr>
        <w:pStyle w:val="NoteandSourceText-BarcRA0"/>
        <w:numPr>
          <w:ilvl w:val="0"/>
          <w:numId w:val="0"/>
        </w:numPr>
        <w:ind w:left="720"/>
      </w:pPr>
    </w:p>
    <w:p w:rsidR="000B3F05" w:rsidRPr="00491918" w:rsidRDefault="000B3F05" w:rsidP="000B3F05">
      <w:pPr>
        <w:pStyle w:val="NoteandSourceText-BarcRA0"/>
        <w:numPr>
          <w:ilvl w:val="0"/>
          <w:numId w:val="0"/>
        </w:numPr>
        <w:ind w:left="720"/>
      </w:pPr>
    </w:p>
    <w:p w:rsidR="000B3F05" w:rsidRPr="00491918" w:rsidRDefault="000B3F05" w:rsidP="000B3F05">
      <w:pPr>
        <w:pStyle w:val="NoteandSourceText-BarcRA0"/>
        <w:numPr>
          <w:ilvl w:val="0"/>
          <w:numId w:val="0"/>
        </w:numPr>
        <w:ind w:left="720"/>
      </w:pPr>
    </w:p>
    <w:p w:rsidR="000B3F05" w:rsidRPr="00491918" w:rsidRDefault="000B3F05" w:rsidP="000B3F05">
      <w:pPr>
        <w:pStyle w:val="NoteandSourceText-BarcRA0"/>
        <w:numPr>
          <w:ilvl w:val="0"/>
          <w:numId w:val="0"/>
        </w:numPr>
        <w:ind w:left="720"/>
      </w:pPr>
    </w:p>
    <w:p w:rsidR="000B3F05" w:rsidRPr="00491918" w:rsidRDefault="000B3F05" w:rsidP="000B3F05">
      <w:pPr>
        <w:spacing w:line="14" w:lineRule="exact"/>
      </w:pPr>
      <w:r w:rsidRPr="00491918">
        <w:br w:type="page"/>
      </w:r>
    </w:p>
    <w:p w:rsidR="0007202F" w:rsidRPr="00491918" w:rsidRDefault="0007202F" w:rsidP="0007202F">
      <w:pPr>
        <w:pStyle w:val="HeadingLevel1-BarcRA49"/>
      </w:pPr>
      <w:r w:rsidRPr="00491918">
        <w:lastRenderedPageBreak/>
        <w:t>Financial Statement Notes</w:t>
      </w:r>
    </w:p>
    <w:p w:rsidR="000B3F05" w:rsidRPr="00491918" w:rsidRDefault="000B3F05" w:rsidP="008D6001">
      <w:pPr>
        <w:pStyle w:val="HeadingLevel2-BarcRA2"/>
        <w:outlineLvl w:val="0"/>
      </w:pPr>
      <w:r w:rsidRPr="00491918">
        <w:t>Gains and losses on Level 3 financial assets and liabilities</w:t>
      </w:r>
    </w:p>
    <w:p w:rsidR="000B3F05" w:rsidRPr="00491918" w:rsidRDefault="000B3F05" w:rsidP="000B3F05">
      <w:pPr>
        <w:pStyle w:val="BodyText-BarcRA6"/>
      </w:pPr>
      <w:r w:rsidRPr="00491918">
        <w:t>The following table discloses the gains and losses recognised in the year arising on Level 3 financial assets and liabilities held at the period end.</w:t>
      </w:r>
    </w:p>
    <w:p w:rsidR="000B3F05" w:rsidRPr="00491918" w:rsidRDefault="000B3F05" w:rsidP="000B3F05"/>
    <w:tbl>
      <w:tblPr>
        <w:tblW w:w="0" w:type="auto"/>
        <w:tblLayout w:type="fixed"/>
        <w:tblLook w:val="0000" w:firstRow="0" w:lastRow="0" w:firstColumn="0" w:lastColumn="0" w:noHBand="0" w:noVBand="0"/>
      </w:tblPr>
      <w:tblGrid>
        <w:gridCol w:w="4260"/>
        <w:gridCol w:w="675"/>
        <w:gridCol w:w="645"/>
        <w:gridCol w:w="645"/>
        <w:gridCol w:w="555"/>
        <w:gridCol w:w="225"/>
        <w:gridCol w:w="675"/>
        <w:gridCol w:w="645"/>
        <w:gridCol w:w="645"/>
        <w:gridCol w:w="645"/>
      </w:tblGrid>
      <w:tr w:rsidR="000B3F05" w:rsidRPr="00491918" w:rsidTr="00F92E6D">
        <w:trPr>
          <w:trHeight w:val="225"/>
        </w:trPr>
        <w:tc>
          <w:tcPr>
            <w:tcW w:w="7680" w:type="dxa"/>
            <w:gridSpan w:val="7"/>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r w:rsidRPr="00491918">
              <w:rPr>
                <w:b/>
                <w:color w:val="000000"/>
                <w:sz w:val="16"/>
              </w:rPr>
              <w:t>Gains and losses recognised during the period on Level 3 financial assets and liabilities held at period end</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r w:rsidRPr="00491918">
              <w:rPr>
                <w:b/>
                <w:color w:val="000000"/>
                <w:sz w:val="16"/>
                <w:vertAlign w:val="superscript"/>
              </w:rPr>
              <w:t xml:space="preserve"> </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vertAlign w:val="superscript"/>
              </w:rPr>
            </w:pPr>
            <w:r w:rsidRPr="00491918">
              <w:rPr>
                <w:b/>
                <w:color w:val="000000"/>
                <w:sz w:val="16"/>
              </w:rPr>
              <w:t xml:space="preserve"> </w:t>
            </w:r>
          </w:p>
        </w:tc>
      </w:tr>
      <w:tr w:rsidR="000B3F05" w:rsidRPr="00491918" w:rsidTr="00F92E6D">
        <w:trPr>
          <w:trHeight w:val="225"/>
        </w:trPr>
        <w:tc>
          <w:tcPr>
            <w:tcW w:w="426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965" w:type="dxa"/>
            <w:gridSpan w:val="3"/>
            <w:tcBorders>
              <w:top w:val="single" w:sz="6" w:space="0" w:color="A5A5A5"/>
              <w:left w:val="nil"/>
              <w:bottom w:val="single" w:sz="6" w:space="0" w:color="BFBFBF"/>
              <w:right w:val="nil"/>
            </w:tcBorders>
            <w:shd w:val="clear" w:color="auto" w:fill="FFFFFF"/>
            <w:tcMar>
              <w:left w:w="36" w:type="dxa"/>
              <w:right w:w="36" w:type="dxa"/>
            </w:tcMar>
            <w:vAlign w:val="bottom"/>
          </w:tcPr>
          <w:p w:rsidR="000B3F05" w:rsidRPr="00491918" w:rsidRDefault="000B3F05" w:rsidP="000B3F05">
            <w:pPr>
              <w:jc w:val="center"/>
              <w:rPr>
                <w:color w:val="000000"/>
                <w:sz w:val="16"/>
              </w:rPr>
            </w:pPr>
            <w:r w:rsidRPr="00491918">
              <w:rPr>
                <w:b/>
                <w:color w:val="000000"/>
                <w:sz w:val="16"/>
              </w:rPr>
              <w:t>As at 30.06.13</w:t>
            </w:r>
          </w:p>
        </w:tc>
        <w:tc>
          <w:tcPr>
            <w:tcW w:w="555" w:type="dxa"/>
            <w:tcBorders>
              <w:top w:val="single" w:sz="6" w:space="0" w:color="A5A5A5"/>
              <w:left w:val="nil"/>
              <w:bottom w:val="single" w:sz="6" w:space="0" w:color="BFBFBF"/>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 xml:space="preserve"> </w:t>
            </w:r>
          </w:p>
        </w:tc>
        <w:tc>
          <w:tcPr>
            <w:tcW w:w="22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 xml:space="preserve"> </w:t>
            </w:r>
          </w:p>
        </w:tc>
        <w:tc>
          <w:tcPr>
            <w:tcW w:w="1965" w:type="dxa"/>
            <w:gridSpan w:val="3"/>
            <w:tcBorders>
              <w:top w:val="single" w:sz="6" w:space="0" w:color="A5A5A5"/>
              <w:left w:val="nil"/>
              <w:bottom w:val="single" w:sz="6" w:space="0" w:color="BFBFBF"/>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As at 31.12.12</w:t>
            </w:r>
            <w:r w:rsidRPr="00491918">
              <w:rPr>
                <w:b/>
                <w:color w:val="000000"/>
                <w:sz w:val="16"/>
                <w:vertAlign w:val="superscript"/>
              </w:rPr>
              <w:t>1 </w:t>
            </w:r>
          </w:p>
        </w:tc>
        <w:tc>
          <w:tcPr>
            <w:tcW w:w="645" w:type="dxa"/>
            <w:tcBorders>
              <w:top w:val="single" w:sz="6" w:space="0" w:color="A5A5A5"/>
              <w:left w:val="nil"/>
              <w:bottom w:val="single" w:sz="6" w:space="0" w:color="BFBFBF"/>
              <w:right w:val="nil"/>
            </w:tcBorders>
            <w:shd w:val="clear" w:color="auto" w:fill="FFFFFF"/>
            <w:tcMar>
              <w:left w:w="36" w:type="dxa"/>
              <w:right w:w="36" w:type="dxa"/>
            </w:tcMar>
            <w:vAlign w:val="bottom"/>
          </w:tcPr>
          <w:p w:rsidR="000B3F05" w:rsidRPr="00491918" w:rsidRDefault="000B3F05" w:rsidP="000B3F05">
            <w:pPr>
              <w:jc w:val="center"/>
              <w:rPr>
                <w:b/>
                <w:color w:val="000000"/>
                <w:sz w:val="16"/>
                <w:vertAlign w:val="superscript"/>
              </w:rPr>
            </w:pPr>
            <w:r w:rsidRPr="00491918">
              <w:rPr>
                <w:b/>
                <w:color w:val="000000"/>
                <w:sz w:val="16"/>
              </w:rPr>
              <w:t xml:space="preserve"> </w:t>
            </w:r>
          </w:p>
        </w:tc>
      </w:tr>
      <w:tr w:rsidR="000B3F05" w:rsidRPr="00491918" w:rsidTr="00F92E6D">
        <w:trPr>
          <w:trHeight w:val="225"/>
        </w:trPr>
        <w:tc>
          <w:tcPr>
            <w:tcW w:w="42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320" w:type="dxa"/>
            <w:gridSpan w:val="2"/>
            <w:tcBorders>
              <w:top w:val="single" w:sz="6" w:space="0" w:color="BFBFBF"/>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color w:val="000000"/>
                <w:sz w:val="16"/>
              </w:rPr>
            </w:pPr>
            <w:r w:rsidRPr="00491918">
              <w:rPr>
                <w:b/>
                <w:color w:val="000000"/>
                <w:sz w:val="16"/>
              </w:rPr>
              <w:t>Income statement</w:t>
            </w:r>
          </w:p>
        </w:tc>
        <w:tc>
          <w:tcPr>
            <w:tcW w:w="645" w:type="dxa"/>
            <w:vMerge w:val="restart"/>
            <w:tcBorders>
              <w:top w:val="single" w:sz="6" w:space="0" w:color="BFBFBF"/>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Other compre hensive income</w:t>
            </w:r>
          </w:p>
        </w:tc>
        <w:tc>
          <w:tcPr>
            <w:tcW w:w="555" w:type="dxa"/>
            <w:vMerge w:val="restart"/>
            <w:tcBorders>
              <w:top w:val="single" w:sz="6" w:space="0" w:color="BFBFBF"/>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Total</w:t>
            </w:r>
          </w:p>
        </w:tc>
        <w:tc>
          <w:tcPr>
            <w:tcW w:w="22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jc w:val="center"/>
              <w:rPr>
                <w:b/>
                <w:color w:val="000000"/>
                <w:sz w:val="16"/>
              </w:rPr>
            </w:pPr>
            <w:r w:rsidRPr="00491918">
              <w:rPr>
                <w:b/>
                <w:color w:val="000000"/>
                <w:sz w:val="16"/>
              </w:rPr>
              <w:t xml:space="preserve"> </w:t>
            </w:r>
          </w:p>
        </w:tc>
        <w:tc>
          <w:tcPr>
            <w:tcW w:w="1320" w:type="dxa"/>
            <w:gridSpan w:val="2"/>
            <w:tcBorders>
              <w:top w:val="single" w:sz="6" w:space="0" w:color="BFBFBF"/>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Income statement</w:t>
            </w:r>
          </w:p>
        </w:tc>
        <w:tc>
          <w:tcPr>
            <w:tcW w:w="645" w:type="dxa"/>
            <w:vMerge w:val="restart"/>
            <w:tcBorders>
              <w:top w:val="single" w:sz="6" w:space="0" w:color="BFBFBF"/>
              <w:left w:val="nil"/>
              <w:bottom w:val="nil"/>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Other compre hensive income</w:t>
            </w:r>
            <w:r w:rsidRPr="00491918">
              <w:rPr>
                <w:b/>
                <w:color w:val="000000"/>
                <w:sz w:val="16"/>
                <w:vertAlign w:val="superscript"/>
              </w:rPr>
              <w:t xml:space="preserve"> </w:t>
            </w:r>
          </w:p>
        </w:tc>
        <w:tc>
          <w:tcPr>
            <w:tcW w:w="645" w:type="dxa"/>
            <w:vMerge w:val="restart"/>
            <w:tcBorders>
              <w:top w:val="single" w:sz="6" w:space="0" w:color="BFBFB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vertAlign w:val="superscript"/>
              </w:rPr>
            </w:pPr>
            <w:r w:rsidRPr="00491918">
              <w:rPr>
                <w:b/>
                <w:color w:val="000000"/>
                <w:sz w:val="16"/>
              </w:rPr>
              <w:t>Total</w:t>
            </w:r>
          </w:p>
        </w:tc>
      </w:tr>
      <w:tr w:rsidR="000B3F05" w:rsidRPr="00491918" w:rsidTr="000B3F05">
        <w:trPr>
          <w:trHeight w:val="810"/>
        </w:trPr>
        <w:tc>
          <w:tcPr>
            <w:tcW w:w="42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67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Trading income</w:t>
            </w:r>
          </w:p>
        </w:tc>
        <w:tc>
          <w:tcPr>
            <w:tcW w:w="64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Other income</w:t>
            </w:r>
          </w:p>
        </w:tc>
        <w:tc>
          <w:tcPr>
            <w:tcW w:w="645"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p>
        </w:tc>
        <w:tc>
          <w:tcPr>
            <w:tcW w:w="555"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p>
        </w:tc>
        <w:tc>
          <w:tcPr>
            <w:tcW w:w="225" w:type="dxa"/>
            <w:tcBorders>
              <w:top w:val="nil"/>
              <w:left w:val="nil"/>
              <w:bottom w:val="nil"/>
              <w:right w:val="nil"/>
            </w:tcBorders>
            <w:shd w:val="clear" w:color="auto" w:fill="FFFFFF"/>
            <w:tcMar>
              <w:left w:w="36" w:type="dxa"/>
              <w:right w:w="36" w:type="dxa"/>
            </w:tcMar>
            <w:vAlign w:val="center"/>
          </w:tcPr>
          <w:p w:rsidR="000B3F05" w:rsidRPr="00491918" w:rsidRDefault="000B3F05" w:rsidP="000B3F05">
            <w:pPr>
              <w:jc w:val="center"/>
              <w:rPr>
                <w:b/>
                <w:color w:val="000000"/>
                <w:sz w:val="16"/>
              </w:rPr>
            </w:pPr>
            <w:r w:rsidRPr="00491918">
              <w:rPr>
                <w:b/>
                <w:color w:val="000000"/>
                <w:sz w:val="16"/>
              </w:rPr>
              <w:t xml:space="preserve"> </w:t>
            </w:r>
          </w:p>
        </w:tc>
        <w:tc>
          <w:tcPr>
            <w:tcW w:w="67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Trading income</w:t>
            </w:r>
          </w:p>
        </w:tc>
        <w:tc>
          <w:tcPr>
            <w:tcW w:w="64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Other income</w:t>
            </w:r>
          </w:p>
        </w:tc>
        <w:tc>
          <w:tcPr>
            <w:tcW w:w="645"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p>
        </w:tc>
        <w:tc>
          <w:tcPr>
            <w:tcW w:w="645" w:type="dxa"/>
            <w:vMerge/>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p>
        </w:tc>
      </w:tr>
      <w:tr w:rsidR="000B3F05" w:rsidRPr="00491918" w:rsidTr="000B3F05">
        <w:trPr>
          <w:trHeight w:val="225"/>
        </w:trPr>
        <w:tc>
          <w:tcPr>
            <w:tcW w:w="426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67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£m</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55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2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w:t>
            </w:r>
          </w:p>
        </w:tc>
        <w:tc>
          <w:tcPr>
            <w:tcW w:w="67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r w:rsidRPr="00491918">
              <w:rPr>
                <w:b/>
                <w:color w:val="000000"/>
                <w:sz w:val="16"/>
                <w:vertAlign w:val="superscript"/>
              </w:rPr>
              <w:t xml:space="preserve"> </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vertAlign w:val="superscript"/>
              </w:rPr>
            </w:pPr>
            <w:r w:rsidRPr="00491918">
              <w:rPr>
                <w:b/>
                <w:color w:val="000000"/>
                <w:sz w:val="16"/>
              </w:rPr>
              <w:t>£m</w:t>
            </w:r>
          </w:p>
        </w:tc>
      </w:tr>
      <w:tr w:rsidR="000B3F05" w:rsidRPr="00491918" w:rsidTr="00F92E6D">
        <w:trPr>
          <w:trHeight w:val="225"/>
        </w:trPr>
        <w:tc>
          <w:tcPr>
            <w:tcW w:w="4260" w:type="dxa"/>
            <w:tcBorders>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Trading portfolio assets</w:t>
            </w:r>
          </w:p>
        </w:tc>
        <w:tc>
          <w:tcPr>
            <w:tcW w:w="675"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593 </w:t>
            </w:r>
          </w:p>
        </w:tc>
        <w:tc>
          <w:tcPr>
            <w:tcW w:w="645"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645"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555" w:type="dxa"/>
            <w:tcBorders>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593 </w:t>
            </w:r>
          </w:p>
        </w:tc>
        <w:tc>
          <w:tcPr>
            <w:tcW w:w="225" w:type="dxa"/>
            <w:tcBorders>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 </w:t>
            </w:r>
          </w:p>
        </w:tc>
        <w:tc>
          <w:tcPr>
            <w:tcW w:w="675" w:type="dxa"/>
            <w:tcBorders>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(36)</w:t>
            </w:r>
          </w:p>
        </w:tc>
        <w:tc>
          <w:tcPr>
            <w:tcW w:w="645" w:type="dxa"/>
            <w:tcBorders>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w:t>
            </w:r>
          </w:p>
        </w:tc>
        <w:tc>
          <w:tcPr>
            <w:tcW w:w="645" w:type="dxa"/>
            <w:tcBorders>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w:t>
            </w:r>
            <w:r w:rsidRPr="00491918">
              <w:rPr>
                <w:color w:val="000000"/>
                <w:sz w:val="16"/>
                <w:vertAlign w:val="superscript"/>
              </w:rPr>
              <w:t xml:space="preserve"> </w:t>
            </w:r>
          </w:p>
        </w:tc>
        <w:tc>
          <w:tcPr>
            <w:tcW w:w="645" w:type="dxa"/>
            <w:tcBorders>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color w:val="000000"/>
                <w:sz w:val="16"/>
              </w:rPr>
              <w:t>(43)</w:t>
            </w:r>
          </w:p>
        </w:tc>
      </w:tr>
      <w:tr w:rsidR="000B3F05" w:rsidRPr="00491918" w:rsidTr="000B3F05">
        <w:trPr>
          <w:trHeight w:val="225"/>
        </w:trPr>
        <w:tc>
          <w:tcPr>
            <w:tcW w:w="42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Financial assets designated at fair value</w:t>
            </w:r>
          </w:p>
        </w:tc>
        <w:tc>
          <w:tcPr>
            <w:tcW w:w="67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12 </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48 </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55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60 </w:t>
            </w:r>
          </w:p>
        </w:tc>
        <w:tc>
          <w:tcPr>
            <w:tcW w:w="2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 </w:t>
            </w:r>
          </w:p>
        </w:tc>
        <w:tc>
          <w:tcPr>
            <w:tcW w:w="67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(174)</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r w:rsidRPr="00491918">
              <w:rPr>
                <w:color w:val="000000"/>
                <w:sz w:val="16"/>
                <w:vertAlign w:val="superscript"/>
              </w:rPr>
              <w:t xml:space="preserve">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color w:val="000000"/>
                <w:sz w:val="16"/>
              </w:rPr>
              <w:t>(168)</w:t>
            </w:r>
          </w:p>
        </w:tc>
      </w:tr>
      <w:tr w:rsidR="000B3F05" w:rsidRPr="00491918" w:rsidTr="000B3F05">
        <w:trPr>
          <w:trHeight w:val="225"/>
        </w:trPr>
        <w:tc>
          <w:tcPr>
            <w:tcW w:w="42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Available for sale assets</w:t>
            </w:r>
          </w:p>
        </w:tc>
        <w:tc>
          <w:tcPr>
            <w:tcW w:w="67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381 </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15 </w:t>
            </w:r>
          </w:p>
        </w:tc>
        <w:tc>
          <w:tcPr>
            <w:tcW w:w="55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396 </w:t>
            </w:r>
          </w:p>
        </w:tc>
        <w:tc>
          <w:tcPr>
            <w:tcW w:w="2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 </w:t>
            </w:r>
          </w:p>
        </w:tc>
        <w:tc>
          <w:tcPr>
            <w:tcW w:w="67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(11)</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67 </w:t>
            </w:r>
            <w:r w:rsidRPr="00491918">
              <w:rPr>
                <w:color w:val="000000"/>
                <w:sz w:val="16"/>
                <w:vertAlign w:val="superscript"/>
              </w:rPr>
              <w:t xml:space="preserve">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color w:val="000000"/>
                <w:sz w:val="16"/>
              </w:rPr>
              <w:t>53 </w:t>
            </w:r>
          </w:p>
        </w:tc>
      </w:tr>
      <w:tr w:rsidR="000B3F05" w:rsidRPr="00491918" w:rsidTr="000B3F05">
        <w:trPr>
          <w:trHeight w:val="225"/>
        </w:trPr>
        <w:tc>
          <w:tcPr>
            <w:tcW w:w="42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Trading portfolio liabilities</w:t>
            </w:r>
          </w:p>
        </w:tc>
        <w:tc>
          <w:tcPr>
            <w:tcW w:w="67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55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(1)</w:t>
            </w:r>
          </w:p>
        </w:tc>
        <w:tc>
          <w:tcPr>
            <w:tcW w:w="2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 </w:t>
            </w:r>
          </w:p>
        </w:tc>
        <w:tc>
          <w:tcPr>
            <w:tcW w:w="67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r w:rsidRPr="00491918">
              <w:rPr>
                <w:color w:val="000000"/>
                <w:sz w:val="16"/>
                <w:vertAlign w:val="superscript"/>
              </w:rPr>
              <w:t xml:space="preserve">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color w:val="000000"/>
                <w:sz w:val="16"/>
              </w:rPr>
              <w:t>(1)</w:t>
            </w:r>
          </w:p>
        </w:tc>
      </w:tr>
      <w:tr w:rsidR="000B3F05" w:rsidRPr="00491918" w:rsidTr="000B3F05">
        <w:trPr>
          <w:trHeight w:val="225"/>
        </w:trPr>
        <w:tc>
          <w:tcPr>
            <w:tcW w:w="426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Financial liabilities designated at fair value</w:t>
            </w:r>
          </w:p>
        </w:tc>
        <w:tc>
          <w:tcPr>
            <w:tcW w:w="67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28 </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64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55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28 </w:t>
            </w:r>
          </w:p>
        </w:tc>
        <w:tc>
          <w:tcPr>
            <w:tcW w:w="2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 </w:t>
            </w:r>
          </w:p>
        </w:tc>
        <w:tc>
          <w:tcPr>
            <w:tcW w:w="67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33 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55 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r w:rsidRPr="00491918">
              <w:rPr>
                <w:color w:val="000000"/>
                <w:sz w:val="16"/>
                <w:vertAlign w:val="superscript"/>
              </w:rPr>
              <w:t xml:space="preserve"> </w:t>
            </w:r>
          </w:p>
        </w:tc>
        <w:tc>
          <w:tcPr>
            <w:tcW w:w="64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color w:val="000000"/>
                <w:sz w:val="16"/>
              </w:rPr>
              <w:t>88 </w:t>
            </w:r>
          </w:p>
        </w:tc>
      </w:tr>
      <w:tr w:rsidR="000B3F05" w:rsidRPr="00491918" w:rsidTr="000B3F05">
        <w:trPr>
          <w:trHeight w:val="225"/>
        </w:trPr>
        <w:tc>
          <w:tcPr>
            <w:tcW w:w="426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Net derivative financial instruments </w:t>
            </w:r>
          </w:p>
        </w:tc>
        <w:tc>
          <w:tcPr>
            <w:tcW w:w="675" w:type="dxa"/>
            <w:tcBorders>
              <w:top w:val="nil"/>
              <w:left w:val="nil"/>
              <w:bottom w:val="single" w:sz="6" w:space="0" w:color="B2B2B2"/>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(193)</w:t>
            </w:r>
          </w:p>
        </w:tc>
        <w:tc>
          <w:tcPr>
            <w:tcW w:w="645" w:type="dxa"/>
            <w:tcBorders>
              <w:top w:val="nil"/>
              <w:left w:val="nil"/>
              <w:bottom w:val="single" w:sz="6" w:space="0" w:color="B2B2B2"/>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(34)</w:t>
            </w:r>
          </w:p>
        </w:tc>
        <w:tc>
          <w:tcPr>
            <w:tcW w:w="645" w:type="dxa"/>
            <w:tcBorders>
              <w:top w:val="nil"/>
              <w:left w:val="nil"/>
              <w:bottom w:val="single" w:sz="6" w:space="0" w:color="B2B2B2"/>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555" w:type="dxa"/>
            <w:tcBorders>
              <w:top w:val="nil"/>
              <w:left w:val="nil"/>
              <w:bottom w:val="single" w:sz="6" w:space="0" w:color="B2B2B2"/>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(227)</w:t>
            </w:r>
          </w:p>
        </w:tc>
        <w:tc>
          <w:tcPr>
            <w:tcW w:w="2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 </w:t>
            </w:r>
          </w:p>
        </w:tc>
        <w:tc>
          <w:tcPr>
            <w:tcW w:w="67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(1,747)</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(61)</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r w:rsidRPr="00491918">
              <w:rPr>
                <w:color w:val="000000"/>
                <w:sz w:val="16"/>
                <w:vertAlign w:val="superscript"/>
              </w:rPr>
              <w:t xml:space="preserve"> </w:t>
            </w:r>
          </w:p>
        </w:tc>
        <w:tc>
          <w:tcPr>
            <w:tcW w:w="64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color w:val="000000"/>
                <w:sz w:val="16"/>
              </w:rPr>
              <w:t>(1,808)</w:t>
            </w:r>
          </w:p>
        </w:tc>
      </w:tr>
      <w:tr w:rsidR="000B3F05" w:rsidRPr="00491918" w:rsidTr="000B3F05">
        <w:trPr>
          <w:trHeight w:val="225"/>
        </w:trPr>
        <w:tc>
          <w:tcPr>
            <w:tcW w:w="426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Total</w:t>
            </w:r>
          </w:p>
        </w:tc>
        <w:tc>
          <w:tcPr>
            <w:tcW w:w="675" w:type="dxa"/>
            <w:tcBorders>
              <w:top w:val="single" w:sz="6" w:space="0" w:color="B2B2B2"/>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439 </w:t>
            </w:r>
          </w:p>
        </w:tc>
        <w:tc>
          <w:tcPr>
            <w:tcW w:w="645" w:type="dxa"/>
            <w:tcBorders>
              <w:top w:val="single" w:sz="6" w:space="0" w:color="B2B2B2"/>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395 </w:t>
            </w:r>
          </w:p>
        </w:tc>
        <w:tc>
          <w:tcPr>
            <w:tcW w:w="645" w:type="dxa"/>
            <w:tcBorders>
              <w:top w:val="single" w:sz="6" w:space="0" w:color="B2B2B2"/>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15 </w:t>
            </w:r>
          </w:p>
        </w:tc>
        <w:tc>
          <w:tcPr>
            <w:tcW w:w="555" w:type="dxa"/>
            <w:tcBorders>
              <w:top w:val="single" w:sz="6" w:space="0" w:color="B2B2B2"/>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849 </w:t>
            </w:r>
          </w:p>
        </w:tc>
        <w:tc>
          <w:tcPr>
            <w:tcW w:w="2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 </w:t>
            </w:r>
          </w:p>
        </w:tc>
        <w:tc>
          <w:tcPr>
            <w:tcW w:w="67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(1,928)</w:t>
            </w:r>
          </w:p>
        </w:tc>
        <w:tc>
          <w:tcPr>
            <w:tcW w:w="64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(18)</w:t>
            </w:r>
          </w:p>
        </w:tc>
        <w:tc>
          <w:tcPr>
            <w:tcW w:w="64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67 </w:t>
            </w:r>
            <w:r w:rsidRPr="00491918">
              <w:rPr>
                <w:color w:val="000000"/>
                <w:sz w:val="16"/>
                <w:vertAlign w:val="superscript"/>
              </w:rPr>
              <w:t xml:space="preserve"> </w:t>
            </w:r>
          </w:p>
        </w:tc>
        <w:tc>
          <w:tcPr>
            <w:tcW w:w="64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vertAlign w:val="superscript"/>
              </w:rPr>
            </w:pPr>
            <w:r w:rsidRPr="00491918">
              <w:rPr>
                <w:color w:val="000000"/>
                <w:sz w:val="16"/>
              </w:rPr>
              <w:t>(1,879)</w:t>
            </w:r>
          </w:p>
        </w:tc>
      </w:tr>
    </w:tbl>
    <w:p w:rsidR="000B3F05" w:rsidRPr="00491918" w:rsidRDefault="000B3F05" w:rsidP="000B3F05"/>
    <w:p w:rsidR="000B3F05" w:rsidRPr="00491918" w:rsidRDefault="000B3F05" w:rsidP="008D6001">
      <w:pPr>
        <w:pStyle w:val="HeadingLevel2-BarcRA3"/>
        <w:outlineLvl w:val="0"/>
        <w:rPr>
          <w:lang w:val="en-GB"/>
        </w:rPr>
      </w:pPr>
      <w:r w:rsidRPr="00491918">
        <w:t>Valuation techniques and sensitivity analysis</w:t>
      </w:r>
    </w:p>
    <w:p w:rsidR="000B3F05" w:rsidRPr="00491918" w:rsidRDefault="000B3F05" w:rsidP="000B3F05">
      <w:pPr>
        <w:pStyle w:val="Normal9"/>
        <w:rPr>
          <w:szCs w:val="20"/>
        </w:rPr>
      </w:pPr>
    </w:p>
    <w:p w:rsidR="000B3F05" w:rsidRPr="00491918" w:rsidRDefault="000B3F05" w:rsidP="0021631B">
      <w:pPr>
        <w:pStyle w:val="Normal9"/>
        <w:jc w:val="both"/>
        <w:rPr>
          <w:color w:val="1F497D"/>
          <w:szCs w:val="18"/>
        </w:rPr>
      </w:pPr>
      <w:r w:rsidRPr="00491918">
        <w:rPr>
          <w:szCs w:val="18"/>
        </w:rPr>
        <w:t>Current year valuation methodologies were consistent with those described within the 2012 Annual Report, however product categories disclosed have been amended in order to present a level of detail that is more appropriate to disclosure requirements under IFRS 13. Product types that previously included both derivative and non-derivative products have now been split. For example, ‘Equity products’ has been split into ‘Equity derivatives’ and ‘</w:t>
      </w:r>
      <w:r w:rsidRPr="00491918">
        <w:rPr>
          <w:color w:val="000000"/>
          <w:szCs w:val="18"/>
        </w:rPr>
        <w:t>Equity cash products</w:t>
      </w:r>
      <w:r w:rsidR="00CB7479" w:rsidRPr="00491918">
        <w:rPr>
          <w:color w:val="000000"/>
          <w:szCs w:val="18"/>
        </w:rPr>
        <w:t>’</w:t>
      </w:r>
      <w:r w:rsidRPr="00491918">
        <w:rPr>
          <w:color w:val="000000"/>
          <w:szCs w:val="18"/>
        </w:rPr>
        <w:t>.  ‘Non</w:t>
      </w:r>
      <w:r w:rsidRPr="00491918">
        <w:rPr>
          <w:szCs w:val="18"/>
        </w:rPr>
        <w:t>-asset backed debt instruments’ have been split into ‘Government and government sponsored debt’, ‘Corporate debt’, ‘Certificates of deposit, commercial paper and other money market instruments’ and ‘Issued debt’.  ‘Non asset backed loans’ were previously disclosed as part of the product type ‘Other’.</w:t>
      </w:r>
    </w:p>
    <w:p w:rsidR="000B3F05" w:rsidRPr="00491918" w:rsidRDefault="000B3F05" w:rsidP="0021631B">
      <w:pPr>
        <w:pStyle w:val="BodyText-BarcRA7"/>
      </w:pPr>
      <w:r w:rsidRPr="00491918">
        <w:t xml:space="preserve">Sensitivity analysis is performed on products with significant unobservable parameters (Level 3) to generate a range of reasonably possible alternative valuations. The sensitivity methodologies applied take account of the nature of valuation techniques used, as well as the availability and reliability of observable proxy and historical data and the impact of using alternative models. Sensitivities are calculated without reflecting the impact of any diversification in the portfolio. </w:t>
      </w:r>
    </w:p>
    <w:p w:rsidR="000B3F05" w:rsidRPr="00491918" w:rsidRDefault="000B3F05" w:rsidP="0021631B">
      <w:pPr>
        <w:pStyle w:val="BodyText-BarcRA7"/>
      </w:pPr>
      <w:r w:rsidRPr="00491918">
        <w:t xml:space="preserve">Sensitivities are dynamically calculated on a monthly basis. The calculation is based on a range, standard deviation or spread data of a reliable reference source or a scenario based on alternative market views alongside the impact of using alternative models. The level of shift or scenarios applied is considered for each product and varied according to the quality of the data and variability of underlying market. Sensitivity to using alternative models is quantified through scenario analysis and proxy approaches. </w:t>
      </w:r>
    </w:p>
    <w:p w:rsidR="000B3F05" w:rsidRPr="00491918" w:rsidRDefault="000B3F05" w:rsidP="000B3F05">
      <w:pPr>
        <w:pStyle w:val="BodyText-BarcRA7"/>
      </w:pPr>
    </w:p>
    <w:p w:rsidR="000B3F05" w:rsidRPr="00491918" w:rsidRDefault="000B3F05" w:rsidP="000B3F05">
      <w:pPr>
        <w:pStyle w:val="BodyText-BarcRA7"/>
      </w:pPr>
    </w:p>
    <w:p w:rsidR="000B3F05" w:rsidRPr="00491918" w:rsidRDefault="000B3F05" w:rsidP="000B3F05">
      <w:pPr>
        <w:pStyle w:val="BodyText-BarcRA7"/>
      </w:pPr>
    </w:p>
    <w:p w:rsidR="000B3F05" w:rsidRPr="00491918" w:rsidRDefault="000B3F05" w:rsidP="000B3F05">
      <w:pPr>
        <w:pStyle w:val="BodyText-BarcRA7"/>
      </w:pPr>
    </w:p>
    <w:p w:rsidR="000B3F05" w:rsidRPr="00491918" w:rsidRDefault="000B3F05" w:rsidP="000B3F05">
      <w:pPr>
        <w:pStyle w:val="BodyText-BarcRA7"/>
      </w:pPr>
    </w:p>
    <w:p w:rsidR="000B3F05" w:rsidRPr="00491918" w:rsidRDefault="000B3F05" w:rsidP="000B3F05">
      <w:pPr>
        <w:pStyle w:val="BodyText-BarcRA7"/>
      </w:pPr>
    </w:p>
    <w:p w:rsidR="000B3F05" w:rsidRPr="00491918" w:rsidRDefault="000B3F05" w:rsidP="000B3F05">
      <w:pPr>
        <w:pStyle w:val="BodyText-BarcRA7"/>
      </w:pPr>
    </w:p>
    <w:p w:rsidR="000B3F05" w:rsidRPr="00491918" w:rsidRDefault="000B3F05" w:rsidP="000B3F05">
      <w:pPr>
        <w:pStyle w:val="BodyText-BarcRA7"/>
      </w:pPr>
    </w:p>
    <w:p w:rsidR="000B3F05" w:rsidRPr="00491918" w:rsidRDefault="000B3F05" w:rsidP="00BC07B1">
      <w:pPr>
        <w:pStyle w:val="BodyText-BarcRA7"/>
        <w:spacing w:after="0"/>
      </w:pPr>
    </w:p>
    <w:p w:rsidR="00BC07B1" w:rsidRPr="00491918" w:rsidRDefault="00BC07B1" w:rsidP="00BC07B1">
      <w:pPr>
        <w:pStyle w:val="BodyText-BarcRA7"/>
        <w:spacing w:after="0"/>
      </w:pPr>
    </w:p>
    <w:p w:rsidR="000B3F05" w:rsidRPr="00491918" w:rsidRDefault="000B3F05" w:rsidP="00CC41A9">
      <w:pPr>
        <w:pStyle w:val="NoteandSourceText-BarcRA100"/>
        <w:numPr>
          <w:ilvl w:val="0"/>
          <w:numId w:val="243"/>
        </w:numPr>
        <w:spacing w:before="0" w:after="0"/>
        <w:ind w:left="284" w:hanging="284"/>
      </w:pPr>
      <w:r w:rsidRPr="00491918">
        <w:t>Gains and losses recognised on level 3 financial assets and liabilities are those for the year ended 31 December 2012.</w:t>
      </w:r>
    </w:p>
    <w:p w:rsidR="0007202F" w:rsidRPr="00491918" w:rsidRDefault="0007202F" w:rsidP="0007202F">
      <w:pPr>
        <w:pStyle w:val="NoteandSourceText-BarcRA100"/>
        <w:numPr>
          <w:ilvl w:val="0"/>
          <w:numId w:val="0"/>
        </w:numPr>
        <w:spacing w:before="0" w:after="0"/>
        <w:ind w:left="284" w:hanging="284"/>
      </w:pPr>
    </w:p>
    <w:p w:rsidR="0007202F" w:rsidRPr="00491918" w:rsidRDefault="0007202F" w:rsidP="0007202F">
      <w:pPr>
        <w:pStyle w:val="HeadingLevel1-BarcRA49"/>
        <w:rPr>
          <w:lang w:val="en-GB"/>
        </w:rPr>
      </w:pPr>
    </w:p>
    <w:p w:rsidR="0007202F" w:rsidRPr="00491918" w:rsidRDefault="0007202F" w:rsidP="0007202F">
      <w:pPr>
        <w:pStyle w:val="HeadingLevel1-BarcRA49"/>
        <w:rPr>
          <w:lang w:val="en-GB"/>
        </w:rPr>
      </w:pPr>
    </w:p>
    <w:p w:rsidR="000B3F05" w:rsidRPr="00491918" w:rsidRDefault="0007202F" w:rsidP="0007202F">
      <w:pPr>
        <w:pStyle w:val="HeadingLevel1-BarcRA49"/>
      </w:pPr>
      <w:r w:rsidRPr="00491918">
        <w:t>Financial Statement Notes</w:t>
      </w:r>
    </w:p>
    <w:tbl>
      <w:tblPr>
        <w:tblW w:w="0" w:type="auto"/>
        <w:tblLayout w:type="fixed"/>
        <w:tblLook w:val="0000" w:firstRow="0" w:lastRow="0" w:firstColumn="0" w:lastColumn="0" w:noHBand="0" w:noVBand="0"/>
      </w:tblPr>
      <w:tblGrid>
        <w:gridCol w:w="2610"/>
        <w:gridCol w:w="1125"/>
        <w:gridCol w:w="1125"/>
        <w:gridCol w:w="1125"/>
        <w:gridCol w:w="1125"/>
        <w:gridCol w:w="1125"/>
        <w:gridCol w:w="1125"/>
      </w:tblGrid>
      <w:tr w:rsidR="000B3F05" w:rsidRPr="00491918" w:rsidTr="00EB48CB">
        <w:trPr>
          <w:trHeight w:val="225"/>
        </w:trPr>
        <w:tc>
          <w:tcPr>
            <w:tcW w:w="9360" w:type="dxa"/>
            <w:gridSpan w:val="7"/>
            <w:tcBorders>
              <w:top w:val="nil"/>
              <w:left w:val="nil"/>
              <w:bottom w:val="nil"/>
              <w:right w:val="nil"/>
            </w:tcBorders>
            <w:shd w:val="clear" w:color="auto" w:fill="FFFFFF"/>
            <w:tcMar>
              <w:left w:w="36" w:type="dxa"/>
              <w:right w:w="36" w:type="dxa"/>
            </w:tcMar>
            <w:vAlign w:val="bottom"/>
          </w:tcPr>
          <w:p w:rsidR="000B3F05" w:rsidRPr="00491918" w:rsidRDefault="000B3F05" w:rsidP="000B3F05">
            <w:r w:rsidRPr="00491918">
              <w:rPr>
                <w:b/>
                <w:color w:val="000000"/>
                <w:sz w:val="20"/>
              </w:rPr>
              <w:t>Sensitivity analysis of valuations using unobservable inputs</w:t>
            </w:r>
          </w:p>
        </w:tc>
      </w:tr>
      <w:tr w:rsidR="000B3F05" w:rsidRPr="00491918" w:rsidTr="00EB48CB">
        <w:trPr>
          <w:trHeight w:val="255"/>
        </w:trPr>
        <w:tc>
          <w:tcPr>
            <w:tcW w:w="2610" w:type="dxa"/>
            <w:tcBorders>
              <w:top w:val="nil"/>
              <w:left w:val="nil"/>
              <w:bottom w:val="single" w:sz="6" w:space="0" w:color="FFFFFF"/>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2250" w:type="dxa"/>
            <w:gridSpan w:val="2"/>
            <w:tcBorders>
              <w:top w:val="nil"/>
              <w:left w:val="nil"/>
              <w:bottom w:val="single" w:sz="6" w:space="0" w:color="FFFFFF"/>
              <w:right w:val="nil"/>
            </w:tcBorders>
            <w:shd w:val="clear" w:color="auto" w:fill="FFFFFF"/>
            <w:tcMar>
              <w:left w:w="36" w:type="dxa"/>
              <w:right w:w="36" w:type="dxa"/>
            </w:tcMar>
            <w:vAlign w:val="bottom"/>
          </w:tcPr>
          <w:p w:rsidR="00C10958" w:rsidRPr="00491918" w:rsidRDefault="00C10958" w:rsidP="000B3F05">
            <w:pPr>
              <w:jc w:val="center"/>
              <w:rPr>
                <w:b/>
                <w:color w:val="000000"/>
                <w:sz w:val="16"/>
              </w:rPr>
            </w:pPr>
          </w:p>
          <w:p w:rsidR="000B3F05" w:rsidRPr="00491918" w:rsidRDefault="000B3F05" w:rsidP="000B3F05">
            <w:pPr>
              <w:jc w:val="center"/>
              <w:rPr>
                <w:b/>
                <w:color w:val="000000"/>
                <w:sz w:val="16"/>
              </w:rPr>
            </w:pPr>
            <w:r w:rsidRPr="00491918">
              <w:rPr>
                <w:b/>
                <w:color w:val="000000"/>
                <w:sz w:val="16"/>
              </w:rPr>
              <w:t>Fair value</w:t>
            </w:r>
          </w:p>
        </w:tc>
        <w:tc>
          <w:tcPr>
            <w:tcW w:w="2250" w:type="dxa"/>
            <w:gridSpan w:val="2"/>
            <w:tcBorders>
              <w:top w:val="nil"/>
              <w:left w:val="nil"/>
              <w:bottom w:val="single" w:sz="6" w:space="0" w:color="FFFFFF"/>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Favourable changes</w:t>
            </w:r>
          </w:p>
        </w:tc>
        <w:tc>
          <w:tcPr>
            <w:tcW w:w="2250" w:type="dxa"/>
            <w:gridSpan w:val="2"/>
            <w:tcBorders>
              <w:top w:val="nil"/>
              <w:left w:val="nil"/>
              <w:bottom w:val="single" w:sz="6" w:space="0" w:color="FFFFFF"/>
              <w:right w:val="nil"/>
            </w:tcBorders>
            <w:shd w:val="clear" w:color="auto" w:fill="FFFFFF"/>
            <w:tcMar>
              <w:left w:w="36" w:type="dxa"/>
              <w:right w:w="36" w:type="dxa"/>
            </w:tcMar>
            <w:vAlign w:val="bottom"/>
          </w:tcPr>
          <w:p w:rsidR="000B3F05" w:rsidRPr="00491918" w:rsidRDefault="000B3F05" w:rsidP="000B3F05">
            <w:pPr>
              <w:jc w:val="center"/>
              <w:rPr>
                <w:b/>
                <w:color w:val="000000"/>
                <w:sz w:val="16"/>
              </w:rPr>
            </w:pPr>
            <w:r w:rsidRPr="00491918">
              <w:rPr>
                <w:b/>
                <w:color w:val="000000"/>
                <w:sz w:val="16"/>
              </w:rPr>
              <w:t>Unfavourable changes</w:t>
            </w:r>
          </w:p>
        </w:tc>
      </w:tr>
      <w:tr w:rsidR="000B3F05" w:rsidRPr="00491918" w:rsidTr="000B3F05">
        <w:trPr>
          <w:trHeight w:val="465"/>
        </w:trPr>
        <w:tc>
          <w:tcPr>
            <w:tcW w:w="2610"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lastRenderedPageBreak/>
              <w:t>Product type</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Total </w:t>
            </w:r>
          </w:p>
          <w:p w:rsidR="000B3F05" w:rsidRPr="00491918" w:rsidRDefault="000B3F05" w:rsidP="000B3F05">
            <w:pPr>
              <w:jc w:val="right"/>
              <w:rPr>
                <w:b/>
                <w:color w:val="000000"/>
                <w:sz w:val="16"/>
              </w:rPr>
            </w:pPr>
            <w:r w:rsidRPr="00491918">
              <w:rPr>
                <w:b/>
                <w:color w:val="000000"/>
                <w:sz w:val="16"/>
              </w:rPr>
              <w:t>assets</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Total</w:t>
            </w:r>
          </w:p>
          <w:p w:rsidR="000B3F05" w:rsidRPr="00491918" w:rsidRDefault="000B3F05" w:rsidP="000B3F05">
            <w:pPr>
              <w:jc w:val="right"/>
              <w:rPr>
                <w:b/>
                <w:color w:val="000000"/>
                <w:sz w:val="16"/>
              </w:rPr>
            </w:pPr>
            <w:r w:rsidRPr="00491918">
              <w:rPr>
                <w:b/>
                <w:color w:val="000000"/>
                <w:sz w:val="16"/>
              </w:rPr>
              <w:t>liabilities</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Income</w:t>
            </w:r>
          </w:p>
          <w:p w:rsidR="000B3F05" w:rsidRPr="00491918" w:rsidRDefault="000B3F05" w:rsidP="000B3F05">
            <w:pPr>
              <w:jc w:val="right"/>
              <w:rPr>
                <w:b/>
                <w:color w:val="000000"/>
                <w:sz w:val="16"/>
              </w:rPr>
            </w:pPr>
            <w:r w:rsidRPr="00491918">
              <w:rPr>
                <w:b/>
                <w:color w:val="000000"/>
                <w:sz w:val="16"/>
              </w:rPr>
              <w:t>statement</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Equity</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Income</w:t>
            </w:r>
          </w:p>
          <w:p w:rsidR="000B3F05" w:rsidRPr="00491918" w:rsidRDefault="000B3F05" w:rsidP="000B3F05">
            <w:pPr>
              <w:jc w:val="right"/>
              <w:rPr>
                <w:b/>
                <w:color w:val="000000"/>
                <w:sz w:val="16"/>
              </w:rPr>
            </w:pPr>
            <w:r w:rsidRPr="00491918">
              <w:rPr>
                <w:b/>
                <w:color w:val="000000"/>
                <w:sz w:val="16"/>
              </w:rPr>
              <w:t>statement</w:t>
            </w:r>
          </w:p>
        </w:tc>
        <w:tc>
          <w:tcPr>
            <w:tcW w:w="1125" w:type="dxa"/>
            <w:tcBorders>
              <w:top w:val="single" w:sz="6" w:space="0" w:color="FFFFFF"/>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Equity</w:t>
            </w:r>
          </w:p>
        </w:tc>
      </w:tr>
      <w:tr w:rsidR="000B3F05" w:rsidRPr="00491918" w:rsidTr="000B3F05">
        <w:trPr>
          <w:trHeight w:val="225"/>
        </w:trPr>
        <w:tc>
          <w:tcPr>
            <w:tcW w:w="261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 xml:space="preserve"> </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£m</w:t>
            </w:r>
          </w:p>
        </w:tc>
      </w:tr>
    </w:tbl>
    <w:p w:rsidR="00F92E6D" w:rsidRPr="00491918" w:rsidRDefault="00F92E6D"/>
    <w:tbl>
      <w:tblPr>
        <w:tblW w:w="0" w:type="auto"/>
        <w:tblLayout w:type="fixed"/>
        <w:tblLook w:val="0000" w:firstRow="0" w:lastRow="0" w:firstColumn="0" w:lastColumn="0" w:noHBand="0" w:noVBand="0"/>
      </w:tblPr>
      <w:tblGrid>
        <w:gridCol w:w="2610"/>
        <w:gridCol w:w="1125"/>
        <w:gridCol w:w="1125"/>
        <w:gridCol w:w="1125"/>
        <w:gridCol w:w="1125"/>
        <w:gridCol w:w="1125"/>
        <w:gridCol w:w="1125"/>
      </w:tblGrid>
      <w:tr w:rsidR="000B3F05" w:rsidRPr="00491918" w:rsidTr="00F92E6D">
        <w:trPr>
          <w:trHeight w:val="240"/>
        </w:trPr>
        <w:tc>
          <w:tcPr>
            <w:tcW w:w="2610" w:type="dxa"/>
            <w:tcBorders>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b/>
                <w:color w:val="000000"/>
                <w:sz w:val="16"/>
              </w:rPr>
              <w:t>As at 30.06.13</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c>
          <w:tcPr>
            <w:tcW w:w="1125" w:type="dxa"/>
            <w:tcBorders>
              <w:left w:val="nil"/>
              <w:bottom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b/>
                <w:color w:val="000000"/>
                <w:sz w:val="16"/>
              </w:rPr>
              <w:t xml:space="preserve">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Interest rate derivatives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1,358 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(1,029)</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136 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(133)</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Foreign exchange derivatives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170 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(154)</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53 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(53)</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Credit derivatives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2,379 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(1,187)</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219 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(450)</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Equity derivatives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1,500 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(2,038)</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233 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(230)</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Commodity derivatives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644 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(722)</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63 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(63)</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Government and government sponsored debt</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226 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Corporate debt</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3,274 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(15)</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19 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(11)</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Certificates of deposit, commercial paper and other money market instruments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(578)</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Non asset backed loans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1,514 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53 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9 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(83)</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(9)</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Asset backed securities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3,294 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(209)</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168 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(158)</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Commercial real estate loans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1,578 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82 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CB7479" w:rsidP="000B3F05">
            <w:pPr>
              <w:jc w:val="right"/>
              <w:rPr>
                <w:color w:val="000000"/>
                <w:sz w:val="16"/>
              </w:rPr>
            </w:pPr>
            <w:r w:rsidRPr="00491918">
              <w:rPr>
                <w:color w:val="000000"/>
                <w:sz w:val="16"/>
              </w:rPr>
              <w:t>(37</w:t>
            </w:r>
            <w:r w:rsidR="000B3F05" w:rsidRPr="00491918">
              <w:rPr>
                <w:color w:val="000000"/>
                <w:sz w:val="16"/>
              </w:rPr>
              <w:t>)</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Issued debt</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(1,162)</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Equity cash products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156 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14 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(14)</w:t>
            </w:r>
          </w:p>
        </w:tc>
      </w:tr>
      <w:tr w:rsidR="000B3F05" w:rsidRPr="00491918" w:rsidTr="000B3F05">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Funds and fund linked products</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671 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(51)</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66 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(66)</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2610" w:type="dxa"/>
            <w:tcBorders>
              <w:top w:val="nil"/>
              <w:left w:val="nil"/>
              <w:bottom w:val="single" w:sz="6" w:space="0" w:color="7F7F7F"/>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Other</w:t>
            </w:r>
          </w:p>
        </w:tc>
        <w:tc>
          <w:tcPr>
            <w:tcW w:w="1125" w:type="dxa"/>
            <w:tcBorders>
              <w:top w:val="nil"/>
              <w:left w:val="nil"/>
              <w:bottom w:val="single" w:sz="6" w:space="0" w:color="7F7F7F"/>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4,851 </w:t>
            </w:r>
          </w:p>
        </w:tc>
        <w:tc>
          <w:tcPr>
            <w:tcW w:w="1125" w:type="dxa"/>
            <w:tcBorders>
              <w:top w:val="nil"/>
              <w:left w:val="nil"/>
              <w:bottom w:val="single" w:sz="6" w:space="0" w:color="7F7F7F"/>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w:t>
            </w:r>
          </w:p>
        </w:tc>
        <w:tc>
          <w:tcPr>
            <w:tcW w:w="1125" w:type="dxa"/>
            <w:tcBorders>
              <w:top w:val="nil"/>
              <w:left w:val="nil"/>
              <w:bottom w:val="single" w:sz="6" w:space="0" w:color="7F7F7F"/>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309 </w:t>
            </w:r>
          </w:p>
        </w:tc>
        <w:tc>
          <w:tcPr>
            <w:tcW w:w="1125" w:type="dxa"/>
            <w:tcBorders>
              <w:top w:val="nil"/>
              <w:left w:val="nil"/>
              <w:bottom w:val="single" w:sz="6" w:space="0" w:color="7F7F7F"/>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 61 </w:t>
            </w:r>
          </w:p>
        </w:tc>
        <w:tc>
          <w:tcPr>
            <w:tcW w:w="1125" w:type="dxa"/>
            <w:tcBorders>
              <w:top w:val="nil"/>
              <w:left w:val="nil"/>
              <w:bottom w:val="single" w:sz="6" w:space="0" w:color="7F7F7F"/>
              <w:right w:val="nil"/>
            </w:tcBorders>
            <w:shd w:val="clear" w:color="auto" w:fill="EAEAEA"/>
            <w:tcMar>
              <w:left w:w="36" w:type="dxa"/>
              <w:right w:w="36" w:type="dxa"/>
            </w:tcMar>
            <w:vAlign w:val="bottom"/>
          </w:tcPr>
          <w:p w:rsidR="000B3F05" w:rsidRPr="00491918" w:rsidRDefault="00CB7479" w:rsidP="000B3F05">
            <w:pPr>
              <w:jc w:val="right"/>
              <w:rPr>
                <w:color w:val="000000"/>
                <w:sz w:val="16"/>
              </w:rPr>
            </w:pPr>
            <w:r w:rsidRPr="00491918">
              <w:rPr>
                <w:color w:val="000000"/>
                <w:sz w:val="16"/>
              </w:rPr>
              <w:t>(302</w:t>
            </w:r>
            <w:r w:rsidR="000B3F05" w:rsidRPr="00491918">
              <w:rPr>
                <w:color w:val="000000"/>
                <w:sz w:val="16"/>
              </w:rPr>
              <w:t>)</w:t>
            </w:r>
          </w:p>
        </w:tc>
        <w:tc>
          <w:tcPr>
            <w:tcW w:w="1125" w:type="dxa"/>
            <w:tcBorders>
              <w:top w:val="nil"/>
              <w:left w:val="nil"/>
              <w:bottom w:val="single" w:sz="6" w:space="0" w:color="7F7F7F"/>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(49)</w:t>
            </w:r>
          </w:p>
        </w:tc>
      </w:tr>
      <w:tr w:rsidR="000B3F05" w:rsidRPr="00491918" w:rsidTr="000B3F05">
        <w:trPr>
          <w:trHeight w:val="255"/>
        </w:trPr>
        <w:tc>
          <w:tcPr>
            <w:tcW w:w="2610" w:type="dxa"/>
            <w:tcBorders>
              <w:top w:val="single" w:sz="6" w:space="0" w:color="7F7F7F"/>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w:t>
            </w:r>
          </w:p>
        </w:tc>
        <w:tc>
          <w:tcPr>
            <w:tcW w:w="1125" w:type="dxa"/>
            <w:tcBorders>
              <w:top w:val="single" w:sz="6" w:space="0" w:color="7F7F7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21,615 </w:t>
            </w:r>
          </w:p>
        </w:tc>
        <w:tc>
          <w:tcPr>
            <w:tcW w:w="1125" w:type="dxa"/>
            <w:tcBorders>
              <w:top w:val="single" w:sz="6" w:space="0" w:color="7F7F7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(7,149)</w:t>
            </w:r>
          </w:p>
        </w:tc>
        <w:tc>
          <w:tcPr>
            <w:tcW w:w="1125" w:type="dxa"/>
            <w:tcBorders>
              <w:top w:val="single" w:sz="6" w:space="0" w:color="7F7F7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1,401 </w:t>
            </w:r>
          </w:p>
        </w:tc>
        <w:tc>
          <w:tcPr>
            <w:tcW w:w="1125" w:type="dxa"/>
            <w:tcBorders>
              <w:top w:val="single" w:sz="6" w:space="0" w:color="7F7F7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 xml:space="preserve"> 84 </w:t>
            </w:r>
          </w:p>
        </w:tc>
        <w:tc>
          <w:tcPr>
            <w:tcW w:w="1125" w:type="dxa"/>
            <w:tcBorders>
              <w:top w:val="single" w:sz="6" w:space="0" w:color="7F7F7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(1,586)</w:t>
            </w:r>
          </w:p>
        </w:tc>
        <w:tc>
          <w:tcPr>
            <w:tcW w:w="1125" w:type="dxa"/>
            <w:tcBorders>
              <w:top w:val="single" w:sz="6" w:space="0" w:color="7F7F7F"/>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(73)</w:t>
            </w:r>
          </w:p>
        </w:tc>
      </w:tr>
      <w:tr w:rsidR="000B3F05" w:rsidRPr="00491918" w:rsidTr="00CB7479">
        <w:trPr>
          <w:trHeight w:val="313"/>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As at 31.12.12</w:t>
            </w:r>
          </w:p>
        </w:tc>
        <w:tc>
          <w:tcPr>
            <w:tcW w:w="1125" w:type="dxa"/>
            <w:tcBorders>
              <w:top w:val="nil"/>
              <w:left w:val="nil"/>
              <w:right w:val="nil"/>
            </w:tcBorders>
            <w:shd w:val="clear" w:color="auto" w:fill="FFFFFF"/>
            <w:tcMar>
              <w:left w:w="36" w:type="dxa"/>
              <w:right w:w="36" w:type="dxa"/>
            </w:tcMar>
          </w:tcPr>
          <w:p w:rsidR="000B3F05" w:rsidRPr="00491918" w:rsidRDefault="000B3F05" w:rsidP="000B3F05">
            <w:pPr>
              <w:jc w:val="right"/>
              <w:rPr>
                <w:b/>
                <w:color w:val="000000"/>
                <w:sz w:val="16"/>
              </w:rPr>
            </w:pPr>
            <w:r w:rsidRPr="00491918">
              <w:rPr>
                <w:color w:val="000000"/>
                <w:sz w:val="16"/>
              </w:rPr>
              <w:t xml:space="preserve"> </w:t>
            </w:r>
          </w:p>
        </w:tc>
        <w:tc>
          <w:tcPr>
            <w:tcW w:w="1125" w:type="dxa"/>
            <w:tcBorders>
              <w:top w:val="nil"/>
              <w:left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125" w:type="dxa"/>
            <w:tcBorders>
              <w:top w:val="nil"/>
              <w:left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125" w:type="dxa"/>
            <w:tcBorders>
              <w:top w:val="nil"/>
              <w:left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125" w:type="dxa"/>
            <w:tcBorders>
              <w:top w:val="nil"/>
              <w:left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c>
          <w:tcPr>
            <w:tcW w:w="1125" w:type="dxa"/>
            <w:tcBorders>
              <w:top w:val="nil"/>
              <w:left w:val="nil"/>
              <w:right w:val="nil"/>
            </w:tcBorders>
            <w:shd w:val="clear" w:color="auto" w:fill="FFFFFF"/>
            <w:tcMar>
              <w:left w:w="36" w:type="dxa"/>
              <w:right w:w="36" w:type="dxa"/>
            </w:tcMar>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Interest rate derivatives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1,353 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(1,204)</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109 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(109)</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Foreign exchange derivatives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203 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(244)</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44 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(44)</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Credit derivatives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3,039 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(1,206)</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410 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CB7479" w:rsidP="000B3F05">
            <w:pPr>
              <w:jc w:val="right"/>
              <w:rPr>
                <w:color w:val="000000"/>
                <w:sz w:val="16"/>
              </w:rPr>
            </w:pPr>
            <w:r w:rsidRPr="00491918">
              <w:rPr>
                <w:color w:val="000000"/>
                <w:sz w:val="16"/>
              </w:rPr>
              <w:t>(512</w:t>
            </w:r>
            <w:r w:rsidR="000B3F05" w:rsidRPr="00491918">
              <w:rPr>
                <w:color w:val="000000"/>
                <w:sz w:val="16"/>
              </w:rPr>
              <w:t>)</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Equity derivatives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1,092 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(1,702)</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220 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(214)</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Commodity derivatives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660 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(543)</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70 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(70)</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Government and government sponsored debt</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367 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Corporate debt</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3,339 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(36)</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15 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(11)</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Certificates of deposit, commercial paper and other money market instruments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(760)</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Non asset backed loans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2,365 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59 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12 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(58)</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(12)</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Asset backed securities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4,106 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390 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(305)</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Commercial real estate loans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1,798 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64 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(47)</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Issued debt</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(1,439)</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Equity cash products</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145 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13 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(13)</w:t>
            </w:r>
          </w:p>
        </w:tc>
      </w:tr>
      <w:tr w:rsidR="000B3F05" w:rsidRPr="00491918" w:rsidTr="00CB7479">
        <w:trPr>
          <w:trHeight w:val="255"/>
        </w:trPr>
        <w:tc>
          <w:tcPr>
            <w:tcW w:w="261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Funds and fund linked products</w:t>
            </w:r>
          </w:p>
        </w:tc>
        <w:tc>
          <w:tcPr>
            <w:tcW w:w="1125" w:type="dxa"/>
            <w:tcBorders>
              <w:top w:val="nil"/>
              <w:left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754 </w:t>
            </w:r>
          </w:p>
        </w:tc>
        <w:tc>
          <w:tcPr>
            <w:tcW w:w="1125" w:type="dxa"/>
            <w:tcBorders>
              <w:top w:val="nil"/>
              <w:left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(122)</w:t>
            </w:r>
          </w:p>
        </w:tc>
        <w:tc>
          <w:tcPr>
            <w:tcW w:w="1125" w:type="dxa"/>
            <w:tcBorders>
              <w:top w:val="nil"/>
              <w:left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112 </w:t>
            </w:r>
          </w:p>
        </w:tc>
        <w:tc>
          <w:tcPr>
            <w:tcW w:w="1125" w:type="dxa"/>
            <w:tcBorders>
              <w:top w:val="nil"/>
              <w:left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c>
          <w:tcPr>
            <w:tcW w:w="1125" w:type="dxa"/>
            <w:tcBorders>
              <w:top w:val="nil"/>
              <w:left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(112)</w:t>
            </w:r>
          </w:p>
        </w:tc>
        <w:tc>
          <w:tcPr>
            <w:tcW w:w="1125" w:type="dxa"/>
            <w:tcBorders>
              <w:top w:val="nil"/>
              <w:left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CB7479">
        <w:trPr>
          <w:trHeight w:val="255"/>
        </w:trPr>
        <w:tc>
          <w:tcPr>
            <w:tcW w:w="2610"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Other</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4,476 </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(88)</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312 </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64 </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(281)</w:t>
            </w:r>
          </w:p>
        </w:tc>
        <w:tc>
          <w:tcPr>
            <w:tcW w:w="1125" w:type="dxa"/>
            <w:tcBorders>
              <w:top w:val="nil"/>
              <w:left w:val="nil"/>
              <w:bottom w:val="single" w:sz="6" w:space="0" w:color="A5A5A5"/>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(60)</w:t>
            </w:r>
          </w:p>
        </w:tc>
      </w:tr>
      <w:tr w:rsidR="000B3F05" w:rsidRPr="00491918" w:rsidTr="00CB7479">
        <w:trPr>
          <w:trHeight w:val="240"/>
        </w:trPr>
        <w:tc>
          <w:tcPr>
            <w:tcW w:w="2610"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Total</w:t>
            </w:r>
          </w:p>
        </w:tc>
        <w:tc>
          <w:tcPr>
            <w:tcW w:w="112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23,697 </w:t>
            </w:r>
          </w:p>
        </w:tc>
        <w:tc>
          <w:tcPr>
            <w:tcW w:w="112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(7,344)</w:t>
            </w:r>
          </w:p>
        </w:tc>
        <w:tc>
          <w:tcPr>
            <w:tcW w:w="112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1,805 </w:t>
            </w:r>
          </w:p>
        </w:tc>
        <w:tc>
          <w:tcPr>
            <w:tcW w:w="112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96 </w:t>
            </w:r>
          </w:p>
        </w:tc>
        <w:tc>
          <w:tcPr>
            <w:tcW w:w="112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CB7479" w:rsidP="000B3F05">
            <w:pPr>
              <w:jc w:val="right"/>
              <w:rPr>
                <w:color w:val="000000"/>
                <w:sz w:val="16"/>
              </w:rPr>
            </w:pPr>
            <w:r w:rsidRPr="00491918">
              <w:rPr>
                <w:color w:val="000000"/>
                <w:sz w:val="16"/>
              </w:rPr>
              <w:t>(1,763</w:t>
            </w:r>
            <w:r w:rsidR="000B3F05" w:rsidRPr="00491918">
              <w:rPr>
                <w:color w:val="000000"/>
                <w:sz w:val="16"/>
              </w:rPr>
              <w:t>)</w:t>
            </w:r>
          </w:p>
        </w:tc>
        <w:tc>
          <w:tcPr>
            <w:tcW w:w="1125" w:type="dxa"/>
            <w:tcBorders>
              <w:top w:val="single" w:sz="6" w:space="0" w:color="A5A5A5"/>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(93)</w:t>
            </w:r>
          </w:p>
        </w:tc>
      </w:tr>
    </w:tbl>
    <w:p w:rsidR="000B3F05" w:rsidRPr="00491918" w:rsidRDefault="000B3F05" w:rsidP="000B3F05"/>
    <w:p w:rsidR="000B3F05" w:rsidRPr="00491918" w:rsidRDefault="000B3F05" w:rsidP="0021631B">
      <w:pPr>
        <w:pStyle w:val="BodyText-BarcRA8"/>
      </w:pPr>
      <w:r w:rsidRPr="00491918">
        <w:t xml:space="preserve">The effect of stressing unobservable inputs to a range of reasonably possible alternatives alongside considering the impact of using alternative models would be to increase fair values by up to £1.5bn (2012: £1.9bn) or to decrease fair values by up to £1.7bn (2012: £1.9bn) with substantially all the potential effect impacting </w:t>
      </w:r>
      <w:r w:rsidR="00A177DB" w:rsidRPr="00491918">
        <w:t>the income statement</w:t>
      </w:r>
      <w:r w:rsidRPr="00491918">
        <w:t xml:space="preserve"> rather than equity.</w:t>
      </w:r>
    </w:p>
    <w:p w:rsidR="000B3F05" w:rsidRPr="00491918" w:rsidRDefault="000B3F05" w:rsidP="0021631B">
      <w:pPr>
        <w:pStyle w:val="Normal13"/>
        <w:autoSpaceDE w:val="0"/>
        <w:autoSpaceDN w:val="0"/>
        <w:adjustRightInd w:val="0"/>
        <w:jc w:val="both"/>
        <w:rPr>
          <w:color w:val="000000"/>
          <w:szCs w:val="18"/>
        </w:rPr>
      </w:pPr>
      <w:r w:rsidRPr="00491918">
        <w:rPr>
          <w:color w:val="000000"/>
          <w:szCs w:val="18"/>
        </w:rPr>
        <w:t xml:space="preserve">No stress has been applied to the receivables relating to the Lehman acquisition (Note </w:t>
      </w:r>
      <w:r w:rsidR="001E7AF6" w:rsidRPr="00491918">
        <w:rPr>
          <w:color w:val="000000"/>
          <w:szCs w:val="18"/>
        </w:rPr>
        <w:t>20</w:t>
      </w:r>
      <w:r w:rsidRPr="00491918">
        <w:rPr>
          <w:color w:val="000000"/>
          <w:szCs w:val="18"/>
        </w:rPr>
        <w:t>). The sensitivity inherent in the measurement of the receivables is akin to a litigation provision. Due to this, an upside and downside stress on a basis comparable with the other assets cannot be applied.</w:t>
      </w:r>
    </w:p>
    <w:p w:rsidR="000B3F05" w:rsidRPr="00491918" w:rsidRDefault="000B3F05" w:rsidP="0021631B">
      <w:pPr>
        <w:spacing w:line="14" w:lineRule="exact"/>
        <w:jc w:val="both"/>
        <w:rPr>
          <w:color w:val="000000"/>
          <w:sz w:val="18"/>
          <w:szCs w:val="18"/>
        </w:rPr>
      </w:pPr>
      <w:r w:rsidRPr="00491918">
        <w:rPr>
          <w:color w:val="000000"/>
          <w:sz w:val="18"/>
          <w:szCs w:val="18"/>
        </w:rPr>
        <w:br w:type="page"/>
      </w:r>
    </w:p>
    <w:p w:rsidR="0007202F" w:rsidRPr="00491918" w:rsidRDefault="0007202F" w:rsidP="0007202F">
      <w:pPr>
        <w:pStyle w:val="HeadingLevel1-BarcRA49"/>
      </w:pPr>
      <w:r w:rsidRPr="00491918">
        <w:lastRenderedPageBreak/>
        <w:t>Financial Statement Notes</w:t>
      </w:r>
    </w:p>
    <w:p w:rsidR="000B3F05" w:rsidRPr="00491918" w:rsidRDefault="000B3F05" w:rsidP="008D6001">
      <w:pPr>
        <w:pStyle w:val="HeadingLevel2-BarcRA4"/>
        <w:spacing w:before="0"/>
        <w:outlineLvl w:val="0"/>
      </w:pPr>
      <w:r w:rsidRPr="00491918">
        <w:t>Significant  unobservable inputs</w:t>
      </w:r>
    </w:p>
    <w:p w:rsidR="000B3F05" w:rsidRPr="00491918" w:rsidRDefault="000B3F05" w:rsidP="000B3F05">
      <w:pPr>
        <w:pStyle w:val="Normal130"/>
        <w:autoSpaceDE w:val="0"/>
        <w:autoSpaceDN w:val="0"/>
        <w:adjustRightInd w:val="0"/>
        <w:rPr>
          <w:color w:val="000000"/>
          <w:sz w:val="12"/>
          <w:szCs w:val="12"/>
        </w:rPr>
      </w:pPr>
    </w:p>
    <w:p w:rsidR="000B3F05" w:rsidRPr="00491918" w:rsidRDefault="000B3F05" w:rsidP="00BC07B1">
      <w:pPr>
        <w:pStyle w:val="BodyText-BarcRA9"/>
        <w:spacing w:before="0" w:after="0"/>
      </w:pPr>
      <w:r w:rsidRPr="00491918">
        <w:t>The following table discloses the valuation techniques and significant unobservable inputs for assets and liabilities recognised at fair value and classified as Level 3 along with the range of values used for those significant unobservable inputs</w:t>
      </w:r>
      <w:r w:rsidR="00AE7D5F" w:rsidRPr="00491918">
        <w:t>.</w:t>
      </w:r>
    </w:p>
    <w:p w:rsidR="000B3F05" w:rsidRPr="00491918" w:rsidRDefault="000B3F05" w:rsidP="000B3F05"/>
    <w:tbl>
      <w:tblPr>
        <w:tblW w:w="0" w:type="auto"/>
        <w:tblLayout w:type="fixed"/>
        <w:tblLook w:val="0000" w:firstRow="0" w:lastRow="0" w:firstColumn="0" w:lastColumn="0" w:noHBand="0" w:noVBand="0"/>
      </w:tblPr>
      <w:tblGrid>
        <w:gridCol w:w="1950"/>
        <w:gridCol w:w="735"/>
        <w:gridCol w:w="885"/>
        <w:gridCol w:w="1500"/>
        <w:gridCol w:w="1500"/>
        <w:gridCol w:w="705"/>
        <w:gridCol w:w="705"/>
        <w:gridCol w:w="960"/>
        <w:gridCol w:w="705"/>
      </w:tblGrid>
      <w:tr w:rsidR="000B3F05" w:rsidRPr="00491918" w:rsidTr="00BC07B1">
        <w:trPr>
          <w:trHeight w:val="420"/>
        </w:trPr>
        <w:tc>
          <w:tcPr>
            <w:tcW w:w="1950"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vertAlign w:val="superscript"/>
              </w:rPr>
            </w:pPr>
            <w:r w:rsidRPr="00491918">
              <w:rPr>
                <w:b/>
                <w:color w:val="000000"/>
                <w:sz w:val="16"/>
              </w:rPr>
              <w:t>Total assets</w:t>
            </w:r>
          </w:p>
        </w:tc>
        <w:tc>
          <w:tcPr>
            <w:tcW w:w="88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Total liabilities</w:t>
            </w:r>
          </w:p>
        </w:tc>
        <w:tc>
          <w:tcPr>
            <w:tcW w:w="1500"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Valuation</w:t>
            </w:r>
            <w:r w:rsidRPr="00491918">
              <w:rPr>
                <w:b/>
                <w:color w:val="000000"/>
                <w:sz w:val="16"/>
                <w:vertAlign w:val="superscript"/>
              </w:rPr>
              <w:t xml:space="preserve"> </w:t>
            </w:r>
          </w:p>
        </w:tc>
        <w:tc>
          <w:tcPr>
            <w:tcW w:w="1500"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b/>
                <w:color w:val="000000"/>
                <w:sz w:val="16"/>
                <w:vertAlign w:val="superscript"/>
              </w:rPr>
            </w:pPr>
            <w:r w:rsidRPr="00491918">
              <w:rPr>
                <w:b/>
                <w:color w:val="000000"/>
                <w:sz w:val="16"/>
              </w:rPr>
              <w:t>Significant unobservable</w:t>
            </w:r>
            <w:r w:rsidRPr="00491918">
              <w:rPr>
                <w:color w:val="000000"/>
                <w:sz w:val="16"/>
                <w:vertAlign w:val="superscript"/>
              </w:rPr>
              <w:t xml:space="preserve"> </w:t>
            </w:r>
          </w:p>
        </w:tc>
        <w:tc>
          <w:tcPr>
            <w:tcW w:w="1410" w:type="dxa"/>
            <w:gridSpan w:val="2"/>
            <w:tcBorders>
              <w:top w:val="nil"/>
              <w:left w:val="nil"/>
              <w:bottom w:val="single" w:sz="6" w:space="0" w:color="B2B2B2"/>
              <w:right w:val="nil"/>
            </w:tcBorders>
            <w:shd w:val="clear" w:color="auto" w:fill="FFFFFF"/>
            <w:tcMar>
              <w:left w:w="115" w:type="dxa"/>
              <w:right w:w="115" w:type="dxa"/>
            </w:tcMar>
            <w:vAlign w:val="bottom"/>
          </w:tcPr>
          <w:p w:rsidR="000B3F05" w:rsidRPr="00491918" w:rsidRDefault="000B3F05" w:rsidP="000B3F05">
            <w:pPr>
              <w:jc w:val="center"/>
              <w:rPr>
                <w:color w:val="000000"/>
                <w:sz w:val="16"/>
                <w:vertAlign w:val="superscript"/>
              </w:rPr>
            </w:pPr>
            <w:r w:rsidRPr="00491918">
              <w:rPr>
                <w:b/>
                <w:color w:val="000000"/>
                <w:sz w:val="16"/>
              </w:rPr>
              <w:t>Range</w:t>
            </w:r>
          </w:p>
        </w:tc>
        <w:tc>
          <w:tcPr>
            <w:tcW w:w="960"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Weighted</w:t>
            </w:r>
            <w:r w:rsidRPr="00491918">
              <w:rPr>
                <w:b/>
                <w:color w:val="000000"/>
                <w:sz w:val="16"/>
                <w:vertAlign w:val="superscript"/>
              </w:rPr>
              <w:t xml:space="preserve"> </w:t>
            </w:r>
          </w:p>
        </w:tc>
        <w:tc>
          <w:tcPr>
            <w:tcW w:w="70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0B3F05" w:rsidRPr="00491918" w:rsidTr="00BC07B1">
        <w:trPr>
          <w:trHeight w:val="225"/>
        </w:trPr>
        <w:tc>
          <w:tcPr>
            <w:tcW w:w="1950" w:type="dxa"/>
            <w:tcBorders>
              <w:top w:val="nil"/>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rPr>
                <w:color w:val="000000"/>
                <w:sz w:val="16"/>
                <w:vertAlign w:val="superscript"/>
              </w:rPr>
            </w:pPr>
            <w:r w:rsidRPr="00491918">
              <w:rPr>
                <w:b/>
                <w:color w:val="000000"/>
                <w:sz w:val="14"/>
              </w:rPr>
              <w:t xml:space="preserve"> </w:t>
            </w:r>
            <w:r w:rsidRPr="00491918">
              <w:rPr>
                <w:b/>
                <w:color w:val="000000"/>
                <w:sz w:val="14"/>
                <w:vertAlign w:val="superscript"/>
              </w:rPr>
              <w:t xml:space="preserve"> </w:t>
            </w:r>
          </w:p>
        </w:tc>
        <w:tc>
          <w:tcPr>
            <w:tcW w:w="735" w:type="dxa"/>
            <w:tcBorders>
              <w:top w:val="nil"/>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4"/>
                <w:vertAlign w:val="superscript"/>
              </w:rPr>
            </w:pPr>
            <w:r w:rsidRPr="00491918">
              <w:rPr>
                <w:b/>
                <w:color w:val="000000"/>
                <w:sz w:val="16"/>
              </w:rPr>
              <w:t>£m</w:t>
            </w:r>
          </w:p>
        </w:tc>
        <w:tc>
          <w:tcPr>
            <w:tcW w:w="885" w:type="dxa"/>
            <w:tcBorders>
              <w:top w:val="nil"/>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£m</w:t>
            </w:r>
          </w:p>
        </w:tc>
        <w:tc>
          <w:tcPr>
            <w:tcW w:w="1500" w:type="dxa"/>
            <w:tcBorders>
              <w:top w:val="nil"/>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technique(s)</w:t>
            </w:r>
            <w:r w:rsidRPr="00491918">
              <w:rPr>
                <w:b/>
                <w:color w:val="000000"/>
                <w:sz w:val="16"/>
                <w:vertAlign w:val="superscript"/>
              </w:rPr>
              <w:t xml:space="preserve"> </w:t>
            </w:r>
          </w:p>
        </w:tc>
        <w:tc>
          <w:tcPr>
            <w:tcW w:w="1500" w:type="dxa"/>
            <w:tcBorders>
              <w:top w:val="nil"/>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6"/>
                <w:vertAlign w:val="superscript"/>
              </w:rPr>
            </w:pPr>
            <w:r w:rsidRPr="00491918">
              <w:rPr>
                <w:b/>
                <w:color w:val="000000"/>
                <w:sz w:val="16"/>
              </w:rPr>
              <w:t>inputs</w:t>
            </w:r>
            <w:r w:rsidRPr="00491918">
              <w:rPr>
                <w:b/>
                <w:color w:val="000000"/>
                <w:sz w:val="16"/>
                <w:vertAlign w:val="superscript"/>
              </w:rPr>
              <w:t xml:space="preserve"> </w:t>
            </w:r>
          </w:p>
        </w:tc>
        <w:tc>
          <w:tcPr>
            <w:tcW w:w="705" w:type="dxa"/>
            <w:tcBorders>
              <w:top w:val="single" w:sz="6" w:space="0" w:color="B2B2B2"/>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6"/>
                <w:vertAlign w:val="superscript"/>
              </w:rPr>
            </w:pPr>
            <w:r w:rsidRPr="00491918">
              <w:rPr>
                <w:b/>
                <w:color w:val="000000"/>
                <w:sz w:val="16"/>
              </w:rPr>
              <w:t>Min</w:t>
            </w:r>
          </w:p>
        </w:tc>
        <w:tc>
          <w:tcPr>
            <w:tcW w:w="705" w:type="dxa"/>
            <w:tcBorders>
              <w:top w:val="single" w:sz="6" w:space="0" w:color="B2B2B2"/>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Max</w:t>
            </w:r>
          </w:p>
        </w:tc>
        <w:tc>
          <w:tcPr>
            <w:tcW w:w="960" w:type="dxa"/>
            <w:tcBorders>
              <w:top w:val="nil"/>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average</w:t>
            </w:r>
            <w:r w:rsidRPr="00491918">
              <w:rPr>
                <w:b/>
                <w:color w:val="000000"/>
                <w:sz w:val="16"/>
                <w:vertAlign w:val="superscript"/>
              </w:rPr>
              <w:t>1 </w:t>
            </w:r>
          </w:p>
        </w:tc>
        <w:tc>
          <w:tcPr>
            <w:tcW w:w="705" w:type="dxa"/>
            <w:tcBorders>
              <w:top w:val="nil"/>
              <w:left w:val="nil"/>
              <w:bottom w:val="single" w:sz="6" w:space="0" w:color="A5A5A5"/>
              <w:right w:val="nil"/>
            </w:tcBorders>
            <w:shd w:val="clear" w:color="auto" w:fill="FFFFFF"/>
            <w:tcMar>
              <w:left w:w="115" w:type="dxa"/>
              <w:right w:w="115" w:type="dxa"/>
            </w:tcMar>
            <w:vAlign w:val="bottom"/>
          </w:tcPr>
          <w:p w:rsidR="000B3F05" w:rsidRPr="00491918" w:rsidRDefault="000B3F05" w:rsidP="000B3F05">
            <w:pPr>
              <w:jc w:val="right"/>
              <w:rPr>
                <w:b/>
                <w:color w:val="000000"/>
                <w:sz w:val="16"/>
                <w:vertAlign w:val="superscript"/>
              </w:rPr>
            </w:pPr>
            <w:r w:rsidRPr="00491918">
              <w:rPr>
                <w:b/>
                <w:color w:val="000000"/>
                <w:sz w:val="16"/>
              </w:rPr>
              <w:t>Units</w:t>
            </w:r>
            <w:r w:rsidRPr="00491918">
              <w:rPr>
                <w:b/>
                <w:color w:val="000000"/>
                <w:sz w:val="16"/>
                <w:vertAlign w:val="superscript"/>
              </w:rPr>
              <w:t>2 </w:t>
            </w:r>
          </w:p>
        </w:tc>
      </w:tr>
      <w:tr w:rsidR="00BC07B1" w:rsidRPr="00491918" w:rsidTr="00BC07B1">
        <w:trPr>
          <w:trHeight w:hRule="exact" w:val="227"/>
        </w:trPr>
        <w:tc>
          <w:tcPr>
            <w:tcW w:w="2685" w:type="dxa"/>
            <w:gridSpan w:val="2"/>
            <w:tcBorders>
              <w:top w:val="single" w:sz="6" w:space="0" w:color="A5A5A5"/>
              <w:left w:val="nil"/>
              <w:bottom w:val="nil"/>
              <w:right w:val="nil"/>
            </w:tcBorders>
            <w:shd w:val="clear" w:color="auto" w:fill="FFFFFF"/>
            <w:tcMar>
              <w:left w:w="115" w:type="dxa"/>
              <w:right w:w="115" w:type="dxa"/>
            </w:tcMar>
            <w:vAlign w:val="bottom"/>
          </w:tcPr>
          <w:p w:rsidR="00BC07B1" w:rsidRPr="00491918" w:rsidRDefault="00BC07B1" w:rsidP="000B3F05">
            <w:pPr>
              <w:rPr>
                <w:b/>
                <w:color w:val="000000"/>
                <w:sz w:val="16"/>
                <w:vertAlign w:val="superscript"/>
              </w:rPr>
            </w:pPr>
            <w:r w:rsidRPr="00491918">
              <w:rPr>
                <w:b/>
                <w:color w:val="000000"/>
                <w:sz w:val="16"/>
              </w:rPr>
              <w:t>Derivative financial instruments</w:t>
            </w:r>
            <w:r w:rsidRPr="00491918">
              <w:rPr>
                <w:b/>
                <w:color w:val="000000"/>
                <w:sz w:val="16"/>
                <w:vertAlign w:val="superscript"/>
              </w:rPr>
              <w:t>3 </w:t>
            </w:r>
          </w:p>
          <w:p w:rsidR="00BC07B1" w:rsidRPr="00491918" w:rsidRDefault="00BC07B1" w:rsidP="000B3F05">
            <w:pPr>
              <w:jc w:val="right"/>
              <w:rPr>
                <w:b/>
                <w:color w:val="000000"/>
                <w:sz w:val="16"/>
                <w:vertAlign w:val="superscript"/>
              </w:rPr>
            </w:pPr>
            <w:r w:rsidRPr="00491918">
              <w:rPr>
                <w:color w:val="000000"/>
                <w:sz w:val="16"/>
              </w:rPr>
              <w:t xml:space="preserve"> </w:t>
            </w:r>
          </w:p>
        </w:tc>
        <w:tc>
          <w:tcPr>
            <w:tcW w:w="885" w:type="dxa"/>
            <w:tcBorders>
              <w:top w:val="single" w:sz="6" w:space="0" w:color="A5A5A5"/>
              <w:left w:val="nil"/>
              <w:bottom w:val="nil"/>
              <w:right w:val="nil"/>
            </w:tcBorders>
            <w:shd w:val="clear" w:color="auto" w:fill="FFFFFF"/>
            <w:tcMar>
              <w:left w:w="115" w:type="dxa"/>
              <w:right w:w="115" w:type="dxa"/>
            </w:tcMar>
            <w:vAlign w:val="bottom"/>
          </w:tcPr>
          <w:p w:rsidR="00BC07B1" w:rsidRPr="00491918" w:rsidRDefault="00BC07B1" w:rsidP="00BC07B1">
            <w:pPr>
              <w:rPr>
                <w:color w:val="000000"/>
                <w:sz w:val="16"/>
              </w:rPr>
            </w:pPr>
          </w:p>
        </w:tc>
        <w:tc>
          <w:tcPr>
            <w:tcW w:w="1500" w:type="dxa"/>
            <w:tcBorders>
              <w:top w:val="single" w:sz="6" w:space="0" w:color="A5A5A5"/>
              <w:left w:val="nil"/>
              <w:bottom w:val="nil"/>
              <w:right w:val="nil"/>
            </w:tcBorders>
            <w:shd w:val="clear" w:color="auto" w:fill="FFFFFF"/>
            <w:tcMar>
              <w:left w:w="115" w:type="dxa"/>
              <w:right w:w="115" w:type="dxa"/>
            </w:tcMar>
            <w:vAlign w:val="bottom"/>
          </w:tcPr>
          <w:p w:rsidR="00BC07B1" w:rsidRPr="00491918" w:rsidRDefault="00BC07B1" w:rsidP="00BC07B1">
            <w:pPr>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single" w:sz="6" w:space="0" w:color="A5A5A5"/>
              <w:left w:val="nil"/>
              <w:bottom w:val="nil"/>
              <w:right w:val="nil"/>
            </w:tcBorders>
            <w:shd w:val="clear" w:color="auto" w:fill="FFFFFF"/>
            <w:tcMar>
              <w:left w:w="115" w:type="dxa"/>
              <w:right w:w="115" w:type="dxa"/>
            </w:tcMar>
            <w:vAlign w:val="bottom"/>
          </w:tcPr>
          <w:p w:rsidR="00BC07B1" w:rsidRPr="00491918" w:rsidRDefault="00BC07B1" w:rsidP="000B3F05">
            <w:pPr>
              <w:jc w:val="right"/>
              <w:rPr>
                <w:i/>
                <w:color w:val="000000"/>
                <w:sz w:val="16"/>
                <w:vertAlign w:val="superscript"/>
              </w:rPr>
            </w:pPr>
            <w:r w:rsidRPr="00491918">
              <w:rPr>
                <w:i/>
                <w:color w:val="000000"/>
                <w:sz w:val="16"/>
              </w:rPr>
              <w:t xml:space="preserve"> </w:t>
            </w:r>
            <w:r w:rsidRPr="00491918">
              <w:rPr>
                <w:i/>
                <w:color w:val="000000"/>
                <w:sz w:val="16"/>
                <w:vertAlign w:val="superscript"/>
              </w:rPr>
              <w:t xml:space="preserve"> </w:t>
            </w:r>
          </w:p>
        </w:tc>
        <w:tc>
          <w:tcPr>
            <w:tcW w:w="705" w:type="dxa"/>
            <w:tcBorders>
              <w:top w:val="single" w:sz="6" w:space="0" w:color="A5A5A5"/>
              <w:left w:val="nil"/>
              <w:bottom w:val="nil"/>
              <w:right w:val="nil"/>
            </w:tcBorders>
            <w:shd w:val="clear" w:color="auto" w:fill="FFFFFF"/>
            <w:tcMar>
              <w:left w:w="115" w:type="dxa"/>
              <w:right w:w="115" w:type="dxa"/>
            </w:tcMar>
            <w:vAlign w:val="bottom"/>
          </w:tcPr>
          <w:p w:rsidR="00BC07B1" w:rsidRPr="00491918" w:rsidRDefault="00BC07B1" w:rsidP="000B3F05">
            <w:pPr>
              <w:jc w:val="right"/>
              <w:rPr>
                <w:i/>
                <w:color w:val="000000"/>
                <w:sz w:val="16"/>
                <w:vertAlign w:val="superscript"/>
              </w:rPr>
            </w:pPr>
            <w:r w:rsidRPr="00491918">
              <w:rPr>
                <w:i/>
                <w:color w:val="000000"/>
                <w:sz w:val="16"/>
              </w:rPr>
              <w:t xml:space="preserve"> </w:t>
            </w:r>
          </w:p>
        </w:tc>
        <w:tc>
          <w:tcPr>
            <w:tcW w:w="705" w:type="dxa"/>
            <w:tcBorders>
              <w:top w:val="single" w:sz="6" w:space="0" w:color="A5A5A5"/>
              <w:left w:val="nil"/>
              <w:bottom w:val="nil"/>
              <w:right w:val="nil"/>
            </w:tcBorders>
            <w:shd w:val="clear" w:color="auto" w:fill="FFFFFF"/>
            <w:tcMar>
              <w:left w:w="115" w:type="dxa"/>
              <w:right w:w="115" w:type="dxa"/>
            </w:tcMar>
            <w:vAlign w:val="bottom"/>
          </w:tcPr>
          <w:p w:rsidR="00BC07B1" w:rsidRPr="00491918" w:rsidRDefault="00BC07B1" w:rsidP="000B3F05">
            <w:pPr>
              <w:jc w:val="right"/>
              <w:rPr>
                <w:i/>
                <w:color w:val="000000"/>
                <w:sz w:val="16"/>
              </w:rPr>
            </w:pPr>
            <w:r w:rsidRPr="00491918">
              <w:rPr>
                <w:i/>
                <w:color w:val="000000"/>
                <w:sz w:val="16"/>
              </w:rPr>
              <w:t xml:space="preserve"> </w:t>
            </w:r>
          </w:p>
        </w:tc>
        <w:tc>
          <w:tcPr>
            <w:tcW w:w="960" w:type="dxa"/>
            <w:tcBorders>
              <w:top w:val="single" w:sz="6" w:space="0" w:color="A5A5A5"/>
              <w:left w:val="nil"/>
              <w:bottom w:val="nil"/>
              <w:right w:val="nil"/>
            </w:tcBorders>
            <w:shd w:val="clear" w:color="auto" w:fill="FFFFFF"/>
            <w:tcMar>
              <w:left w:w="115" w:type="dxa"/>
              <w:right w:w="115" w:type="dxa"/>
            </w:tcMar>
            <w:vAlign w:val="bottom"/>
          </w:tcPr>
          <w:p w:rsidR="00BC07B1" w:rsidRPr="00491918" w:rsidRDefault="00BC07B1" w:rsidP="000B3F05">
            <w:pPr>
              <w:jc w:val="right"/>
              <w:rPr>
                <w:i/>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single" w:sz="6" w:space="0" w:color="A5A5A5"/>
              <w:left w:val="nil"/>
              <w:bottom w:val="nil"/>
              <w:right w:val="nil"/>
            </w:tcBorders>
            <w:shd w:val="clear" w:color="auto" w:fill="FFFFFF"/>
            <w:tcMar>
              <w:left w:w="115" w:type="dxa"/>
              <w:right w:w="115" w:type="dxa"/>
            </w:tcMar>
          </w:tcPr>
          <w:p w:rsidR="00BC07B1" w:rsidRPr="00491918" w:rsidRDefault="00BC07B1" w:rsidP="00BC07B1">
            <w:pPr>
              <w:jc w:val="right"/>
              <w:rPr>
                <w:i/>
                <w:color w:val="000000"/>
                <w:sz w:val="16"/>
                <w:vertAlign w:val="superscript"/>
              </w:rPr>
            </w:pPr>
            <w:r w:rsidRPr="00491918">
              <w:rPr>
                <w:i/>
                <w:color w:val="000000"/>
                <w:sz w:val="16"/>
              </w:rPr>
              <w:t xml:space="preserve"> </w:t>
            </w:r>
            <w:r w:rsidRPr="00491918">
              <w:rPr>
                <w:i/>
                <w:color w:val="000000"/>
                <w:sz w:val="16"/>
                <w:vertAlign w:val="superscript"/>
              </w:rPr>
              <w:t xml:space="preserve"> </w:t>
            </w:r>
          </w:p>
        </w:tc>
      </w:tr>
    </w:tbl>
    <w:p w:rsidR="00F92E6D" w:rsidRPr="00491918" w:rsidRDefault="00F92E6D"/>
    <w:tbl>
      <w:tblPr>
        <w:tblW w:w="0" w:type="auto"/>
        <w:tblLayout w:type="fixed"/>
        <w:tblLook w:val="0000" w:firstRow="0" w:lastRow="0" w:firstColumn="0" w:lastColumn="0" w:noHBand="0" w:noVBand="0"/>
      </w:tblPr>
      <w:tblGrid>
        <w:gridCol w:w="1950"/>
        <w:gridCol w:w="735"/>
        <w:gridCol w:w="885"/>
        <w:gridCol w:w="1500"/>
        <w:gridCol w:w="1500"/>
        <w:gridCol w:w="705"/>
        <w:gridCol w:w="705"/>
        <w:gridCol w:w="960"/>
        <w:gridCol w:w="705"/>
      </w:tblGrid>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Interest rate derivatives</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1,358 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(1,029)</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Discounted Cash Flows</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Inflation forwards</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0.4 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4 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color w:val="000000"/>
                <w:sz w:val="16"/>
              </w:rPr>
              <w:t>Option Model</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Inflation Volatility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0.5 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Interest Rate (IR) Volatility</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11 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66 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IR - IR Correlation</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(34)</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w:t>
            </w:r>
            <w:r w:rsidRPr="00491918">
              <w:rPr>
                <w:i/>
                <w:color w:val="000000"/>
                <w:sz w:val="16"/>
                <w:vertAlign w:val="superscript"/>
              </w:rPr>
              <w:t xml:space="preserve"> </w:t>
            </w:r>
          </w:p>
        </w:tc>
      </w:tr>
      <w:tr w:rsidR="000B3F05" w:rsidRPr="00491918" w:rsidTr="00BC07B1">
        <w:trPr>
          <w:trHeight w:hRule="exact" w:val="90"/>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Credit derivatives</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2,379 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(1,187)</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Discounted Cash Flows</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Credit Spread</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49 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1,530 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bps</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Price</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5 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points</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color w:val="000000"/>
                <w:sz w:val="16"/>
              </w:rPr>
              <w:t>Correlation Model</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Credit Correlation</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18 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90 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Option Volatility</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7 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hRule="exact" w:val="90"/>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Equity derivatives</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1,500 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(2,038)</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Option Model</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Equity Volatility</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14 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150 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Equity - Equity Correlation</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25 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706EA9">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i/>
                <w:color w:val="000000"/>
                <w:sz w:val="16"/>
              </w:rPr>
              <w:t xml:space="preserve"> </w:t>
            </w:r>
          </w:p>
        </w:tc>
        <w:tc>
          <w:tcPr>
            <w:tcW w:w="885"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p>
        </w:tc>
        <w:tc>
          <w:tcPr>
            <w:tcW w:w="1500"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Equity - FX correlation</w:t>
            </w:r>
            <w:r w:rsidRPr="00491918">
              <w:rPr>
                <w:i/>
                <w:color w:val="000000"/>
                <w:sz w:val="16"/>
                <w:vertAlign w:val="superscript"/>
              </w:rPr>
              <w:t xml:space="preserve"> </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(91)</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65 </w:t>
            </w:r>
          </w:p>
        </w:tc>
        <w:tc>
          <w:tcPr>
            <w:tcW w:w="960"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706EA9" w:rsidRPr="00491918" w:rsidTr="00706EA9">
        <w:trPr>
          <w:trHeight w:hRule="exact" w:val="227"/>
        </w:trPr>
        <w:tc>
          <w:tcPr>
            <w:tcW w:w="3570" w:type="dxa"/>
            <w:gridSpan w:val="3"/>
            <w:tcBorders>
              <w:top w:val="nil"/>
              <w:left w:val="nil"/>
              <w:bottom w:val="nil"/>
              <w:right w:val="nil"/>
            </w:tcBorders>
            <w:shd w:val="clear" w:color="auto" w:fill="FFFFFF"/>
            <w:tcMar>
              <w:left w:w="115" w:type="dxa"/>
              <w:right w:w="115" w:type="dxa"/>
            </w:tcMar>
          </w:tcPr>
          <w:p w:rsidR="00706EA9" w:rsidRPr="00491918" w:rsidRDefault="00706EA9" w:rsidP="00BC07B1">
            <w:pPr>
              <w:rPr>
                <w:i/>
                <w:color w:val="000000"/>
                <w:sz w:val="16"/>
                <w:vertAlign w:val="superscript"/>
              </w:rPr>
            </w:pPr>
            <w:r w:rsidRPr="00491918">
              <w:rPr>
                <w:b/>
                <w:color w:val="000000"/>
                <w:sz w:val="16"/>
              </w:rPr>
              <w:t>Non derivative financial instruments</w:t>
            </w:r>
            <w:r w:rsidRPr="00491918">
              <w:rPr>
                <w:b/>
                <w:color w:val="000000"/>
                <w:sz w:val="16"/>
                <w:vertAlign w:val="superscript"/>
              </w:rPr>
              <w:t xml:space="preserve"> </w:t>
            </w:r>
          </w:p>
          <w:p w:rsidR="00706EA9" w:rsidRPr="00491918" w:rsidRDefault="00706EA9" w:rsidP="00BC07B1">
            <w:pPr>
              <w:jc w:val="right"/>
              <w:rPr>
                <w:b/>
                <w:color w:val="000000"/>
                <w:sz w:val="16"/>
                <w:vertAlign w:val="superscript"/>
              </w:rPr>
            </w:pPr>
            <w:r w:rsidRPr="00491918">
              <w:rPr>
                <w:i/>
                <w:color w:val="000000"/>
                <w:sz w:val="16"/>
              </w:rPr>
              <w:t xml:space="preserve"> </w:t>
            </w:r>
          </w:p>
          <w:p w:rsidR="00706EA9" w:rsidRPr="00491918" w:rsidRDefault="00706EA9" w:rsidP="00BC07B1">
            <w:pPr>
              <w:jc w:val="right"/>
              <w:rPr>
                <w:i/>
                <w:color w:val="000000"/>
                <w:sz w:val="16"/>
              </w:rPr>
            </w:pPr>
            <w:r w:rsidRPr="00491918">
              <w:rPr>
                <w:i/>
                <w:color w:val="000000"/>
                <w:sz w:val="16"/>
              </w:rPr>
              <w:t xml:space="preserve"> </w:t>
            </w:r>
          </w:p>
        </w:tc>
        <w:tc>
          <w:tcPr>
            <w:tcW w:w="1500" w:type="dxa"/>
            <w:tcBorders>
              <w:top w:val="nil"/>
              <w:left w:val="nil"/>
              <w:bottom w:val="nil"/>
              <w:right w:val="nil"/>
            </w:tcBorders>
            <w:shd w:val="clear" w:color="auto" w:fill="FFFFFF"/>
            <w:tcMar>
              <w:left w:w="115" w:type="dxa"/>
              <w:right w:w="115" w:type="dxa"/>
            </w:tcMar>
          </w:tcPr>
          <w:p w:rsidR="00706EA9" w:rsidRPr="00491918" w:rsidRDefault="00706EA9" w:rsidP="00BC07B1">
            <w:pPr>
              <w:jc w:val="right"/>
              <w:rPr>
                <w:i/>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FFFFFF"/>
            <w:tcMar>
              <w:left w:w="115" w:type="dxa"/>
              <w:right w:w="115" w:type="dxa"/>
            </w:tcMar>
          </w:tcPr>
          <w:p w:rsidR="00706EA9" w:rsidRPr="00491918" w:rsidRDefault="00706EA9"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FFFFFF"/>
            <w:tcMar>
              <w:left w:w="115" w:type="dxa"/>
              <w:right w:w="115" w:type="dxa"/>
            </w:tcMar>
          </w:tcPr>
          <w:p w:rsidR="00706EA9" w:rsidRPr="00491918" w:rsidRDefault="00706EA9" w:rsidP="00BC07B1">
            <w:pPr>
              <w:jc w:val="right"/>
              <w:rPr>
                <w:i/>
                <w:color w:val="000000"/>
                <w:sz w:val="16"/>
                <w:vertAlign w:val="superscript"/>
              </w:rPr>
            </w:pPr>
            <w:r w:rsidRPr="00491918">
              <w:rPr>
                <w:color w:val="000000"/>
                <w:sz w:val="16"/>
              </w:rPr>
              <w:t xml:space="preserve"> </w:t>
            </w:r>
          </w:p>
        </w:tc>
        <w:tc>
          <w:tcPr>
            <w:tcW w:w="705" w:type="dxa"/>
            <w:tcBorders>
              <w:top w:val="nil"/>
              <w:left w:val="nil"/>
              <w:bottom w:val="nil"/>
              <w:right w:val="nil"/>
            </w:tcBorders>
            <w:shd w:val="clear" w:color="auto" w:fill="FFFFFF"/>
            <w:tcMar>
              <w:left w:w="115" w:type="dxa"/>
              <w:right w:w="115" w:type="dxa"/>
            </w:tcMar>
          </w:tcPr>
          <w:p w:rsidR="00706EA9" w:rsidRPr="00491918" w:rsidRDefault="00706EA9" w:rsidP="00BC07B1">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115" w:type="dxa"/>
              <w:right w:w="115" w:type="dxa"/>
            </w:tcMar>
          </w:tcPr>
          <w:p w:rsidR="00706EA9" w:rsidRPr="00491918" w:rsidRDefault="00706EA9"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FFFFFF"/>
            <w:tcMar>
              <w:left w:w="115" w:type="dxa"/>
              <w:right w:w="115" w:type="dxa"/>
            </w:tcMar>
          </w:tcPr>
          <w:p w:rsidR="00706EA9" w:rsidRPr="00491918" w:rsidRDefault="00706EA9" w:rsidP="00BC07B1">
            <w:pPr>
              <w:jc w:val="right"/>
              <w:rPr>
                <w:i/>
                <w:color w:val="000000"/>
                <w:sz w:val="16"/>
                <w:vertAlign w:val="superscript"/>
              </w:rPr>
            </w:pPr>
            <w:r w:rsidRPr="00491918">
              <w:rPr>
                <w:i/>
                <w:color w:val="000000"/>
                <w:sz w:val="16"/>
              </w:rPr>
              <w:t xml:space="preserve"> </w:t>
            </w:r>
            <w:r w:rsidRPr="00491918">
              <w:rPr>
                <w:i/>
                <w:color w:val="000000"/>
                <w:sz w:val="16"/>
                <w:vertAlign w:val="superscript"/>
              </w:rPr>
              <w:t xml:space="preserve"> </w:t>
            </w:r>
          </w:p>
        </w:tc>
      </w:tr>
    </w:tbl>
    <w:p w:rsidR="00F92E6D" w:rsidRPr="00491918" w:rsidRDefault="00F92E6D"/>
    <w:tbl>
      <w:tblPr>
        <w:tblW w:w="0" w:type="auto"/>
        <w:tblLayout w:type="fixed"/>
        <w:tblLook w:val="0000" w:firstRow="0" w:lastRow="0" w:firstColumn="0" w:lastColumn="0" w:noHBand="0" w:noVBand="0"/>
      </w:tblPr>
      <w:tblGrid>
        <w:gridCol w:w="1950"/>
        <w:gridCol w:w="735"/>
        <w:gridCol w:w="885"/>
        <w:gridCol w:w="1500"/>
        <w:gridCol w:w="1500"/>
        <w:gridCol w:w="705"/>
        <w:gridCol w:w="705"/>
        <w:gridCol w:w="960"/>
        <w:gridCol w:w="705"/>
      </w:tblGrid>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Corporate debt</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3,274 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(15)</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Discounted Cash Flows</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Credit Spread</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135 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550 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227 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bps</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Comparable Pricing</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Price</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104 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32 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points</w:t>
            </w:r>
            <w:r w:rsidRPr="00491918">
              <w:rPr>
                <w:i/>
                <w:color w:val="000000"/>
                <w:sz w:val="16"/>
                <w:vertAlign w:val="superscript"/>
              </w:rPr>
              <w:t xml:space="preserve"> </w:t>
            </w:r>
          </w:p>
        </w:tc>
      </w:tr>
      <w:tr w:rsidR="000B3F05" w:rsidRPr="00491918" w:rsidTr="00BC07B1">
        <w:trPr>
          <w:trHeight w:hRule="exact" w:val="90"/>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Asset backed securities</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3,294 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(209)</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Discounted Cash Flows</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Conditional Prepayment Rate</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44 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6 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Constant Default Rate</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23 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5 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Discount Margin</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300 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1,200 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576 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bps</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Loss Given Default</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100 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72 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Yield</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47 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7 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Credit Spread</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6 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4,869 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253 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bps</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Comparable Pricing</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Price</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104 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60 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points</w:t>
            </w:r>
            <w:r w:rsidRPr="00491918">
              <w:rPr>
                <w:i/>
                <w:color w:val="000000"/>
                <w:sz w:val="16"/>
                <w:vertAlign w:val="superscript"/>
              </w:rPr>
              <w:t xml:space="preserve"> </w:t>
            </w:r>
          </w:p>
        </w:tc>
      </w:tr>
      <w:tr w:rsidR="000B3F05" w:rsidRPr="00491918" w:rsidTr="00BC07B1">
        <w:trPr>
          <w:trHeight w:hRule="exact" w:val="90"/>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Commercial real estate loans</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1,578 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Discounted Cash Flows</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Loss Given Default</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12 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0.3 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Yield</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1 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33 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11 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Credit Spread</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239 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333 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259 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bps</w:t>
            </w:r>
            <w:r w:rsidRPr="00491918">
              <w:rPr>
                <w:i/>
                <w:color w:val="000000"/>
                <w:sz w:val="16"/>
                <w:vertAlign w:val="superscript"/>
              </w:rPr>
              <w:t xml:space="preserve"> </w:t>
            </w:r>
          </w:p>
        </w:tc>
      </w:tr>
      <w:tr w:rsidR="000B3F05" w:rsidRPr="00491918" w:rsidTr="00BC07B1">
        <w:trPr>
          <w:trHeight w:hRule="exact" w:val="90"/>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BC07B1">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Non asset backed loans</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1,514 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Discounted Cash Flows</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Credit Spread</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47 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2,445 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75 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bps</w:t>
            </w:r>
            <w:r w:rsidRPr="00491918">
              <w:rPr>
                <w:i/>
                <w:color w:val="000000"/>
                <w:sz w:val="16"/>
                <w:vertAlign w:val="superscript"/>
              </w:rPr>
              <w:t xml:space="preserve"> </w:t>
            </w:r>
          </w:p>
        </w:tc>
      </w:tr>
      <w:tr w:rsidR="000B3F05" w:rsidRPr="00491918" w:rsidTr="00BC07B1">
        <w:trPr>
          <w:trHeight w:hRule="exact" w:val="90"/>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BC07B1">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A177DB">
        <w:trPr>
          <w:trHeight w:val="255"/>
        </w:trPr>
        <w:tc>
          <w:tcPr>
            <w:tcW w:w="1950" w:type="dxa"/>
            <w:tcBorders>
              <w:top w:val="nil"/>
              <w:left w:val="nil"/>
              <w:bottom w:val="nil"/>
              <w:right w:val="nil"/>
            </w:tcBorders>
            <w:shd w:val="clear" w:color="auto" w:fill="FFFFFF"/>
            <w:tcMar>
              <w:left w:w="115" w:type="dxa"/>
              <w:right w:w="115" w:type="dxa"/>
            </w:tcMar>
          </w:tcPr>
          <w:p w:rsidR="000B3F05" w:rsidRPr="00491918" w:rsidRDefault="000B3F05" w:rsidP="00A177DB">
            <w:pPr>
              <w:rPr>
                <w:i/>
                <w:color w:val="000000"/>
                <w:sz w:val="16"/>
                <w:vertAlign w:val="superscript"/>
              </w:rPr>
            </w:pPr>
            <w:r w:rsidRPr="00491918">
              <w:rPr>
                <w:color w:val="000000"/>
                <w:sz w:val="16"/>
              </w:rPr>
              <w:t>Other</w:t>
            </w:r>
            <w:r w:rsidRPr="00491918">
              <w:rPr>
                <w:color w:val="000000"/>
                <w:sz w:val="16"/>
                <w:vertAlign w:val="superscript"/>
              </w:rPr>
              <w:t>4 </w:t>
            </w:r>
          </w:p>
        </w:tc>
        <w:tc>
          <w:tcPr>
            <w:tcW w:w="73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4,851 </w:t>
            </w:r>
          </w:p>
        </w:tc>
        <w:tc>
          <w:tcPr>
            <w:tcW w:w="88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(4)</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Private equity - Discounted Cash Flows</w:t>
            </w:r>
            <w:r w:rsidRPr="00491918">
              <w:rPr>
                <w:i/>
                <w:color w:val="000000"/>
                <w:sz w:val="16"/>
                <w:vertAlign w:val="superscript"/>
              </w:rPr>
              <w:t xml:space="preserve"> </w:t>
            </w:r>
          </w:p>
        </w:tc>
        <w:tc>
          <w:tcPr>
            <w:tcW w:w="150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Liquidity discount</w:t>
            </w:r>
            <w:r w:rsidRPr="00491918">
              <w:rPr>
                <w:i/>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15 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15 </w:t>
            </w:r>
          </w:p>
        </w:tc>
        <w:tc>
          <w:tcPr>
            <w:tcW w:w="960"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15 </w:t>
            </w:r>
            <w:r w:rsidRPr="00491918">
              <w:rPr>
                <w:color w:val="000000"/>
                <w:sz w:val="16"/>
                <w:vertAlign w:val="superscript"/>
              </w:rPr>
              <w:t xml:space="preserve"> </w:t>
            </w:r>
          </w:p>
        </w:tc>
        <w:tc>
          <w:tcPr>
            <w:tcW w:w="705" w:type="dxa"/>
            <w:tcBorders>
              <w:top w:val="nil"/>
              <w:left w:val="nil"/>
              <w:bottom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5469D9">
        <w:trPr>
          <w:trHeight w:val="255"/>
        </w:trPr>
        <w:tc>
          <w:tcPr>
            <w:tcW w:w="1950" w:type="dxa"/>
            <w:tcBorders>
              <w:top w:val="nil"/>
              <w:left w:val="nil"/>
              <w:right w:val="nil"/>
            </w:tcBorders>
            <w:shd w:val="clear" w:color="auto" w:fill="FFFFFF"/>
            <w:tcMar>
              <w:left w:w="115" w:type="dxa"/>
              <w:right w:w="115" w:type="dxa"/>
            </w:tcMar>
            <w:vAlign w:val="bottom"/>
          </w:tcPr>
          <w:p w:rsidR="000B3F05" w:rsidRPr="00491918" w:rsidRDefault="000B3F05" w:rsidP="000B3F05">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i/>
                <w:color w:val="000000"/>
                <w:sz w:val="16"/>
              </w:rPr>
              <w:t xml:space="preserve"> </w:t>
            </w:r>
            <w:r w:rsidRPr="00491918">
              <w:rPr>
                <w:i/>
                <w:color w:val="000000"/>
                <w:sz w:val="16"/>
                <w:vertAlign w:val="superscript"/>
              </w:rPr>
              <w:t xml:space="preserve"> </w:t>
            </w:r>
          </w:p>
        </w:tc>
        <w:tc>
          <w:tcPr>
            <w:tcW w:w="1500"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Weighted average cost of capital</w:t>
            </w:r>
            <w:r w:rsidRPr="00491918">
              <w:rPr>
                <w:i/>
                <w:color w:val="000000"/>
                <w:sz w:val="16"/>
                <w:vertAlign w:val="superscript"/>
              </w:rPr>
              <w:t xml:space="preserve"> </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11 </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18 </w:t>
            </w:r>
          </w:p>
        </w:tc>
        <w:tc>
          <w:tcPr>
            <w:tcW w:w="960"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13 </w:t>
            </w:r>
            <w:r w:rsidRPr="00491918">
              <w:rPr>
                <w:i/>
                <w:color w:val="000000"/>
                <w:sz w:val="16"/>
                <w:vertAlign w:val="superscript"/>
              </w:rPr>
              <w:t xml:space="preserve"> </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r w:rsidR="000B3F05" w:rsidRPr="00491918" w:rsidTr="005469D9">
        <w:trPr>
          <w:trHeight w:val="255"/>
        </w:trPr>
        <w:tc>
          <w:tcPr>
            <w:tcW w:w="1950" w:type="dxa"/>
            <w:tcBorders>
              <w:top w:val="nil"/>
              <w:left w:val="nil"/>
              <w:right w:val="nil"/>
            </w:tcBorders>
            <w:shd w:val="clear" w:color="auto" w:fill="FFFFFF"/>
            <w:tcMar>
              <w:left w:w="115" w:type="dxa"/>
              <w:right w:w="115" w:type="dxa"/>
            </w:tcMar>
            <w:vAlign w:val="bottom"/>
          </w:tcPr>
          <w:p w:rsidR="000B3F05" w:rsidRPr="00491918" w:rsidRDefault="000B3F05" w:rsidP="000B3F05">
            <w:pPr>
              <w:rPr>
                <w:i/>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73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vertAlign w:val="superscript"/>
              </w:rPr>
            </w:pPr>
            <w:r w:rsidRPr="00491918">
              <w:rPr>
                <w:color w:val="000000"/>
                <w:sz w:val="16"/>
              </w:rPr>
              <w:t xml:space="preserve"> </w:t>
            </w:r>
          </w:p>
        </w:tc>
        <w:tc>
          <w:tcPr>
            <w:tcW w:w="88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 xml:space="preserve"> </w:t>
            </w:r>
          </w:p>
        </w:tc>
        <w:tc>
          <w:tcPr>
            <w:tcW w:w="1500"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Private equity - EBITDA multiple</w:t>
            </w:r>
            <w:r w:rsidRPr="00491918">
              <w:rPr>
                <w:i/>
                <w:color w:val="000000"/>
                <w:sz w:val="16"/>
                <w:vertAlign w:val="superscript"/>
              </w:rPr>
              <w:t xml:space="preserve"> </w:t>
            </w:r>
          </w:p>
        </w:tc>
        <w:tc>
          <w:tcPr>
            <w:tcW w:w="1500"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EBITDA multiples</w:t>
            </w:r>
            <w:r w:rsidRPr="00491918">
              <w:rPr>
                <w:i/>
                <w:color w:val="000000"/>
                <w:sz w:val="16"/>
                <w:vertAlign w:val="superscript"/>
              </w:rPr>
              <w:t xml:space="preserve"> </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0</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9 </w:t>
            </w:r>
          </w:p>
        </w:tc>
        <w:tc>
          <w:tcPr>
            <w:tcW w:w="960" w:type="dxa"/>
            <w:tcBorders>
              <w:top w:val="nil"/>
              <w:left w:val="nil"/>
              <w:right w:val="nil"/>
            </w:tcBorders>
            <w:shd w:val="clear" w:color="auto" w:fill="EAEAEA"/>
            <w:tcMar>
              <w:left w:w="115" w:type="dxa"/>
              <w:right w:w="115" w:type="dxa"/>
            </w:tcMar>
          </w:tcPr>
          <w:p w:rsidR="000B3F05" w:rsidRPr="00491918" w:rsidRDefault="000B3F05" w:rsidP="00BC07B1">
            <w:pPr>
              <w:jc w:val="right"/>
              <w:rPr>
                <w:color w:val="000000"/>
                <w:sz w:val="16"/>
              </w:rPr>
            </w:pPr>
            <w:r w:rsidRPr="00491918">
              <w:rPr>
                <w:color w:val="000000"/>
                <w:sz w:val="16"/>
              </w:rPr>
              <w:t>7 </w:t>
            </w:r>
            <w:r w:rsidRPr="00491918">
              <w:rPr>
                <w:i/>
                <w:color w:val="000000"/>
                <w:sz w:val="16"/>
                <w:vertAlign w:val="superscript"/>
              </w:rPr>
              <w:t xml:space="preserve"> </w:t>
            </w:r>
          </w:p>
        </w:tc>
        <w:tc>
          <w:tcPr>
            <w:tcW w:w="705" w:type="dxa"/>
            <w:tcBorders>
              <w:top w:val="nil"/>
              <w:left w:val="nil"/>
              <w:right w:val="nil"/>
            </w:tcBorders>
            <w:shd w:val="clear" w:color="auto" w:fill="EAEAEA"/>
            <w:tcMar>
              <w:left w:w="115" w:type="dxa"/>
              <w:right w:w="115" w:type="dxa"/>
            </w:tcMar>
          </w:tcPr>
          <w:p w:rsidR="000B3F05" w:rsidRPr="00491918" w:rsidRDefault="000B3F05" w:rsidP="00BC07B1">
            <w:pPr>
              <w:jc w:val="right"/>
              <w:rPr>
                <w:i/>
                <w:color w:val="000000"/>
                <w:sz w:val="16"/>
                <w:vertAlign w:val="superscript"/>
              </w:rPr>
            </w:pPr>
            <w:r w:rsidRPr="00491918">
              <w:rPr>
                <w:color w:val="000000"/>
                <w:sz w:val="16"/>
              </w:rPr>
              <w:t xml:space="preserve"> </w:t>
            </w:r>
            <w:r w:rsidRPr="00491918">
              <w:rPr>
                <w:i/>
                <w:color w:val="000000"/>
                <w:sz w:val="16"/>
                <w:vertAlign w:val="superscript"/>
              </w:rPr>
              <w:t xml:space="preserve"> </w:t>
            </w:r>
          </w:p>
        </w:tc>
      </w:tr>
    </w:tbl>
    <w:p w:rsidR="000B3F05" w:rsidRPr="00491918" w:rsidRDefault="000B3F05" w:rsidP="000B3F05"/>
    <w:p w:rsidR="000B3F05" w:rsidRPr="00491918" w:rsidRDefault="000B3F05" w:rsidP="00CC41A9">
      <w:pPr>
        <w:pStyle w:val="NoteandSourceText-BarcRA100"/>
        <w:numPr>
          <w:ilvl w:val="0"/>
          <w:numId w:val="251"/>
        </w:numPr>
      </w:pPr>
      <w:r w:rsidRPr="00491918">
        <w:t xml:space="preserve">Weighted averages have been provided for non derivative financial instruments and have been calculated by weighting inputs by the relative fair value.  A weighted average has not been provided for derivatives as weighting by fair value would not give a comparable metric. </w:t>
      </w:r>
    </w:p>
    <w:p w:rsidR="000B3F05" w:rsidRPr="00491918" w:rsidRDefault="000B3F05" w:rsidP="00BC07B1">
      <w:pPr>
        <w:pStyle w:val="NoteandSourceText-BarcRA100"/>
      </w:pPr>
      <w:r w:rsidRPr="00491918">
        <w:t>The units used to disclose ranges for significant unobservable inputs are percentages, points and basis points.  Points are a percentage of par; for example, 100 points equals 100% of par. A basis point equals 1/100th of 1%; for example, 150 basis points equals 1.5%.</w:t>
      </w:r>
    </w:p>
    <w:p w:rsidR="000B3F05" w:rsidRPr="00491918" w:rsidRDefault="000B3F05" w:rsidP="00BC07B1">
      <w:pPr>
        <w:pStyle w:val="NoteandSourceText-BarcRA100"/>
      </w:pPr>
      <w:r w:rsidRPr="00491918">
        <w:t>Certain derivative instruments are classified as L</w:t>
      </w:r>
      <w:r w:rsidR="00A177DB" w:rsidRPr="00491918">
        <w:t xml:space="preserve">evel </w:t>
      </w:r>
      <w:r w:rsidRPr="00491918">
        <w:t>3 due to a significant unobservable credit spread input into the calculation of the Credit Valuation Adjustment (CVA) for the instruments. The range of unobservable credit spreads is between 49-1,530bps.</w:t>
      </w:r>
    </w:p>
    <w:p w:rsidR="000B3F05" w:rsidRPr="00491918" w:rsidRDefault="000B3F05" w:rsidP="00BC07B1">
      <w:pPr>
        <w:pStyle w:val="NoteandSourceText-BarcRA100"/>
      </w:pPr>
      <w:r w:rsidRPr="00491918">
        <w:t>Other primarily includes receivables resulting from the acquisition of the North American business of Lehman Brothers, asset backed loans and private equity investments.</w:t>
      </w:r>
    </w:p>
    <w:p w:rsidR="000B3F05" w:rsidRPr="00491918" w:rsidRDefault="000B3F05" w:rsidP="000B3F05"/>
    <w:p w:rsidR="000B3F05" w:rsidRPr="00491918" w:rsidRDefault="000B3F05" w:rsidP="000B3F05">
      <w:pPr>
        <w:pStyle w:val="BodyText-AR00"/>
        <w:rPr>
          <w:rFonts w:cs="FrutigerLTCom-Light"/>
          <w:sz w:val="18"/>
          <w:szCs w:val="18"/>
          <w:lang w:eastAsia="en-GB"/>
        </w:rPr>
      </w:pPr>
    </w:p>
    <w:p w:rsidR="0007202F" w:rsidRPr="00491918" w:rsidRDefault="0007202F" w:rsidP="0007202F">
      <w:pPr>
        <w:pStyle w:val="HeadingLevel1-BarcRA49"/>
        <w:rPr>
          <w:lang w:val="en-GB"/>
        </w:rPr>
      </w:pPr>
    </w:p>
    <w:p w:rsidR="0007202F" w:rsidRPr="00491918" w:rsidRDefault="0007202F" w:rsidP="0007202F">
      <w:pPr>
        <w:pStyle w:val="HeadingLevel1-BarcRA49"/>
      </w:pPr>
      <w:r w:rsidRPr="00491918">
        <w:t>Financial Statement Notes</w:t>
      </w:r>
    </w:p>
    <w:p w:rsidR="000B3F05" w:rsidRPr="00491918" w:rsidRDefault="000B3F05" w:rsidP="00A177DB">
      <w:pPr>
        <w:pStyle w:val="BodyText-AR00"/>
        <w:jc w:val="both"/>
        <w:rPr>
          <w:rFonts w:cs="FrutigerLTCom-Light"/>
          <w:sz w:val="18"/>
          <w:szCs w:val="18"/>
          <w:lang w:eastAsia="en-GB"/>
        </w:rPr>
      </w:pPr>
      <w:r w:rsidRPr="00491918">
        <w:rPr>
          <w:rFonts w:cs="FrutigerLTCom-Light"/>
          <w:sz w:val="18"/>
          <w:szCs w:val="18"/>
          <w:lang w:eastAsia="en-GB"/>
        </w:rPr>
        <w:t>The following section describes the significant unobservable inputs identified in the table above, and the sensitivity of fair value measurement of the instruments categorised as Level 3 assets or liabilities to increases in significant unobservable inputs. Where sensitivities are described the inverse relationship will also generally apply.</w:t>
      </w:r>
    </w:p>
    <w:p w:rsidR="000B3F05" w:rsidRPr="00491918" w:rsidRDefault="000B3F05" w:rsidP="00A177DB">
      <w:pPr>
        <w:pStyle w:val="BodyText-AR00"/>
        <w:jc w:val="both"/>
        <w:rPr>
          <w:rFonts w:cs="FrutigerLTCom-Light"/>
          <w:sz w:val="18"/>
          <w:szCs w:val="18"/>
          <w:lang w:eastAsia="en-GB"/>
        </w:rPr>
      </w:pPr>
    </w:p>
    <w:p w:rsidR="000B3F05" w:rsidRPr="00491918" w:rsidRDefault="000B3F05" w:rsidP="00A177DB">
      <w:pPr>
        <w:pStyle w:val="BodyText-AR00"/>
        <w:jc w:val="both"/>
        <w:rPr>
          <w:rFonts w:cs="TimesNewRomanPSMT*1"/>
          <w:color w:val="000000"/>
          <w:sz w:val="18"/>
          <w:szCs w:val="18"/>
          <w:lang w:eastAsia="en-GB"/>
        </w:rPr>
      </w:pPr>
      <w:r w:rsidRPr="00491918">
        <w:rPr>
          <w:rFonts w:cs="TimesNewRomanPSMT*1"/>
          <w:color w:val="000000"/>
          <w:sz w:val="18"/>
          <w:szCs w:val="18"/>
          <w:lang w:eastAsia="en-GB"/>
        </w:rPr>
        <w:lastRenderedPageBreak/>
        <w:t>Where reliable interrelationships can be identified between significant unobservable inputs used in fair value measurement a description of those interrelationships is included below.</w:t>
      </w:r>
    </w:p>
    <w:p w:rsidR="000B3F05" w:rsidRPr="00491918" w:rsidRDefault="000B3F05" w:rsidP="00A177DB">
      <w:pPr>
        <w:pStyle w:val="BodyText-AR00"/>
        <w:jc w:val="both"/>
        <w:rPr>
          <w:sz w:val="18"/>
          <w:szCs w:val="18"/>
        </w:rPr>
      </w:pPr>
    </w:p>
    <w:p w:rsidR="000B3F05" w:rsidRPr="00491918" w:rsidRDefault="000B3F05" w:rsidP="008D6001">
      <w:pPr>
        <w:pStyle w:val="BodyText-AR00"/>
        <w:jc w:val="both"/>
        <w:outlineLvl w:val="0"/>
        <w:rPr>
          <w:b/>
          <w:sz w:val="18"/>
          <w:szCs w:val="18"/>
        </w:rPr>
      </w:pPr>
      <w:r w:rsidRPr="00491918">
        <w:rPr>
          <w:b/>
          <w:sz w:val="18"/>
          <w:szCs w:val="18"/>
        </w:rPr>
        <w:t>Comparable Price</w:t>
      </w:r>
    </w:p>
    <w:p w:rsidR="000B3F05" w:rsidRPr="00491918" w:rsidRDefault="000B3F05" w:rsidP="00A177DB">
      <w:pPr>
        <w:pStyle w:val="BodyText-AR00"/>
        <w:jc w:val="both"/>
        <w:rPr>
          <w:sz w:val="18"/>
          <w:szCs w:val="18"/>
          <w:lang w:eastAsia="en-GB"/>
        </w:rPr>
      </w:pPr>
      <w:r w:rsidRPr="00491918">
        <w:rPr>
          <w:sz w:val="18"/>
          <w:szCs w:val="18"/>
        </w:rPr>
        <w:t xml:space="preserve">Comparable instrument prices are used in valuation by calculating an implied yield (or spread over a liquid benchmark) from the price of a comparable observable bond, then adjusting that yield (or spread) to derive a value for the unobservable bond. The adjustment to yield (or spread) should account for relevant differences in the bonds such as maturity or credit quality. Alternatively, a price-to-price basis can be assumed between the comparable instrument and bond being valued in order to establish the value of the bond. </w:t>
      </w:r>
      <w:r w:rsidRPr="00491918">
        <w:rPr>
          <w:sz w:val="18"/>
          <w:szCs w:val="18"/>
          <w:lang w:eastAsia="en-GB"/>
        </w:rPr>
        <w:t xml:space="preserve">In general a significant increase in </w:t>
      </w:r>
      <w:r w:rsidRPr="00491918">
        <w:rPr>
          <w:sz w:val="18"/>
          <w:szCs w:val="18"/>
        </w:rPr>
        <w:t>comparable price</w:t>
      </w:r>
      <w:r w:rsidRPr="00491918">
        <w:rPr>
          <w:sz w:val="18"/>
          <w:szCs w:val="18"/>
          <w:lang w:eastAsia="en-GB"/>
        </w:rPr>
        <w:t xml:space="preserve"> in isolation will result in a movement in fair value that is favourable for the holder of a cash instrument.</w:t>
      </w:r>
    </w:p>
    <w:p w:rsidR="000B3F05" w:rsidRPr="00491918" w:rsidRDefault="000B3F05" w:rsidP="00A177DB">
      <w:pPr>
        <w:pStyle w:val="BodyText-AR00"/>
        <w:jc w:val="both"/>
        <w:rPr>
          <w:sz w:val="18"/>
          <w:szCs w:val="18"/>
        </w:rPr>
      </w:pPr>
    </w:p>
    <w:p w:rsidR="000B3F05" w:rsidRPr="00491918" w:rsidRDefault="000B3F05" w:rsidP="00A177DB">
      <w:pPr>
        <w:pStyle w:val="BodyText-AR00"/>
        <w:jc w:val="both"/>
        <w:rPr>
          <w:sz w:val="18"/>
          <w:szCs w:val="18"/>
        </w:rPr>
      </w:pPr>
      <w:r w:rsidRPr="00491918">
        <w:rPr>
          <w:sz w:val="18"/>
          <w:szCs w:val="18"/>
        </w:rPr>
        <w:t xml:space="preserve">For a derivative instrument, </w:t>
      </w:r>
      <w:r w:rsidRPr="00491918">
        <w:rPr>
          <w:sz w:val="18"/>
          <w:szCs w:val="18"/>
          <w:lang w:eastAsia="en-GB"/>
        </w:rPr>
        <w:t xml:space="preserve">a significant increase in an input derived from a </w:t>
      </w:r>
      <w:r w:rsidRPr="00491918">
        <w:rPr>
          <w:sz w:val="18"/>
          <w:szCs w:val="18"/>
        </w:rPr>
        <w:t>comparable price</w:t>
      </w:r>
      <w:r w:rsidRPr="00491918">
        <w:rPr>
          <w:sz w:val="18"/>
          <w:szCs w:val="18"/>
          <w:lang w:eastAsia="en-GB"/>
        </w:rPr>
        <w:t xml:space="preserve"> in isolation can result in a movement in fair value that is favourable or unfavourable depending on the specific terms of the instrument.</w:t>
      </w:r>
    </w:p>
    <w:p w:rsidR="000B3F05" w:rsidRPr="00491918" w:rsidRDefault="000B3F05" w:rsidP="00A177DB">
      <w:pPr>
        <w:pStyle w:val="BodyText-AR00"/>
        <w:jc w:val="both"/>
        <w:rPr>
          <w:rFonts w:cs="TimesNewRomanPSMT*1"/>
          <w:color w:val="000000"/>
          <w:sz w:val="18"/>
          <w:szCs w:val="18"/>
          <w:lang w:eastAsia="en-GB"/>
        </w:rPr>
      </w:pPr>
    </w:p>
    <w:p w:rsidR="000B3F05" w:rsidRPr="00491918" w:rsidRDefault="000B3F05" w:rsidP="008D6001">
      <w:pPr>
        <w:pStyle w:val="BodyText-AR00"/>
        <w:jc w:val="both"/>
        <w:outlineLvl w:val="0"/>
        <w:rPr>
          <w:b/>
          <w:sz w:val="18"/>
          <w:szCs w:val="18"/>
        </w:rPr>
      </w:pPr>
      <w:r w:rsidRPr="00491918">
        <w:rPr>
          <w:b/>
          <w:sz w:val="18"/>
          <w:szCs w:val="18"/>
        </w:rPr>
        <w:t>Conditional Prepayment Rate</w:t>
      </w:r>
    </w:p>
    <w:p w:rsidR="000B3F05" w:rsidRPr="00491918" w:rsidRDefault="000B3F05" w:rsidP="00A177DB">
      <w:pPr>
        <w:pStyle w:val="BodyText-AR00"/>
        <w:jc w:val="both"/>
        <w:rPr>
          <w:sz w:val="18"/>
          <w:szCs w:val="18"/>
        </w:rPr>
      </w:pPr>
      <w:r w:rsidRPr="00491918">
        <w:rPr>
          <w:sz w:val="18"/>
          <w:szCs w:val="18"/>
          <w:lang w:val="en-US"/>
        </w:rPr>
        <w:t>Conditional prepayment rate is the</w:t>
      </w:r>
      <w:r w:rsidRPr="00491918">
        <w:rPr>
          <w:sz w:val="18"/>
          <w:szCs w:val="18"/>
        </w:rPr>
        <w:t xml:space="preserve"> proportion of voluntary, unscheduled repayments of loan principal by a borrower. Prepayment rates affect the weighted average life of securities by altering the timing of future projected cashflows.  </w:t>
      </w:r>
    </w:p>
    <w:p w:rsidR="000B3F05" w:rsidRPr="00491918" w:rsidRDefault="000B3F05" w:rsidP="00A177DB">
      <w:pPr>
        <w:pStyle w:val="BodyText-AR00"/>
        <w:jc w:val="both"/>
        <w:rPr>
          <w:sz w:val="18"/>
          <w:szCs w:val="18"/>
        </w:rPr>
      </w:pPr>
    </w:p>
    <w:p w:rsidR="000B3F05" w:rsidRPr="00491918" w:rsidRDefault="000B3F05" w:rsidP="00A177DB">
      <w:pPr>
        <w:pStyle w:val="BodyText-AR00"/>
        <w:jc w:val="both"/>
        <w:rPr>
          <w:sz w:val="18"/>
          <w:szCs w:val="18"/>
          <w:lang w:eastAsia="en-GB"/>
        </w:rPr>
      </w:pPr>
      <w:r w:rsidRPr="00491918">
        <w:rPr>
          <w:sz w:val="18"/>
          <w:szCs w:val="18"/>
          <w:lang w:eastAsia="en-GB"/>
        </w:rPr>
        <w:t>A significant increase in a conditional prepayment rate in isolation can result in a movement in fair value that is favourable or unfavourable depending on the specific terms of the instrument.</w:t>
      </w:r>
    </w:p>
    <w:p w:rsidR="000B3F05" w:rsidRPr="00491918" w:rsidRDefault="000B3F05" w:rsidP="00A177DB">
      <w:pPr>
        <w:pStyle w:val="BodyText-AR00"/>
        <w:jc w:val="both"/>
        <w:rPr>
          <w:sz w:val="18"/>
          <w:szCs w:val="18"/>
        </w:rPr>
      </w:pPr>
    </w:p>
    <w:p w:rsidR="000B3F05" w:rsidRPr="00491918" w:rsidRDefault="000B3F05" w:rsidP="00A177DB">
      <w:pPr>
        <w:pStyle w:val="BodyText-AR00"/>
        <w:jc w:val="both"/>
        <w:rPr>
          <w:sz w:val="18"/>
          <w:szCs w:val="18"/>
        </w:rPr>
      </w:pPr>
      <w:r w:rsidRPr="00491918">
        <w:rPr>
          <w:sz w:val="18"/>
          <w:szCs w:val="18"/>
        </w:rPr>
        <w:t xml:space="preserve">Conditional prepayment rates are typically inversely correlated to credit spread. i.e. Securities with high borrower credit spread typically experience lower prepayment rates, and also tend to experience higher default rates. </w:t>
      </w:r>
    </w:p>
    <w:p w:rsidR="000B3F05" w:rsidRPr="00491918" w:rsidRDefault="000B3F05" w:rsidP="00A177DB">
      <w:pPr>
        <w:pStyle w:val="BodyText-AR00"/>
        <w:jc w:val="both"/>
        <w:rPr>
          <w:sz w:val="18"/>
          <w:szCs w:val="18"/>
        </w:rPr>
      </w:pPr>
    </w:p>
    <w:p w:rsidR="000B3F05" w:rsidRPr="00491918" w:rsidRDefault="000B3F05" w:rsidP="008D6001">
      <w:pPr>
        <w:pStyle w:val="BodyText-AR00"/>
        <w:jc w:val="both"/>
        <w:outlineLvl w:val="0"/>
        <w:rPr>
          <w:b/>
          <w:sz w:val="18"/>
          <w:szCs w:val="18"/>
        </w:rPr>
      </w:pPr>
      <w:r w:rsidRPr="00491918">
        <w:rPr>
          <w:b/>
          <w:sz w:val="18"/>
          <w:szCs w:val="18"/>
        </w:rPr>
        <w:t>Constant Default Rate</w:t>
      </w:r>
    </w:p>
    <w:p w:rsidR="000B3F05" w:rsidRPr="00491918" w:rsidRDefault="000B3F05" w:rsidP="00A177DB">
      <w:pPr>
        <w:pStyle w:val="BodyText-AR00"/>
        <w:jc w:val="both"/>
        <w:rPr>
          <w:sz w:val="18"/>
          <w:szCs w:val="18"/>
        </w:rPr>
      </w:pPr>
      <w:r w:rsidRPr="00491918">
        <w:rPr>
          <w:sz w:val="18"/>
          <w:szCs w:val="18"/>
        </w:rPr>
        <w:t>The Constant Default Rate represents an annualised rate of default of the loan principal by the borrower.</w:t>
      </w:r>
      <w:r w:rsidR="007D257D" w:rsidRPr="00491918">
        <w:rPr>
          <w:sz w:val="18"/>
          <w:szCs w:val="18"/>
          <w:lang w:eastAsia="en-GB"/>
        </w:rPr>
        <w:t xml:space="preserve"> </w:t>
      </w:r>
      <w:r w:rsidRPr="00491918">
        <w:rPr>
          <w:sz w:val="18"/>
          <w:szCs w:val="18"/>
          <w:lang w:eastAsia="en-GB"/>
        </w:rPr>
        <w:t>A significant increase in a constant default rate in isolation can result in a movement in fair value that is favourable or unfavourable depending on the specific terms of the instrument.</w:t>
      </w:r>
    </w:p>
    <w:p w:rsidR="000B3F05" w:rsidRPr="00491918" w:rsidRDefault="000B3F05" w:rsidP="00A177DB">
      <w:pPr>
        <w:pStyle w:val="BodyText-AR00"/>
        <w:jc w:val="both"/>
        <w:rPr>
          <w:sz w:val="18"/>
          <w:szCs w:val="18"/>
        </w:rPr>
      </w:pPr>
    </w:p>
    <w:p w:rsidR="000B3F05" w:rsidRPr="00491918" w:rsidRDefault="000B3F05" w:rsidP="00A177DB">
      <w:pPr>
        <w:pStyle w:val="BodyText-AR00"/>
        <w:jc w:val="both"/>
        <w:rPr>
          <w:sz w:val="18"/>
          <w:szCs w:val="18"/>
        </w:rPr>
      </w:pPr>
      <w:r w:rsidRPr="00491918">
        <w:rPr>
          <w:sz w:val="18"/>
          <w:szCs w:val="18"/>
        </w:rPr>
        <w:t>Constant Default Rate and Conditional Prepayment Rates are typically inversely correlated, less defaults on loans typically will mean higher credit quality and therefore more prepayments</w:t>
      </w:r>
      <w:r w:rsidR="00AE7D5F" w:rsidRPr="00491918">
        <w:rPr>
          <w:sz w:val="18"/>
          <w:szCs w:val="18"/>
        </w:rPr>
        <w:t>.</w:t>
      </w:r>
    </w:p>
    <w:p w:rsidR="000B3F05" w:rsidRPr="00491918" w:rsidRDefault="000B3F05" w:rsidP="00A177DB">
      <w:pPr>
        <w:pStyle w:val="BodyText-AR00"/>
        <w:jc w:val="both"/>
        <w:rPr>
          <w:rFonts w:cs="TimesNewRomanPSMT*1"/>
          <w:color w:val="000000"/>
          <w:sz w:val="18"/>
          <w:szCs w:val="18"/>
          <w:lang w:eastAsia="en-GB"/>
        </w:rPr>
      </w:pPr>
    </w:p>
    <w:p w:rsidR="000B3F05" w:rsidRPr="00491918" w:rsidRDefault="000B3F05" w:rsidP="008D6001">
      <w:pPr>
        <w:pStyle w:val="BodyText-AR00"/>
        <w:jc w:val="both"/>
        <w:outlineLvl w:val="0"/>
        <w:rPr>
          <w:b/>
          <w:sz w:val="18"/>
          <w:szCs w:val="18"/>
        </w:rPr>
      </w:pPr>
      <w:r w:rsidRPr="00491918">
        <w:rPr>
          <w:b/>
          <w:sz w:val="18"/>
          <w:szCs w:val="18"/>
        </w:rPr>
        <w:t xml:space="preserve">Correlation </w:t>
      </w:r>
    </w:p>
    <w:p w:rsidR="000B3F05" w:rsidRPr="00491918" w:rsidRDefault="000B3F05" w:rsidP="00A177DB">
      <w:pPr>
        <w:pStyle w:val="BodyText-AR00"/>
        <w:jc w:val="both"/>
        <w:rPr>
          <w:sz w:val="18"/>
          <w:szCs w:val="18"/>
          <w:lang w:eastAsia="en-GB"/>
        </w:rPr>
      </w:pPr>
      <w:r w:rsidRPr="00491918">
        <w:rPr>
          <w:sz w:val="18"/>
          <w:szCs w:val="18"/>
          <w:lang w:eastAsia="en-GB"/>
        </w:rPr>
        <w:t xml:space="preserve">Correlation is a measure of the relationship between the movements of two variables (i.e. how the change in one variable influences a change in the other variable).   Correlation is a key input into valuation of derivative contracts with more than one underlying instrument. For example, where an option contract is written on a basket of underlying names the volatility of the basket, and hence the fair value of the option, will depend on the correlation between the basket components. Credit correlation generally refers to the correlation between default processes for the separate names that make up the reference pool of a collateralised debt obligation structure. </w:t>
      </w:r>
    </w:p>
    <w:p w:rsidR="000B3F05" w:rsidRPr="00491918" w:rsidRDefault="000B3F05" w:rsidP="00A177DB">
      <w:pPr>
        <w:pStyle w:val="BodyText-AR00"/>
        <w:jc w:val="both"/>
        <w:rPr>
          <w:sz w:val="18"/>
          <w:szCs w:val="18"/>
          <w:lang w:eastAsia="en-GB"/>
        </w:rPr>
      </w:pPr>
    </w:p>
    <w:p w:rsidR="000B3F05" w:rsidRPr="00491918" w:rsidRDefault="000B3F05" w:rsidP="00A177DB">
      <w:pPr>
        <w:pStyle w:val="BodyText-AR00"/>
        <w:jc w:val="both"/>
        <w:rPr>
          <w:sz w:val="18"/>
          <w:szCs w:val="18"/>
          <w:lang w:eastAsia="en-GB"/>
        </w:rPr>
      </w:pPr>
      <w:r w:rsidRPr="00491918">
        <w:rPr>
          <w:sz w:val="18"/>
          <w:szCs w:val="18"/>
          <w:lang w:eastAsia="en-GB"/>
        </w:rPr>
        <w:t>A significant increase in correlation in isolation can result in a movement in fair value that is favourable or unfavourable depending on the specific terms of the instrument.</w:t>
      </w:r>
    </w:p>
    <w:p w:rsidR="000B3F05" w:rsidRPr="00491918" w:rsidRDefault="000B3F05" w:rsidP="00A177DB">
      <w:pPr>
        <w:pStyle w:val="BodyText-AR00"/>
        <w:jc w:val="both"/>
        <w:rPr>
          <w:sz w:val="18"/>
          <w:szCs w:val="18"/>
          <w:lang w:eastAsia="en-GB"/>
        </w:rPr>
      </w:pPr>
    </w:p>
    <w:p w:rsidR="000B3F05" w:rsidRPr="00491918" w:rsidRDefault="000B3F05" w:rsidP="008D6001">
      <w:pPr>
        <w:pStyle w:val="BodyText-AR00"/>
        <w:jc w:val="both"/>
        <w:outlineLvl w:val="0"/>
        <w:rPr>
          <w:b/>
          <w:sz w:val="18"/>
          <w:szCs w:val="18"/>
        </w:rPr>
      </w:pPr>
      <w:r w:rsidRPr="00491918">
        <w:rPr>
          <w:b/>
          <w:sz w:val="18"/>
          <w:szCs w:val="18"/>
          <w:lang w:val="en-US"/>
        </w:rPr>
        <w:t>Credit Spread / Discount Margin</w:t>
      </w:r>
    </w:p>
    <w:p w:rsidR="000B3F05" w:rsidRPr="00491918" w:rsidRDefault="000B3F05" w:rsidP="00A177DB">
      <w:pPr>
        <w:pStyle w:val="BodyText-AR00"/>
        <w:jc w:val="both"/>
        <w:rPr>
          <w:sz w:val="18"/>
          <w:szCs w:val="18"/>
          <w:lang w:eastAsia="en-GB"/>
        </w:rPr>
      </w:pPr>
      <w:r w:rsidRPr="00491918">
        <w:rPr>
          <w:sz w:val="18"/>
          <w:szCs w:val="18"/>
        </w:rPr>
        <w:t xml:space="preserve">Credit spreads typically represent the difference in yield between an instrument and a benchmark security or reference rate. Credit spreads reflect the additional yield that a market participant would demand for taking exposure to the credit risk of an instrument. The credit spread for an instrument forms part of the yield used in a discounted cashflow calculation. </w:t>
      </w:r>
      <w:r w:rsidRPr="00491918">
        <w:rPr>
          <w:sz w:val="18"/>
          <w:szCs w:val="18"/>
          <w:lang w:eastAsia="en-GB"/>
        </w:rPr>
        <w:t xml:space="preserve">In general a significant increase in </w:t>
      </w:r>
      <w:r w:rsidRPr="00491918">
        <w:rPr>
          <w:sz w:val="18"/>
          <w:szCs w:val="18"/>
        </w:rPr>
        <w:t>credit spread or discount margin</w:t>
      </w:r>
      <w:r w:rsidRPr="00491918">
        <w:rPr>
          <w:sz w:val="18"/>
          <w:szCs w:val="18"/>
          <w:lang w:eastAsia="en-GB"/>
        </w:rPr>
        <w:t xml:space="preserve"> in isolation will result in a movement in fair value that is unfavourable for the holder of a cash instrument.</w:t>
      </w:r>
    </w:p>
    <w:p w:rsidR="000B3F05" w:rsidRPr="00491918" w:rsidRDefault="000B3F05" w:rsidP="00A177DB">
      <w:pPr>
        <w:pStyle w:val="BodyText-AR00"/>
        <w:jc w:val="both"/>
        <w:rPr>
          <w:sz w:val="18"/>
          <w:szCs w:val="18"/>
        </w:rPr>
      </w:pPr>
    </w:p>
    <w:p w:rsidR="000B3F05" w:rsidRPr="00491918" w:rsidRDefault="000B3F05" w:rsidP="00A177DB">
      <w:pPr>
        <w:pStyle w:val="BodyText-AR00"/>
        <w:jc w:val="both"/>
        <w:rPr>
          <w:sz w:val="18"/>
          <w:szCs w:val="18"/>
        </w:rPr>
      </w:pPr>
      <w:r w:rsidRPr="00491918">
        <w:rPr>
          <w:sz w:val="18"/>
          <w:szCs w:val="18"/>
        </w:rPr>
        <w:t xml:space="preserve">For a derivative instrument, </w:t>
      </w:r>
      <w:r w:rsidRPr="00491918">
        <w:rPr>
          <w:sz w:val="18"/>
          <w:szCs w:val="18"/>
          <w:lang w:eastAsia="en-GB"/>
        </w:rPr>
        <w:t xml:space="preserve">a significant increase in </w:t>
      </w:r>
      <w:r w:rsidRPr="00491918">
        <w:rPr>
          <w:sz w:val="18"/>
          <w:szCs w:val="18"/>
        </w:rPr>
        <w:t>credit spread or discount margin</w:t>
      </w:r>
      <w:r w:rsidRPr="00491918">
        <w:rPr>
          <w:sz w:val="18"/>
          <w:szCs w:val="18"/>
          <w:lang w:eastAsia="en-GB"/>
        </w:rPr>
        <w:t xml:space="preserve"> in isolation can result in a movement in fair value that is favourable or unfavourable depending on the specific terms of the instrument.</w:t>
      </w:r>
    </w:p>
    <w:p w:rsidR="000B3F05" w:rsidRPr="00491918" w:rsidRDefault="000B3F05" w:rsidP="00A177DB">
      <w:pPr>
        <w:pStyle w:val="BodyText-AR00"/>
        <w:jc w:val="both"/>
        <w:rPr>
          <w:sz w:val="18"/>
          <w:szCs w:val="18"/>
        </w:rPr>
      </w:pPr>
    </w:p>
    <w:p w:rsidR="000B3F05" w:rsidRPr="00491918" w:rsidRDefault="000B3F05" w:rsidP="008D6001">
      <w:pPr>
        <w:pStyle w:val="BodyText-AR00"/>
        <w:jc w:val="both"/>
        <w:outlineLvl w:val="0"/>
        <w:rPr>
          <w:b/>
          <w:sz w:val="18"/>
          <w:szCs w:val="18"/>
        </w:rPr>
      </w:pPr>
      <w:r w:rsidRPr="00491918">
        <w:rPr>
          <w:b/>
          <w:sz w:val="18"/>
          <w:szCs w:val="18"/>
        </w:rPr>
        <w:t xml:space="preserve">EBITDA </w:t>
      </w:r>
    </w:p>
    <w:p w:rsidR="000B3F05" w:rsidRPr="00491918" w:rsidRDefault="000B3F05" w:rsidP="00A177DB">
      <w:pPr>
        <w:pStyle w:val="BodyText-AR00"/>
        <w:jc w:val="both"/>
        <w:rPr>
          <w:sz w:val="18"/>
          <w:szCs w:val="18"/>
          <w:lang w:eastAsia="en-GB"/>
        </w:rPr>
      </w:pPr>
      <w:r w:rsidRPr="00491918">
        <w:rPr>
          <w:sz w:val="18"/>
          <w:szCs w:val="18"/>
        </w:rPr>
        <w:t>Earnings Before Interest, Taxes, Depreciation, and Amortization is an industry standard measure of maintainable earnings for an entity.</w:t>
      </w:r>
      <w:r w:rsidR="00A177DB" w:rsidRPr="00491918">
        <w:rPr>
          <w:sz w:val="18"/>
          <w:szCs w:val="18"/>
          <w:lang w:eastAsia="en-GB"/>
        </w:rPr>
        <w:t xml:space="preserve"> </w:t>
      </w:r>
      <w:r w:rsidRPr="00491918">
        <w:rPr>
          <w:sz w:val="18"/>
          <w:szCs w:val="18"/>
          <w:lang w:eastAsia="en-GB"/>
        </w:rPr>
        <w:t xml:space="preserve">In general a significant increase in </w:t>
      </w:r>
      <w:r w:rsidRPr="00491918">
        <w:rPr>
          <w:sz w:val="18"/>
          <w:szCs w:val="18"/>
        </w:rPr>
        <w:t>EBITDA</w:t>
      </w:r>
      <w:r w:rsidRPr="00491918">
        <w:rPr>
          <w:sz w:val="18"/>
          <w:szCs w:val="18"/>
          <w:lang w:eastAsia="en-GB"/>
        </w:rPr>
        <w:t xml:space="preserve"> in isolation will result in a movement in fair value that is favourable for the entity.</w:t>
      </w:r>
    </w:p>
    <w:p w:rsidR="000B3F05" w:rsidRPr="00491918" w:rsidRDefault="000B3F05" w:rsidP="00A177DB">
      <w:pPr>
        <w:pStyle w:val="BodyText-AR00"/>
        <w:jc w:val="both"/>
        <w:rPr>
          <w:b/>
          <w:sz w:val="18"/>
          <w:szCs w:val="18"/>
        </w:rPr>
      </w:pPr>
    </w:p>
    <w:p w:rsidR="0007202F" w:rsidRPr="00491918" w:rsidRDefault="0007202F" w:rsidP="00A177DB">
      <w:pPr>
        <w:pStyle w:val="BodyText-AR00"/>
        <w:jc w:val="both"/>
        <w:rPr>
          <w:b/>
          <w:sz w:val="18"/>
          <w:szCs w:val="18"/>
        </w:rPr>
      </w:pPr>
    </w:p>
    <w:p w:rsidR="0007202F" w:rsidRPr="00491918" w:rsidRDefault="0007202F" w:rsidP="00A177DB">
      <w:pPr>
        <w:pStyle w:val="BodyText-AR00"/>
        <w:jc w:val="both"/>
        <w:rPr>
          <w:b/>
          <w:sz w:val="18"/>
          <w:szCs w:val="18"/>
        </w:rPr>
      </w:pPr>
    </w:p>
    <w:p w:rsidR="0007202F" w:rsidRPr="00491918" w:rsidRDefault="0007202F" w:rsidP="0007202F">
      <w:pPr>
        <w:pStyle w:val="HeadingLevel1-BarcRA49"/>
      </w:pPr>
      <w:r w:rsidRPr="00491918">
        <w:t>Financial Statement Notes</w:t>
      </w:r>
    </w:p>
    <w:p w:rsidR="000B3F05" w:rsidRPr="00491918" w:rsidRDefault="000B3F05" w:rsidP="008D6001">
      <w:pPr>
        <w:pStyle w:val="BodyText-AR00"/>
        <w:jc w:val="both"/>
        <w:outlineLvl w:val="0"/>
        <w:rPr>
          <w:b/>
          <w:sz w:val="18"/>
          <w:szCs w:val="18"/>
        </w:rPr>
      </w:pPr>
      <w:r w:rsidRPr="00491918">
        <w:rPr>
          <w:b/>
          <w:sz w:val="18"/>
          <w:szCs w:val="18"/>
        </w:rPr>
        <w:t xml:space="preserve">EBITDA multiples </w:t>
      </w:r>
    </w:p>
    <w:p w:rsidR="000B3F05" w:rsidRPr="00491918" w:rsidRDefault="000B3F05" w:rsidP="00A177DB">
      <w:pPr>
        <w:pStyle w:val="BodyText-AR00"/>
        <w:jc w:val="both"/>
        <w:rPr>
          <w:sz w:val="18"/>
          <w:szCs w:val="18"/>
        </w:rPr>
      </w:pPr>
      <w:r w:rsidRPr="00491918">
        <w:rPr>
          <w:sz w:val="18"/>
          <w:szCs w:val="18"/>
        </w:rPr>
        <w:t xml:space="preserve">EBITDA multiples represent the Enterprise Value to EBITDA ratio, where the Enterprise Value is the aggregate value of equity and debt minus cash and cash equivalents for an entity. </w:t>
      </w:r>
      <w:r w:rsidRPr="00491918">
        <w:rPr>
          <w:sz w:val="18"/>
          <w:szCs w:val="18"/>
          <w:lang w:eastAsia="en-GB"/>
        </w:rPr>
        <w:t xml:space="preserve">In general a significant increase in </w:t>
      </w:r>
      <w:r w:rsidRPr="00491918">
        <w:rPr>
          <w:sz w:val="18"/>
          <w:szCs w:val="18"/>
        </w:rPr>
        <w:t>EBITDA</w:t>
      </w:r>
      <w:r w:rsidRPr="00491918">
        <w:rPr>
          <w:sz w:val="18"/>
          <w:szCs w:val="18"/>
          <w:lang w:eastAsia="en-GB"/>
        </w:rPr>
        <w:t xml:space="preserve"> multiples in isolation will result in a movement in fair value that is favourable for the entity.</w:t>
      </w:r>
    </w:p>
    <w:p w:rsidR="000B3F05" w:rsidRPr="00491918" w:rsidRDefault="000B3F05" w:rsidP="00A177DB">
      <w:pPr>
        <w:pStyle w:val="BodyText-AR00"/>
        <w:jc w:val="both"/>
        <w:rPr>
          <w:rFonts w:cs="TimesNewRomanPSMT*1"/>
          <w:b/>
          <w:color w:val="000000"/>
          <w:sz w:val="18"/>
          <w:szCs w:val="18"/>
          <w:lang w:eastAsia="en-GB"/>
        </w:rPr>
      </w:pPr>
    </w:p>
    <w:p w:rsidR="000B3F05" w:rsidRPr="00491918" w:rsidRDefault="000B3F05" w:rsidP="008D6001">
      <w:pPr>
        <w:pStyle w:val="BodyText-AR00"/>
        <w:jc w:val="both"/>
        <w:outlineLvl w:val="0"/>
        <w:rPr>
          <w:sz w:val="18"/>
          <w:szCs w:val="18"/>
        </w:rPr>
      </w:pPr>
      <w:r w:rsidRPr="00491918">
        <w:rPr>
          <w:b/>
          <w:sz w:val="18"/>
          <w:szCs w:val="18"/>
        </w:rPr>
        <w:t>Forwards</w:t>
      </w:r>
    </w:p>
    <w:p w:rsidR="000B3F05" w:rsidRPr="00491918" w:rsidRDefault="000B3F05" w:rsidP="00A177DB">
      <w:pPr>
        <w:pStyle w:val="BodyText-AR00"/>
        <w:jc w:val="both"/>
        <w:rPr>
          <w:sz w:val="18"/>
          <w:szCs w:val="18"/>
          <w:lang w:eastAsia="en-GB"/>
        </w:rPr>
      </w:pPr>
      <w:r w:rsidRPr="00491918">
        <w:rPr>
          <w:sz w:val="18"/>
          <w:szCs w:val="18"/>
        </w:rPr>
        <w:t>A price or rate that is applicable to a financial transaction that will take place in the future. A forward is generally based on the spot price or rate, adjusted for the cost of carry, and defines the price or rate that will be used to deliver a currency, bond, commodity or some other underlying instrument at a point in the future. A forward may also refer to the rate fixed for a future financial obligation, such as the interest rate on a loan payment. In general a significant increase in a forward in isolation will result in a movement in fair value that is favourable for the contracted receiver of the underlying (currency, bond, commodity etc.),</w:t>
      </w:r>
      <w:r w:rsidRPr="00491918">
        <w:rPr>
          <w:sz w:val="18"/>
          <w:szCs w:val="18"/>
          <w:lang w:eastAsia="en-GB"/>
        </w:rPr>
        <w:t xml:space="preserve"> but the sensitivity is dependent on the specific terms of the instrument.</w:t>
      </w:r>
    </w:p>
    <w:p w:rsidR="000B3F05" w:rsidRPr="00491918" w:rsidRDefault="000B3F05" w:rsidP="00A177DB">
      <w:pPr>
        <w:pStyle w:val="BodyText-AR00"/>
        <w:jc w:val="both"/>
        <w:rPr>
          <w:sz w:val="18"/>
          <w:szCs w:val="18"/>
        </w:rPr>
      </w:pPr>
    </w:p>
    <w:p w:rsidR="000B3F05" w:rsidRPr="00491918" w:rsidRDefault="000B3F05" w:rsidP="008D6001">
      <w:pPr>
        <w:pStyle w:val="BodyText-AR00"/>
        <w:jc w:val="both"/>
        <w:outlineLvl w:val="0"/>
        <w:rPr>
          <w:b/>
          <w:sz w:val="18"/>
          <w:szCs w:val="18"/>
        </w:rPr>
      </w:pPr>
      <w:r w:rsidRPr="00491918">
        <w:rPr>
          <w:b/>
          <w:sz w:val="18"/>
          <w:szCs w:val="18"/>
        </w:rPr>
        <w:lastRenderedPageBreak/>
        <w:t>Liquidity discount</w:t>
      </w:r>
    </w:p>
    <w:p w:rsidR="000B3F05" w:rsidRPr="00491918" w:rsidRDefault="000B3F05" w:rsidP="00A177DB">
      <w:pPr>
        <w:pStyle w:val="BodyText-AR00"/>
        <w:jc w:val="both"/>
        <w:rPr>
          <w:sz w:val="18"/>
          <w:szCs w:val="18"/>
        </w:rPr>
      </w:pPr>
      <w:r w:rsidRPr="00491918">
        <w:rPr>
          <w:sz w:val="18"/>
          <w:szCs w:val="18"/>
        </w:rPr>
        <w:t xml:space="preserve">A liquidity discount is the basis between listed firms (highly liquid) and unlisted private equity. </w:t>
      </w:r>
      <w:r w:rsidRPr="00491918">
        <w:rPr>
          <w:sz w:val="18"/>
          <w:szCs w:val="18"/>
          <w:lang w:eastAsia="en-GB"/>
        </w:rPr>
        <w:t xml:space="preserve">In general a significant increase in </w:t>
      </w:r>
      <w:r w:rsidRPr="00491918">
        <w:rPr>
          <w:sz w:val="18"/>
          <w:szCs w:val="18"/>
        </w:rPr>
        <w:t>liquidity discount</w:t>
      </w:r>
      <w:r w:rsidRPr="00491918">
        <w:rPr>
          <w:sz w:val="18"/>
          <w:szCs w:val="18"/>
          <w:lang w:eastAsia="en-GB"/>
        </w:rPr>
        <w:t xml:space="preserve"> in isolation will result in a movement in fair value that is unfavourable for the unlisted private equity.</w:t>
      </w:r>
    </w:p>
    <w:p w:rsidR="000B3F05" w:rsidRPr="00491918" w:rsidRDefault="000B3F05" w:rsidP="00A177DB">
      <w:pPr>
        <w:pStyle w:val="BodyText-AR00"/>
        <w:jc w:val="both"/>
        <w:rPr>
          <w:sz w:val="18"/>
          <w:szCs w:val="18"/>
        </w:rPr>
      </w:pPr>
    </w:p>
    <w:p w:rsidR="000B3F05" w:rsidRPr="00491918" w:rsidRDefault="000B3F05" w:rsidP="008D6001">
      <w:pPr>
        <w:pStyle w:val="BodyText-AR00"/>
        <w:jc w:val="both"/>
        <w:outlineLvl w:val="0"/>
        <w:rPr>
          <w:b/>
          <w:sz w:val="18"/>
          <w:szCs w:val="18"/>
        </w:rPr>
      </w:pPr>
      <w:r w:rsidRPr="00491918">
        <w:rPr>
          <w:b/>
          <w:sz w:val="18"/>
          <w:szCs w:val="18"/>
        </w:rPr>
        <w:t>Loss Given Default</w:t>
      </w:r>
    </w:p>
    <w:p w:rsidR="000B3F05" w:rsidRPr="00491918" w:rsidRDefault="000B3F05" w:rsidP="00A177DB">
      <w:pPr>
        <w:pStyle w:val="BodyText-AR00"/>
        <w:jc w:val="both"/>
        <w:rPr>
          <w:sz w:val="18"/>
          <w:szCs w:val="18"/>
        </w:rPr>
      </w:pPr>
      <w:r w:rsidRPr="00491918">
        <w:rPr>
          <w:sz w:val="18"/>
          <w:szCs w:val="18"/>
        </w:rPr>
        <w:t>Loss Given Default represents the expected loss upon liquidation of the collateral as a percentage of the balance outstanding.</w:t>
      </w:r>
      <w:r w:rsidR="007D257D" w:rsidRPr="00491918">
        <w:rPr>
          <w:sz w:val="18"/>
          <w:szCs w:val="18"/>
        </w:rPr>
        <w:t xml:space="preserve"> </w:t>
      </w:r>
      <w:r w:rsidRPr="00491918">
        <w:rPr>
          <w:sz w:val="18"/>
          <w:szCs w:val="18"/>
        </w:rPr>
        <w:t>In general</w:t>
      </w:r>
      <w:r w:rsidR="00020023" w:rsidRPr="00491918">
        <w:rPr>
          <w:sz w:val="18"/>
          <w:szCs w:val="18"/>
        </w:rPr>
        <w:t xml:space="preserve">, </w:t>
      </w:r>
      <w:r w:rsidRPr="00491918">
        <w:rPr>
          <w:sz w:val="18"/>
          <w:szCs w:val="18"/>
        </w:rPr>
        <w:t>lower recovery and lower projected cashflows to pay to the securitisation</w:t>
      </w:r>
      <w:r w:rsidR="00020023" w:rsidRPr="00491918">
        <w:rPr>
          <w:sz w:val="18"/>
          <w:szCs w:val="18"/>
        </w:rPr>
        <w:t xml:space="preserve"> will translate to a significant increase in the Loss Given Default</w:t>
      </w:r>
      <w:r w:rsidRPr="00491918">
        <w:rPr>
          <w:sz w:val="18"/>
          <w:szCs w:val="18"/>
        </w:rPr>
        <w:t xml:space="preserve">, resulting in a </w:t>
      </w:r>
      <w:r w:rsidR="00020023" w:rsidRPr="00491918">
        <w:rPr>
          <w:sz w:val="18"/>
          <w:szCs w:val="18"/>
        </w:rPr>
        <w:t xml:space="preserve">reduction </w:t>
      </w:r>
      <w:r w:rsidRPr="00491918">
        <w:rPr>
          <w:sz w:val="18"/>
          <w:szCs w:val="18"/>
        </w:rPr>
        <w:t>in fair value that is unfavourable for the holder of the securitised product.</w:t>
      </w:r>
    </w:p>
    <w:p w:rsidR="000B3F05" w:rsidRPr="00491918" w:rsidRDefault="000B3F05" w:rsidP="00A177DB">
      <w:pPr>
        <w:pStyle w:val="BodyText-AR00"/>
        <w:jc w:val="both"/>
        <w:rPr>
          <w:sz w:val="18"/>
          <w:szCs w:val="18"/>
        </w:rPr>
      </w:pPr>
    </w:p>
    <w:p w:rsidR="000B3F05" w:rsidRPr="00491918" w:rsidRDefault="000B3F05" w:rsidP="008D6001">
      <w:pPr>
        <w:pStyle w:val="BodyText-AR00"/>
        <w:jc w:val="both"/>
        <w:outlineLvl w:val="0"/>
        <w:rPr>
          <w:b/>
          <w:sz w:val="18"/>
          <w:szCs w:val="18"/>
        </w:rPr>
      </w:pPr>
      <w:r w:rsidRPr="00491918">
        <w:rPr>
          <w:b/>
          <w:sz w:val="18"/>
          <w:szCs w:val="18"/>
        </w:rPr>
        <w:t>Volatility</w:t>
      </w:r>
    </w:p>
    <w:p w:rsidR="000B3F05" w:rsidRPr="00491918" w:rsidRDefault="000B3F05" w:rsidP="00A177DB">
      <w:pPr>
        <w:pStyle w:val="BodyText-AR00"/>
        <w:jc w:val="both"/>
        <w:rPr>
          <w:sz w:val="18"/>
          <w:szCs w:val="18"/>
          <w:lang w:eastAsia="en-GB"/>
        </w:rPr>
      </w:pPr>
      <w:r w:rsidRPr="00491918">
        <w:rPr>
          <w:sz w:val="18"/>
          <w:szCs w:val="18"/>
          <w:lang w:eastAsia="en-GB"/>
        </w:rPr>
        <w:t>Volatility is a key input in the valuation of derivative products containing optionality. Volatility is a measure of the variability or uncertainty in returns for a given derivative underlying. It represents an estimate of how much a particular underlying instrument, parameter or index will change in value over time.  In general, volatilities will be implied from observed option prices. For unobservable options the implied volatility may reflect additional assumptions about the nature of the underlying risk, as well as reflecting the given strike/maturity profile of a specific option contract.</w:t>
      </w:r>
    </w:p>
    <w:p w:rsidR="000B3F05" w:rsidRPr="00491918" w:rsidRDefault="000B3F05" w:rsidP="00A177DB">
      <w:pPr>
        <w:pStyle w:val="BodyText-AR00"/>
        <w:jc w:val="both"/>
        <w:rPr>
          <w:sz w:val="18"/>
          <w:szCs w:val="18"/>
        </w:rPr>
      </w:pPr>
    </w:p>
    <w:p w:rsidR="000B3F05" w:rsidRPr="00491918" w:rsidRDefault="000B3F05" w:rsidP="00A177DB">
      <w:pPr>
        <w:pStyle w:val="BodyText-AR00"/>
        <w:jc w:val="both"/>
        <w:rPr>
          <w:sz w:val="18"/>
          <w:szCs w:val="18"/>
          <w:lang w:eastAsia="en-GB"/>
        </w:rPr>
      </w:pPr>
      <w:r w:rsidRPr="00491918">
        <w:rPr>
          <w:sz w:val="18"/>
          <w:szCs w:val="18"/>
          <w:lang w:eastAsia="en-GB"/>
        </w:rPr>
        <w:t>In general a significant increase in volatility in isolation will result in a movement in fair value that is favourable for the holder of a simple option, but the sensitivity is dependent on the specific terms of the instrument.</w:t>
      </w:r>
    </w:p>
    <w:p w:rsidR="000B3F05" w:rsidRPr="00491918" w:rsidRDefault="000B3F05" w:rsidP="00A177DB">
      <w:pPr>
        <w:pStyle w:val="BodyText-AR00"/>
        <w:jc w:val="both"/>
        <w:rPr>
          <w:sz w:val="18"/>
          <w:szCs w:val="18"/>
        </w:rPr>
      </w:pPr>
    </w:p>
    <w:p w:rsidR="000B3F05" w:rsidRPr="00491918" w:rsidRDefault="000B3F05" w:rsidP="00A177DB">
      <w:pPr>
        <w:pStyle w:val="BodyText-AR00"/>
        <w:jc w:val="both"/>
        <w:rPr>
          <w:sz w:val="18"/>
          <w:szCs w:val="18"/>
        </w:rPr>
      </w:pPr>
      <w:r w:rsidRPr="00491918">
        <w:rPr>
          <w:sz w:val="18"/>
          <w:szCs w:val="18"/>
        </w:rPr>
        <w:t>There may be inter-relationships between unobservable volatilities and other unobservable inputs that can be implied from observation (e.g. when equity prices fall, implied equity volatilities generally rise) but these are specific to individual markets and may vary over time.</w:t>
      </w:r>
    </w:p>
    <w:p w:rsidR="000B3F05" w:rsidRPr="00491918" w:rsidRDefault="000B3F05" w:rsidP="00A177DB">
      <w:pPr>
        <w:pStyle w:val="BodyText-AR00"/>
        <w:jc w:val="both"/>
        <w:rPr>
          <w:b/>
          <w:sz w:val="18"/>
          <w:szCs w:val="18"/>
        </w:rPr>
      </w:pPr>
    </w:p>
    <w:p w:rsidR="000B3F05" w:rsidRPr="00491918" w:rsidRDefault="000B3F05" w:rsidP="008D6001">
      <w:pPr>
        <w:pStyle w:val="BodyText-AR00"/>
        <w:jc w:val="both"/>
        <w:outlineLvl w:val="0"/>
        <w:rPr>
          <w:b/>
          <w:sz w:val="18"/>
          <w:szCs w:val="18"/>
        </w:rPr>
      </w:pPr>
      <w:r w:rsidRPr="00491918">
        <w:rPr>
          <w:b/>
          <w:sz w:val="18"/>
          <w:szCs w:val="18"/>
        </w:rPr>
        <w:t xml:space="preserve">Weighted average cost of capital </w:t>
      </w:r>
    </w:p>
    <w:p w:rsidR="000B3F05" w:rsidRPr="00491918" w:rsidRDefault="000B3F05" w:rsidP="00A177DB">
      <w:pPr>
        <w:pStyle w:val="BodyText-AR00"/>
        <w:jc w:val="both"/>
        <w:rPr>
          <w:sz w:val="18"/>
          <w:szCs w:val="18"/>
        </w:rPr>
      </w:pPr>
      <w:r w:rsidRPr="00491918">
        <w:rPr>
          <w:sz w:val="18"/>
          <w:szCs w:val="18"/>
        </w:rPr>
        <w:t xml:space="preserve">Discount factor applied to cashflow forecasts to reflect the risks of receiving those cashflows. </w:t>
      </w:r>
      <w:r w:rsidRPr="00491918">
        <w:rPr>
          <w:sz w:val="18"/>
          <w:szCs w:val="18"/>
          <w:lang w:eastAsia="en-GB"/>
        </w:rPr>
        <w:t xml:space="preserve">In general a significant increase in </w:t>
      </w:r>
      <w:r w:rsidRPr="00491918">
        <w:rPr>
          <w:sz w:val="18"/>
          <w:szCs w:val="18"/>
        </w:rPr>
        <w:t>weighted average cost of capital</w:t>
      </w:r>
      <w:r w:rsidRPr="00491918">
        <w:rPr>
          <w:sz w:val="18"/>
          <w:szCs w:val="18"/>
          <w:lang w:eastAsia="en-GB"/>
        </w:rPr>
        <w:t xml:space="preserve"> in isolation will result in a movement in fair value that is unfavourable for the receiver of the cashflows.</w:t>
      </w:r>
    </w:p>
    <w:p w:rsidR="000B3F05" w:rsidRPr="00491918" w:rsidRDefault="000B3F05" w:rsidP="00A177DB">
      <w:pPr>
        <w:pStyle w:val="BodyText-AR00"/>
        <w:jc w:val="both"/>
        <w:rPr>
          <w:sz w:val="18"/>
          <w:szCs w:val="18"/>
        </w:rPr>
      </w:pPr>
    </w:p>
    <w:p w:rsidR="000B3F05" w:rsidRPr="00491918" w:rsidRDefault="000B3F05" w:rsidP="008D6001">
      <w:pPr>
        <w:pStyle w:val="BodyText-AR00"/>
        <w:jc w:val="both"/>
        <w:outlineLvl w:val="0"/>
        <w:rPr>
          <w:b/>
          <w:sz w:val="18"/>
          <w:szCs w:val="18"/>
        </w:rPr>
      </w:pPr>
      <w:r w:rsidRPr="00491918">
        <w:rPr>
          <w:b/>
          <w:sz w:val="18"/>
          <w:szCs w:val="18"/>
        </w:rPr>
        <w:t>Yield</w:t>
      </w:r>
    </w:p>
    <w:p w:rsidR="000B3F05" w:rsidRPr="00491918" w:rsidRDefault="000B3F05" w:rsidP="00A177DB">
      <w:pPr>
        <w:pStyle w:val="BodyText-AR00"/>
        <w:jc w:val="both"/>
        <w:rPr>
          <w:szCs w:val="18"/>
        </w:rPr>
      </w:pPr>
      <w:r w:rsidRPr="00491918">
        <w:rPr>
          <w:sz w:val="18"/>
          <w:szCs w:val="18"/>
        </w:rPr>
        <w:t>The rate used to discount projected cashflows in a discounted future cashflow analysis. In general a significant increase in yield in isolation will result in a movement in fair value that is unfavourable for the holder of a cash instrument.</w:t>
      </w:r>
    </w:p>
    <w:p w:rsidR="000B3F05" w:rsidRPr="00491918" w:rsidRDefault="000B3F05" w:rsidP="00A177DB">
      <w:pPr>
        <w:jc w:val="both"/>
        <w:rPr>
          <w:szCs w:val="18"/>
        </w:rPr>
      </w:pPr>
    </w:p>
    <w:p w:rsidR="007D257D" w:rsidRPr="00491918" w:rsidRDefault="007D257D" w:rsidP="000B3F05">
      <w:pPr>
        <w:pStyle w:val="HeadingLevel2-BarcRA5"/>
        <w:rPr>
          <w:lang w:val="en-GB"/>
        </w:rPr>
      </w:pPr>
    </w:p>
    <w:p w:rsidR="007D257D" w:rsidRPr="00491918" w:rsidRDefault="007D257D" w:rsidP="000B3F05">
      <w:pPr>
        <w:pStyle w:val="HeadingLevel2-BarcRA5"/>
        <w:rPr>
          <w:lang w:val="en-GB"/>
        </w:rPr>
      </w:pPr>
    </w:p>
    <w:p w:rsidR="0007202F" w:rsidRPr="00491918" w:rsidRDefault="00E05735" w:rsidP="0007202F">
      <w:pPr>
        <w:pStyle w:val="HeadingLevel1-BarcRA49"/>
      </w:pPr>
      <w:r w:rsidRPr="00491918">
        <w:br w:type="page"/>
      </w:r>
      <w:r w:rsidR="0007202F" w:rsidRPr="00491918">
        <w:lastRenderedPageBreak/>
        <w:t>Financial Statement Notes</w:t>
      </w:r>
    </w:p>
    <w:p w:rsidR="000B3F05" w:rsidRPr="00491918" w:rsidRDefault="000B3F05" w:rsidP="008D6001">
      <w:pPr>
        <w:pStyle w:val="HeadingLevel2-BarcRA5"/>
        <w:outlineLvl w:val="0"/>
      </w:pPr>
      <w:r w:rsidRPr="00491918">
        <w:t>Fair value adjustments</w:t>
      </w:r>
    </w:p>
    <w:p w:rsidR="000B3F05" w:rsidRPr="00491918" w:rsidRDefault="000B3F05" w:rsidP="000B3F05">
      <w:pPr>
        <w:pStyle w:val="BodyText-BarcRA10"/>
      </w:pPr>
      <w:r w:rsidRPr="00491918">
        <w:t xml:space="preserve">Valuation adjustments made are consistent with those described in detail in the 2012 Annual Report. </w:t>
      </w:r>
    </w:p>
    <w:p w:rsidR="000B3F05" w:rsidRPr="00491918" w:rsidRDefault="000B3F05" w:rsidP="0021631B">
      <w:pPr>
        <w:pStyle w:val="BodyText-BarcRA10"/>
      </w:pPr>
      <w:r w:rsidRPr="00491918">
        <w:t xml:space="preserve">At 30 June 2013, the own credit adjustment arose from the fair valuation of Barclays financial liabilities designated at fair value. Barclays credit spreads </w:t>
      </w:r>
      <w:r w:rsidR="00A24F51" w:rsidRPr="00491918">
        <w:t>widened</w:t>
      </w:r>
      <w:r w:rsidRPr="00491918">
        <w:t xml:space="preserve"> during 2013, leading to a gain of £86m (2012: charge of £2,945m) from the fair value of changes primarily in own credit itself but also reflecting the effects of foreign exchange rates, time decay and trade activity.</w:t>
      </w:r>
    </w:p>
    <w:p w:rsidR="000B3F05" w:rsidRPr="00491918" w:rsidRDefault="000B3F05" w:rsidP="0021631B">
      <w:pPr>
        <w:pStyle w:val="Normal14"/>
        <w:autoSpaceDE w:val="0"/>
        <w:autoSpaceDN w:val="0"/>
        <w:jc w:val="both"/>
        <w:rPr>
          <w:sz w:val="18"/>
          <w:szCs w:val="20"/>
        </w:rPr>
      </w:pPr>
      <w:r w:rsidRPr="00491918">
        <w:rPr>
          <w:sz w:val="18"/>
          <w:szCs w:val="20"/>
        </w:rPr>
        <w:t>The Group uses the portfolio exe</w:t>
      </w:r>
      <w:r w:rsidR="00E05735" w:rsidRPr="00491918">
        <w:rPr>
          <w:sz w:val="18"/>
          <w:szCs w:val="20"/>
        </w:rPr>
        <w:t>mption in IFRS 13 Fair Value Measurement</w:t>
      </w:r>
      <w:r w:rsidRPr="00491918">
        <w:rPr>
          <w:sz w:val="18"/>
          <w:szCs w:val="20"/>
        </w:rPr>
        <w:t xml:space="preserve"> to measure the fair value of the group financial assets and financial liabilities. </w:t>
      </w:r>
      <w:r w:rsidR="005469D9" w:rsidRPr="00491918">
        <w:rPr>
          <w:sz w:val="18"/>
          <w:szCs w:val="20"/>
        </w:rPr>
        <w:t xml:space="preserve">Instruments are measured using the </w:t>
      </w:r>
      <w:r w:rsidRPr="00491918">
        <w:rPr>
          <w:sz w:val="18"/>
          <w:szCs w:val="20"/>
        </w:rPr>
        <w:t xml:space="preserve">price that would be received to sell a net long position (i.e. an asset) for a particular risk exposure or to transfer a net short position (i.e. a liability) for a particular risk exposure in an orderly transaction between market participants at the </w:t>
      </w:r>
      <w:r w:rsidR="005469D9" w:rsidRPr="00491918">
        <w:rPr>
          <w:sz w:val="18"/>
          <w:szCs w:val="20"/>
        </w:rPr>
        <w:t>balance sheet</w:t>
      </w:r>
      <w:r w:rsidRPr="00491918">
        <w:rPr>
          <w:sz w:val="18"/>
          <w:szCs w:val="20"/>
        </w:rPr>
        <w:t xml:space="preserve"> date under current market conditions.</w:t>
      </w:r>
    </w:p>
    <w:p w:rsidR="000B3F05" w:rsidRPr="00491918" w:rsidRDefault="000B3F05" w:rsidP="000B3F05">
      <w:pPr>
        <w:pStyle w:val="BodyText-BarcRA10"/>
      </w:pPr>
      <w:r w:rsidRPr="00491918">
        <w:t>Other key valuation adjustments that may be of interest from a financial statement user perspective are quantified below:</w:t>
      </w:r>
    </w:p>
    <w:p w:rsidR="000B3F05" w:rsidRPr="00491918" w:rsidRDefault="000B3F05" w:rsidP="000B3F05"/>
    <w:tbl>
      <w:tblPr>
        <w:tblW w:w="0" w:type="auto"/>
        <w:tblLayout w:type="fixed"/>
        <w:tblLook w:val="0000" w:firstRow="0" w:lastRow="0" w:firstColumn="0" w:lastColumn="0" w:noHBand="0" w:noVBand="0"/>
      </w:tblPr>
      <w:tblGrid>
        <w:gridCol w:w="6285"/>
        <w:gridCol w:w="1125"/>
        <w:gridCol w:w="1125"/>
        <w:gridCol w:w="1125"/>
      </w:tblGrid>
      <w:tr w:rsidR="000B3F05" w:rsidRPr="00491918" w:rsidTr="000B3F05">
        <w:trPr>
          <w:trHeight w:val="255"/>
        </w:trPr>
        <w:tc>
          <w:tcPr>
            <w:tcW w:w="628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r w:rsidRPr="00491918">
              <w:rPr>
                <w:color w:val="000000"/>
                <w:sz w:val="16"/>
              </w:rPr>
              <w:t xml:space="preserve"> </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30.06.12</w:t>
            </w:r>
          </w:p>
        </w:tc>
      </w:tr>
      <w:tr w:rsidR="000B3F05" w:rsidRPr="00491918" w:rsidTr="000B3F05">
        <w:trPr>
          <w:trHeight w:val="255"/>
        </w:trPr>
        <w:tc>
          <w:tcPr>
            <w:tcW w:w="6285" w:type="dxa"/>
            <w:tcBorders>
              <w:top w:val="nil"/>
              <w:left w:val="nil"/>
              <w:bottom w:val="single" w:sz="6" w:space="0" w:color="B2B2B2"/>
              <w:right w:val="nil"/>
            </w:tcBorders>
            <w:shd w:val="clear" w:color="auto" w:fill="FFFFFF"/>
            <w:tcMar>
              <w:left w:w="115" w:type="dxa"/>
              <w:right w:w="115" w:type="dxa"/>
            </w:tcMar>
            <w:vAlign w:val="bottom"/>
          </w:tcPr>
          <w:p w:rsidR="000B3F05" w:rsidRPr="00491918" w:rsidRDefault="000B3F05" w:rsidP="000B3F05">
            <w:pPr>
              <w:rPr>
                <w:b/>
                <w:color w:val="000000"/>
                <w:sz w:val="16"/>
              </w:rPr>
            </w:pPr>
            <w:r w:rsidRPr="00491918">
              <w:rPr>
                <w:color w:val="000000"/>
                <w:sz w:val="16"/>
              </w:rPr>
              <w:t xml:space="preserve"> </w:t>
            </w:r>
          </w:p>
        </w:tc>
        <w:tc>
          <w:tcPr>
            <w:tcW w:w="1125" w:type="dxa"/>
            <w:tcBorders>
              <w:top w:val="nil"/>
              <w:left w:val="nil"/>
              <w:bottom w:val="single" w:sz="6" w:space="0" w:color="B2B2B2"/>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b/>
                <w:color w:val="000000"/>
                <w:sz w:val="16"/>
              </w:rPr>
              <w:t>£m</w:t>
            </w:r>
          </w:p>
        </w:tc>
        <w:tc>
          <w:tcPr>
            <w:tcW w:w="1125" w:type="dxa"/>
            <w:tcBorders>
              <w:top w:val="nil"/>
              <w:left w:val="nil"/>
              <w:bottom w:val="single" w:sz="6" w:space="0" w:color="B2B2B2"/>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£m</w:t>
            </w:r>
          </w:p>
        </w:tc>
        <w:tc>
          <w:tcPr>
            <w:tcW w:w="1125" w:type="dxa"/>
            <w:tcBorders>
              <w:top w:val="nil"/>
              <w:left w:val="nil"/>
              <w:bottom w:val="single" w:sz="6" w:space="0" w:color="B2B2B2"/>
              <w:right w:val="nil"/>
            </w:tcBorders>
            <w:shd w:val="clear" w:color="auto" w:fill="FFFFFF"/>
            <w:tcMar>
              <w:left w:w="115" w:type="dxa"/>
              <w:right w:w="115" w:type="dxa"/>
            </w:tcMar>
            <w:vAlign w:val="bottom"/>
          </w:tcPr>
          <w:p w:rsidR="000B3F05" w:rsidRPr="00491918" w:rsidRDefault="000B3F05" w:rsidP="000B3F05">
            <w:pPr>
              <w:jc w:val="right"/>
              <w:rPr>
                <w:b/>
                <w:color w:val="000000"/>
                <w:sz w:val="16"/>
              </w:rPr>
            </w:pPr>
            <w:r w:rsidRPr="00491918">
              <w:rPr>
                <w:b/>
                <w:color w:val="000000"/>
                <w:sz w:val="16"/>
              </w:rPr>
              <w:t>£m</w:t>
            </w:r>
          </w:p>
        </w:tc>
      </w:tr>
      <w:tr w:rsidR="000B3F05" w:rsidRPr="00491918" w:rsidTr="000B3F05">
        <w:trPr>
          <w:trHeight w:val="255"/>
        </w:trPr>
        <w:tc>
          <w:tcPr>
            <w:tcW w:w="6285" w:type="dxa"/>
            <w:tcBorders>
              <w:top w:val="single" w:sz="6" w:space="0" w:color="B2B2B2"/>
              <w:left w:val="nil"/>
              <w:bottom w:val="nil"/>
              <w:right w:val="nil"/>
            </w:tcBorders>
            <w:shd w:val="clear" w:color="auto" w:fill="FFFFFF"/>
            <w:tcMar>
              <w:left w:w="115" w:type="dxa"/>
              <w:right w:w="115" w:type="dxa"/>
            </w:tcMar>
            <w:vAlign w:val="bottom"/>
          </w:tcPr>
          <w:p w:rsidR="000B3F05" w:rsidRPr="00491918" w:rsidRDefault="000B3F05" w:rsidP="000B3F05">
            <w:pPr>
              <w:rPr>
                <w:b/>
                <w:color w:val="000000"/>
                <w:sz w:val="16"/>
              </w:rPr>
            </w:pPr>
            <w:r w:rsidRPr="00491918">
              <w:rPr>
                <w:color w:val="000000"/>
                <w:sz w:val="16"/>
              </w:rPr>
              <w:t>Bid-offer valuation adjustments</w:t>
            </w:r>
          </w:p>
        </w:tc>
        <w:tc>
          <w:tcPr>
            <w:tcW w:w="1125" w:type="dxa"/>
            <w:tcBorders>
              <w:top w:val="single" w:sz="6" w:space="0" w:color="B2B2B2"/>
              <w:left w:val="nil"/>
              <w:bottom w:val="nil"/>
              <w:right w:val="nil"/>
            </w:tcBorders>
            <w:shd w:val="clear" w:color="auto" w:fill="EAEAEA"/>
            <w:tcMar>
              <w:left w:w="115" w:type="dxa"/>
              <w:right w:w="115" w:type="dxa"/>
            </w:tcMar>
            <w:vAlign w:val="bottom"/>
          </w:tcPr>
          <w:p w:rsidR="000B3F05" w:rsidRPr="00491918" w:rsidRDefault="000B3F05" w:rsidP="000B3F05">
            <w:pPr>
              <w:jc w:val="right"/>
              <w:rPr>
                <w:color w:val="000000"/>
                <w:sz w:val="16"/>
              </w:rPr>
            </w:pPr>
            <w:r w:rsidRPr="00491918">
              <w:rPr>
                <w:color w:val="000000"/>
                <w:sz w:val="16"/>
              </w:rPr>
              <w:t>(459)</w:t>
            </w:r>
          </w:p>
        </w:tc>
        <w:tc>
          <w:tcPr>
            <w:tcW w:w="1125" w:type="dxa"/>
            <w:tcBorders>
              <w:top w:val="single" w:sz="6" w:space="0" w:color="B2B2B2"/>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(452)</w:t>
            </w:r>
          </w:p>
        </w:tc>
        <w:tc>
          <w:tcPr>
            <w:tcW w:w="1125" w:type="dxa"/>
            <w:tcBorders>
              <w:top w:val="single" w:sz="6" w:space="0" w:color="B2B2B2"/>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(501)</w:t>
            </w:r>
          </w:p>
        </w:tc>
      </w:tr>
      <w:tr w:rsidR="000B3F05" w:rsidRPr="00491918" w:rsidTr="000B3F05">
        <w:trPr>
          <w:trHeight w:val="255"/>
        </w:trPr>
        <w:tc>
          <w:tcPr>
            <w:tcW w:w="628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rPr>
                <w:color w:val="000000"/>
                <w:sz w:val="16"/>
              </w:rPr>
            </w:pPr>
            <w:r w:rsidRPr="00491918">
              <w:rPr>
                <w:color w:val="000000"/>
                <w:sz w:val="16"/>
              </w:rPr>
              <w:t>Uncertainty adjustments</w:t>
            </w:r>
          </w:p>
        </w:tc>
        <w:tc>
          <w:tcPr>
            <w:tcW w:w="1125" w:type="dxa"/>
            <w:tcBorders>
              <w:top w:val="nil"/>
              <w:left w:val="nil"/>
              <w:bottom w:val="nil"/>
              <w:right w:val="nil"/>
            </w:tcBorders>
            <w:shd w:val="clear" w:color="auto" w:fill="EAEAEA"/>
            <w:tcMar>
              <w:left w:w="115" w:type="dxa"/>
              <w:right w:w="115" w:type="dxa"/>
            </w:tcMar>
            <w:vAlign w:val="bottom"/>
          </w:tcPr>
          <w:p w:rsidR="000B3F05" w:rsidRPr="00491918" w:rsidRDefault="000B3F05" w:rsidP="000B3F05">
            <w:pPr>
              <w:jc w:val="right"/>
              <w:rPr>
                <w:color w:val="000000"/>
                <w:sz w:val="16"/>
              </w:rPr>
            </w:pPr>
            <w:r w:rsidRPr="00491918">
              <w:rPr>
                <w:color w:val="000000"/>
                <w:sz w:val="16"/>
              </w:rPr>
              <w:t>(241)</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(294)</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(307)</w:t>
            </w:r>
          </w:p>
        </w:tc>
      </w:tr>
      <w:tr w:rsidR="000B3F05" w:rsidRPr="00491918" w:rsidTr="000B3F05">
        <w:trPr>
          <w:trHeight w:val="255"/>
        </w:trPr>
        <w:tc>
          <w:tcPr>
            <w:tcW w:w="628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rPr>
                <w:color w:val="000000"/>
                <w:sz w:val="16"/>
              </w:rPr>
            </w:pPr>
            <w:r w:rsidRPr="00491918">
              <w:rPr>
                <w:color w:val="000000"/>
                <w:sz w:val="16"/>
              </w:rPr>
              <w:t>Uncollateralised derivative funding</w:t>
            </w:r>
          </w:p>
        </w:tc>
        <w:tc>
          <w:tcPr>
            <w:tcW w:w="1125" w:type="dxa"/>
            <w:tcBorders>
              <w:top w:val="nil"/>
              <w:left w:val="nil"/>
              <w:bottom w:val="nil"/>
              <w:right w:val="nil"/>
            </w:tcBorders>
            <w:shd w:val="clear" w:color="auto" w:fill="EAEAEA"/>
            <w:tcMar>
              <w:left w:w="115" w:type="dxa"/>
              <w:right w:w="115" w:type="dxa"/>
            </w:tcMar>
            <w:vAlign w:val="bottom"/>
          </w:tcPr>
          <w:p w:rsidR="000B3F05" w:rsidRPr="00491918" w:rsidRDefault="000B3F05" w:rsidP="000B3F05">
            <w:pPr>
              <w:jc w:val="right"/>
              <w:rPr>
                <w:color w:val="000000"/>
                <w:sz w:val="16"/>
              </w:rPr>
            </w:pPr>
            <w:r w:rsidRPr="00491918">
              <w:rPr>
                <w:color w:val="000000"/>
                <w:sz w:val="16"/>
              </w:rPr>
              <w:t>(67)</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(101)</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 </w:t>
            </w:r>
          </w:p>
        </w:tc>
      </w:tr>
      <w:tr w:rsidR="000B3F05" w:rsidRPr="00491918" w:rsidTr="000B3F05">
        <w:trPr>
          <w:trHeight w:val="255"/>
        </w:trPr>
        <w:tc>
          <w:tcPr>
            <w:tcW w:w="628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rPr>
                <w:color w:val="000000"/>
                <w:sz w:val="16"/>
              </w:rPr>
            </w:pPr>
            <w:r w:rsidRPr="00491918">
              <w:rPr>
                <w:b/>
                <w:color w:val="000000"/>
                <w:sz w:val="16"/>
              </w:rPr>
              <w:t>Derivative credit valuation adjustments:</w:t>
            </w:r>
          </w:p>
        </w:tc>
        <w:tc>
          <w:tcPr>
            <w:tcW w:w="1125" w:type="dxa"/>
            <w:tcBorders>
              <w:top w:val="nil"/>
              <w:left w:val="nil"/>
              <w:bottom w:val="nil"/>
              <w:right w:val="nil"/>
            </w:tcBorders>
            <w:shd w:val="clear" w:color="auto" w:fill="EAEAEA"/>
            <w:tcMar>
              <w:left w:w="115" w:type="dxa"/>
              <w:right w:w="115" w:type="dxa"/>
            </w:tcMar>
            <w:vAlign w:val="bottom"/>
          </w:tcPr>
          <w:p w:rsidR="000B3F05" w:rsidRPr="00491918" w:rsidRDefault="000B3F05" w:rsidP="000B3F05">
            <w:pPr>
              <w:jc w:val="right"/>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 xml:space="preserve"> </w:t>
            </w:r>
          </w:p>
        </w:tc>
      </w:tr>
      <w:tr w:rsidR="000B3F05" w:rsidRPr="00491918" w:rsidTr="000B3F05">
        <w:trPr>
          <w:trHeight w:val="255"/>
        </w:trPr>
        <w:tc>
          <w:tcPr>
            <w:tcW w:w="628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rPr>
                <w:color w:val="000000"/>
                <w:sz w:val="16"/>
              </w:rPr>
            </w:pPr>
            <w:r w:rsidRPr="00491918">
              <w:rPr>
                <w:color w:val="000000"/>
                <w:sz w:val="16"/>
              </w:rPr>
              <w:t xml:space="preserve"> - Monolines</w:t>
            </w:r>
          </w:p>
        </w:tc>
        <w:tc>
          <w:tcPr>
            <w:tcW w:w="1125" w:type="dxa"/>
            <w:tcBorders>
              <w:top w:val="nil"/>
              <w:left w:val="nil"/>
              <w:bottom w:val="nil"/>
              <w:right w:val="nil"/>
            </w:tcBorders>
            <w:shd w:val="clear" w:color="auto" w:fill="EAEAEA"/>
            <w:tcMar>
              <w:left w:w="115" w:type="dxa"/>
              <w:right w:w="115" w:type="dxa"/>
            </w:tcMar>
            <w:vAlign w:val="bottom"/>
          </w:tcPr>
          <w:p w:rsidR="000B3F05" w:rsidRPr="00491918" w:rsidRDefault="000B3F05" w:rsidP="000B3F05">
            <w:pPr>
              <w:jc w:val="right"/>
              <w:rPr>
                <w:color w:val="000000"/>
                <w:sz w:val="16"/>
              </w:rPr>
            </w:pPr>
            <w:r w:rsidRPr="00491918">
              <w:rPr>
                <w:color w:val="000000"/>
                <w:sz w:val="16"/>
              </w:rPr>
              <w:t>(63)</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(235)</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(348)</w:t>
            </w:r>
          </w:p>
        </w:tc>
      </w:tr>
      <w:tr w:rsidR="000B3F05" w:rsidRPr="00491918" w:rsidTr="000B3F05">
        <w:trPr>
          <w:trHeight w:val="255"/>
        </w:trPr>
        <w:tc>
          <w:tcPr>
            <w:tcW w:w="628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rPr>
                <w:color w:val="000000"/>
                <w:sz w:val="16"/>
              </w:rPr>
            </w:pPr>
            <w:r w:rsidRPr="00491918">
              <w:rPr>
                <w:color w:val="000000"/>
                <w:sz w:val="16"/>
              </w:rPr>
              <w:t xml:space="preserve"> - Other derivative credit valuation adjustments </w:t>
            </w:r>
          </w:p>
        </w:tc>
        <w:tc>
          <w:tcPr>
            <w:tcW w:w="1125" w:type="dxa"/>
            <w:tcBorders>
              <w:top w:val="nil"/>
              <w:left w:val="nil"/>
              <w:bottom w:val="nil"/>
              <w:right w:val="nil"/>
            </w:tcBorders>
            <w:shd w:val="clear" w:color="auto" w:fill="EAEAEA"/>
            <w:tcMar>
              <w:left w:w="115" w:type="dxa"/>
              <w:right w:w="115" w:type="dxa"/>
            </w:tcMar>
            <w:vAlign w:val="bottom"/>
          </w:tcPr>
          <w:p w:rsidR="000B3F05" w:rsidRPr="00491918" w:rsidRDefault="000B3F05" w:rsidP="000B3F05">
            <w:pPr>
              <w:jc w:val="right"/>
              <w:rPr>
                <w:color w:val="000000"/>
                <w:sz w:val="16"/>
              </w:rPr>
            </w:pPr>
            <w:r w:rsidRPr="00491918">
              <w:rPr>
                <w:color w:val="000000"/>
                <w:sz w:val="16"/>
              </w:rPr>
              <w:t>(436)</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(693)</w:t>
            </w:r>
          </w:p>
        </w:tc>
        <w:tc>
          <w:tcPr>
            <w:tcW w:w="1125" w:type="dxa"/>
            <w:tcBorders>
              <w:top w:val="nil"/>
              <w:left w:val="nil"/>
              <w:bottom w:val="nil"/>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(928)</w:t>
            </w:r>
          </w:p>
        </w:tc>
      </w:tr>
      <w:tr w:rsidR="000B3F05" w:rsidRPr="00491918" w:rsidTr="000B3F05">
        <w:trPr>
          <w:trHeight w:val="255"/>
        </w:trPr>
        <w:tc>
          <w:tcPr>
            <w:tcW w:w="6285" w:type="dxa"/>
            <w:tcBorders>
              <w:top w:val="nil"/>
              <w:left w:val="nil"/>
              <w:bottom w:val="single" w:sz="6" w:space="0" w:color="C0C0C0"/>
              <w:right w:val="nil"/>
            </w:tcBorders>
            <w:shd w:val="clear" w:color="auto" w:fill="FFFFFF"/>
            <w:tcMar>
              <w:left w:w="115" w:type="dxa"/>
              <w:right w:w="115" w:type="dxa"/>
            </w:tcMar>
            <w:vAlign w:val="bottom"/>
          </w:tcPr>
          <w:p w:rsidR="000B3F05" w:rsidRPr="00491918" w:rsidRDefault="000B3F05" w:rsidP="000B3F05">
            <w:pPr>
              <w:rPr>
                <w:color w:val="000000"/>
                <w:sz w:val="16"/>
              </w:rPr>
            </w:pPr>
            <w:r w:rsidRPr="00491918">
              <w:rPr>
                <w:color w:val="000000"/>
                <w:sz w:val="16"/>
              </w:rPr>
              <w:t>Derivative debit valuation adjustments</w:t>
            </w:r>
          </w:p>
        </w:tc>
        <w:tc>
          <w:tcPr>
            <w:tcW w:w="1125" w:type="dxa"/>
            <w:tcBorders>
              <w:top w:val="nil"/>
              <w:left w:val="nil"/>
              <w:bottom w:val="single" w:sz="6" w:space="0" w:color="C0C0C0"/>
              <w:right w:val="nil"/>
            </w:tcBorders>
            <w:shd w:val="clear" w:color="auto" w:fill="EAEAEA"/>
            <w:tcMar>
              <w:left w:w="115" w:type="dxa"/>
              <w:right w:w="115" w:type="dxa"/>
            </w:tcMar>
            <w:vAlign w:val="bottom"/>
          </w:tcPr>
          <w:p w:rsidR="000B3F05" w:rsidRPr="00491918" w:rsidRDefault="000B3F05" w:rsidP="000B3F05">
            <w:pPr>
              <w:jc w:val="right"/>
              <w:rPr>
                <w:color w:val="000000"/>
                <w:sz w:val="16"/>
              </w:rPr>
            </w:pPr>
            <w:r w:rsidRPr="00491918">
              <w:rPr>
                <w:color w:val="000000"/>
                <w:sz w:val="16"/>
              </w:rPr>
              <w:t>493 </w:t>
            </w:r>
          </w:p>
        </w:tc>
        <w:tc>
          <w:tcPr>
            <w:tcW w:w="1125" w:type="dxa"/>
            <w:tcBorders>
              <w:top w:val="nil"/>
              <w:left w:val="nil"/>
              <w:bottom w:val="single" w:sz="6" w:space="0" w:color="C0C0C0"/>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442 </w:t>
            </w:r>
          </w:p>
        </w:tc>
        <w:tc>
          <w:tcPr>
            <w:tcW w:w="1125" w:type="dxa"/>
            <w:tcBorders>
              <w:top w:val="nil"/>
              <w:left w:val="nil"/>
              <w:bottom w:val="single" w:sz="6" w:space="0" w:color="C0C0C0"/>
              <w:right w:val="nil"/>
            </w:tcBorders>
            <w:shd w:val="clear" w:color="auto" w:fill="FFFFFF"/>
            <w:tcMar>
              <w:left w:w="115" w:type="dxa"/>
              <w:right w:w="115" w:type="dxa"/>
            </w:tcMar>
            <w:vAlign w:val="bottom"/>
          </w:tcPr>
          <w:p w:rsidR="000B3F05" w:rsidRPr="00491918" w:rsidRDefault="000B3F05" w:rsidP="000B3F05">
            <w:pPr>
              <w:jc w:val="right"/>
              <w:rPr>
                <w:color w:val="000000"/>
                <w:sz w:val="16"/>
              </w:rPr>
            </w:pPr>
            <w:r w:rsidRPr="00491918">
              <w:rPr>
                <w:color w:val="000000"/>
                <w:sz w:val="16"/>
              </w:rPr>
              <w:t>726 </w:t>
            </w:r>
          </w:p>
        </w:tc>
      </w:tr>
    </w:tbl>
    <w:p w:rsidR="000B3F05" w:rsidRPr="00491918" w:rsidRDefault="000B3F05" w:rsidP="000B3F05"/>
    <w:p w:rsidR="000B3F05" w:rsidRPr="00491918" w:rsidRDefault="000B3F05" w:rsidP="008D6001">
      <w:pPr>
        <w:pStyle w:val="HeadingLevel2-BarcRA6"/>
        <w:outlineLvl w:val="0"/>
      </w:pPr>
      <w:r w:rsidRPr="00491918">
        <w:t>Unrecognised gains as a result of the use of valuation models using unobservable inputs</w:t>
      </w:r>
    </w:p>
    <w:p w:rsidR="000B3F05" w:rsidRPr="00491918" w:rsidRDefault="000B3F05" w:rsidP="000B3F05">
      <w:pPr>
        <w:pStyle w:val="BodyText-BarcRA11"/>
      </w:pPr>
      <w:r w:rsidRPr="00491918">
        <w:t>The amount that has yet to be recognised in income that relates to the difference between the transaction price (the fair value at initial recognition) and the amount that would have arisen had valuation models using unobservable inputs been used on initial recognition, less amounts subsequently recognised, is as follows:</w:t>
      </w:r>
    </w:p>
    <w:p w:rsidR="000B3F05" w:rsidRPr="00491918" w:rsidRDefault="000B3F05" w:rsidP="000B3F05"/>
    <w:tbl>
      <w:tblPr>
        <w:tblW w:w="0" w:type="auto"/>
        <w:tblLayout w:type="fixed"/>
        <w:tblLook w:val="0000" w:firstRow="0" w:lastRow="0" w:firstColumn="0" w:lastColumn="0" w:noHBand="0" w:noVBand="0"/>
      </w:tblPr>
      <w:tblGrid>
        <w:gridCol w:w="6270"/>
        <w:gridCol w:w="1125"/>
        <w:gridCol w:w="1125"/>
        <w:gridCol w:w="1125"/>
      </w:tblGrid>
      <w:tr w:rsidR="000B3F05" w:rsidRPr="00491918" w:rsidTr="000B3F05">
        <w:trPr>
          <w:trHeight w:val="450"/>
        </w:trPr>
        <w:tc>
          <w:tcPr>
            <w:tcW w:w="627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Half year ended</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Half year ended</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Half year ended</w:t>
            </w:r>
          </w:p>
        </w:tc>
      </w:tr>
      <w:tr w:rsidR="000B3F05" w:rsidRPr="00491918" w:rsidTr="000B3F05">
        <w:trPr>
          <w:trHeight w:val="225"/>
        </w:trPr>
        <w:tc>
          <w:tcPr>
            <w:tcW w:w="627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30.06.12</w:t>
            </w:r>
          </w:p>
        </w:tc>
      </w:tr>
      <w:tr w:rsidR="000B3F05" w:rsidRPr="00491918" w:rsidTr="000B3F05">
        <w:trPr>
          <w:trHeight w:val="225"/>
        </w:trPr>
        <w:tc>
          <w:tcPr>
            <w:tcW w:w="627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b/>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 xml:space="preserve">£m </w:t>
            </w:r>
          </w:p>
        </w:tc>
      </w:tr>
      <w:tr w:rsidR="000B3F05" w:rsidRPr="00491918" w:rsidTr="000B3F05">
        <w:trPr>
          <w:trHeight w:val="225"/>
        </w:trPr>
        <w:tc>
          <w:tcPr>
            <w:tcW w:w="627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Opening balance</w:t>
            </w:r>
          </w:p>
        </w:tc>
        <w:tc>
          <w:tcPr>
            <w:tcW w:w="1125"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color w:val="000000"/>
                <w:sz w:val="16"/>
              </w:rPr>
              <w:t>148 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144 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117 </w:t>
            </w:r>
          </w:p>
        </w:tc>
      </w:tr>
      <w:tr w:rsidR="000B3F05" w:rsidRPr="00491918" w:rsidTr="000B3F05">
        <w:trPr>
          <w:trHeight w:val="225"/>
        </w:trPr>
        <w:tc>
          <w:tcPr>
            <w:tcW w:w="6270"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 xml:space="preserve">Additions </w:t>
            </w:r>
          </w:p>
        </w:tc>
        <w:tc>
          <w:tcPr>
            <w:tcW w:w="1125" w:type="dxa"/>
            <w:tcBorders>
              <w:top w:val="nil"/>
              <w:left w:val="nil"/>
              <w:bottom w:val="nil"/>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41 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43 </w:t>
            </w:r>
          </w:p>
        </w:tc>
        <w:tc>
          <w:tcPr>
            <w:tcW w:w="1125" w:type="dxa"/>
            <w:tcBorders>
              <w:top w:val="nil"/>
              <w:left w:val="nil"/>
              <w:bottom w:val="nil"/>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35 </w:t>
            </w:r>
          </w:p>
        </w:tc>
      </w:tr>
      <w:tr w:rsidR="000B3F05" w:rsidRPr="00491918" w:rsidTr="000B3F05">
        <w:trPr>
          <w:trHeight w:val="225"/>
        </w:trPr>
        <w:tc>
          <w:tcPr>
            <w:tcW w:w="6270"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color w:val="000000"/>
                <w:sz w:val="16"/>
              </w:rPr>
              <w:t>Amortisation and releases</w:t>
            </w:r>
          </w:p>
        </w:tc>
        <w:tc>
          <w:tcPr>
            <w:tcW w:w="1125" w:type="dxa"/>
            <w:tcBorders>
              <w:top w:val="nil"/>
              <w:left w:val="nil"/>
              <w:bottom w:val="single" w:sz="6" w:space="0" w:color="969696"/>
              <w:right w:val="nil"/>
            </w:tcBorders>
            <w:shd w:val="clear" w:color="auto" w:fill="EAEAEA"/>
            <w:tcMar>
              <w:left w:w="36" w:type="dxa"/>
              <w:right w:w="36" w:type="dxa"/>
            </w:tcMar>
            <w:vAlign w:val="bottom"/>
          </w:tcPr>
          <w:p w:rsidR="000B3F05" w:rsidRPr="00491918" w:rsidRDefault="000B3F05" w:rsidP="000B3F05">
            <w:pPr>
              <w:jc w:val="right"/>
              <w:rPr>
                <w:color w:val="000000"/>
                <w:sz w:val="16"/>
              </w:rPr>
            </w:pPr>
            <w:r w:rsidRPr="00491918">
              <w:rPr>
                <w:color w:val="000000"/>
                <w:sz w:val="16"/>
              </w:rPr>
              <w:t>(30)</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(39)</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B3F05" w:rsidRPr="00491918" w:rsidRDefault="000B3F05" w:rsidP="000B3F05">
            <w:pPr>
              <w:jc w:val="right"/>
              <w:rPr>
                <w:color w:val="000000"/>
                <w:sz w:val="16"/>
              </w:rPr>
            </w:pPr>
            <w:r w:rsidRPr="00491918">
              <w:rPr>
                <w:color w:val="000000"/>
                <w:sz w:val="16"/>
              </w:rPr>
              <w:t>(8)</w:t>
            </w:r>
          </w:p>
        </w:tc>
      </w:tr>
      <w:tr w:rsidR="000B3F05" w:rsidRPr="00491918" w:rsidTr="000B3F05">
        <w:trPr>
          <w:trHeight w:val="255"/>
        </w:trPr>
        <w:tc>
          <w:tcPr>
            <w:tcW w:w="6270"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rPr>
                <w:color w:val="000000"/>
                <w:sz w:val="16"/>
              </w:rPr>
            </w:pPr>
            <w:r w:rsidRPr="00491918">
              <w:rPr>
                <w:b/>
                <w:color w:val="000000"/>
                <w:sz w:val="16"/>
              </w:rPr>
              <w:t>Closing balance</w:t>
            </w:r>
          </w:p>
        </w:tc>
        <w:tc>
          <w:tcPr>
            <w:tcW w:w="1125" w:type="dxa"/>
            <w:tcBorders>
              <w:top w:val="single" w:sz="6" w:space="0" w:color="969696"/>
              <w:left w:val="nil"/>
              <w:bottom w:val="nil"/>
              <w:right w:val="nil"/>
            </w:tcBorders>
            <w:shd w:val="clear" w:color="auto" w:fill="EAEAEA"/>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159 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148 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B3F05" w:rsidRPr="00491918" w:rsidRDefault="000B3F05" w:rsidP="000B3F05">
            <w:pPr>
              <w:jc w:val="right"/>
              <w:rPr>
                <w:b/>
                <w:color w:val="000000"/>
                <w:sz w:val="16"/>
              </w:rPr>
            </w:pPr>
            <w:r w:rsidRPr="00491918">
              <w:rPr>
                <w:b/>
                <w:color w:val="000000"/>
                <w:sz w:val="16"/>
              </w:rPr>
              <w:t>144 </w:t>
            </w:r>
          </w:p>
        </w:tc>
      </w:tr>
    </w:tbl>
    <w:p w:rsidR="000B3F05" w:rsidRPr="00491918" w:rsidRDefault="000B3F05" w:rsidP="000B3F05"/>
    <w:p w:rsidR="000B3F05" w:rsidRPr="00491918" w:rsidRDefault="000B3F05" w:rsidP="000B3F05">
      <w:pPr>
        <w:pStyle w:val="Normal16"/>
        <w:rPr>
          <w:sz w:val="18"/>
          <w:szCs w:val="20"/>
        </w:rPr>
      </w:pPr>
    </w:p>
    <w:p w:rsidR="000B3F05" w:rsidRPr="00491918" w:rsidRDefault="000B3F05" w:rsidP="000B3F05">
      <w:pPr>
        <w:pStyle w:val="Normal16"/>
        <w:rPr>
          <w:rFonts w:ascii="Expert Sans Regular" w:hAnsi="Expert Sans Regular"/>
          <w:sz w:val="18"/>
          <w:szCs w:val="20"/>
        </w:rPr>
      </w:pPr>
      <w:r w:rsidRPr="00491918">
        <w:rPr>
          <w:rFonts w:ascii="Expert Sans Regular" w:hAnsi="Expert Sans Regular"/>
          <w:sz w:val="18"/>
          <w:szCs w:val="20"/>
        </w:rPr>
        <w:t>The reserve held for unrecognised gains is predominantly related to derivative financial instruments.</w:t>
      </w:r>
    </w:p>
    <w:p w:rsidR="000B3F05" w:rsidRPr="00491918" w:rsidRDefault="000B3F05" w:rsidP="008D6001">
      <w:pPr>
        <w:pStyle w:val="HeadingLevel2-BarcRA7"/>
        <w:outlineLvl w:val="0"/>
        <w:rPr>
          <w:lang w:val="en-GB"/>
        </w:rPr>
      </w:pPr>
      <w:r w:rsidRPr="00491918">
        <w:t>Third-party credit enhancements</w:t>
      </w:r>
    </w:p>
    <w:p w:rsidR="000B3F05" w:rsidRPr="00491918" w:rsidRDefault="000B3F05" w:rsidP="008D6001">
      <w:pPr>
        <w:pStyle w:val="BodyText-BarcRA12"/>
        <w:outlineLvl w:val="0"/>
      </w:pPr>
      <w:r w:rsidRPr="00491918">
        <w:t xml:space="preserve">There were no significant liabilities measured at fair value and issued with inseparable third-party credit enhancements. </w:t>
      </w:r>
    </w:p>
    <w:p w:rsidR="000B3F05" w:rsidRPr="00491918" w:rsidRDefault="000B3F05" w:rsidP="000B3F05">
      <w:pPr>
        <w:pStyle w:val="MyLastParagraph"/>
      </w:pPr>
    </w:p>
    <w:p w:rsidR="000D1659" w:rsidRPr="00491918" w:rsidRDefault="000D1659">
      <w:pPr>
        <w:sectPr w:rsidR="000D1659" w:rsidRPr="00491918" w:rsidSect="00751636">
          <w:pgSz w:w="11905" w:h="16837"/>
          <w:pgMar w:top="851" w:right="1134" w:bottom="567" w:left="1134" w:header="851" w:footer="567" w:gutter="0"/>
          <w:cols w:space="708"/>
        </w:sectPr>
      </w:pPr>
    </w:p>
    <w:p w:rsidR="0007202F" w:rsidRPr="00491918" w:rsidRDefault="0007202F" w:rsidP="0007202F">
      <w:pPr>
        <w:pStyle w:val="HeadingLevel1-BarcRA49"/>
      </w:pPr>
      <w:r w:rsidRPr="00491918">
        <w:lastRenderedPageBreak/>
        <w:t>Financial Statement Notes</w:t>
      </w:r>
    </w:p>
    <w:p w:rsidR="00A24F51" w:rsidRPr="00491918" w:rsidRDefault="00A24F51" w:rsidP="00A24F51">
      <w:pPr>
        <w:pStyle w:val="BarclaysBodyTextHeadingL1"/>
        <w:rPr>
          <w:rFonts w:ascii="Expert Sans Regular" w:hAnsi="Expert Sans Regular"/>
          <w:color w:val="auto"/>
          <w:lang w:val="en-GB"/>
        </w:rPr>
      </w:pPr>
      <w:r w:rsidRPr="00491918">
        <w:rPr>
          <w:rFonts w:ascii="Expert Sans Regular" w:hAnsi="Expert Sans Regular"/>
          <w:color w:val="auto"/>
          <w:lang w:val="en-GB"/>
        </w:rPr>
        <w:t>12.</w:t>
      </w:r>
      <w:r w:rsidRPr="00491918">
        <w:rPr>
          <w:rFonts w:ascii="Expert Sans Regular" w:hAnsi="Expert Sans Regular"/>
          <w:color w:val="auto"/>
          <w:lang w:val="en-GB"/>
        </w:rPr>
        <w:tab/>
        <w:t>Offsetting financial assets and financial liabilities</w:t>
      </w:r>
    </w:p>
    <w:p w:rsidR="00A24F51" w:rsidRPr="00491918" w:rsidRDefault="00A24F51" w:rsidP="00A24F51">
      <w:pPr>
        <w:pStyle w:val="BodyText-BarcRA99"/>
      </w:pPr>
      <w:r w:rsidRPr="00491918">
        <w:t>In accordance with IAS 32 Financial Instruments: Presentation, the group reports financial assets and financial liabilities on a net basis on the balance sheet only if there is a legally enforceable right to set off the recognised amounts and there is intention to settle on a net basis, or to realise the asset and settle the liability simultaneously. The following table shows the impact of netting arrangements on:</w:t>
      </w:r>
    </w:p>
    <w:p w:rsidR="00A24F51" w:rsidRPr="00491918" w:rsidRDefault="00A24F51" w:rsidP="00CC41A9">
      <w:pPr>
        <w:pStyle w:val="NumberedBullet-BarcRA"/>
        <w:numPr>
          <w:ilvl w:val="0"/>
          <w:numId w:val="233"/>
        </w:numPr>
        <w:tabs>
          <w:tab w:val="num" w:pos="720"/>
        </w:tabs>
        <w:ind w:left="720"/>
      </w:pPr>
      <w:r w:rsidRPr="00491918">
        <w:t>all financial assets and liabilities that are reported net on the balance sheet; and</w:t>
      </w:r>
    </w:p>
    <w:p w:rsidR="00A24F51" w:rsidRPr="00491918" w:rsidRDefault="00A24F51" w:rsidP="00CC41A9">
      <w:pPr>
        <w:pStyle w:val="NumberedBullet-BarcRA"/>
        <w:numPr>
          <w:ilvl w:val="0"/>
          <w:numId w:val="233"/>
        </w:numPr>
        <w:tabs>
          <w:tab w:val="num" w:pos="720"/>
        </w:tabs>
        <w:ind w:left="720"/>
      </w:pPr>
      <w:r w:rsidRPr="00491918">
        <w:t>all derivative financial instruments and reverse repurchase and repurchase agreements and other similar secured lending and borrowing agreements that are subject to enforceable master netting arrangements or similar agreements, but do not qualify for balance sheet netting.</w:t>
      </w:r>
    </w:p>
    <w:p w:rsidR="00A24F51" w:rsidRPr="00491918" w:rsidRDefault="00A24F51" w:rsidP="00A24F51">
      <w:pPr>
        <w:pStyle w:val="BodyText-BarcRA99"/>
      </w:pPr>
      <w:r w:rsidRPr="00491918">
        <w:t xml:space="preserve"> The table identifies the amounts that have been offset in the balance sheet and also those amounts that are covered by enforceable netting arrangements (offsetting arrangements and financial collateral) but do not qualify for netting under the requirements of IAS 32 described above.</w:t>
      </w:r>
    </w:p>
    <w:p w:rsidR="00A24F51" w:rsidRPr="00491918" w:rsidRDefault="00A24F51" w:rsidP="00A24F51">
      <w:pPr>
        <w:pStyle w:val="BodyText-BarcRA99"/>
      </w:pPr>
      <w:r w:rsidRPr="00491918">
        <w:t xml:space="preserve">The ‘Net amounts’ presented below are not intended to represent the Group’s actual exposure to credit risk, as a variety of credit mitigation strategies are employed in addition to netting and collateral arrangements.  </w:t>
      </w:r>
    </w:p>
    <w:p w:rsidR="00A24F51" w:rsidRPr="00491918" w:rsidRDefault="00A24F51" w:rsidP="00A24F51"/>
    <w:tbl>
      <w:tblPr>
        <w:tblW w:w="9739" w:type="dxa"/>
        <w:tblLayout w:type="fixed"/>
        <w:tblLook w:val="0000" w:firstRow="0" w:lastRow="0" w:firstColumn="0" w:lastColumn="0" w:noHBand="0" w:noVBand="0"/>
      </w:tblPr>
      <w:tblGrid>
        <w:gridCol w:w="1620"/>
        <w:gridCol w:w="1155"/>
        <w:gridCol w:w="960"/>
        <w:gridCol w:w="1020"/>
        <w:gridCol w:w="92"/>
        <w:gridCol w:w="1020"/>
        <w:gridCol w:w="975"/>
        <w:gridCol w:w="825"/>
        <w:gridCol w:w="92"/>
        <w:gridCol w:w="1080"/>
        <w:gridCol w:w="900"/>
      </w:tblGrid>
      <w:tr w:rsidR="00A24F51" w:rsidRPr="00491918" w:rsidTr="00A24F51">
        <w:trPr>
          <w:trHeight w:val="255"/>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5"/>
                <w:vertAlign w:val="superscript"/>
              </w:rPr>
            </w:pPr>
            <w:r w:rsidRPr="00491918">
              <w:rPr>
                <w:color w:val="000000"/>
                <w:sz w:val="16"/>
              </w:rPr>
              <w:t xml:space="preserve"> </w:t>
            </w:r>
          </w:p>
        </w:tc>
        <w:tc>
          <w:tcPr>
            <w:tcW w:w="6047" w:type="dxa"/>
            <w:gridSpan w:val="7"/>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center"/>
              <w:rPr>
                <w:color w:val="000000"/>
                <w:sz w:val="16"/>
              </w:rPr>
            </w:pPr>
            <w:r w:rsidRPr="00491918">
              <w:rPr>
                <w:b/>
                <w:color w:val="000000"/>
                <w:sz w:val="15"/>
              </w:rPr>
              <w:t>Amounts subject to enforceable netting arrangements</w:t>
            </w:r>
            <w:r w:rsidRPr="00491918">
              <w:rPr>
                <w:b/>
                <w:color w:val="000000"/>
                <w:sz w:val="15"/>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5"/>
                <w:vertAlign w:val="superscript"/>
              </w:rPr>
            </w:pPr>
            <w:r w:rsidRPr="00491918">
              <w:rPr>
                <w:color w:val="000000"/>
                <w:sz w:val="15"/>
              </w:rPr>
              <w:t xml:space="preserve"> </w:t>
            </w:r>
          </w:p>
        </w:tc>
        <w:tc>
          <w:tcPr>
            <w:tcW w:w="1080" w:type="dxa"/>
            <w:vMerge w:val="restart"/>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center"/>
              <w:rPr>
                <w:color w:val="000000"/>
                <w:sz w:val="15"/>
              </w:rPr>
            </w:pPr>
            <w:r w:rsidRPr="00491918">
              <w:rPr>
                <w:b/>
                <w:color w:val="000000"/>
                <w:sz w:val="15"/>
              </w:rPr>
              <w:t>Amounts not subject to enforceable netting arrangements</w:t>
            </w:r>
            <w:r w:rsidRPr="00491918">
              <w:rPr>
                <w:b/>
                <w:color w:val="000000"/>
                <w:sz w:val="15"/>
                <w:vertAlign w:val="superscript"/>
              </w:rPr>
              <w:t>4 </w:t>
            </w:r>
          </w:p>
        </w:tc>
        <w:tc>
          <w:tcPr>
            <w:tcW w:w="900" w:type="dxa"/>
            <w:vMerge w:val="restart"/>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center"/>
              <w:rPr>
                <w:b/>
                <w:color w:val="000000"/>
                <w:sz w:val="15"/>
                <w:vertAlign w:val="superscript"/>
              </w:rPr>
            </w:pPr>
            <w:r w:rsidRPr="00491918">
              <w:rPr>
                <w:b/>
                <w:color w:val="000000"/>
                <w:sz w:val="15"/>
              </w:rPr>
              <w:t>Balance sheet total</w:t>
            </w:r>
            <w:r w:rsidRPr="00491918">
              <w:rPr>
                <w:b/>
                <w:color w:val="000000"/>
                <w:sz w:val="15"/>
                <w:vertAlign w:val="superscript"/>
              </w:rPr>
              <w:t>5 </w:t>
            </w:r>
          </w:p>
        </w:tc>
      </w:tr>
      <w:tr w:rsidR="00A24F51" w:rsidRPr="00491918" w:rsidTr="00A24F51">
        <w:trPr>
          <w:trHeight w:val="30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5"/>
                <w:vertAlign w:val="superscript"/>
              </w:rPr>
            </w:pPr>
            <w:r w:rsidRPr="00491918">
              <w:rPr>
                <w:color w:val="000000"/>
                <w:sz w:val="16"/>
              </w:rPr>
              <w:t xml:space="preserve"> </w:t>
            </w:r>
          </w:p>
        </w:tc>
        <w:tc>
          <w:tcPr>
            <w:tcW w:w="3135" w:type="dxa"/>
            <w:gridSpan w:val="3"/>
            <w:tcBorders>
              <w:top w:val="single" w:sz="6" w:space="0" w:color="A5A5A5"/>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center"/>
              <w:rPr>
                <w:color w:val="000000"/>
                <w:sz w:val="16"/>
              </w:rPr>
            </w:pPr>
            <w:r w:rsidRPr="00491918">
              <w:rPr>
                <w:b/>
                <w:color w:val="000000"/>
                <w:sz w:val="15"/>
              </w:rPr>
              <w:t>Effects of offsetting on balance sheet</w:t>
            </w:r>
            <w:r w:rsidRPr="00491918">
              <w:rPr>
                <w:b/>
                <w:color w:val="000000"/>
                <w:sz w:val="15"/>
                <w:vertAlign w:val="superscript"/>
              </w:rPr>
              <w:t xml:space="preserve"> </w:t>
            </w:r>
          </w:p>
        </w:tc>
        <w:tc>
          <w:tcPr>
            <w:tcW w:w="92"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center"/>
              <w:rPr>
                <w:b/>
                <w:color w:val="000000"/>
                <w:sz w:val="15"/>
                <w:vertAlign w:val="superscript"/>
              </w:rPr>
            </w:pPr>
            <w:r w:rsidRPr="00491918">
              <w:rPr>
                <w:b/>
                <w:color w:val="000000"/>
                <w:sz w:val="15"/>
              </w:rPr>
              <w:t xml:space="preserve"> </w:t>
            </w:r>
          </w:p>
        </w:tc>
        <w:tc>
          <w:tcPr>
            <w:tcW w:w="2820" w:type="dxa"/>
            <w:gridSpan w:val="3"/>
            <w:tcBorders>
              <w:top w:val="single" w:sz="6" w:space="0" w:color="A5A5A5"/>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center"/>
              <w:rPr>
                <w:b/>
                <w:color w:val="000000"/>
                <w:sz w:val="15"/>
              </w:rPr>
            </w:pPr>
            <w:r w:rsidRPr="00491918">
              <w:rPr>
                <w:b/>
                <w:color w:val="000000"/>
                <w:sz w:val="15"/>
              </w:rPr>
              <w:t>Related amounts not offset</w:t>
            </w:r>
            <w:r w:rsidRPr="00491918">
              <w:rPr>
                <w:b/>
                <w:color w:val="000000"/>
                <w:sz w:val="15"/>
                <w:vertAlign w:val="superscript"/>
              </w:rPr>
              <w:t>3 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5"/>
                <w:vertAlign w:val="superscript"/>
              </w:rPr>
            </w:pPr>
            <w:r w:rsidRPr="00491918">
              <w:rPr>
                <w:b/>
                <w:color w:val="000000"/>
                <w:sz w:val="15"/>
              </w:rPr>
              <w:t xml:space="preserve"> </w:t>
            </w:r>
          </w:p>
        </w:tc>
        <w:tc>
          <w:tcPr>
            <w:tcW w:w="1080" w:type="dxa"/>
            <w:vMerge/>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5"/>
              </w:rPr>
            </w:pPr>
          </w:p>
        </w:tc>
        <w:tc>
          <w:tcPr>
            <w:tcW w:w="900" w:type="dxa"/>
            <w:vMerge/>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5"/>
              </w:rPr>
            </w:pPr>
          </w:p>
        </w:tc>
      </w:tr>
      <w:tr w:rsidR="00A24F51" w:rsidRPr="00491918" w:rsidTr="00A24F51">
        <w:trPr>
          <w:trHeight w:val="93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5"/>
              </w:rPr>
            </w:pPr>
            <w:r w:rsidRPr="00491918">
              <w:rPr>
                <w:color w:val="000000"/>
                <w:sz w:val="16"/>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b/>
                <w:color w:val="000000"/>
                <w:sz w:val="15"/>
              </w:rPr>
              <w:t>Gross amounts</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rPr>
            </w:pPr>
            <w:r w:rsidRPr="00491918">
              <w:rPr>
                <w:b/>
                <w:color w:val="000000"/>
                <w:sz w:val="15"/>
              </w:rPr>
              <w:t>Amounts offset</w:t>
            </w:r>
            <w:r w:rsidRPr="00491918">
              <w:rPr>
                <w:b/>
                <w:color w:val="000000"/>
                <w:sz w:val="15"/>
                <w:vertAlign w:val="superscript"/>
              </w:rPr>
              <w:t>1 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vertAlign w:val="superscript"/>
              </w:rPr>
            </w:pPr>
            <w:r w:rsidRPr="00491918">
              <w:rPr>
                <w:b/>
                <w:color w:val="000000"/>
                <w:sz w:val="15"/>
              </w:rPr>
              <w:t>Net amounts reported on the balance sheet</w:t>
            </w:r>
            <w:r w:rsidRPr="00491918">
              <w:rPr>
                <w:b/>
                <w:color w:val="000000"/>
                <w:sz w:val="15"/>
                <w:vertAlign w:val="superscript"/>
              </w:rPr>
              <w:t>2 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vertAlign w:val="superscript"/>
              </w:rPr>
            </w:pPr>
            <w:r w:rsidRPr="00491918">
              <w:rPr>
                <w:b/>
                <w:color w:val="000000"/>
                <w:sz w:val="15"/>
              </w:rPr>
              <w:t xml:space="preserve"> </w:t>
            </w:r>
          </w:p>
        </w:tc>
        <w:tc>
          <w:tcPr>
            <w:tcW w:w="10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rPr>
            </w:pPr>
            <w:r w:rsidRPr="00491918">
              <w:rPr>
                <w:b/>
                <w:color w:val="000000"/>
                <w:sz w:val="15"/>
              </w:rPr>
              <w:t>Financial instruments</w:t>
            </w:r>
          </w:p>
        </w:tc>
        <w:tc>
          <w:tcPr>
            <w:tcW w:w="97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rPr>
            </w:pPr>
            <w:r w:rsidRPr="00491918">
              <w:rPr>
                <w:b/>
                <w:color w:val="000000"/>
                <w:sz w:val="15"/>
              </w:rPr>
              <w:t>Financial collateral</w:t>
            </w:r>
          </w:p>
        </w:tc>
        <w:tc>
          <w:tcPr>
            <w:tcW w:w="82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rPr>
            </w:pPr>
            <w:r w:rsidRPr="00491918">
              <w:rPr>
                <w:b/>
                <w:color w:val="000000"/>
                <w:sz w:val="15"/>
              </w:rPr>
              <w:t>Net amount</w:t>
            </w:r>
            <w:r w:rsidRPr="00491918">
              <w:rPr>
                <w:b/>
                <w:color w:val="000000"/>
                <w:sz w:val="15"/>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vertAlign w:val="superscript"/>
              </w:rPr>
            </w:pPr>
            <w:r w:rsidRPr="00491918">
              <w:rPr>
                <w:b/>
                <w:color w:val="000000"/>
                <w:sz w:val="15"/>
              </w:rPr>
              <w:t xml:space="preserve"> </w:t>
            </w:r>
          </w:p>
        </w:tc>
        <w:tc>
          <w:tcPr>
            <w:tcW w:w="1080" w:type="dxa"/>
            <w:vMerge/>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rPr>
            </w:pPr>
          </w:p>
        </w:tc>
        <w:tc>
          <w:tcPr>
            <w:tcW w:w="900" w:type="dxa"/>
            <w:vMerge/>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5"/>
              </w:rPr>
            </w:pPr>
          </w:p>
        </w:tc>
      </w:tr>
      <w:tr w:rsidR="00A24F51" w:rsidRPr="00491918" w:rsidTr="00A24F51">
        <w:trPr>
          <w:trHeight w:val="255"/>
        </w:trPr>
        <w:tc>
          <w:tcPr>
            <w:tcW w:w="16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rPr>
                <w:b/>
                <w:color w:val="000000"/>
                <w:sz w:val="15"/>
              </w:rPr>
            </w:pPr>
            <w:r w:rsidRPr="00491918">
              <w:rPr>
                <w:b/>
                <w:color w:val="000000"/>
                <w:sz w:val="16"/>
              </w:rPr>
              <w:t>As at 30.06.13</w:t>
            </w:r>
          </w:p>
        </w:tc>
        <w:tc>
          <w:tcPr>
            <w:tcW w:w="115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£m</w:t>
            </w:r>
          </w:p>
        </w:tc>
        <w:tc>
          <w:tcPr>
            <w:tcW w:w="96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£m</w:t>
            </w:r>
            <w:r w:rsidRPr="00491918">
              <w:rPr>
                <w:b/>
                <w:color w:val="000000"/>
                <w:sz w:val="16"/>
                <w:vertAlign w:val="superscript"/>
              </w:rPr>
              <w:t xml:space="preserve"> </w:t>
            </w:r>
          </w:p>
        </w:tc>
        <w:tc>
          <w:tcPr>
            <w:tcW w:w="10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£m</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£m</w:t>
            </w:r>
          </w:p>
        </w:tc>
        <w:tc>
          <w:tcPr>
            <w:tcW w:w="97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£m</w:t>
            </w:r>
          </w:p>
        </w:tc>
        <w:tc>
          <w:tcPr>
            <w:tcW w:w="82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£m</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£m</w:t>
            </w:r>
            <w:r w:rsidRPr="00491918">
              <w:rPr>
                <w:b/>
                <w:color w:val="000000"/>
                <w:sz w:val="16"/>
                <w:vertAlign w:val="superscript"/>
              </w:rPr>
              <w:t xml:space="preserve"> </w:t>
            </w:r>
          </w:p>
        </w:tc>
        <w:tc>
          <w:tcPr>
            <w:tcW w:w="90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£m</w:t>
            </w:r>
            <w:r w:rsidRPr="00491918">
              <w:rPr>
                <w:b/>
                <w:color w:val="000000"/>
                <w:sz w:val="16"/>
                <w:vertAlign w:val="superscript"/>
              </w:rPr>
              <w:t xml:space="preserve"> </w:t>
            </w:r>
          </w:p>
        </w:tc>
      </w:tr>
    </w:tbl>
    <w:p w:rsidR="00F92E6D" w:rsidRPr="00491918" w:rsidRDefault="00F92E6D"/>
    <w:tbl>
      <w:tblPr>
        <w:tblW w:w="9739" w:type="dxa"/>
        <w:tblLayout w:type="fixed"/>
        <w:tblLook w:val="0000" w:firstRow="0" w:lastRow="0" w:firstColumn="0" w:lastColumn="0" w:noHBand="0" w:noVBand="0"/>
      </w:tblPr>
      <w:tblGrid>
        <w:gridCol w:w="1620"/>
        <w:gridCol w:w="1155"/>
        <w:gridCol w:w="960"/>
        <w:gridCol w:w="1020"/>
        <w:gridCol w:w="92"/>
        <w:gridCol w:w="1020"/>
        <w:gridCol w:w="975"/>
        <w:gridCol w:w="825"/>
        <w:gridCol w:w="92"/>
        <w:gridCol w:w="1080"/>
        <w:gridCol w:w="900"/>
      </w:tblGrid>
      <w:tr w:rsidR="00A24F51" w:rsidRPr="00491918" w:rsidTr="00F92E6D">
        <w:trPr>
          <w:trHeight w:val="510"/>
        </w:trPr>
        <w:tc>
          <w:tcPr>
            <w:tcW w:w="1620" w:type="dxa"/>
            <w:tcBorders>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Derivative financial assets</w:t>
            </w:r>
          </w:p>
        </w:tc>
        <w:tc>
          <w:tcPr>
            <w:tcW w:w="1155"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733,148 </w:t>
            </w:r>
          </w:p>
        </w:tc>
        <w:tc>
          <w:tcPr>
            <w:tcW w:w="960"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(343,563)</w:t>
            </w:r>
            <w:r w:rsidRPr="00491918">
              <w:rPr>
                <w:color w:val="000000"/>
                <w:sz w:val="16"/>
                <w:vertAlign w:val="superscript"/>
              </w:rPr>
              <w:t xml:space="preserve"> </w:t>
            </w:r>
          </w:p>
        </w:tc>
        <w:tc>
          <w:tcPr>
            <w:tcW w:w="1020" w:type="dxa"/>
            <w:tcBorders>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389,585 </w:t>
            </w:r>
            <w:r w:rsidRPr="00491918">
              <w:rPr>
                <w:color w:val="000000"/>
                <w:sz w:val="16"/>
                <w:vertAlign w:val="superscript"/>
              </w:rPr>
              <w:t xml:space="preserve"> </w:t>
            </w:r>
          </w:p>
        </w:tc>
        <w:tc>
          <w:tcPr>
            <w:tcW w:w="92"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(324,303)</w:t>
            </w:r>
          </w:p>
        </w:tc>
        <w:tc>
          <w:tcPr>
            <w:tcW w:w="975"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(48,131)</w:t>
            </w:r>
          </w:p>
        </w:tc>
        <w:tc>
          <w:tcPr>
            <w:tcW w:w="825"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17,151 </w:t>
            </w:r>
            <w:r w:rsidRPr="00491918">
              <w:rPr>
                <w:color w:val="000000"/>
                <w:sz w:val="16"/>
                <w:vertAlign w:val="superscript"/>
              </w:rPr>
              <w:t xml:space="preserve"> </w:t>
            </w:r>
          </w:p>
        </w:tc>
        <w:tc>
          <w:tcPr>
            <w:tcW w:w="92"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13,487 </w:t>
            </w:r>
            <w:r w:rsidRPr="00491918">
              <w:rPr>
                <w:color w:val="000000"/>
                <w:sz w:val="16"/>
                <w:vertAlign w:val="superscript"/>
              </w:rPr>
              <w:t xml:space="preserve"> </w:t>
            </w:r>
          </w:p>
        </w:tc>
        <w:tc>
          <w:tcPr>
            <w:tcW w:w="900" w:type="dxa"/>
            <w:tcBorders>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403,072 </w:t>
            </w:r>
            <w:r w:rsidRPr="00491918">
              <w:rPr>
                <w:b/>
                <w:color w:val="000000"/>
                <w:sz w:val="16"/>
                <w:vertAlign w:val="superscript"/>
              </w:rPr>
              <w:t xml:space="preserve"> </w:t>
            </w:r>
          </w:p>
        </w:tc>
      </w:tr>
      <w:tr w:rsidR="00A24F51" w:rsidRPr="00491918" w:rsidTr="00A24F51">
        <w:trPr>
          <w:trHeight w:val="735"/>
        </w:trPr>
        <w:tc>
          <w:tcPr>
            <w:tcW w:w="16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Reverse repurchase agreements and other similar secured lending</w:t>
            </w:r>
          </w:p>
        </w:tc>
        <w:tc>
          <w:tcPr>
            <w:tcW w:w="115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287,999 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(122,612)</w:t>
            </w:r>
            <w:r w:rsidRPr="00491918">
              <w:rPr>
                <w:color w:val="000000"/>
                <w:sz w:val="16"/>
                <w:vertAlign w:val="superscript"/>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165,387 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w:t>
            </w:r>
          </w:p>
        </w:tc>
        <w:tc>
          <w:tcPr>
            <w:tcW w:w="97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(163,353)</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2,034 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57,494 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222,881 </w:t>
            </w:r>
            <w:r w:rsidRPr="00491918">
              <w:rPr>
                <w:b/>
                <w:color w:val="000000"/>
                <w:sz w:val="16"/>
                <w:vertAlign w:val="superscript"/>
              </w:rPr>
              <w:t xml:space="preserve"> </w:t>
            </w:r>
          </w:p>
        </w:tc>
      </w:tr>
      <w:tr w:rsidR="00A24F51" w:rsidRPr="00491918" w:rsidTr="00A24F51">
        <w:trPr>
          <w:trHeight w:val="270"/>
        </w:trPr>
        <w:tc>
          <w:tcPr>
            <w:tcW w:w="16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Total Assets</w:t>
            </w:r>
          </w:p>
        </w:tc>
        <w:tc>
          <w:tcPr>
            <w:tcW w:w="115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1,021,147 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(466,175)</w:t>
            </w:r>
            <w:r w:rsidRPr="00491918">
              <w:rPr>
                <w:b/>
                <w:color w:val="000000"/>
                <w:sz w:val="16"/>
                <w:vertAlign w:val="superscript"/>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554,972 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(324,303)</w:t>
            </w:r>
          </w:p>
        </w:tc>
        <w:tc>
          <w:tcPr>
            <w:tcW w:w="97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(211,484)</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19,185 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70,981 </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625,953 </w:t>
            </w:r>
            <w:r w:rsidRPr="00491918">
              <w:rPr>
                <w:b/>
                <w:color w:val="000000"/>
                <w:sz w:val="16"/>
                <w:vertAlign w:val="superscript"/>
              </w:rPr>
              <w:t xml:space="preserve"> </w:t>
            </w:r>
          </w:p>
        </w:tc>
      </w:tr>
      <w:tr w:rsidR="00A24F51" w:rsidRPr="00491918" w:rsidTr="00A24F51">
        <w:trPr>
          <w:trHeight w:val="51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Derivative financial liabilities</w:t>
            </w:r>
          </w:p>
        </w:tc>
        <w:tc>
          <w:tcPr>
            <w:tcW w:w="115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(724,856)</w:t>
            </w:r>
          </w:p>
        </w:tc>
        <w:tc>
          <w:tcPr>
            <w:tcW w:w="96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343,458 </w:t>
            </w:r>
            <w:r w:rsidRPr="00491918">
              <w:rPr>
                <w:color w:val="000000"/>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(381,398)</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324,303 </w:t>
            </w:r>
          </w:p>
        </w:tc>
        <w:tc>
          <w:tcPr>
            <w:tcW w:w="97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42,818 </w:t>
            </w:r>
          </w:p>
        </w:tc>
        <w:tc>
          <w:tcPr>
            <w:tcW w:w="82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(14,277)</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(14,727)</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(396,125)</w:t>
            </w:r>
            <w:r w:rsidRPr="00491918">
              <w:rPr>
                <w:b/>
                <w:color w:val="000000"/>
                <w:sz w:val="16"/>
                <w:vertAlign w:val="superscript"/>
              </w:rPr>
              <w:t xml:space="preserve"> </w:t>
            </w:r>
          </w:p>
        </w:tc>
      </w:tr>
      <w:tr w:rsidR="00A24F51" w:rsidRPr="00491918" w:rsidTr="00A24F51">
        <w:trPr>
          <w:trHeight w:val="1020"/>
        </w:trPr>
        <w:tc>
          <w:tcPr>
            <w:tcW w:w="16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 xml:space="preserve">Repurchase agreements and other similar secured borrowing </w:t>
            </w:r>
          </w:p>
        </w:tc>
        <w:tc>
          <w:tcPr>
            <w:tcW w:w="115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(288,955)</w:t>
            </w:r>
          </w:p>
        </w:tc>
        <w:tc>
          <w:tcPr>
            <w:tcW w:w="96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122,612 </w:t>
            </w:r>
            <w:r w:rsidRPr="00491918">
              <w:rPr>
                <w:color w:val="000000"/>
                <w:sz w:val="16"/>
                <w:vertAlign w:val="superscript"/>
              </w:rPr>
              <w:t xml:space="preserve"> </w:t>
            </w:r>
          </w:p>
        </w:tc>
        <w:tc>
          <w:tcPr>
            <w:tcW w:w="102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(166,343)</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w:t>
            </w:r>
          </w:p>
        </w:tc>
        <w:tc>
          <w:tcPr>
            <w:tcW w:w="97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164,573 </w:t>
            </w:r>
          </w:p>
        </w:tc>
        <w:tc>
          <w:tcPr>
            <w:tcW w:w="82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(1,770)</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(93,196)</w:t>
            </w:r>
            <w:r w:rsidRPr="00491918">
              <w:rPr>
                <w:color w:val="000000"/>
                <w:sz w:val="16"/>
                <w:vertAlign w:val="superscript"/>
              </w:rPr>
              <w:t xml:space="preserve"> </w:t>
            </w:r>
          </w:p>
        </w:tc>
        <w:tc>
          <w:tcPr>
            <w:tcW w:w="90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(259,539)</w:t>
            </w:r>
            <w:r w:rsidRPr="00491918">
              <w:rPr>
                <w:b/>
                <w:color w:val="000000"/>
                <w:sz w:val="16"/>
                <w:vertAlign w:val="superscript"/>
              </w:rPr>
              <w:t xml:space="preserve"> </w:t>
            </w:r>
          </w:p>
        </w:tc>
      </w:tr>
      <w:tr w:rsidR="00A24F51" w:rsidRPr="00491918" w:rsidTr="00A24F51">
        <w:trPr>
          <w:trHeight w:val="270"/>
        </w:trPr>
        <w:tc>
          <w:tcPr>
            <w:tcW w:w="16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Total Liabilities</w:t>
            </w:r>
          </w:p>
        </w:tc>
        <w:tc>
          <w:tcPr>
            <w:tcW w:w="115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(1,013,811)</w:t>
            </w:r>
          </w:p>
        </w:tc>
        <w:tc>
          <w:tcPr>
            <w:tcW w:w="96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466,070 </w:t>
            </w:r>
            <w:r w:rsidRPr="00491918">
              <w:rPr>
                <w:b/>
                <w:color w:val="000000"/>
                <w:sz w:val="16"/>
                <w:vertAlign w:val="superscript"/>
              </w:rPr>
              <w:t xml:space="preserve"> </w:t>
            </w:r>
          </w:p>
        </w:tc>
        <w:tc>
          <w:tcPr>
            <w:tcW w:w="102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(547,741)</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324,303 </w:t>
            </w:r>
          </w:p>
        </w:tc>
        <w:tc>
          <w:tcPr>
            <w:tcW w:w="97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207,391 </w:t>
            </w:r>
          </w:p>
        </w:tc>
        <w:tc>
          <w:tcPr>
            <w:tcW w:w="82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(16,047)</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(107,923)</w:t>
            </w:r>
            <w:r w:rsidRPr="00491918">
              <w:rPr>
                <w:b/>
                <w:color w:val="000000"/>
                <w:sz w:val="16"/>
                <w:vertAlign w:val="superscript"/>
              </w:rPr>
              <w:t xml:space="preserve"> </w:t>
            </w:r>
          </w:p>
        </w:tc>
        <w:tc>
          <w:tcPr>
            <w:tcW w:w="90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(655,664)</w:t>
            </w:r>
            <w:r w:rsidRPr="00491918">
              <w:rPr>
                <w:b/>
                <w:color w:val="000000"/>
                <w:sz w:val="16"/>
                <w:vertAlign w:val="superscript"/>
              </w:rPr>
              <w:t xml:space="preserve"> </w:t>
            </w:r>
          </w:p>
        </w:tc>
      </w:tr>
      <w:tr w:rsidR="00A24F51" w:rsidRPr="00491918" w:rsidTr="00A24F51">
        <w:trPr>
          <w:trHeight w:hRule="exact" w:val="27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rPr>
            </w:pPr>
            <w:r w:rsidRPr="00491918">
              <w:rPr>
                <w:b/>
                <w:color w:val="000000"/>
                <w:sz w:val="16"/>
              </w:rPr>
              <w:t xml:space="preserve"> </w:t>
            </w:r>
          </w:p>
          <w:p w:rsidR="00CC7FA0" w:rsidRPr="00491918" w:rsidRDefault="00CC7FA0" w:rsidP="001B0DD0">
            <w:pPr>
              <w:rPr>
                <w:b/>
                <w:color w:val="000000"/>
                <w:sz w:val="16"/>
                <w:vertAlign w:val="superscript"/>
              </w:rPr>
            </w:pPr>
          </w:p>
        </w:tc>
        <w:tc>
          <w:tcPr>
            <w:tcW w:w="115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bl>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7D257D" w:rsidRPr="00491918" w:rsidRDefault="007D257D"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7FA0">
      <w:pPr>
        <w:pStyle w:val="NoteandSourceText-BarcRA100"/>
        <w:numPr>
          <w:ilvl w:val="0"/>
          <w:numId w:val="0"/>
        </w:numPr>
        <w:ind w:left="284"/>
      </w:pPr>
    </w:p>
    <w:p w:rsidR="00CC7FA0" w:rsidRPr="00491918" w:rsidRDefault="00CC7FA0" w:rsidP="00CC41A9">
      <w:pPr>
        <w:pStyle w:val="NoteandSourceText-BarcRA100"/>
        <w:numPr>
          <w:ilvl w:val="0"/>
          <w:numId w:val="248"/>
        </w:numPr>
      </w:pPr>
      <w:r w:rsidRPr="00491918">
        <w:t xml:space="preserve">Amounts offset for Derivative financial assets includes cash collateral netted of £2,008m (31 December 2012: £6,506m, 30 June 2012: £8,968m). Amounts offset for Derivative liabilities includes cash collateral netted of £1,903m (31 December 2012: £4,957m,30 June 2012: £9,733m). Settlements assets and liabilities have been offset </w:t>
      </w:r>
      <w:r w:rsidR="00A177DB" w:rsidRPr="00491918">
        <w:t>by</w:t>
      </w:r>
      <w:r w:rsidRPr="00491918">
        <w:t xml:space="preserve"> £17,478m (31 December 2012: £9,879m, 30 June 2012: £12,515m). No other significant recognised financial assets and liabilities were offset in the balance sheet.  Therefore, the only balance sheet categories necessary for inclusion in the table are those shown above.</w:t>
      </w:r>
    </w:p>
    <w:p w:rsidR="00CC7FA0" w:rsidRPr="00491918" w:rsidRDefault="00CC7FA0" w:rsidP="00CC7FA0">
      <w:pPr>
        <w:pStyle w:val="NoteandSourceText-BarcRA100"/>
      </w:pPr>
      <w:r w:rsidRPr="00491918">
        <w:t xml:space="preserve">The table excludes Reverse repurchase agreements designated at fair value which are subject to enforceable master netting arrangements of £4bn (31 December 2012: £3bn, 30 June 2012: £5bn). </w:t>
      </w:r>
    </w:p>
    <w:p w:rsidR="00CC7FA0" w:rsidRPr="00491918" w:rsidRDefault="00CC7FA0" w:rsidP="00CC7FA0">
      <w:pPr>
        <w:pStyle w:val="NoteandSourceText-BarcRA100"/>
      </w:pPr>
      <w:r w:rsidRPr="00491918">
        <w:t xml:space="preserve">Financial collateral is reflected at its fair value, but has been limited to the net balance sheet exposure so as not to include any over-collateralisation. </w:t>
      </w:r>
    </w:p>
    <w:p w:rsidR="00CC7FA0" w:rsidRPr="00491918" w:rsidRDefault="00CC7FA0" w:rsidP="00CC7FA0">
      <w:pPr>
        <w:pStyle w:val="NoteandSourceText-BarcRA100"/>
      </w:pPr>
      <w:r w:rsidRPr="00491918">
        <w:t>This column includes contractual rights of set-off that are subject to uncertainty under the laws of the relevant jurisdiction.</w:t>
      </w:r>
    </w:p>
    <w:p w:rsidR="00CC7FA0" w:rsidRPr="00491918" w:rsidRDefault="00CC7FA0" w:rsidP="00CC7FA0">
      <w:pPr>
        <w:pStyle w:val="NoteandSourceText-BarcRA100"/>
      </w:pPr>
      <w:r w:rsidRPr="00491918">
        <w:t xml:space="preserve"> The balance sheet total is the sum of ‘Net amounts reported on the balance sheet’ that are subject to enforceable netting arrangements and ‘Amounts not subject to enforceable netting arrangements’.     </w:t>
      </w:r>
    </w:p>
    <w:p w:rsidR="00CC7FA0" w:rsidRPr="00491918" w:rsidRDefault="00CC7FA0">
      <w:r w:rsidRPr="00491918">
        <w:br w:type="page"/>
      </w:r>
    </w:p>
    <w:tbl>
      <w:tblPr>
        <w:tblW w:w="9739" w:type="dxa"/>
        <w:tblLayout w:type="fixed"/>
        <w:tblLook w:val="0000" w:firstRow="0" w:lastRow="0" w:firstColumn="0" w:lastColumn="0" w:noHBand="0" w:noVBand="0"/>
      </w:tblPr>
      <w:tblGrid>
        <w:gridCol w:w="1620"/>
        <w:gridCol w:w="1155"/>
        <w:gridCol w:w="960"/>
        <w:gridCol w:w="1020"/>
        <w:gridCol w:w="92"/>
        <w:gridCol w:w="1020"/>
        <w:gridCol w:w="975"/>
        <w:gridCol w:w="825"/>
        <w:gridCol w:w="92"/>
        <w:gridCol w:w="1080"/>
        <w:gridCol w:w="900"/>
      </w:tblGrid>
      <w:tr w:rsidR="0007202F" w:rsidRPr="00491918" w:rsidTr="00FF70F8">
        <w:trPr>
          <w:trHeight w:val="255"/>
        </w:trPr>
        <w:tc>
          <w:tcPr>
            <w:tcW w:w="7667" w:type="dxa"/>
            <w:gridSpan w:val="8"/>
            <w:tcBorders>
              <w:top w:val="nil"/>
              <w:left w:val="nil"/>
              <w:bottom w:val="nil"/>
              <w:right w:val="nil"/>
            </w:tcBorders>
            <w:shd w:val="clear" w:color="auto" w:fill="FFFFFF"/>
            <w:tcMar>
              <w:left w:w="36" w:type="dxa"/>
              <w:right w:w="36" w:type="dxa"/>
            </w:tcMar>
            <w:vAlign w:val="bottom"/>
          </w:tcPr>
          <w:p w:rsidR="0007202F" w:rsidRPr="00491918" w:rsidRDefault="0007202F" w:rsidP="0007202F">
            <w:pPr>
              <w:pStyle w:val="HeadingLevel1-BarcRA49"/>
            </w:pPr>
            <w:r w:rsidRPr="00491918">
              <w:lastRenderedPageBreak/>
              <w:t>Financial Statement Notes</w:t>
            </w:r>
          </w:p>
          <w:p w:rsidR="0007202F" w:rsidRPr="00491918" w:rsidRDefault="0007202F" w:rsidP="00CC7FA0">
            <w:pPr>
              <w:jc w:val="center"/>
              <w:rPr>
                <w:b/>
                <w:color w:val="000000"/>
                <w:sz w:val="15"/>
              </w:rPr>
            </w:pPr>
          </w:p>
        </w:tc>
        <w:tc>
          <w:tcPr>
            <w:tcW w:w="92" w:type="dxa"/>
            <w:tcBorders>
              <w:top w:val="nil"/>
              <w:left w:val="nil"/>
              <w:bottom w:val="nil"/>
              <w:right w:val="nil"/>
            </w:tcBorders>
            <w:shd w:val="clear" w:color="auto" w:fill="FFFFFF"/>
            <w:tcMar>
              <w:left w:w="36" w:type="dxa"/>
              <w:right w:w="36" w:type="dxa"/>
            </w:tcMar>
            <w:vAlign w:val="bottom"/>
          </w:tcPr>
          <w:p w:rsidR="0007202F" w:rsidRPr="00491918" w:rsidRDefault="0007202F" w:rsidP="00CC7FA0">
            <w:pPr>
              <w:rPr>
                <w:color w:val="000000"/>
                <w:sz w:val="15"/>
              </w:rPr>
            </w:pPr>
          </w:p>
        </w:tc>
        <w:tc>
          <w:tcPr>
            <w:tcW w:w="1080" w:type="dxa"/>
            <w:tcBorders>
              <w:top w:val="nil"/>
              <w:left w:val="nil"/>
              <w:bottom w:val="nil"/>
              <w:right w:val="nil"/>
            </w:tcBorders>
            <w:shd w:val="clear" w:color="auto" w:fill="FFFFFF"/>
            <w:tcMar>
              <w:left w:w="36" w:type="dxa"/>
              <w:right w:w="36" w:type="dxa"/>
            </w:tcMar>
            <w:vAlign w:val="bottom"/>
          </w:tcPr>
          <w:p w:rsidR="0007202F" w:rsidRPr="00491918" w:rsidRDefault="0007202F" w:rsidP="00CC7FA0">
            <w:pPr>
              <w:jc w:val="center"/>
              <w:rPr>
                <w:b/>
                <w:color w:val="000000"/>
                <w:sz w:val="15"/>
              </w:rPr>
            </w:pPr>
          </w:p>
        </w:tc>
        <w:tc>
          <w:tcPr>
            <w:tcW w:w="900" w:type="dxa"/>
            <w:tcBorders>
              <w:top w:val="nil"/>
              <w:left w:val="nil"/>
              <w:bottom w:val="nil"/>
              <w:right w:val="nil"/>
            </w:tcBorders>
            <w:shd w:val="clear" w:color="auto" w:fill="FFFFFF"/>
            <w:tcMar>
              <w:left w:w="36" w:type="dxa"/>
              <w:right w:w="36" w:type="dxa"/>
            </w:tcMar>
            <w:vAlign w:val="bottom"/>
          </w:tcPr>
          <w:p w:rsidR="0007202F" w:rsidRPr="00491918" w:rsidRDefault="0007202F" w:rsidP="00CC7FA0">
            <w:pPr>
              <w:jc w:val="center"/>
              <w:rPr>
                <w:b/>
                <w:color w:val="000000"/>
                <w:sz w:val="15"/>
              </w:rPr>
            </w:pPr>
          </w:p>
        </w:tc>
      </w:tr>
      <w:tr w:rsidR="00CC7FA0" w:rsidRPr="00491918" w:rsidTr="00CC7FA0">
        <w:trPr>
          <w:trHeight w:val="255"/>
        </w:trPr>
        <w:tc>
          <w:tcPr>
            <w:tcW w:w="1620" w:type="dxa"/>
            <w:tcBorders>
              <w:top w:val="nil"/>
              <w:left w:val="nil"/>
              <w:bottom w:val="nil"/>
              <w:right w:val="nil"/>
            </w:tcBorders>
            <w:shd w:val="clear" w:color="auto" w:fill="FFFFFF"/>
            <w:tcMar>
              <w:left w:w="36" w:type="dxa"/>
              <w:right w:w="36" w:type="dxa"/>
            </w:tcMar>
            <w:vAlign w:val="bottom"/>
          </w:tcPr>
          <w:p w:rsidR="00CC7FA0" w:rsidRPr="00491918" w:rsidRDefault="00CC7FA0" w:rsidP="00CC7FA0">
            <w:pPr>
              <w:rPr>
                <w:b/>
                <w:color w:val="000000"/>
                <w:sz w:val="15"/>
                <w:vertAlign w:val="superscript"/>
              </w:rPr>
            </w:pPr>
            <w:r w:rsidRPr="00491918">
              <w:rPr>
                <w:color w:val="000000"/>
                <w:sz w:val="16"/>
              </w:rPr>
              <w:t xml:space="preserve"> </w:t>
            </w:r>
          </w:p>
        </w:tc>
        <w:tc>
          <w:tcPr>
            <w:tcW w:w="6047" w:type="dxa"/>
            <w:gridSpan w:val="7"/>
            <w:tcBorders>
              <w:top w:val="nil"/>
              <w:left w:val="nil"/>
              <w:bottom w:val="single" w:sz="6" w:space="0" w:color="A5A5A5"/>
              <w:right w:val="nil"/>
            </w:tcBorders>
            <w:shd w:val="clear" w:color="auto" w:fill="FFFFFF"/>
            <w:tcMar>
              <w:left w:w="36" w:type="dxa"/>
              <w:right w:w="36" w:type="dxa"/>
            </w:tcMar>
            <w:vAlign w:val="bottom"/>
          </w:tcPr>
          <w:p w:rsidR="00CC7FA0" w:rsidRPr="00491918" w:rsidRDefault="00CC7FA0" w:rsidP="00CC7FA0">
            <w:pPr>
              <w:jc w:val="center"/>
              <w:rPr>
                <w:color w:val="000000"/>
                <w:sz w:val="16"/>
              </w:rPr>
            </w:pPr>
            <w:r w:rsidRPr="00491918">
              <w:rPr>
                <w:b/>
                <w:color w:val="000000"/>
                <w:sz w:val="15"/>
              </w:rPr>
              <w:t>Amounts subject to enforceable netting arrangements</w:t>
            </w:r>
            <w:r w:rsidRPr="00491918">
              <w:rPr>
                <w:b/>
                <w:color w:val="000000"/>
                <w:sz w:val="15"/>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CC7FA0" w:rsidRPr="00491918" w:rsidRDefault="00CC7FA0" w:rsidP="00CC7FA0">
            <w:pPr>
              <w:rPr>
                <w:b/>
                <w:color w:val="000000"/>
                <w:sz w:val="15"/>
                <w:vertAlign w:val="superscript"/>
              </w:rPr>
            </w:pPr>
            <w:r w:rsidRPr="00491918">
              <w:rPr>
                <w:color w:val="000000"/>
                <w:sz w:val="15"/>
              </w:rPr>
              <w:t xml:space="preserve"> </w:t>
            </w:r>
          </w:p>
        </w:tc>
        <w:tc>
          <w:tcPr>
            <w:tcW w:w="1080" w:type="dxa"/>
            <w:vMerge w:val="restart"/>
            <w:tcBorders>
              <w:top w:val="nil"/>
              <w:left w:val="nil"/>
              <w:bottom w:val="nil"/>
              <w:right w:val="nil"/>
            </w:tcBorders>
            <w:shd w:val="clear" w:color="auto" w:fill="FFFFFF"/>
            <w:tcMar>
              <w:left w:w="36" w:type="dxa"/>
              <w:right w:w="36" w:type="dxa"/>
            </w:tcMar>
            <w:vAlign w:val="bottom"/>
          </w:tcPr>
          <w:p w:rsidR="00CC7FA0" w:rsidRPr="00491918" w:rsidRDefault="00CC7FA0" w:rsidP="00CC7FA0">
            <w:pPr>
              <w:jc w:val="center"/>
              <w:rPr>
                <w:color w:val="000000"/>
                <w:sz w:val="15"/>
              </w:rPr>
            </w:pPr>
            <w:r w:rsidRPr="00491918">
              <w:rPr>
                <w:b/>
                <w:color w:val="000000"/>
                <w:sz w:val="15"/>
              </w:rPr>
              <w:t>Amounts not subject to enforceable netting arrangements</w:t>
            </w:r>
            <w:r w:rsidRPr="00491918">
              <w:rPr>
                <w:b/>
                <w:color w:val="000000"/>
                <w:sz w:val="15"/>
                <w:vertAlign w:val="superscript"/>
              </w:rPr>
              <w:t>4 </w:t>
            </w:r>
          </w:p>
        </w:tc>
        <w:tc>
          <w:tcPr>
            <w:tcW w:w="900" w:type="dxa"/>
            <w:vMerge w:val="restart"/>
            <w:tcBorders>
              <w:top w:val="nil"/>
              <w:left w:val="nil"/>
              <w:bottom w:val="nil"/>
              <w:right w:val="nil"/>
            </w:tcBorders>
            <w:shd w:val="clear" w:color="auto" w:fill="FFFFFF"/>
            <w:tcMar>
              <w:left w:w="36" w:type="dxa"/>
              <w:right w:w="36" w:type="dxa"/>
            </w:tcMar>
            <w:vAlign w:val="bottom"/>
          </w:tcPr>
          <w:p w:rsidR="00CC7FA0" w:rsidRPr="00491918" w:rsidRDefault="00CC7FA0" w:rsidP="00CC7FA0">
            <w:pPr>
              <w:jc w:val="center"/>
              <w:rPr>
                <w:b/>
                <w:color w:val="000000"/>
                <w:sz w:val="15"/>
                <w:vertAlign w:val="superscript"/>
              </w:rPr>
            </w:pPr>
            <w:r w:rsidRPr="00491918">
              <w:rPr>
                <w:b/>
                <w:color w:val="000000"/>
                <w:sz w:val="15"/>
              </w:rPr>
              <w:t>Balance sheet total</w:t>
            </w:r>
            <w:r w:rsidRPr="00491918">
              <w:rPr>
                <w:b/>
                <w:color w:val="000000"/>
                <w:sz w:val="15"/>
                <w:vertAlign w:val="superscript"/>
              </w:rPr>
              <w:t>5 </w:t>
            </w:r>
          </w:p>
        </w:tc>
      </w:tr>
      <w:tr w:rsidR="00CC7FA0" w:rsidRPr="00491918" w:rsidTr="00CC7FA0">
        <w:trPr>
          <w:trHeight w:val="300"/>
        </w:trPr>
        <w:tc>
          <w:tcPr>
            <w:tcW w:w="1620" w:type="dxa"/>
            <w:tcBorders>
              <w:top w:val="nil"/>
              <w:left w:val="nil"/>
              <w:bottom w:val="nil"/>
              <w:right w:val="nil"/>
            </w:tcBorders>
            <w:shd w:val="clear" w:color="auto" w:fill="FFFFFF"/>
            <w:tcMar>
              <w:left w:w="36" w:type="dxa"/>
              <w:right w:w="36" w:type="dxa"/>
            </w:tcMar>
            <w:vAlign w:val="bottom"/>
          </w:tcPr>
          <w:p w:rsidR="00CC7FA0" w:rsidRPr="00491918" w:rsidRDefault="00CC7FA0" w:rsidP="00CC7FA0">
            <w:pPr>
              <w:rPr>
                <w:b/>
                <w:color w:val="000000"/>
                <w:sz w:val="15"/>
                <w:vertAlign w:val="superscript"/>
              </w:rPr>
            </w:pPr>
            <w:r w:rsidRPr="00491918">
              <w:rPr>
                <w:color w:val="000000"/>
                <w:sz w:val="16"/>
              </w:rPr>
              <w:t xml:space="preserve"> </w:t>
            </w:r>
          </w:p>
        </w:tc>
        <w:tc>
          <w:tcPr>
            <w:tcW w:w="3135" w:type="dxa"/>
            <w:gridSpan w:val="3"/>
            <w:tcBorders>
              <w:top w:val="single" w:sz="6" w:space="0" w:color="A5A5A5"/>
              <w:left w:val="nil"/>
              <w:bottom w:val="single" w:sz="6" w:space="0" w:color="969696"/>
              <w:right w:val="nil"/>
            </w:tcBorders>
            <w:shd w:val="clear" w:color="auto" w:fill="FFFFFF"/>
            <w:tcMar>
              <w:left w:w="36" w:type="dxa"/>
              <w:right w:w="36" w:type="dxa"/>
            </w:tcMar>
            <w:vAlign w:val="bottom"/>
          </w:tcPr>
          <w:p w:rsidR="00CC7FA0" w:rsidRPr="00491918" w:rsidRDefault="00CC7FA0" w:rsidP="00CC7FA0">
            <w:pPr>
              <w:jc w:val="center"/>
              <w:rPr>
                <w:color w:val="000000"/>
                <w:sz w:val="16"/>
              </w:rPr>
            </w:pPr>
            <w:r w:rsidRPr="00491918">
              <w:rPr>
                <w:b/>
                <w:color w:val="000000"/>
                <w:sz w:val="15"/>
              </w:rPr>
              <w:t>Effects of offsetting on balance sheet</w:t>
            </w:r>
            <w:r w:rsidRPr="00491918">
              <w:rPr>
                <w:b/>
                <w:color w:val="000000"/>
                <w:sz w:val="15"/>
                <w:vertAlign w:val="superscript"/>
              </w:rPr>
              <w:t xml:space="preserve"> </w:t>
            </w:r>
          </w:p>
        </w:tc>
        <w:tc>
          <w:tcPr>
            <w:tcW w:w="92" w:type="dxa"/>
            <w:tcBorders>
              <w:top w:val="single" w:sz="6" w:space="0" w:color="A5A5A5"/>
              <w:left w:val="nil"/>
              <w:bottom w:val="nil"/>
              <w:right w:val="nil"/>
            </w:tcBorders>
            <w:shd w:val="clear" w:color="auto" w:fill="FFFFFF"/>
            <w:tcMar>
              <w:left w:w="36" w:type="dxa"/>
              <w:right w:w="36" w:type="dxa"/>
            </w:tcMar>
            <w:vAlign w:val="bottom"/>
          </w:tcPr>
          <w:p w:rsidR="00CC7FA0" w:rsidRPr="00491918" w:rsidRDefault="00CC7FA0" w:rsidP="00CC7FA0">
            <w:pPr>
              <w:jc w:val="center"/>
              <w:rPr>
                <w:b/>
                <w:color w:val="000000"/>
                <w:sz w:val="15"/>
                <w:vertAlign w:val="superscript"/>
              </w:rPr>
            </w:pPr>
            <w:r w:rsidRPr="00491918">
              <w:rPr>
                <w:b/>
                <w:color w:val="000000"/>
                <w:sz w:val="15"/>
              </w:rPr>
              <w:t xml:space="preserve"> </w:t>
            </w:r>
          </w:p>
        </w:tc>
        <w:tc>
          <w:tcPr>
            <w:tcW w:w="2820" w:type="dxa"/>
            <w:gridSpan w:val="3"/>
            <w:tcBorders>
              <w:top w:val="single" w:sz="6" w:space="0" w:color="A5A5A5"/>
              <w:left w:val="nil"/>
              <w:bottom w:val="single" w:sz="6" w:space="0" w:color="A5A5A5"/>
              <w:right w:val="nil"/>
            </w:tcBorders>
            <w:shd w:val="clear" w:color="auto" w:fill="FFFFFF"/>
            <w:tcMar>
              <w:left w:w="36" w:type="dxa"/>
              <w:right w:w="36" w:type="dxa"/>
            </w:tcMar>
            <w:vAlign w:val="bottom"/>
          </w:tcPr>
          <w:p w:rsidR="00CC7FA0" w:rsidRPr="00491918" w:rsidRDefault="00CC7FA0" w:rsidP="00CC7FA0">
            <w:pPr>
              <w:jc w:val="center"/>
              <w:rPr>
                <w:b/>
                <w:color w:val="000000"/>
                <w:sz w:val="15"/>
              </w:rPr>
            </w:pPr>
            <w:r w:rsidRPr="00491918">
              <w:rPr>
                <w:b/>
                <w:color w:val="000000"/>
                <w:sz w:val="15"/>
              </w:rPr>
              <w:t>Related amounts not offset</w:t>
            </w:r>
            <w:r w:rsidRPr="00491918">
              <w:rPr>
                <w:b/>
                <w:color w:val="000000"/>
                <w:sz w:val="15"/>
                <w:vertAlign w:val="superscript"/>
              </w:rPr>
              <w:t>3 </w:t>
            </w:r>
          </w:p>
        </w:tc>
        <w:tc>
          <w:tcPr>
            <w:tcW w:w="92" w:type="dxa"/>
            <w:tcBorders>
              <w:top w:val="nil"/>
              <w:left w:val="nil"/>
              <w:bottom w:val="nil"/>
              <w:right w:val="nil"/>
            </w:tcBorders>
            <w:shd w:val="clear" w:color="auto" w:fill="FFFFFF"/>
            <w:tcMar>
              <w:left w:w="36" w:type="dxa"/>
              <w:right w:w="36" w:type="dxa"/>
            </w:tcMar>
            <w:vAlign w:val="bottom"/>
          </w:tcPr>
          <w:p w:rsidR="00CC7FA0" w:rsidRPr="00491918" w:rsidRDefault="00CC7FA0" w:rsidP="00CC7FA0">
            <w:pPr>
              <w:rPr>
                <w:b/>
                <w:color w:val="000000"/>
                <w:sz w:val="15"/>
                <w:vertAlign w:val="superscript"/>
              </w:rPr>
            </w:pPr>
            <w:r w:rsidRPr="00491918">
              <w:rPr>
                <w:b/>
                <w:color w:val="000000"/>
                <w:sz w:val="15"/>
              </w:rPr>
              <w:t xml:space="preserve"> </w:t>
            </w:r>
          </w:p>
        </w:tc>
        <w:tc>
          <w:tcPr>
            <w:tcW w:w="1080" w:type="dxa"/>
            <w:vMerge/>
            <w:tcBorders>
              <w:top w:val="nil"/>
              <w:left w:val="nil"/>
              <w:bottom w:val="nil"/>
              <w:right w:val="nil"/>
            </w:tcBorders>
            <w:shd w:val="clear" w:color="auto" w:fill="FFFFFF"/>
            <w:tcMar>
              <w:left w:w="36" w:type="dxa"/>
              <w:right w:w="36" w:type="dxa"/>
            </w:tcMar>
            <w:vAlign w:val="bottom"/>
          </w:tcPr>
          <w:p w:rsidR="00CC7FA0" w:rsidRPr="00491918" w:rsidRDefault="00CC7FA0" w:rsidP="00CC7FA0">
            <w:pPr>
              <w:rPr>
                <w:b/>
                <w:color w:val="000000"/>
                <w:sz w:val="15"/>
              </w:rPr>
            </w:pPr>
          </w:p>
        </w:tc>
        <w:tc>
          <w:tcPr>
            <w:tcW w:w="900" w:type="dxa"/>
            <w:vMerge/>
            <w:tcBorders>
              <w:top w:val="nil"/>
              <w:left w:val="nil"/>
              <w:bottom w:val="nil"/>
              <w:right w:val="nil"/>
            </w:tcBorders>
            <w:shd w:val="clear" w:color="auto" w:fill="FFFFFF"/>
            <w:tcMar>
              <w:left w:w="36" w:type="dxa"/>
              <w:right w:w="36" w:type="dxa"/>
            </w:tcMar>
            <w:vAlign w:val="bottom"/>
          </w:tcPr>
          <w:p w:rsidR="00CC7FA0" w:rsidRPr="00491918" w:rsidRDefault="00CC7FA0" w:rsidP="00CC7FA0">
            <w:pPr>
              <w:rPr>
                <w:b/>
                <w:color w:val="000000"/>
                <w:sz w:val="15"/>
              </w:rPr>
            </w:pPr>
          </w:p>
        </w:tc>
      </w:tr>
      <w:tr w:rsidR="00CC7FA0" w:rsidRPr="00491918" w:rsidTr="00CC7FA0">
        <w:trPr>
          <w:trHeight w:val="930"/>
        </w:trPr>
        <w:tc>
          <w:tcPr>
            <w:tcW w:w="1620" w:type="dxa"/>
            <w:tcBorders>
              <w:top w:val="nil"/>
              <w:left w:val="nil"/>
              <w:bottom w:val="nil"/>
              <w:right w:val="nil"/>
            </w:tcBorders>
            <w:shd w:val="clear" w:color="auto" w:fill="FFFFFF"/>
            <w:tcMar>
              <w:left w:w="36" w:type="dxa"/>
              <w:right w:w="36" w:type="dxa"/>
            </w:tcMar>
            <w:vAlign w:val="bottom"/>
          </w:tcPr>
          <w:p w:rsidR="00CC7FA0" w:rsidRPr="00491918" w:rsidRDefault="00CC7FA0" w:rsidP="00CC7FA0">
            <w:pPr>
              <w:rPr>
                <w:b/>
                <w:color w:val="000000"/>
                <w:sz w:val="15"/>
              </w:rPr>
            </w:pPr>
            <w:r w:rsidRPr="00491918">
              <w:rPr>
                <w:color w:val="000000"/>
                <w:sz w:val="16"/>
              </w:rPr>
              <w:t xml:space="preserve"> </w:t>
            </w:r>
          </w:p>
        </w:tc>
        <w:tc>
          <w:tcPr>
            <w:tcW w:w="1155" w:type="dxa"/>
            <w:tcBorders>
              <w:top w:val="single" w:sz="6" w:space="0" w:color="969696"/>
              <w:left w:val="nil"/>
              <w:bottom w:val="nil"/>
              <w:right w:val="nil"/>
            </w:tcBorders>
            <w:shd w:val="clear" w:color="auto" w:fill="FFFFFF"/>
            <w:tcMar>
              <w:left w:w="36" w:type="dxa"/>
              <w:right w:w="36" w:type="dxa"/>
            </w:tcMar>
            <w:vAlign w:val="bottom"/>
          </w:tcPr>
          <w:p w:rsidR="00CC7FA0" w:rsidRPr="00491918" w:rsidRDefault="00CC7FA0" w:rsidP="00CC7FA0">
            <w:pPr>
              <w:jc w:val="right"/>
              <w:rPr>
                <w:color w:val="000000"/>
                <w:sz w:val="16"/>
              </w:rPr>
            </w:pPr>
            <w:r w:rsidRPr="00491918">
              <w:rPr>
                <w:b/>
                <w:color w:val="000000"/>
                <w:sz w:val="15"/>
              </w:rPr>
              <w:t>Gross amounts</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rPr>
            </w:pPr>
            <w:r w:rsidRPr="00491918">
              <w:rPr>
                <w:b/>
                <w:color w:val="000000"/>
                <w:sz w:val="15"/>
              </w:rPr>
              <w:t>Amounts offset</w:t>
            </w:r>
            <w:r w:rsidRPr="00491918">
              <w:rPr>
                <w:b/>
                <w:color w:val="000000"/>
                <w:sz w:val="15"/>
                <w:vertAlign w:val="superscript"/>
              </w:rPr>
              <w:t>1 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vertAlign w:val="superscript"/>
              </w:rPr>
            </w:pPr>
            <w:r w:rsidRPr="00491918">
              <w:rPr>
                <w:b/>
                <w:color w:val="000000"/>
                <w:sz w:val="15"/>
              </w:rPr>
              <w:t>Net amounts reported on the balance sheet</w:t>
            </w:r>
            <w:r w:rsidRPr="00491918">
              <w:rPr>
                <w:b/>
                <w:color w:val="000000"/>
                <w:sz w:val="15"/>
                <w:vertAlign w:val="superscript"/>
              </w:rPr>
              <w:t>2 </w:t>
            </w:r>
          </w:p>
        </w:tc>
        <w:tc>
          <w:tcPr>
            <w:tcW w:w="92" w:type="dxa"/>
            <w:tcBorders>
              <w:top w:val="nil"/>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vertAlign w:val="superscript"/>
              </w:rPr>
            </w:pPr>
            <w:r w:rsidRPr="00491918">
              <w:rPr>
                <w:b/>
                <w:color w:val="000000"/>
                <w:sz w:val="15"/>
              </w:rPr>
              <w:t xml:space="preserve"> </w:t>
            </w:r>
          </w:p>
        </w:tc>
        <w:tc>
          <w:tcPr>
            <w:tcW w:w="1020" w:type="dxa"/>
            <w:tcBorders>
              <w:top w:val="single" w:sz="6" w:space="0" w:color="A5A5A5"/>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rPr>
            </w:pPr>
            <w:r w:rsidRPr="00491918">
              <w:rPr>
                <w:b/>
                <w:color w:val="000000"/>
                <w:sz w:val="15"/>
              </w:rPr>
              <w:t>Financial instruments</w:t>
            </w:r>
          </w:p>
        </w:tc>
        <w:tc>
          <w:tcPr>
            <w:tcW w:w="975" w:type="dxa"/>
            <w:tcBorders>
              <w:top w:val="single" w:sz="6" w:space="0" w:color="A5A5A5"/>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rPr>
            </w:pPr>
            <w:r w:rsidRPr="00491918">
              <w:rPr>
                <w:b/>
                <w:color w:val="000000"/>
                <w:sz w:val="15"/>
              </w:rPr>
              <w:t>Financial collateral</w:t>
            </w:r>
          </w:p>
        </w:tc>
        <w:tc>
          <w:tcPr>
            <w:tcW w:w="825" w:type="dxa"/>
            <w:tcBorders>
              <w:top w:val="single" w:sz="6" w:space="0" w:color="A5A5A5"/>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rPr>
            </w:pPr>
            <w:r w:rsidRPr="00491918">
              <w:rPr>
                <w:b/>
                <w:color w:val="000000"/>
                <w:sz w:val="15"/>
              </w:rPr>
              <w:t>Net amount</w:t>
            </w:r>
            <w:r w:rsidRPr="00491918">
              <w:rPr>
                <w:b/>
                <w:color w:val="000000"/>
                <w:sz w:val="15"/>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vertAlign w:val="superscript"/>
              </w:rPr>
            </w:pPr>
            <w:r w:rsidRPr="00491918">
              <w:rPr>
                <w:b/>
                <w:color w:val="000000"/>
                <w:sz w:val="15"/>
              </w:rPr>
              <w:t xml:space="preserve"> </w:t>
            </w:r>
          </w:p>
        </w:tc>
        <w:tc>
          <w:tcPr>
            <w:tcW w:w="1080" w:type="dxa"/>
            <w:vMerge/>
            <w:tcBorders>
              <w:top w:val="nil"/>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rPr>
            </w:pPr>
          </w:p>
        </w:tc>
        <w:tc>
          <w:tcPr>
            <w:tcW w:w="900" w:type="dxa"/>
            <w:vMerge/>
            <w:tcBorders>
              <w:top w:val="nil"/>
              <w:left w:val="nil"/>
              <w:bottom w:val="nil"/>
              <w:right w:val="nil"/>
            </w:tcBorders>
            <w:shd w:val="clear" w:color="auto" w:fill="FFFFFF"/>
            <w:tcMar>
              <w:left w:w="36" w:type="dxa"/>
              <w:right w:w="36" w:type="dxa"/>
            </w:tcMar>
            <w:vAlign w:val="bottom"/>
          </w:tcPr>
          <w:p w:rsidR="00CC7FA0" w:rsidRPr="00491918" w:rsidRDefault="00CC7FA0" w:rsidP="00CC7FA0">
            <w:pPr>
              <w:jc w:val="right"/>
              <w:rPr>
                <w:b/>
                <w:color w:val="000000"/>
                <w:sz w:val="15"/>
              </w:rPr>
            </w:pPr>
          </w:p>
        </w:tc>
      </w:tr>
      <w:tr w:rsidR="00A24F51" w:rsidRPr="00491918" w:rsidTr="00A24F51">
        <w:trPr>
          <w:trHeight w:val="255"/>
        </w:trPr>
        <w:tc>
          <w:tcPr>
            <w:tcW w:w="16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As at 31.12.12</w:t>
            </w:r>
          </w:p>
        </w:tc>
        <w:tc>
          <w:tcPr>
            <w:tcW w:w="115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bl>
    <w:p w:rsidR="00F92E6D" w:rsidRPr="00491918" w:rsidRDefault="00F92E6D"/>
    <w:tbl>
      <w:tblPr>
        <w:tblW w:w="9739" w:type="dxa"/>
        <w:tblLayout w:type="fixed"/>
        <w:tblLook w:val="0000" w:firstRow="0" w:lastRow="0" w:firstColumn="0" w:lastColumn="0" w:noHBand="0" w:noVBand="0"/>
      </w:tblPr>
      <w:tblGrid>
        <w:gridCol w:w="1620"/>
        <w:gridCol w:w="1155"/>
        <w:gridCol w:w="960"/>
        <w:gridCol w:w="1020"/>
        <w:gridCol w:w="92"/>
        <w:gridCol w:w="1020"/>
        <w:gridCol w:w="975"/>
        <w:gridCol w:w="825"/>
        <w:gridCol w:w="92"/>
        <w:gridCol w:w="1080"/>
        <w:gridCol w:w="900"/>
      </w:tblGrid>
      <w:tr w:rsidR="00A24F51" w:rsidRPr="00491918" w:rsidTr="00F92E6D">
        <w:trPr>
          <w:trHeight w:val="510"/>
        </w:trPr>
        <w:tc>
          <w:tcPr>
            <w:tcW w:w="1620" w:type="dxa"/>
            <w:tcBorders>
              <w:left w:val="nil"/>
              <w:bottom w:val="nil"/>
              <w:right w:val="nil"/>
            </w:tcBorders>
            <w:shd w:val="clear" w:color="auto" w:fill="FFFFFF"/>
            <w:tcMar>
              <w:left w:w="36" w:type="dxa"/>
              <w:right w:w="36" w:type="dxa"/>
            </w:tcMar>
            <w:vAlign w:val="bottom"/>
          </w:tcPr>
          <w:p w:rsidR="00A24F51" w:rsidRPr="00491918" w:rsidRDefault="00A24F51" w:rsidP="001B0DD0">
            <w:pPr>
              <w:rPr>
                <w:color w:val="000000"/>
                <w:sz w:val="16"/>
                <w:vertAlign w:val="superscript"/>
              </w:rPr>
            </w:pPr>
            <w:r w:rsidRPr="00491918">
              <w:rPr>
                <w:color w:val="000000"/>
                <w:sz w:val="16"/>
              </w:rPr>
              <w:t>Derivative financial assets</w:t>
            </w:r>
          </w:p>
        </w:tc>
        <w:tc>
          <w:tcPr>
            <w:tcW w:w="1155"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879,082 </w:t>
            </w:r>
          </w:p>
        </w:tc>
        <w:tc>
          <w:tcPr>
            <w:tcW w:w="960"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(420,741)</w:t>
            </w:r>
            <w:r w:rsidRPr="00491918">
              <w:rPr>
                <w:color w:val="000000"/>
                <w:sz w:val="16"/>
                <w:vertAlign w:val="superscript"/>
              </w:rPr>
              <w:t xml:space="preserve"> </w:t>
            </w:r>
          </w:p>
        </w:tc>
        <w:tc>
          <w:tcPr>
            <w:tcW w:w="1020" w:type="dxa"/>
            <w:tcBorders>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458,341 </w:t>
            </w:r>
            <w:r w:rsidRPr="00491918">
              <w:rPr>
                <w:color w:val="000000"/>
                <w:sz w:val="16"/>
                <w:vertAlign w:val="superscript"/>
              </w:rPr>
              <w:t xml:space="preserve"> </w:t>
            </w:r>
          </w:p>
        </w:tc>
        <w:tc>
          <w:tcPr>
            <w:tcW w:w="92"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(387,672)</w:t>
            </w:r>
          </w:p>
        </w:tc>
        <w:tc>
          <w:tcPr>
            <w:tcW w:w="975"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(53,183)</w:t>
            </w:r>
          </w:p>
        </w:tc>
        <w:tc>
          <w:tcPr>
            <w:tcW w:w="825"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17,486 </w:t>
            </w:r>
            <w:r w:rsidRPr="00491918">
              <w:rPr>
                <w:color w:val="000000"/>
                <w:sz w:val="16"/>
                <w:vertAlign w:val="superscript"/>
              </w:rPr>
              <w:t xml:space="preserve"> </w:t>
            </w:r>
          </w:p>
        </w:tc>
        <w:tc>
          <w:tcPr>
            <w:tcW w:w="92" w:type="dxa"/>
            <w:tcBorders>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10,815 </w:t>
            </w:r>
            <w:r w:rsidRPr="00491918">
              <w:rPr>
                <w:color w:val="000000"/>
                <w:sz w:val="16"/>
                <w:vertAlign w:val="superscript"/>
              </w:rPr>
              <w:t xml:space="preserve"> </w:t>
            </w:r>
          </w:p>
        </w:tc>
        <w:tc>
          <w:tcPr>
            <w:tcW w:w="900" w:type="dxa"/>
            <w:tcBorders>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469,156 </w:t>
            </w:r>
            <w:r w:rsidRPr="00491918">
              <w:rPr>
                <w:b/>
                <w:color w:val="000000"/>
                <w:sz w:val="16"/>
                <w:vertAlign w:val="superscript"/>
              </w:rPr>
              <w:t xml:space="preserve"> </w:t>
            </w:r>
          </w:p>
        </w:tc>
      </w:tr>
      <w:tr w:rsidR="00A24F51" w:rsidRPr="00491918" w:rsidTr="00A24F51">
        <w:trPr>
          <w:trHeight w:val="750"/>
        </w:trPr>
        <w:tc>
          <w:tcPr>
            <w:tcW w:w="16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Reverse repurchase agreements and other similar secured lending</w:t>
            </w:r>
          </w:p>
        </w:tc>
        <w:tc>
          <w:tcPr>
            <w:tcW w:w="115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231,477 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(100,989)</w:t>
            </w:r>
            <w:r w:rsidRPr="00491918">
              <w:rPr>
                <w:color w:val="000000"/>
                <w:sz w:val="16"/>
                <w:vertAlign w:val="superscript"/>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130,488 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w:t>
            </w:r>
          </w:p>
        </w:tc>
        <w:tc>
          <w:tcPr>
            <w:tcW w:w="97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(129,716)</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772 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46,034 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176,522 </w:t>
            </w:r>
            <w:r w:rsidRPr="00491918">
              <w:rPr>
                <w:b/>
                <w:color w:val="000000"/>
                <w:sz w:val="16"/>
                <w:vertAlign w:val="superscript"/>
              </w:rPr>
              <w:t xml:space="preserve"> </w:t>
            </w:r>
          </w:p>
        </w:tc>
      </w:tr>
      <w:tr w:rsidR="00A24F51" w:rsidRPr="00491918" w:rsidTr="00A24F51">
        <w:trPr>
          <w:trHeight w:val="270"/>
        </w:trPr>
        <w:tc>
          <w:tcPr>
            <w:tcW w:w="16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Total Assets</w:t>
            </w:r>
          </w:p>
        </w:tc>
        <w:tc>
          <w:tcPr>
            <w:tcW w:w="115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1,110,559 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(521,730)</w:t>
            </w:r>
            <w:r w:rsidRPr="00491918">
              <w:rPr>
                <w:b/>
                <w:color w:val="000000"/>
                <w:sz w:val="16"/>
                <w:vertAlign w:val="superscript"/>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588,829 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(387,672)</w:t>
            </w:r>
          </w:p>
        </w:tc>
        <w:tc>
          <w:tcPr>
            <w:tcW w:w="97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(182,899)</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18,258 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56,849 </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645,678 </w:t>
            </w:r>
            <w:r w:rsidRPr="00491918">
              <w:rPr>
                <w:b/>
                <w:color w:val="000000"/>
                <w:sz w:val="16"/>
                <w:vertAlign w:val="superscript"/>
              </w:rPr>
              <w:t xml:space="preserve"> </w:t>
            </w:r>
          </w:p>
        </w:tc>
      </w:tr>
      <w:tr w:rsidR="00A24F51" w:rsidRPr="00491918" w:rsidTr="00A24F51">
        <w:trPr>
          <w:trHeight w:val="51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Derivative financial liabilities</w:t>
            </w:r>
          </w:p>
        </w:tc>
        <w:tc>
          <w:tcPr>
            <w:tcW w:w="115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(869,514)</w:t>
            </w:r>
          </w:p>
        </w:tc>
        <w:tc>
          <w:tcPr>
            <w:tcW w:w="96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419,192 </w:t>
            </w:r>
            <w:r w:rsidRPr="00491918">
              <w:rPr>
                <w:color w:val="000000"/>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(450,322)</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387,672 </w:t>
            </w:r>
          </w:p>
        </w:tc>
        <w:tc>
          <w:tcPr>
            <w:tcW w:w="97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52,163 </w:t>
            </w:r>
          </w:p>
        </w:tc>
        <w:tc>
          <w:tcPr>
            <w:tcW w:w="82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(10,487)</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(12,399)</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(462,721)</w:t>
            </w:r>
            <w:r w:rsidRPr="00491918">
              <w:rPr>
                <w:b/>
                <w:color w:val="000000"/>
                <w:sz w:val="16"/>
                <w:vertAlign w:val="superscript"/>
              </w:rPr>
              <w:t xml:space="preserve"> </w:t>
            </w:r>
          </w:p>
        </w:tc>
      </w:tr>
      <w:tr w:rsidR="00A24F51" w:rsidRPr="00491918" w:rsidTr="00A24F51">
        <w:trPr>
          <w:trHeight w:val="1020"/>
        </w:trPr>
        <w:tc>
          <w:tcPr>
            <w:tcW w:w="16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 xml:space="preserve">Repurchase agreements and other similar secured borrowing </w:t>
            </w:r>
          </w:p>
        </w:tc>
        <w:tc>
          <w:tcPr>
            <w:tcW w:w="115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(232,029)</w:t>
            </w:r>
          </w:p>
        </w:tc>
        <w:tc>
          <w:tcPr>
            <w:tcW w:w="96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100,989 </w:t>
            </w:r>
            <w:r w:rsidRPr="00491918">
              <w:rPr>
                <w:color w:val="000000"/>
                <w:sz w:val="16"/>
                <w:vertAlign w:val="superscript"/>
              </w:rPr>
              <w:t xml:space="preserve"> </w:t>
            </w:r>
          </w:p>
        </w:tc>
        <w:tc>
          <w:tcPr>
            <w:tcW w:w="102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(131,040)</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w:t>
            </w:r>
          </w:p>
        </w:tc>
        <w:tc>
          <w:tcPr>
            <w:tcW w:w="97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130,444 </w:t>
            </w:r>
          </w:p>
        </w:tc>
        <w:tc>
          <w:tcPr>
            <w:tcW w:w="82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(596)</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(86,138)</w:t>
            </w:r>
            <w:r w:rsidRPr="00491918">
              <w:rPr>
                <w:color w:val="000000"/>
                <w:sz w:val="16"/>
                <w:vertAlign w:val="superscript"/>
              </w:rPr>
              <w:t xml:space="preserve"> </w:t>
            </w:r>
          </w:p>
        </w:tc>
        <w:tc>
          <w:tcPr>
            <w:tcW w:w="90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(217,178)</w:t>
            </w:r>
            <w:r w:rsidRPr="00491918">
              <w:rPr>
                <w:b/>
                <w:color w:val="000000"/>
                <w:sz w:val="16"/>
                <w:vertAlign w:val="superscript"/>
              </w:rPr>
              <w:t xml:space="preserve"> </w:t>
            </w:r>
          </w:p>
        </w:tc>
      </w:tr>
      <w:tr w:rsidR="00A24F51" w:rsidRPr="00491918" w:rsidTr="00A24F51">
        <w:trPr>
          <w:trHeight w:val="270"/>
        </w:trPr>
        <w:tc>
          <w:tcPr>
            <w:tcW w:w="16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Total Liabilities</w:t>
            </w:r>
          </w:p>
        </w:tc>
        <w:tc>
          <w:tcPr>
            <w:tcW w:w="115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(1,101,543)</w:t>
            </w:r>
          </w:p>
        </w:tc>
        <w:tc>
          <w:tcPr>
            <w:tcW w:w="96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520,181 </w:t>
            </w:r>
            <w:r w:rsidRPr="00491918">
              <w:rPr>
                <w:b/>
                <w:color w:val="000000"/>
                <w:sz w:val="16"/>
                <w:vertAlign w:val="superscript"/>
              </w:rPr>
              <w:t xml:space="preserve"> </w:t>
            </w:r>
          </w:p>
        </w:tc>
        <w:tc>
          <w:tcPr>
            <w:tcW w:w="102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(581,362)</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387,672 </w:t>
            </w:r>
          </w:p>
        </w:tc>
        <w:tc>
          <w:tcPr>
            <w:tcW w:w="97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182,607 </w:t>
            </w:r>
          </w:p>
        </w:tc>
        <w:tc>
          <w:tcPr>
            <w:tcW w:w="82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(11,083)</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(98,537)</w:t>
            </w:r>
            <w:r w:rsidRPr="00491918">
              <w:rPr>
                <w:b/>
                <w:color w:val="000000"/>
                <w:sz w:val="16"/>
                <w:vertAlign w:val="superscript"/>
              </w:rPr>
              <w:t xml:space="preserve"> </w:t>
            </w:r>
          </w:p>
        </w:tc>
        <w:tc>
          <w:tcPr>
            <w:tcW w:w="90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(679,899)</w:t>
            </w:r>
            <w:r w:rsidRPr="00491918">
              <w:rPr>
                <w:b/>
                <w:color w:val="000000"/>
                <w:sz w:val="16"/>
                <w:vertAlign w:val="superscript"/>
              </w:rPr>
              <w:t xml:space="preserve"> </w:t>
            </w:r>
          </w:p>
        </w:tc>
      </w:tr>
      <w:tr w:rsidR="00A24F51" w:rsidRPr="00491918" w:rsidTr="00A24F51">
        <w:trPr>
          <w:trHeight w:hRule="exact" w:val="27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A24F51" w:rsidRPr="00491918" w:rsidTr="00A24F51">
        <w:trPr>
          <w:trHeight w:hRule="exact" w:val="27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r w:rsidRPr="00491918">
              <w:rPr>
                <w:b/>
                <w:color w:val="000000"/>
                <w:sz w:val="16"/>
                <w:vertAlign w:val="superscript"/>
              </w:rPr>
              <w:t xml:space="preserve"> </w:t>
            </w:r>
          </w:p>
        </w:tc>
      </w:tr>
      <w:tr w:rsidR="00A24F51" w:rsidRPr="00491918" w:rsidTr="00A24F51">
        <w:trPr>
          <w:trHeight w:val="255"/>
        </w:trPr>
        <w:tc>
          <w:tcPr>
            <w:tcW w:w="16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As at 30.06.12</w:t>
            </w:r>
          </w:p>
        </w:tc>
        <w:tc>
          <w:tcPr>
            <w:tcW w:w="115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color w:val="000000"/>
                <w:sz w:val="16"/>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p>
        </w:tc>
        <w:tc>
          <w:tcPr>
            <w:tcW w:w="97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A24F51" w:rsidRPr="00491918" w:rsidTr="00A24F51">
        <w:trPr>
          <w:trHeight w:val="510"/>
        </w:trPr>
        <w:tc>
          <w:tcPr>
            <w:tcW w:w="16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rPr>
                <w:color w:val="000000"/>
                <w:sz w:val="16"/>
                <w:vertAlign w:val="superscript"/>
              </w:rPr>
            </w:pPr>
            <w:r w:rsidRPr="00491918">
              <w:rPr>
                <w:color w:val="000000"/>
                <w:sz w:val="16"/>
              </w:rPr>
              <w:t>Derivative financial assets</w:t>
            </w:r>
          </w:p>
        </w:tc>
        <w:tc>
          <w:tcPr>
            <w:tcW w:w="115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985,224 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(483,691)</w:t>
            </w:r>
            <w:r w:rsidRPr="00491918">
              <w:rPr>
                <w:color w:val="000000"/>
                <w:sz w:val="16"/>
                <w:vertAlign w:val="superscript"/>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501,533 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(425,616)</w:t>
            </w:r>
          </w:p>
        </w:tc>
        <w:tc>
          <w:tcPr>
            <w:tcW w:w="97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(57,242)</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18,675 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16,160 </w:t>
            </w:r>
            <w:r w:rsidRPr="00491918">
              <w:rPr>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517,693 </w:t>
            </w:r>
            <w:r w:rsidRPr="00491918">
              <w:rPr>
                <w:b/>
                <w:color w:val="000000"/>
                <w:sz w:val="16"/>
                <w:vertAlign w:val="superscript"/>
              </w:rPr>
              <w:t xml:space="preserve"> </w:t>
            </w:r>
          </w:p>
        </w:tc>
      </w:tr>
      <w:tr w:rsidR="00A24F51" w:rsidRPr="00491918" w:rsidTr="00A24F51">
        <w:trPr>
          <w:trHeight w:val="735"/>
        </w:trPr>
        <w:tc>
          <w:tcPr>
            <w:tcW w:w="16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Reverse repurchase agreements and other similar secured lending</w:t>
            </w:r>
          </w:p>
        </w:tc>
        <w:tc>
          <w:tcPr>
            <w:tcW w:w="115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234,954 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(107,483)</w:t>
            </w:r>
            <w:r w:rsidRPr="00491918">
              <w:rPr>
                <w:color w:val="000000"/>
                <w:sz w:val="16"/>
                <w:vertAlign w:val="superscript"/>
              </w:rPr>
              <w:t xml:space="preserve"> </w:t>
            </w:r>
          </w:p>
        </w:tc>
        <w:tc>
          <w:tcPr>
            <w:tcW w:w="102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127,471 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w:t>
            </w:r>
          </w:p>
        </w:tc>
        <w:tc>
          <w:tcPr>
            <w:tcW w:w="97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(127,124)</w:t>
            </w:r>
          </w:p>
        </w:tc>
        <w:tc>
          <w:tcPr>
            <w:tcW w:w="825" w:type="dxa"/>
            <w:tcBorders>
              <w:top w:val="nil"/>
              <w:left w:val="nil"/>
              <w:bottom w:val="single" w:sz="6" w:space="0" w:color="969696"/>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347 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46,343 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173,814 </w:t>
            </w:r>
            <w:r w:rsidRPr="00491918">
              <w:rPr>
                <w:b/>
                <w:color w:val="000000"/>
                <w:sz w:val="16"/>
                <w:vertAlign w:val="superscript"/>
              </w:rPr>
              <w:t xml:space="preserve"> </w:t>
            </w:r>
          </w:p>
        </w:tc>
      </w:tr>
      <w:tr w:rsidR="00A24F51" w:rsidRPr="00491918" w:rsidTr="00A24F51">
        <w:trPr>
          <w:trHeight w:val="270"/>
        </w:trPr>
        <w:tc>
          <w:tcPr>
            <w:tcW w:w="16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Total Assets</w:t>
            </w:r>
          </w:p>
        </w:tc>
        <w:tc>
          <w:tcPr>
            <w:tcW w:w="115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1,220,178 </w:t>
            </w:r>
          </w:p>
        </w:tc>
        <w:tc>
          <w:tcPr>
            <w:tcW w:w="96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(591,174)</w:t>
            </w:r>
            <w:r w:rsidRPr="00491918">
              <w:rPr>
                <w:b/>
                <w:color w:val="000000"/>
                <w:sz w:val="16"/>
                <w:vertAlign w:val="superscript"/>
              </w:rPr>
              <w:t xml:space="preserve"> </w:t>
            </w:r>
          </w:p>
        </w:tc>
        <w:tc>
          <w:tcPr>
            <w:tcW w:w="102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629,004 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(425,616)</w:t>
            </w:r>
          </w:p>
        </w:tc>
        <w:tc>
          <w:tcPr>
            <w:tcW w:w="97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(184,366)</w:t>
            </w:r>
          </w:p>
        </w:tc>
        <w:tc>
          <w:tcPr>
            <w:tcW w:w="825" w:type="dxa"/>
            <w:tcBorders>
              <w:top w:val="single" w:sz="6" w:space="0" w:color="969696"/>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19,022 </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62,503 </w:t>
            </w:r>
            <w:r w:rsidRPr="00491918">
              <w:rPr>
                <w:b/>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691,507 </w:t>
            </w:r>
            <w:r w:rsidRPr="00491918">
              <w:rPr>
                <w:b/>
                <w:color w:val="000000"/>
                <w:sz w:val="16"/>
                <w:vertAlign w:val="superscript"/>
              </w:rPr>
              <w:t xml:space="preserve"> </w:t>
            </w:r>
          </w:p>
        </w:tc>
      </w:tr>
      <w:tr w:rsidR="00A24F51" w:rsidRPr="00491918" w:rsidTr="00A24F51">
        <w:trPr>
          <w:trHeight w:hRule="exact" w:val="12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 xml:space="preserve"> </w:t>
            </w:r>
          </w:p>
        </w:tc>
        <w:tc>
          <w:tcPr>
            <w:tcW w:w="115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p>
        </w:tc>
        <w:tc>
          <w:tcPr>
            <w:tcW w:w="96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p>
        </w:tc>
        <w:tc>
          <w:tcPr>
            <w:tcW w:w="97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p>
        </w:tc>
        <w:tc>
          <w:tcPr>
            <w:tcW w:w="82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A24F51" w:rsidRPr="00491918" w:rsidTr="00A24F51">
        <w:trPr>
          <w:trHeight w:val="510"/>
        </w:trPr>
        <w:tc>
          <w:tcPr>
            <w:tcW w:w="16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rPr>
                <w:color w:val="000000"/>
                <w:sz w:val="16"/>
                <w:vertAlign w:val="superscript"/>
              </w:rPr>
            </w:pPr>
            <w:r w:rsidRPr="00491918">
              <w:rPr>
                <w:color w:val="000000"/>
                <w:sz w:val="16"/>
              </w:rPr>
              <w:t>Derivative financial liabilities</w:t>
            </w:r>
          </w:p>
        </w:tc>
        <w:tc>
          <w:tcPr>
            <w:tcW w:w="115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(973,640)</w:t>
            </w:r>
          </w:p>
        </w:tc>
        <w:tc>
          <w:tcPr>
            <w:tcW w:w="96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484,456 </w:t>
            </w:r>
            <w:r w:rsidRPr="00491918">
              <w:rPr>
                <w:color w:val="000000"/>
                <w:sz w:val="16"/>
                <w:vertAlign w:val="superscript"/>
              </w:rPr>
              <w:t xml:space="preserve"> </w:t>
            </w:r>
          </w:p>
        </w:tc>
        <w:tc>
          <w:tcPr>
            <w:tcW w:w="102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(489,184)</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425,616 </w:t>
            </w:r>
          </w:p>
        </w:tc>
        <w:tc>
          <w:tcPr>
            <w:tcW w:w="97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53,411 </w:t>
            </w:r>
          </w:p>
        </w:tc>
        <w:tc>
          <w:tcPr>
            <w:tcW w:w="825"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(10,157)</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(18,528)</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(507,712)</w:t>
            </w:r>
            <w:r w:rsidRPr="00491918">
              <w:rPr>
                <w:b/>
                <w:color w:val="000000"/>
                <w:sz w:val="16"/>
                <w:vertAlign w:val="superscript"/>
              </w:rPr>
              <w:t xml:space="preserve"> </w:t>
            </w:r>
          </w:p>
        </w:tc>
      </w:tr>
      <w:tr w:rsidR="00A24F51" w:rsidRPr="00491918" w:rsidTr="00A24F51">
        <w:trPr>
          <w:trHeight w:val="1020"/>
        </w:trPr>
        <w:tc>
          <w:tcPr>
            <w:tcW w:w="16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color w:val="000000"/>
                <w:sz w:val="16"/>
              </w:rPr>
              <w:t xml:space="preserve">Repurchase agreements and other similar secured borrowing </w:t>
            </w:r>
          </w:p>
        </w:tc>
        <w:tc>
          <w:tcPr>
            <w:tcW w:w="115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(265,554)</w:t>
            </w:r>
          </w:p>
        </w:tc>
        <w:tc>
          <w:tcPr>
            <w:tcW w:w="96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107,483 </w:t>
            </w:r>
            <w:r w:rsidRPr="00491918">
              <w:rPr>
                <w:color w:val="000000"/>
                <w:sz w:val="16"/>
                <w:vertAlign w:val="superscript"/>
              </w:rPr>
              <w:t xml:space="preserve"> </w:t>
            </w:r>
          </w:p>
        </w:tc>
        <w:tc>
          <w:tcPr>
            <w:tcW w:w="102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(158,071)</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20"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 </w:t>
            </w:r>
          </w:p>
        </w:tc>
        <w:tc>
          <w:tcPr>
            <w:tcW w:w="97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156,981 </w:t>
            </w:r>
          </w:p>
        </w:tc>
        <w:tc>
          <w:tcPr>
            <w:tcW w:w="825" w:type="dxa"/>
            <w:tcBorders>
              <w:top w:val="nil"/>
              <w:left w:val="nil"/>
              <w:bottom w:val="single" w:sz="6" w:space="0" w:color="A5A5A5"/>
              <w:right w:val="nil"/>
            </w:tcBorders>
            <w:shd w:val="clear" w:color="auto" w:fill="FFFFFF"/>
            <w:tcMar>
              <w:left w:w="36" w:type="dxa"/>
              <w:right w:w="36" w:type="dxa"/>
            </w:tcMar>
            <w:vAlign w:val="bottom"/>
          </w:tcPr>
          <w:p w:rsidR="00A24F51" w:rsidRPr="00491918" w:rsidRDefault="00A24F51" w:rsidP="001B0DD0">
            <w:pPr>
              <w:jc w:val="right"/>
              <w:rPr>
                <w:color w:val="000000"/>
                <w:sz w:val="16"/>
              </w:rPr>
            </w:pPr>
            <w:r w:rsidRPr="00491918">
              <w:rPr>
                <w:color w:val="000000"/>
                <w:sz w:val="16"/>
              </w:rPr>
              <w:t>(1,090)</w:t>
            </w:r>
            <w:r w:rsidRPr="00491918">
              <w:rPr>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color w:val="000000"/>
                <w:sz w:val="16"/>
                <w:vertAlign w:val="superscript"/>
              </w:rPr>
            </w:pPr>
            <w:r w:rsidRPr="00491918">
              <w:rPr>
                <w:color w:val="000000"/>
                <w:sz w:val="16"/>
              </w:rPr>
              <w:t xml:space="preserve"> </w:t>
            </w:r>
          </w:p>
        </w:tc>
        <w:tc>
          <w:tcPr>
            <w:tcW w:w="108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rPr>
            </w:pPr>
            <w:r w:rsidRPr="00491918">
              <w:rPr>
                <w:b/>
                <w:color w:val="000000"/>
                <w:sz w:val="16"/>
              </w:rPr>
              <w:t>(87,762)</w:t>
            </w:r>
            <w:r w:rsidRPr="00491918">
              <w:rPr>
                <w:color w:val="000000"/>
                <w:sz w:val="16"/>
                <w:vertAlign w:val="superscript"/>
              </w:rPr>
              <w:t xml:space="preserve"> </w:t>
            </w:r>
          </w:p>
        </w:tc>
        <w:tc>
          <w:tcPr>
            <w:tcW w:w="900" w:type="dxa"/>
            <w:tcBorders>
              <w:top w:val="nil"/>
              <w:left w:val="nil"/>
              <w:bottom w:val="single" w:sz="6" w:space="0" w:color="A5A5A5"/>
              <w:right w:val="nil"/>
            </w:tcBorders>
            <w:shd w:val="clear" w:color="auto" w:fill="EAEAEA"/>
            <w:tcMar>
              <w:left w:w="36" w:type="dxa"/>
              <w:right w:w="36" w:type="dxa"/>
            </w:tcMar>
            <w:vAlign w:val="bottom"/>
          </w:tcPr>
          <w:p w:rsidR="00A24F51" w:rsidRPr="00491918" w:rsidRDefault="00A24F51" w:rsidP="001B0DD0">
            <w:pPr>
              <w:jc w:val="right"/>
              <w:rPr>
                <w:color w:val="000000"/>
                <w:sz w:val="16"/>
                <w:vertAlign w:val="superscript"/>
              </w:rPr>
            </w:pPr>
            <w:r w:rsidRPr="00491918">
              <w:rPr>
                <w:b/>
                <w:color w:val="000000"/>
                <w:sz w:val="16"/>
              </w:rPr>
              <w:t>(245,833)</w:t>
            </w:r>
            <w:r w:rsidRPr="00491918">
              <w:rPr>
                <w:b/>
                <w:color w:val="000000"/>
                <w:sz w:val="16"/>
                <w:vertAlign w:val="superscript"/>
              </w:rPr>
              <w:t xml:space="preserve"> </w:t>
            </w:r>
          </w:p>
        </w:tc>
      </w:tr>
      <w:tr w:rsidR="00A24F51" w:rsidRPr="00491918" w:rsidTr="00A24F51">
        <w:trPr>
          <w:trHeight w:val="270"/>
        </w:trPr>
        <w:tc>
          <w:tcPr>
            <w:tcW w:w="16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rPr>
                <w:b/>
                <w:color w:val="000000"/>
                <w:sz w:val="16"/>
                <w:vertAlign w:val="superscript"/>
              </w:rPr>
            </w:pPr>
            <w:r w:rsidRPr="00491918">
              <w:rPr>
                <w:b/>
                <w:color w:val="000000"/>
                <w:sz w:val="16"/>
              </w:rPr>
              <w:t>Total Liabilities</w:t>
            </w:r>
          </w:p>
        </w:tc>
        <w:tc>
          <w:tcPr>
            <w:tcW w:w="115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(1,239,194)</w:t>
            </w:r>
          </w:p>
        </w:tc>
        <w:tc>
          <w:tcPr>
            <w:tcW w:w="96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591,939 </w:t>
            </w:r>
            <w:r w:rsidRPr="00491918">
              <w:rPr>
                <w:b/>
                <w:color w:val="000000"/>
                <w:sz w:val="16"/>
                <w:vertAlign w:val="superscript"/>
              </w:rPr>
              <w:t xml:space="preserve"> </w:t>
            </w:r>
          </w:p>
        </w:tc>
        <w:tc>
          <w:tcPr>
            <w:tcW w:w="102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(647,255)</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20"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425,616 </w:t>
            </w:r>
          </w:p>
        </w:tc>
        <w:tc>
          <w:tcPr>
            <w:tcW w:w="97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210,392 </w:t>
            </w:r>
          </w:p>
        </w:tc>
        <w:tc>
          <w:tcPr>
            <w:tcW w:w="825" w:type="dxa"/>
            <w:tcBorders>
              <w:top w:val="single" w:sz="6" w:space="0" w:color="A5A5A5"/>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(11,247)</w:t>
            </w:r>
            <w:r w:rsidRPr="00491918">
              <w:rPr>
                <w:b/>
                <w:color w:val="000000"/>
                <w:sz w:val="16"/>
                <w:vertAlign w:val="superscript"/>
              </w:rPr>
              <w:t xml:space="preserve"> </w:t>
            </w:r>
          </w:p>
        </w:tc>
        <w:tc>
          <w:tcPr>
            <w:tcW w:w="92" w:type="dxa"/>
            <w:tcBorders>
              <w:top w:val="nil"/>
              <w:left w:val="nil"/>
              <w:bottom w:val="nil"/>
              <w:right w:val="nil"/>
            </w:tcBorders>
            <w:shd w:val="clear" w:color="auto" w:fill="FFFFFF"/>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 xml:space="preserve"> </w:t>
            </w:r>
          </w:p>
        </w:tc>
        <w:tc>
          <w:tcPr>
            <w:tcW w:w="108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rPr>
            </w:pPr>
            <w:r w:rsidRPr="00491918">
              <w:rPr>
                <w:b/>
                <w:color w:val="000000"/>
                <w:sz w:val="16"/>
              </w:rPr>
              <w:t>(106,290)</w:t>
            </w:r>
            <w:r w:rsidRPr="00491918">
              <w:rPr>
                <w:b/>
                <w:color w:val="000000"/>
                <w:sz w:val="16"/>
                <w:vertAlign w:val="superscript"/>
              </w:rPr>
              <w:t xml:space="preserve"> </w:t>
            </w:r>
          </w:p>
        </w:tc>
        <w:tc>
          <w:tcPr>
            <w:tcW w:w="900" w:type="dxa"/>
            <w:tcBorders>
              <w:top w:val="single" w:sz="6" w:space="0" w:color="A5A5A5"/>
              <w:left w:val="nil"/>
              <w:bottom w:val="nil"/>
              <w:right w:val="nil"/>
            </w:tcBorders>
            <w:shd w:val="clear" w:color="auto" w:fill="EAEAEA"/>
            <w:tcMar>
              <w:left w:w="36" w:type="dxa"/>
              <w:right w:w="36" w:type="dxa"/>
            </w:tcMar>
            <w:vAlign w:val="bottom"/>
          </w:tcPr>
          <w:p w:rsidR="00A24F51" w:rsidRPr="00491918" w:rsidRDefault="00A24F51" w:rsidP="001B0DD0">
            <w:pPr>
              <w:jc w:val="right"/>
              <w:rPr>
                <w:b/>
                <w:color w:val="000000"/>
                <w:sz w:val="16"/>
                <w:vertAlign w:val="superscript"/>
              </w:rPr>
            </w:pPr>
            <w:r w:rsidRPr="00491918">
              <w:rPr>
                <w:b/>
                <w:color w:val="000000"/>
                <w:sz w:val="16"/>
              </w:rPr>
              <w:t>(753,545)</w:t>
            </w:r>
            <w:r w:rsidRPr="00491918">
              <w:rPr>
                <w:b/>
                <w:color w:val="000000"/>
                <w:sz w:val="16"/>
                <w:vertAlign w:val="superscript"/>
              </w:rPr>
              <w:t xml:space="preserve"> </w:t>
            </w:r>
          </w:p>
        </w:tc>
      </w:tr>
    </w:tbl>
    <w:p w:rsidR="00A24F51" w:rsidRPr="00491918" w:rsidRDefault="00A24F51" w:rsidP="00A24F51"/>
    <w:p w:rsidR="00A24F51" w:rsidRPr="00491918" w:rsidRDefault="00A24F51" w:rsidP="00A24F51">
      <w:pPr>
        <w:pStyle w:val="MyLastParagraph"/>
        <w:rPr>
          <w:rFonts w:ascii="Expert Sans Regular" w:hAnsi="Expert Sans Regular"/>
          <w:b/>
          <w:bCs/>
          <w:color w:val="000000"/>
          <w:sz w:val="20"/>
          <w:lang w:eastAsia="en-US"/>
        </w:rPr>
      </w:pPr>
    </w:p>
    <w:p w:rsidR="00CC7FA0" w:rsidRPr="00491918" w:rsidRDefault="00CC7FA0" w:rsidP="00A24F51">
      <w:pPr>
        <w:pStyle w:val="MyLastParagraph0"/>
        <w:rPr>
          <w:rFonts w:ascii="Expert Sans Regular" w:hAnsi="Expert Sans Regular"/>
          <w:b/>
          <w:bCs/>
          <w:color w:val="000000"/>
          <w:sz w:val="20"/>
          <w:lang w:eastAsia="en-US"/>
        </w:rPr>
      </w:pPr>
    </w:p>
    <w:p w:rsidR="00CC7FA0" w:rsidRPr="00491918" w:rsidRDefault="00CC7FA0" w:rsidP="00A24F51">
      <w:pPr>
        <w:pStyle w:val="MyLastParagraph0"/>
        <w:rPr>
          <w:rFonts w:ascii="Expert Sans Regular" w:hAnsi="Expert Sans Regular"/>
          <w:b/>
          <w:bCs/>
          <w:color w:val="000000"/>
          <w:sz w:val="20"/>
          <w:lang w:eastAsia="en-US"/>
        </w:rPr>
      </w:pPr>
    </w:p>
    <w:p w:rsidR="00CC7FA0" w:rsidRPr="00491918" w:rsidRDefault="00CC7FA0" w:rsidP="00A24F51">
      <w:pPr>
        <w:pStyle w:val="MyLastParagraph0"/>
        <w:rPr>
          <w:rFonts w:ascii="Expert Sans Regular" w:hAnsi="Expert Sans Regular"/>
          <w:b/>
          <w:bCs/>
          <w:color w:val="000000"/>
          <w:sz w:val="20"/>
          <w:lang w:eastAsia="en-US"/>
        </w:rPr>
      </w:pPr>
    </w:p>
    <w:p w:rsidR="00CC7FA0" w:rsidRPr="00491918" w:rsidRDefault="00CC7FA0" w:rsidP="00A24F51">
      <w:pPr>
        <w:pStyle w:val="MyLastParagraph0"/>
        <w:rPr>
          <w:rFonts w:ascii="Expert Sans Regular" w:hAnsi="Expert Sans Regular"/>
          <w:b/>
          <w:bCs/>
          <w:color w:val="000000"/>
          <w:sz w:val="20"/>
          <w:lang w:eastAsia="en-US"/>
        </w:rPr>
      </w:pPr>
    </w:p>
    <w:p w:rsidR="00CC7FA0" w:rsidRPr="00491918" w:rsidRDefault="00CC7FA0" w:rsidP="00A24F51">
      <w:pPr>
        <w:pStyle w:val="MyLastParagraph0"/>
        <w:rPr>
          <w:rFonts w:ascii="Expert Sans Regular" w:hAnsi="Expert Sans Regular"/>
          <w:b/>
          <w:bCs/>
          <w:color w:val="000000"/>
          <w:sz w:val="20"/>
          <w:lang w:eastAsia="en-US"/>
        </w:rPr>
      </w:pPr>
    </w:p>
    <w:p w:rsidR="00CC7FA0" w:rsidRPr="00491918" w:rsidRDefault="00CC7FA0" w:rsidP="00A24F51">
      <w:pPr>
        <w:pStyle w:val="MyLastParagraph0"/>
        <w:rPr>
          <w:rFonts w:ascii="Expert Sans Regular" w:hAnsi="Expert Sans Regular"/>
          <w:b/>
          <w:bCs/>
          <w:color w:val="000000"/>
          <w:sz w:val="20"/>
          <w:lang w:eastAsia="en-US"/>
        </w:rPr>
      </w:pPr>
    </w:p>
    <w:p w:rsidR="00CC7FA0" w:rsidRPr="00491918" w:rsidRDefault="00CC7FA0" w:rsidP="00A24F51">
      <w:pPr>
        <w:pStyle w:val="MyLastParagraph0"/>
        <w:rPr>
          <w:rFonts w:ascii="Expert Sans Regular" w:hAnsi="Expert Sans Regular"/>
          <w:b/>
          <w:bCs/>
          <w:color w:val="000000"/>
          <w:sz w:val="20"/>
          <w:lang w:eastAsia="en-US"/>
        </w:rPr>
      </w:pPr>
    </w:p>
    <w:p w:rsidR="00CC7FA0" w:rsidRPr="00491918" w:rsidRDefault="00CC7FA0" w:rsidP="00CC41A9">
      <w:pPr>
        <w:pStyle w:val="NoteandSourceText-BarcRA100"/>
        <w:numPr>
          <w:ilvl w:val="0"/>
          <w:numId w:val="252"/>
        </w:numPr>
      </w:pPr>
      <w:r w:rsidRPr="00491918">
        <w:t>Amounts offset for Derivative financial assets includes cash collateral netted of £2,008m (31 December 2012: £6,506m, 30 June 2012: £8,968m). Amounts offset for Derivative liabilities includes cash collateral netted of £1,903m (31 December 2012: £4,957m,30 June 2012: £9,733m). Settlements assets and liabilities have been offset amounting to £17,478m (31 December 2012: £9,879m, 30 June 2012: £12,515m). No other significant recognised financial assets and liabilities were offset in the balance sheet.  Therefore, the only balance sheet categories necessary for inclusion in the table are those shown above.</w:t>
      </w:r>
    </w:p>
    <w:p w:rsidR="00CC7FA0" w:rsidRPr="00491918" w:rsidRDefault="00CC7FA0" w:rsidP="00CC7FA0">
      <w:pPr>
        <w:pStyle w:val="NoteandSourceText-BarcRA100"/>
      </w:pPr>
      <w:r w:rsidRPr="00491918">
        <w:t xml:space="preserve">The table excludes Reverse repurchase agreements designated at fair value which are subject to enforceable master netting arrangements of £4bn (31 December 2012: £3bn, 30 June 2012: £5bn). </w:t>
      </w:r>
    </w:p>
    <w:p w:rsidR="00CC7FA0" w:rsidRPr="00491918" w:rsidRDefault="00CC7FA0" w:rsidP="00CC7FA0">
      <w:pPr>
        <w:pStyle w:val="NoteandSourceText-BarcRA100"/>
      </w:pPr>
      <w:r w:rsidRPr="00491918">
        <w:t xml:space="preserve">Financial collateral is reflected at its fair value, but has been limited to the net balance sheet exposure so as not to include any over-collateralisation. </w:t>
      </w:r>
    </w:p>
    <w:p w:rsidR="00CC7FA0" w:rsidRPr="00491918" w:rsidRDefault="00A177DB" w:rsidP="00CC7FA0">
      <w:pPr>
        <w:pStyle w:val="NoteandSourceText-BarcRA100"/>
      </w:pPr>
      <w:r w:rsidRPr="00491918">
        <w:t>I</w:t>
      </w:r>
      <w:r w:rsidR="00CC7FA0" w:rsidRPr="00491918">
        <w:t>ncludes contractual rights of set-off that are subject to uncertainty under the laws of the relevant jurisdiction.</w:t>
      </w:r>
    </w:p>
    <w:p w:rsidR="00CC7FA0" w:rsidRPr="00491918" w:rsidRDefault="00CC7FA0" w:rsidP="00CC7FA0">
      <w:pPr>
        <w:pStyle w:val="NoteandSourceText-BarcRA100"/>
      </w:pPr>
      <w:r w:rsidRPr="00491918">
        <w:t xml:space="preserve">The balance sheet total is the sum of ‘Net amounts reported on the balance sheet’ that are subject to enforceable netting arrangements and ‘Amounts not subject to enforceable netting arrangements’.     </w:t>
      </w:r>
    </w:p>
    <w:p w:rsidR="0007202F" w:rsidRPr="00491918" w:rsidRDefault="00CC7FA0" w:rsidP="0007202F">
      <w:pPr>
        <w:pStyle w:val="HeadingLevel1-BarcRA49"/>
      </w:pPr>
      <w:r w:rsidRPr="00491918">
        <w:rPr>
          <w:b w:val="0"/>
          <w:bCs w:val="0"/>
          <w:sz w:val="20"/>
        </w:rPr>
        <w:br w:type="page"/>
      </w:r>
      <w:r w:rsidR="0007202F" w:rsidRPr="00491918">
        <w:lastRenderedPageBreak/>
        <w:t>Financial Statement Notes</w:t>
      </w:r>
    </w:p>
    <w:p w:rsidR="00A24F51" w:rsidRPr="00491918" w:rsidRDefault="00A24F51" w:rsidP="008D6001">
      <w:pPr>
        <w:pStyle w:val="MyLastParagraph0"/>
        <w:outlineLvl w:val="0"/>
        <w:rPr>
          <w:rFonts w:ascii="Expert Sans Regular" w:hAnsi="Expert Sans Regular"/>
          <w:b/>
          <w:bCs/>
          <w:color w:val="000000"/>
          <w:sz w:val="20"/>
          <w:lang w:eastAsia="en-US"/>
        </w:rPr>
      </w:pPr>
      <w:r w:rsidRPr="00491918">
        <w:rPr>
          <w:rFonts w:ascii="Expert Sans Regular" w:hAnsi="Expert Sans Regular"/>
          <w:b/>
          <w:bCs/>
          <w:color w:val="000000"/>
          <w:sz w:val="20"/>
          <w:lang w:eastAsia="en-US"/>
        </w:rPr>
        <w:t>Related amounts not offset</w:t>
      </w:r>
    </w:p>
    <w:p w:rsidR="00A24F51" w:rsidRPr="00491918" w:rsidRDefault="00A24F51" w:rsidP="00A24F51">
      <w:pPr>
        <w:pStyle w:val="MyLastParagraph0"/>
      </w:pPr>
    </w:p>
    <w:p w:rsidR="00A24F51" w:rsidRPr="00491918" w:rsidRDefault="00A24F51" w:rsidP="00A24F51">
      <w:pPr>
        <w:pStyle w:val="MyLastParagraph0"/>
      </w:pPr>
    </w:p>
    <w:p w:rsidR="00A24F51" w:rsidRPr="00491918" w:rsidRDefault="00A24F51" w:rsidP="008D6001">
      <w:pPr>
        <w:pStyle w:val="BodyText-BarcRA1000"/>
        <w:spacing w:before="0" w:after="0"/>
        <w:outlineLvl w:val="0"/>
        <w:rPr>
          <w:rFonts w:eastAsia="Expert Sans Regular"/>
          <w:b/>
        </w:rPr>
      </w:pPr>
      <w:r w:rsidRPr="00491918">
        <w:rPr>
          <w:rFonts w:eastAsia="Expert Sans Regular"/>
          <w:b/>
        </w:rPr>
        <w:t>Derivative assets and liabilities</w:t>
      </w:r>
    </w:p>
    <w:p w:rsidR="00A24F51" w:rsidRPr="00491918" w:rsidRDefault="00A24F51" w:rsidP="00A24F51">
      <w:pPr>
        <w:pStyle w:val="BodyText-BarcRA1000"/>
        <w:spacing w:before="0" w:after="0"/>
        <w:rPr>
          <w:rFonts w:eastAsia="Expert Sans Regular"/>
          <w:b/>
        </w:rPr>
      </w:pPr>
      <w:r w:rsidRPr="00491918">
        <w:rPr>
          <w:rFonts w:eastAsia="Expert Sans Regular"/>
        </w:rPr>
        <w:t xml:space="preserve">The ‘Financial instruments’ column identifies financial assets and liabilities that are subject to set off under netting agreements, such as the ISDA Master Agreement or derivative exchange or clearing counterparty agreements, whereby all outstanding transactions with the same counterparty can be offset and close-out netting applied across all outstanding transaction covered by the agreements if an event of default or other predetermined events occur. </w:t>
      </w:r>
    </w:p>
    <w:p w:rsidR="00A24F51" w:rsidRPr="00491918" w:rsidRDefault="00A24F51" w:rsidP="00A24F51">
      <w:pPr>
        <w:pStyle w:val="BodyText-BarcRA1000"/>
        <w:rPr>
          <w:rFonts w:eastAsia="Expert Sans Regular"/>
        </w:rPr>
      </w:pPr>
      <w:r w:rsidRPr="00491918">
        <w:t xml:space="preserve">Financial collateral refers to </w:t>
      </w:r>
      <w:r w:rsidRPr="00491918">
        <w:rPr>
          <w:rFonts w:eastAsia="Expert Sans Regular"/>
        </w:rPr>
        <w:t xml:space="preserve">cash and non-cash collateral obtained, typically daily or weekly, to cover the net exposure between counterparties by enabling the collateral to be realised in an event of default or if other predetermined events occur. </w:t>
      </w:r>
    </w:p>
    <w:p w:rsidR="00A24F51" w:rsidRPr="00491918" w:rsidRDefault="00A24F51" w:rsidP="008D6001">
      <w:pPr>
        <w:pStyle w:val="BodyText-BarcRA1000"/>
        <w:spacing w:before="0" w:after="0"/>
        <w:outlineLvl w:val="0"/>
        <w:rPr>
          <w:rFonts w:eastAsia="Expert Sans Regular"/>
          <w:b/>
        </w:rPr>
      </w:pPr>
      <w:r w:rsidRPr="00491918">
        <w:rPr>
          <w:rFonts w:eastAsia="Expert Sans Regular"/>
          <w:b/>
        </w:rPr>
        <w:t>Repurchase and reverse repurchase agreements and other similar secured lending and borrowing</w:t>
      </w:r>
    </w:p>
    <w:p w:rsidR="00A24F51" w:rsidRPr="00491918" w:rsidRDefault="00A24F51" w:rsidP="005B62BE">
      <w:pPr>
        <w:pStyle w:val="Normal116"/>
        <w:jc w:val="both"/>
        <w:rPr>
          <w:szCs w:val="18"/>
        </w:rPr>
      </w:pPr>
      <w:r w:rsidRPr="00491918">
        <w:rPr>
          <w:rFonts w:eastAsia="Expert Sans Regular"/>
          <w:szCs w:val="18"/>
        </w:rPr>
        <w:t>The ‘Financial instruments’ column identifies financial assets and liabilities that are subject to set off under</w:t>
      </w:r>
      <w:r w:rsidRPr="00491918">
        <w:rPr>
          <w:rFonts w:eastAsia="Expert Sans Regular"/>
          <w:szCs w:val="20"/>
        </w:rPr>
        <w:t xml:space="preserve"> netting agreements, such as global master repurchase agreements and global master securities lending agreements, whereby all outstanding transactions with the same counterparty can be offset and close-out netting applied across all outstanding transaction covered by the agreements if an event of default or other predetermined events occur.</w:t>
      </w:r>
      <w:r w:rsidR="005B62BE" w:rsidRPr="00491918">
        <w:rPr>
          <w:rFonts w:eastAsia="Expert Sans Regular"/>
          <w:szCs w:val="20"/>
        </w:rPr>
        <w:t xml:space="preserve"> </w:t>
      </w:r>
      <w:r w:rsidRPr="00491918">
        <w:rPr>
          <w:rFonts w:eastAsia="Expert Sans Regular"/>
          <w:szCs w:val="20"/>
        </w:rPr>
        <w:t xml:space="preserve">Financial collateral typically comprises highly liquid securities which are legally transferred and can be liquidated in the event of counterparty default. </w:t>
      </w:r>
    </w:p>
    <w:p w:rsidR="00A24F51" w:rsidRPr="00491918" w:rsidRDefault="00A24F51" w:rsidP="005B62BE">
      <w:pPr>
        <w:pStyle w:val="Normal116"/>
        <w:jc w:val="both"/>
        <w:rPr>
          <w:szCs w:val="18"/>
        </w:rPr>
      </w:pPr>
    </w:p>
    <w:p w:rsidR="00A24F51" w:rsidRPr="00491918" w:rsidRDefault="00A24F51" w:rsidP="005B62BE">
      <w:pPr>
        <w:pStyle w:val="Normal116"/>
        <w:jc w:val="both"/>
        <w:rPr>
          <w:rFonts w:eastAsia="Expert Sans Regular"/>
          <w:szCs w:val="20"/>
        </w:rPr>
      </w:pPr>
      <w:r w:rsidRPr="00491918">
        <w:rPr>
          <w:rFonts w:eastAsia="Expert Sans Regular"/>
          <w:szCs w:val="20"/>
        </w:rPr>
        <w:t xml:space="preserve">These offsetting and collateral arrangements and other credit risk mitigation strategies used by the Group are further explained in the Credit risk mitigation section (page 329) of the 2012 Annual Report. </w:t>
      </w:r>
    </w:p>
    <w:p w:rsidR="00CC7FA0" w:rsidRPr="00491918" w:rsidRDefault="00CC7FA0" w:rsidP="00A24F51">
      <w:pPr>
        <w:pStyle w:val="Normal116"/>
      </w:pPr>
    </w:p>
    <w:p w:rsidR="00A24F51" w:rsidRPr="00491918" w:rsidRDefault="00A24F51" w:rsidP="00A24F51"/>
    <w:tbl>
      <w:tblPr>
        <w:tblW w:w="0" w:type="auto"/>
        <w:tblLayout w:type="fixed"/>
        <w:tblLook w:val="0000" w:firstRow="0" w:lastRow="0" w:firstColumn="0" w:lastColumn="0" w:noHBand="0" w:noVBand="0"/>
      </w:tblPr>
      <w:tblGrid>
        <w:gridCol w:w="6270"/>
        <w:gridCol w:w="1125"/>
        <w:gridCol w:w="1125"/>
        <w:gridCol w:w="1125"/>
      </w:tblGrid>
      <w:tr w:rsidR="003D6023" w:rsidRPr="00491918" w:rsidTr="00CC7FA0">
        <w:trPr>
          <w:trHeight w:val="240"/>
        </w:trPr>
        <w:tc>
          <w:tcPr>
            <w:tcW w:w="9645"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4"/>
              </w:rPr>
              <w:t>13.    Goodwill and Intangible Assets</w:t>
            </w:r>
          </w:p>
        </w:tc>
      </w:tr>
      <w:tr w:rsidR="000D1659" w:rsidRPr="00491918">
        <w:trPr>
          <w:trHeight w:val="255"/>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0" w:type="auto"/>
        <w:tblLayout w:type="fixed"/>
        <w:tblLook w:val="0000" w:firstRow="0" w:lastRow="0" w:firstColumn="0" w:lastColumn="0" w:noHBand="0" w:noVBand="0"/>
      </w:tblPr>
      <w:tblGrid>
        <w:gridCol w:w="6270"/>
        <w:gridCol w:w="1125"/>
        <w:gridCol w:w="1125"/>
        <w:gridCol w:w="1125"/>
      </w:tblGrid>
      <w:tr w:rsidR="000D1659" w:rsidRPr="00491918" w:rsidTr="00F92E6D">
        <w:trPr>
          <w:trHeight w:val="240"/>
        </w:trPr>
        <w:tc>
          <w:tcPr>
            <w:tcW w:w="627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Goodwill</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5,115 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5,206 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5,295 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Intangible assets</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2,734 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2,709 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2,566 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7,849 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7,915 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7,861 </w:t>
            </w:r>
          </w:p>
        </w:tc>
      </w:tr>
    </w:tbl>
    <w:p w:rsidR="000D1659" w:rsidRPr="00491918" w:rsidRDefault="000D1659"/>
    <w:p w:rsidR="000D1659" w:rsidRPr="00491918" w:rsidRDefault="000D1659" w:rsidP="000D1659">
      <w:pPr>
        <w:pStyle w:val="Normal134"/>
        <w:jc w:val="both"/>
      </w:pPr>
    </w:p>
    <w:p w:rsidR="000D1659" w:rsidRPr="00491918" w:rsidRDefault="000D1659" w:rsidP="000D1659">
      <w:pPr>
        <w:pStyle w:val="Normal134"/>
        <w:jc w:val="both"/>
      </w:pPr>
      <w:r w:rsidRPr="00491918">
        <w:t>At 30 June 2013, goodwill carried on the Group’s balance sheet a</w:t>
      </w:r>
      <w:r w:rsidR="00CE62B3" w:rsidRPr="00491918">
        <w:t>mounted to £5,115m (</w:t>
      </w:r>
      <w:r w:rsidRPr="00491918">
        <w:t>201</w:t>
      </w:r>
      <w:r w:rsidRPr="00491918">
        <w:rPr>
          <w:color w:val="1F497D"/>
        </w:rPr>
        <w:t>2</w:t>
      </w:r>
      <w:r w:rsidRPr="00491918">
        <w:t>: £5,206m).  The goodwill principally comprises</w:t>
      </w:r>
      <w:r w:rsidR="00CE62B3" w:rsidRPr="00491918">
        <w:t xml:space="preserve"> £3,144m in UK RBB (</w:t>
      </w:r>
      <w:r w:rsidRPr="00491918">
        <w:t>201</w:t>
      </w:r>
      <w:r w:rsidRPr="00491918">
        <w:rPr>
          <w:color w:val="1F497D"/>
        </w:rPr>
        <w:t>2</w:t>
      </w:r>
      <w:r w:rsidRPr="00491918">
        <w:t>: £3,144m), £789m in Africa RBB (201</w:t>
      </w:r>
      <w:r w:rsidRPr="00491918">
        <w:rPr>
          <w:color w:val="1F497D"/>
        </w:rPr>
        <w:t>2</w:t>
      </w:r>
      <w:r w:rsidRPr="00491918">
        <w:t>: £863m), £5</w:t>
      </w:r>
      <w:r w:rsidR="00CE62B3" w:rsidRPr="00491918">
        <w:t>13m in Barclaycard (</w:t>
      </w:r>
      <w:r w:rsidRPr="00491918">
        <w:t>201</w:t>
      </w:r>
      <w:r w:rsidRPr="00491918">
        <w:rPr>
          <w:color w:val="1F497D"/>
        </w:rPr>
        <w:t>2</w:t>
      </w:r>
      <w:r w:rsidRPr="00491918">
        <w:t>: £514m) and £391m in Wealth</w:t>
      </w:r>
      <w:r w:rsidR="00CE62B3" w:rsidRPr="00491918">
        <w:t xml:space="preserve"> and Investment Management</w:t>
      </w:r>
      <w:r w:rsidRPr="00491918">
        <w:t xml:space="preserve"> (201</w:t>
      </w:r>
      <w:r w:rsidRPr="00491918">
        <w:rPr>
          <w:color w:val="1F497D"/>
        </w:rPr>
        <w:t>2</w:t>
      </w:r>
      <w:r w:rsidRPr="00491918">
        <w:t>: £391m).</w:t>
      </w:r>
    </w:p>
    <w:p w:rsidR="000D1659" w:rsidRPr="00491918" w:rsidRDefault="000D1659" w:rsidP="000D1659">
      <w:pPr>
        <w:pStyle w:val="BodyText-BarcRA98"/>
      </w:pPr>
      <w:r w:rsidRPr="00491918">
        <w:t>Goodwill is reviewed for indicators of impairment quarterly and tested for impairment on an annual basis by comparing the carrying value to its recoverable amount. All goodwill has been assessed for indicators of impairment. No indicators of impairment were identified.</w:t>
      </w:r>
    </w:p>
    <w:p w:rsidR="000D1659" w:rsidRPr="00491918" w:rsidRDefault="000D1659">
      <w:pPr>
        <w:sectPr w:rsidR="000D1659" w:rsidRPr="00491918" w:rsidSect="00751636">
          <w:pgSz w:w="11905" w:h="16837"/>
          <w:pgMar w:top="851" w:right="1134" w:bottom="567" w:left="1134" w:header="851" w:footer="567" w:gutter="0"/>
          <w:cols w:space="708"/>
        </w:sectPr>
      </w:pPr>
    </w:p>
    <w:p w:rsidR="000D1659" w:rsidRPr="00491918" w:rsidRDefault="000D1659"/>
    <w:tbl>
      <w:tblPr>
        <w:tblW w:w="0" w:type="auto"/>
        <w:tblLayout w:type="fixed"/>
        <w:tblLook w:val="0000" w:firstRow="0" w:lastRow="0" w:firstColumn="0" w:lastColumn="0" w:noHBand="0" w:noVBand="0"/>
      </w:tblPr>
      <w:tblGrid>
        <w:gridCol w:w="6270"/>
        <w:gridCol w:w="1125"/>
        <w:gridCol w:w="1125"/>
        <w:gridCol w:w="1125"/>
      </w:tblGrid>
      <w:tr w:rsidR="003D6023" w:rsidRPr="00491918" w:rsidTr="00F92E6D">
        <w:trPr>
          <w:trHeight w:val="240"/>
        </w:trPr>
        <w:tc>
          <w:tcPr>
            <w:tcW w:w="9645" w:type="dxa"/>
            <w:gridSpan w:val="4"/>
            <w:tcBorders>
              <w:top w:val="nil"/>
              <w:left w:val="nil"/>
              <w:bottom w:val="nil"/>
              <w:right w:val="nil"/>
            </w:tcBorders>
            <w:shd w:val="clear" w:color="auto" w:fill="FFFFFF"/>
            <w:tcMar>
              <w:left w:w="36" w:type="dxa"/>
              <w:right w:w="36" w:type="dxa"/>
            </w:tcMar>
            <w:vAlign w:val="bottom"/>
          </w:tcPr>
          <w:p w:rsidR="000D1659" w:rsidRPr="00491918" w:rsidRDefault="000D1659">
            <w:r w:rsidRPr="00491918">
              <w:rPr>
                <w:b/>
                <w:color w:val="000000"/>
                <w:sz w:val="24"/>
              </w:rPr>
              <w:t>14.    Subordinated Liabilities</w:t>
            </w:r>
          </w:p>
        </w:tc>
      </w:tr>
      <w:tr w:rsidR="000D1659" w:rsidRPr="00491918">
        <w:trPr>
          <w:trHeight w:val="255"/>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b/>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£m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£m </w:t>
            </w:r>
          </w:p>
        </w:tc>
      </w:tr>
    </w:tbl>
    <w:p w:rsidR="00F92E6D" w:rsidRPr="00491918" w:rsidRDefault="00F92E6D"/>
    <w:tbl>
      <w:tblPr>
        <w:tblW w:w="0" w:type="auto"/>
        <w:tblLayout w:type="fixed"/>
        <w:tblLook w:val="0000" w:firstRow="0" w:lastRow="0" w:firstColumn="0" w:lastColumn="0" w:noHBand="0" w:noVBand="0"/>
      </w:tblPr>
      <w:tblGrid>
        <w:gridCol w:w="6270"/>
        <w:gridCol w:w="1125"/>
        <w:gridCol w:w="1125"/>
        <w:gridCol w:w="1125"/>
      </w:tblGrid>
      <w:tr w:rsidR="000D1659" w:rsidRPr="00491918" w:rsidTr="00F92E6D">
        <w:trPr>
          <w:trHeight w:val="240"/>
        </w:trPr>
        <w:tc>
          <w:tcPr>
            <w:tcW w:w="6270" w:type="dxa"/>
            <w:tcBorders>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Opening balance as at 1 January</w:t>
            </w:r>
          </w:p>
        </w:tc>
        <w:tc>
          <w:tcPr>
            <w:tcW w:w="1125" w:type="dxa"/>
            <w:tcBorders>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24,018 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24,870 </w:t>
            </w:r>
          </w:p>
        </w:tc>
        <w:tc>
          <w:tcPr>
            <w:tcW w:w="1125" w:type="dxa"/>
            <w:tcBorders>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24,870 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Issuances</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652 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2,258 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Redemptions</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(1,333)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(2,680)</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(2,153)</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Other</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(696)</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(430)</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(628)</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 dated and undated subordinated liabilities as at period end</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22,641 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24,018 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22,089 </w:t>
            </w:r>
          </w:p>
        </w:tc>
      </w:tr>
    </w:tbl>
    <w:p w:rsidR="000D1659" w:rsidRPr="00491918" w:rsidRDefault="000D1659"/>
    <w:p w:rsidR="000D1659" w:rsidRPr="00491918" w:rsidRDefault="000D1659" w:rsidP="000D1659">
      <w:pPr>
        <w:pStyle w:val="BodyText-BarcRA101"/>
      </w:pPr>
      <w:r w:rsidRPr="00491918">
        <w:t>During the six months ended 30 June 2013 redemptions comprised: Fixed Rates Subordinated Notes of £636m (€750m) and £554m ($850m), CPI-linked Callable Notes of £135m (ZAR1,886m), and Junior Guaranteed Undated Floating Rate Notes of £8m ($12m). 7.75% Contingent Capital Notes of £652m ($1,000m) were issued.</w:t>
      </w:r>
    </w:p>
    <w:p w:rsidR="000D1659" w:rsidRPr="00491918" w:rsidRDefault="000D1659"/>
    <w:p w:rsidR="0007202F" w:rsidRPr="00491918" w:rsidRDefault="0007202F"/>
    <w:p w:rsidR="0007202F" w:rsidRPr="00491918" w:rsidRDefault="0007202F"/>
    <w:p w:rsidR="0007202F" w:rsidRPr="00491918" w:rsidRDefault="0007202F"/>
    <w:p w:rsidR="0007202F" w:rsidRPr="00491918" w:rsidRDefault="0007202F"/>
    <w:p w:rsidR="0007202F" w:rsidRPr="00491918" w:rsidRDefault="0007202F"/>
    <w:p w:rsidR="0007202F" w:rsidRPr="00491918" w:rsidRDefault="0007202F"/>
    <w:p w:rsidR="0007202F" w:rsidRPr="00491918" w:rsidRDefault="0007202F"/>
    <w:p w:rsidR="0007202F" w:rsidRPr="00491918" w:rsidRDefault="0007202F"/>
    <w:p w:rsidR="0007202F" w:rsidRPr="00491918" w:rsidRDefault="0007202F"/>
    <w:p w:rsidR="0007202F" w:rsidRPr="00491918" w:rsidRDefault="0007202F" w:rsidP="0007202F">
      <w:pPr>
        <w:pStyle w:val="HeadingLevel1-BarcRA49"/>
        <w:rPr>
          <w:lang w:val="en-GB"/>
        </w:rPr>
      </w:pPr>
    </w:p>
    <w:p w:rsidR="0007202F" w:rsidRPr="00491918" w:rsidRDefault="0007202F">
      <w:pPr>
        <w:sectPr w:rsidR="0007202F" w:rsidRPr="00491918" w:rsidSect="00751636">
          <w:type w:val="continuous"/>
          <w:pgSz w:w="11905" w:h="16837"/>
          <w:pgMar w:top="851" w:right="1134" w:bottom="567" w:left="1134" w:header="851" w:footer="567" w:gutter="0"/>
          <w:cols w:space="708"/>
        </w:sectPr>
      </w:pPr>
    </w:p>
    <w:p w:rsidR="000D1659" w:rsidRPr="00491918" w:rsidRDefault="000D1659"/>
    <w:tbl>
      <w:tblPr>
        <w:tblW w:w="0" w:type="auto"/>
        <w:tblLayout w:type="fixed"/>
        <w:tblLook w:val="0000" w:firstRow="0" w:lastRow="0" w:firstColumn="0" w:lastColumn="0" w:noHBand="0" w:noVBand="0"/>
      </w:tblPr>
      <w:tblGrid>
        <w:gridCol w:w="6270"/>
        <w:gridCol w:w="1125"/>
        <w:gridCol w:w="1125"/>
        <w:gridCol w:w="1125"/>
      </w:tblGrid>
      <w:tr w:rsidR="0007202F"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49"/>
              <w:rPr>
                <w:b w:val="0"/>
              </w:rPr>
            </w:pPr>
            <w:r w:rsidRPr="00491918">
              <w:t>Financial Statement Notes</w:t>
            </w:r>
          </w:p>
        </w:tc>
        <w:tc>
          <w:tcPr>
            <w:tcW w:w="1125" w:type="dxa"/>
            <w:tcBorders>
              <w:top w:val="nil"/>
              <w:left w:val="nil"/>
              <w:bottom w:val="nil"/>
              <w:right w:val="nil"/>
            </w:tcBorders>
            <w:shd w:val="clear" w:color="auto" w:fill="FFFFFF"/>
            <w:tcMar>
              <w:left w:w="36" w:type="dxa"/>
              <w:right w:w="36" w:type="dxa"/>
            </w:tcMar>
            <w:vAlign w:val="bottom"/>
          </w:tcPr>
          <w:p w:rsidR="0007202F" w:rsidRPr="00491918" w:rsidRDefault="0007202F">
            <w:pPr>
              <w:rPr>
                <w:rFonts w:ascii="Barclays Sans" w:eastAsia="Barclays Sans" w:hAnsi="Barclays Sans" w:cs="Barclays Sans"/>
                <w:color w:val="000000"/>
                <w:sz w:val="16"/>
              </w:rPr>
            </w:pPr>
          </w:p>
        </w:tc>
        <w:tc>
          <w:tcPr>
            <w:tcW w:w="1125" w:type="dxa"/>
            <w:tcBorders>
              <w:top w:val="nil"/>
              <w:left w:val="nil"/>
              <w:bottom w:val="nil"/>
              <w:right w:val="nil"/>
            </w:tcBorders>
            <w:shd w:val="clear" w:color="auto" w:fill="FFFFFF"/>
            <w:tcMar>
              <w:left w:w="36" w:type="dxa"/>
              <w:right w:w="36" w:type="dxa"/>
            </w:tcMar>
            <w:vAlign w:val="bottom"/>
          </w:tcPr>
          <w:p w:rsidR="0007202F" w:rsidRPr="00491918" w:rsidRDefault="0007202F">
            <w:pPr>
              <w:rPr>
                <w:rFonts w:ascii="Barclays Sans" w:eastAsia="Barclays Sans" w:hAnsi="Barclays Sans" w:cs="Barclays Sans"/>
                <w:color w:val="000000"/>
                <w:sz w:val="16"/>
              </w:rPr>
            </w:pPr>
          </w:p>
        </w:tc>
        <w:tc>
          <w:tcPr>
            <w:tcW w:w="1125" w:type="dxa"/>
            <w:tcBorders>
              <w:top w:val="nil"/>
              <w:left w:val="nil"/>
              <w:bottom w:val="nil"/>
              <w:right w:val="nil"/>
            </w:tcBorders>
            <w:shd w:val="clear" w:color="auto" w:fill="FFFFFF"/>
            <w:tcMar>
              <w:left w:w="36" w:type="dxa"/>
              <w:right w:w="36" w:type="dxa"/>
            </w:tcMar>
            <w:vAlign w:val="bottom"/>
          </w:tcPr>
          <w:p w:rsidR="0007202F" w:rsidRPr="00491918" w:rsidRDefault="0007202F">
            <w:pPr>
              <w:rPr>
                <w:rFonts w:ascii="Barclays Sans" w:eastAsia="Barclays Sans" w:hAnsi="Barclays Sans" w:cs="Barclays Sans"/>
                <w:color w:val="000000"/>
                <w:sz w:val="16"/>
              </w:rPr>
            </w:pP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r w:rsidRPr="00491918">
              <w:rPr>
                <w:b/>
                <w:color w:val="000000"/>
                <w:sz w:val="24"/>
              </w:rPr>
              <w:t>15.       Provisions</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24"/>
              </w:rPr>
            </w:pPr>
            <w:r w:rsidRPr="00491918">
              <w:rPr>
                <w:rFonts w:ascii="Barclays Sans" w:eastAsia="Barclays Sans" w:hAnsi="Barclays Sans" w:cs="Barclays Sans"/>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rPr>
                <w:rFonts w:ascii="Barclays Sans" w:eastAsia="Barclays Sans" w:hAnsi="Barclays Sans" w:cs="Barclays Sans"/>
                <w:color w:val="000000"/>
                <w:sz w:val="16"/>
              </w:rPr>
            </w:pPr>
            <w:r w:rsidRPr="00491918">
              <w:rPr>
                <w:rFonts w:ascii="Barclays Sans" w:eastAsia="Barclays Sans" w:hAnsi="Barclays Sans" w:cs="Barclays Sans"/>
                <w:color w:val="000000"/>
                <w:sz w:val="16"/>
              </w:rPr>
              <w:t xml:space="preserve">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rFonts w:ascii="Barclays Sans" w:eastAsia="Barclays Sans" w:hAnsi="Barclays Sans" w:cs="Barclays Sans"/>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As at</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30.06.12</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£m</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Redundancy and restructuring</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402 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71 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163 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Undrawn contractually committed facilities and guarantees</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178 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159 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222 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Onerous contracts</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81 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107 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Payment Protection Insurance redress</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1,650 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986 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406 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Interest rate hedging product redress</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1,349 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814 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450 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Litigation</w:t>
            </w:r>
          </w:p>
        </w:tc>
        <w:tc>
          <w:tcPr>
            <w:tcW w:w="1125" w:type="dxa"/>
            <w:tcBorders>
              <w:top w:val="nil"/>
              <w:left w:val="nil"/>
              <w:bottom w:val="nil"/>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185 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200 </w:t>
            </w:r>
          </w:p>
        </w:tc>
        <w:tc>
          <w:tcPr>
            <w:tcW w:w="1125" w:type="dxa"/>
            <w:tcBorders>
              <w:top w:val="nil"/>
              <w:left w:val="nil"/>
              <w:bottom w:val="nil"/>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187 </w:t>
            </w:r>
          </w:p>
        </w:tc>
      </w:tr>
      <w:tr w:rsidR="000D1659" w:rsidRPr="00491918">
        <w:trPr>
          <w:trHeight w:val="240"/>
        </w:trPr>
        <w:tc>
          <w:tcPr>
            <w:tcW w:w="6270"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rPr>
                <w:color w:val="000000"/>
                <w:sz w:val="16"/>
              </w:rPr>
            </w:pPr>
            <w:r w:rsidRPr="00491918">
              <w:rPr>
                <w:color w:val="000000"/>
                <w:sz w:val="16"/>
              </w:rPr>
              <w:t>Sundry provisions</w:t>
            </w:r>
          </w:p>
        </w:tc>
        <w:tc>
          <w:tcPr>
            <w:tcW w:w="1125" w:type="dxa"/>
            <w:tcBorders>
              <w:top w:val="nil"/>
              <w:left w:val="nil"/>
              <w:bottom w:val="single" w:sz="6" w:space="0" w:color="969696"/>
              <w:right w:val="nil"/>
            </w:tcBorders>
            <w:shd w:val="clear" w:color="auto" w:fill="EAEAEA"/>
            <w:tcMar>
              <w:left w:w="36" w:type="dxa"/>
              <w:right w:w="36" w:type="dxa"/>
            </w:tcMar>
            <w:vAlign w:val="center"/>
          </w:tcPr>
          <w:p w:rsidR="000D1659" w:rsidRPr="00491918" w:rsidRDefault="000D1659">
            <w:pPr>
              <w:jc w:val="right"/>
              <w:rPr>
                <w:color w:val="000000"/>
                <w:sz w:val="16"/>
              </w:rPr>
            </w:pPr>
            <w:r w:rsidRPr="00491918">
              <w:rPr>
                <w:color w:val="000000"/>
                <w:sz w:val="16"/>
              </w:rPr>
              <w:t>580 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432 </w:t>
            </w:r>
          </w:p>
        </w:tc>
        <w:tc>
          <w:tcPr>
            <w:tcW w:w="1125" w:type="dxa"/>
            <w:tcBorders>
              <w:top w:val="nil"/>
              <w:left w:val="nil"/>
              <w:bottom w:val="single" w:sz="6" w:space="0" w:color="969696"/>
              <w:right w:val="nil"/>
            </w:tcBorders>
            <w:shd w:val="clear" w:color="auto" w:fill="FFFFFF"/>
            <w:tcMar>
              <w:left w:w="36" w:type="dxa"/>
              <w:right w:w="36" w:type="dxa"/>
            </w:tcMar>
            <w:vAlign w:val="center"/>
          </w:tcPr>
          <w:p w:rsidR="000D1659" w:rsidRPr="00491918" w:rsidRDefault="000D1659">
            <w:pPr>
              <w:jc w:val="right"/>
              <w:rPr>
                <w:color w:val="000000"/>
                <w:sz w:val="16"/>
              </w:rPr>
            </w:pPr>
            <w:r w:rsidRPr="00491918">
              <w:rPr>
                <w:color w:val="000000"/>
                <w:sz w:val="16"/>
              </w:rPr>
              <w:t>316 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rPr>
                <w:color w:val="000000"/>
                <w:sz w:val="16"/>
              </w:rPr>
            </w:pPr>
            <w:r w:rsidRPr="00491918">
              <w:rPr>
                <w:b/>
                <w:color w:val="000000"/>
                <w:sz w:val="16"/>
              </w:rPr>
              <w:t>Total</w:t>
            </w:r>
          </w:p>
        </w:tc>
        <w:tc>
          <w:tcPr>
            <w:tcW w:w="1125" w:type="dxa"/>
            <w:tcBorders>
              <w:top w:val="single" w:sz="6" w:space="0" w:color="969696"/>
              <w:left w:val="nil"/>
              <w:bottom w:val="nil"/>
              <w:right w:val="nil"/>
            </w:tcBorders>
            <w:shd w:val="clear" w:color="auto" w:fill="EAEAEA"/>
            <w:tcMar>
              <w:left w:w="36" w:type="dxa"/>
              <w:right w:w="36" w:type="dxa"/>
            </w:tcMar>
            <w:vAlign w:val="center"/>
          </w:tcPr>
          <w:p w:rsidR="000D1659" w:rsidRPr="00491918" w:rsidRDefault="000D1659">
            <w:pPr>
              <w:jc w:val="right"/>
              <w:rPr>
                <w:b/>
                <w:color w:val="000000"/>
                <w:sz w:val="16"/>
              </w:rPr>
            </w:pPr>
            <w:r w:rsidRPr="00491918">
              <w:rPr>
                <w:b/>
                <w:color w:val="000000"/>
                <w:sz w:val="16"/>
              </w:rPr>
              <w:t>4,425 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2,766 </w:t>
            </w:r>
          </w:p>
        </w:tc>
        <w:tc>
          <w:tcPr>
            <w:tcW w:w="1125" w:type="dxa"/>
            <w:tcBorders>
              <w:top w:val="single" w:sz="6" w:space="0" w:color="969696"/>
              <w:left w:val="nil"/>
              <w:bottom w:val="nil"/>
              <w:right w:val="nil"/>
            </w:tcBorders>
            <w:shd w:val="clear" w:color="auto" w:fill="FFFFFF"/>
            <w:tcMar>
              <w:left w:w="36" w:type="dxa"/>
              <w:right w:w="36" w:type="dxa"/>
            </w:tcMar>
            <w:vAlign w:val="center"/>
          </w:tcPr>
          <w:p w:rsidR="000D1659" w:rsidRPr="00491918" w:rsidRDefault="000D1659">
            <w:pPr>
              <w:jc w:val="right"/>
              <w:rPr>
                <w:b/>
                <w:color w:val="000000"/>
                <w:sz w:val="16"/>
              </w:rPr>
            </w:pPr>
            <w:r w:rsidRPr="00491918">
              <w:rPr>
                <w:b/>
                <w:color w:val="000000"/>
                <w:sz w:val="16"/>
              </w:rPr>
              <w:t>1,851 </w:t>
            </w:r>
          </w:p>
        </w:tc>
      </w:tr>
    </w:tbl>
    <w:p w:rsidR="000D1659" w:rsidRPr="00491918" w:rsidRDefault="000D1659"/>
    <w:p w:rsidR="000D1659" w:rsidRPr="00491918" w:rsidRDefault="000D1659" w:rsidP="008D6001">
      <w:pPr>
        <w:pStyle w:val="BodyText-BarcRA890"/>
        <w:outlineLvl w:val="0"/>
        <w:rPr>
          <w:b/>
        </w:rPr>
      </w:pPr>
      <w:r w:rsidRPr="00491918">
        <w:rPr>
          <w:b/>
        </w:rPr>
        <w:t>Payment protection insurance redress</w:t>
      </w:r>
    </w:p>
    <w:p w:rsidR="000D1659" w:rsidRPr="00491918" w:rsidRDefault="000D1659" w:rsidP="00A177DB">
      <w:pPr>
        <w:pStyle w:val="BodyText-AR01"/>
        <w:jc w:val="both"/>
        <w:rPr>
          <w:rFonts w:cs="Times New Roman"/>
          <w:sz w:val="18"/>
          <w:szCs w:val="18"/>
          <w:lang w:eastAsia="en-GB"/>
        </w:rPr>
      </w:pPr>
      <w:r w:rsidRPr="00491918">
        <w:rPr>
          <w:rFonts w:cs="Times New Roman"/>
          <w:sz w:val="18"/>
          <w:szCs w:val="18"/>
          <w:lang w:eastAsia="en-GB"/>
        </w:rPr>
        <w:t xml:space="preserve">Following the conclusion of the 2011 Judicial Review, a provision for PPI redress of £1.0bn was raised in May 2011 based on FSA guidelines and historic industry experience in resolving similar claims.  Subsequently, further provisions totalling £1.6bn were raised during 2012. </w:t>
      </w:r>
    </w:p>
    <w:p w:rsidR="000D1659" w:rsidRPr="00491918" w:rsidRDefault="000D1659" w:rsidP="00A177DB">
      <w:pPr>
        <w:pStyle w:val="BodyText-AR01"/>
        <w:jc w:val="both"/>
        <w:rPr>
          <w:rFonts w:cs="Times New Roman"/>
          <w:sz w:val="18"/>
          <w:szCs w:val="18"/>
          <w:lang w:eastAsia="en-GB"/>
        </w:rPr>
      </w:pPr>
    </w:p>
    <w:p w:rsidR="000D1659" w:rsidRPr="00491918" w:rsidRDefault="000D1659" w:rsidP="00A177DB">
      <w:pPr>
        <w:pStyle w:val="BodyText-AR01"/>
        <w:jc w:val="both"/>
        <w:rPr>
          <w:rFonts w:cs="Times New Roman"/>
          <w:sz w:val="18"/>
          <w:szCs w:val="18"/>
          <w:lang w:eastAsia="en-GB"/>
        </w:rPr>
      </w:pPr>
      <w:r w:rsidRPr="00491918">
        <w:rPr>
          <w:sz w:val="18"/>
          <w:szCs w:val="18"/>
        </w:rPr>
        <w:t>Through to 30 June 2013, 1.46m (31 December 2012: 1.1m) customer initiated claims</w:t>
      </w:r>
      <w:r w:rsidRPr="00491918">
        <w:rPr>
          <w:sz w:val="18"/>
          <w:szCs w:val="18"/>
          <w:vertAlign w:val="superscript"/>
        </w:rPr>
        <w:t>1</w:t>
      </w:r>
      <w:r w:rsidRPr="00491918">
        <w:rPr>
          <w:sz w:val="18"/>
          <w:szCs w:val="18"/>
        </w:rPr>
        <w:t xml:space="preserve"> had been received </w:t>
      </w:r>
      <w:r w:rsidRPr="00491918">
        <w:rPr>
          <w:rFonts w:cs="Times New Roman"/>
          <w:sz w:val="18"/>
          <w:szCs w:val="18"/>
          <w:lang w:eastAsia="en-GB"/>
        </w:rPr>
        <w:t>and processed.  The monthly volume of claims received has declined by 46% since the peak in May 2012, although the rate of decline has been less than previously expected</w:t>
      </w:r>
      <w:r w:rsidRPr="00491918">
        <w:rPr>
          <w:rFonts w:cs="Times New Roman"/>
          <w:b/>
          <w:sz w:val="18"/>
          <w:szCs w:val="18"/>
          <w:lang w:eastAsia="en-GB"/>
        </w:rPr>
        <w:t>.</w:t>
      </w:r>
      <w:r w:rsidRPr="00491918">
        <w:rPr>
          <w:sz w:val="18"/>
          <w:szCs w:val="18"/>
        </w:rPr>
        <w:t xml:space="preserve">  Consequently the future level of expected complaints has been increased to reflect the slower rate of decline. With the overall increase in volume of expected complaints, expectations on the number of complaints which are likely to be referred to the Financial Ombudsman Service (FOS) have been revised upwards. </w:t>
      </w:r>
      <w:r w:rsidRPr="00491918">
        <w:rPr>
          <w:rFonts w:cs="Times New Roman"/>
          <w:sz w:val="18"/>
          <w:szCs w:val="18"/>
          <w:lang w:eastAsia="en-GB"/>
        </w:rPr>
        <w:t>As a result an additional provision of £1.35bn was recognised in June 2013 to reflect these updated assumptions including a provision for operational costs through to December 2014.  As at 30 June 2013 £2.3bn of the provision has been utilised, leaving a residual provision of £1.65bn.</w:t>
      </w:r>
    </w:p>
    <w:p w:rsidR="00A177DB" w:rsidRPr="00491918" w:rsidRDefault="00A177DB" w:rsidP="00A177DB">
      <w:pPr>
        <w:pStyle w:val="BodyText-AR01"/>
        <w:jc w:val="both"/>
        <w:rPr>
          <w:rFonts w:cs="Times New Roman"/>
          <w:sz w:val="18"/>
          <w:szCs w:val="18"/>
          <w:lang w:eastAsia="en-GB"/>
        </w:rPr>
      </w:pPr>
    </w:p>
    <w:p w:rsidR="000D1659" w:rsidRPr="00491918" w:rsidRDefault="000D1659" w:rsidP="00A177DB">
      <w:pPr>
        <w:pStyle w:val="BodyText-AR01"/>
        <w:jc w:val="both"/>
        <w:rPr>
          <w:rFonts w:cs="Times New Roman"/>
          <w:sz w:val="18"/>
          <w:szCs w:val="18"/>
          <w:lang w:eastAsia="en-GB"/>
        </w:rPr>
      </w:pPr>
      <w:r w:rsidRPr="00491918">
        <w:rPr>
          <w:rFonts w:cs="Times New Roman"/>
          <w:sz w:val="18"/>
          <w:szCs w:val="18"/>
          <w:lang w:eastAsia="en-GB"/>
        </w:rPr>
        <w:t>In August 2012, in accordance with regulatory standards, Barclays commenced a proactive mailing of the holders of approximately 750,000 policies.  Of this population approximately 510,000 (31 December 2012: 100,000) had either been mailed or contacted Barclays independently by 30 June 2013 and it is anticipated that the remainder will be contacted by 31 December 2013.</w:t>
      </w:r>
    </w:p>
    <w:p w:rsidR="000D1659" w:rsidRPr="00491918" w:rsidRDefault="000D1659" w:rsidP="00A177DB">
      <w:pPr>
        <w:pStyle w:val="BodyText-AR01"/>
        <w:jc w:val="both"/>
        <w:rPr>
          <w:rFonts w:cs="Times New Roman"/>
          <w:sz w:val="18"/>
          <w:szCs w:val="18"/>
          <w:lang w:eastAsia="en-GB"/>
        </w:rPr>
      </w:pPr>
    </w:p>
    <w:p w:rsidR="000D1659" w:rsidRPr="00491918" w:rsidRDefault="000D1659" w:rsidP="00A177DB">
      <w:pPr>
        <w:pStyle w:val="BodyText-AR01"/>
        <w:jc w:val="both"/>
        <w:rPr>
          <w:sz w:val="18"/>
          <w:szCs w:val="18"/>
        </w:rPr>
      </w:pPr>
      <w:r w:rsidRPr="00491918">
        <w:rPr>
          <w:sz w:val="18"/>
          <w:szCs w:val="18"/>
        </w:rPr>
        <w:t xml:space="preserve">To date Barclays has upheld on average 41% (31 December 2012: 39%) of all claims received, excluding payment of gestures of goodwill and reflecting a high proportion of claims for which no PPI policy exists.  The average redress per valid claim to date is £2,830 (31 December 2012: £2,750), comprising, where applicable, the refund of premium, compound interest charged and interest of 8%.   </w:t>
      </w:r>
    </w:p>
    <w:p w:rsidR="000D1659" w:rsidRPr="00491918" w:rsidRDefault="000D1659" w:rsidP="00A177DB">
      <w:pPr>
        <w:pStyle w:val="BodyText-AR01"/>
        <w:jc w:val="both"/>
        <w:rPr>
          <w:rFonts w:cs="Times New Roman"/>
          <w:sz w:val="18"/>
          <w:szCs w:val="18"/>
          <w:lang w:eastAsia="en-GB"/>
        </w:rPr>
      </w:pPr>
    </w:p>
    <w:p w:rsidR="000D1659" w:rsidRPr="00491918" w:rsidRDefault="000D1659" w:rsidP="00A177DB">
      <w:pPr>
        <w:pStyle w:val="BodyText-BarcRA8900"/>
        <w:spacing w:before="0" w:after="0"/>
        <w:rPr>
          <w:sz w:val="18"/>
          <w:szCs w:val="18"/>
        </w:rPr>
      </w:pPr>
      <w:r w:rsidRPr="00491918">
        <w:rPr>
          <w:sz w:val="18"/>
          <w:szCs w:val="18"/>
        </w:rPr>
        <w:t>The basis of the current provision is calculated from a number of key assumptions which continue to involve significant management judgement and modelling:</w:t>
      </w:r>
    </w:p>
    <w:p w:rsidR="000D1659" w:rsidRPr="00491918" w:rsidRDefault="000D1659" w:rsidP="00A177DB">
      <w:pPr>
        <w:pStyle w:val="BulletsLevel1-AR"/>
        <w:ind w:left="567" w:hanging="207"/>
        <w:jc w:val="both"/>
        <w:rPr>
          <w:sz w:val="18"/>
          <w:szCs w:val="18"/>
        </w:rPr>
      </w:pPr>
      <w:r w:rsidRPr="00491918">
        <w:rPr>
          <w:sz w:val="18"/>
          <w:szCs w:val="18"/>
        </w:rPr>
        <w:t>Customer initiated claim volumes  – claims received but not yet processed as at 30 June and an estimate of future claims initiated by customers where the volume is anticipated to decline over time</w:t>
      </w:r>
    </w:p>
    <w:p w:rsidR="000D1659" w:rsidRPr="00491918" w:rsidRDefault="000D1659" w:rsidP="00A177DB">
      <w:pPr>
        <w:pStyle w:val="BulletsLevel1-AR"/>
        <w:ind w:left="567" w:hanging="207"/>
        <w:jc w:val="both"/>
        <w:rPr>
          <w:sz w:val="18"/>
          <w:szCs w:val="18"/>
        </w:rPr>
      </w:pPr>
      <w:r w:rsidRPr="00491918">
        <w:rPr>
          <w:sz w:val="18"/>
          <w:szCs w:val="18"/>
        </w:rPr>
        <w:t>Proactive response rate – volume of claims in response to proactive mailing</w:t>
      </w:r>
    </w:p>
    <w:p w:rsidR="000D1659" w:rsidRPr="00491918" w:rsidRDefault="000D1659" w:rsidP="00A177DB">
      <w:pPr>
        <w:pStyle w:val="BulletsLevel1-AR"/>
        <w:ind w:left="567" w:hanging="207"/>
        <w:jc w:val="both"/>
        <w:rPr>
          <w:sz w:val="18"/>
          <w:szCs w:val="18"/>
        </w:rPr>
      </w:pPr>
      <w:r w:rsidRPr="00491918">
        <w:rPr>
          <w:sz w:val="18"/>
          <w:szCs w:val="18"/>
        </w:rPr>
        <w:t xml:space="preserve">Uphold rate – the percentage of claims that are upheld as being valid upon review </w:t>
      </w:r>
    </w:p>
    <w:p w:rsidR="000D1659" w:rsidRPr="00491918" w:rsidRDefault="000D1659" w:rsidP="00A177DB">
      <w:pPr>
        <w:pStyle w:val="BulletsLevel1-AR"/>
        <w:ind w:left="567" w:hanging="207"/>
        <w:jc w:val="both"/>
        <w:rPr>
          <w:sz w:val="18"/>
          <w:szCs w:val="18"/>
        </w:rPr>
      </w:pPr>
      <w:r w:rsidRPr="00491918">
        <w:rPr>
          <w:sz w:val="18"/>
          <w:szCs w:val="18"/>
        </w:rPr>
        <w:t>Average claim redress - the expected average payment to customers for upheld claims based on the type and age of the policy/policies</w:t>
      </w:r>
    </w:p>
    <w:p w:rsidR="000D1659" w:rsidRPr="00491918" w:rsidRDefault="000D1659" w:rsidP="00A177DB">
      <w:pPr>
        <w:pStyle w:val="BulletsLevel1-AR"/>
        <w:numPr>
          <w:ilvl w:val="0"/>
          <w:numId w:val="0"/>
        </w:numPr>
        <w:ind w:left="360"/>
        <w:jc w:val="both"/>
        <w:rPr>
          <w:sz w:val="18"/>
          <w:szCs w:val="18"/>
        </w:rPr>
      </w:pPr>
    </w:p>
    <w:p w:rsidR="000D1659" w:rsidRPr="00491918" w:rsidRDefault="000D1659" w:rsidP="00A177DB">
      <w:pPr>
        <w:pStyle w:val="BulletsLevel1-AR"/>
        <w:numPr>
          <w:ilvl w:val="0"/>
          <w:numId w:val="0"/>
        </w:numPr>
        <w:jc w:val="both"/>
        <w:rPr>
          <w:sz w:val="18"/>
          <w:szCs w:val="18"/>
        </w:rPr>
      </w:pPr>
      <w:r w:rsidRPr="00491918">
        <w:rPr>
          <w:sz w:val="18"/>
          <w:szCs w:val="18"/>
        </w:rPr>
        <w:t>The provision also includes an estimate of our claims handling costs and those costs associated with claims that subsequently are referred to the FOS.</w:t>
      </w:r>
    </w:p>
    <w:p w:rsidR="000D1659" w:rsidRPr="00491918" w:rsidRDefault="000D1659" w:rsidP="00A177DB">
      <w:pPr>
        <w:pStyle w:val="BulletsLevel1-AR"/>
        <w:numPr>
          <w:ilvl w:val="0"/>
          <w:numId w:val="0"/>
        </w:numPr>
        <w:jc w:val="both"/>
        <w:rPr>
          <w:sz w:val="18"/>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07202F" w:rsidRPr="00491918" w:rsidRDefault="0007202F" w:rsidP="00A177DB">
      <w:pPr>
        <w:pStyle w:val="Normal135"/>
        <w:widowControl w:val="0"/>
        <w:jc w:val="both"/>
        <w:rPr>
          <w:rFonts w:cs="Expert Sans Regular"/>
          <w:szCs w:val="18"/>
        </w:rPr>
      </w:pPr>
    </w:p>
    <w:p w:rsidR="0007202F" w:rsidRPr="00491918" w:rsidRDefault="0007202F" w:rsidP="00A177DB">
      <w:pPr>
        <w:pStyle w:val="Normal135"/>
        <w:widowControl w:val="0"/>
        <w:jc w:val="both"/>
        <w:rPr>
          <w:rFonts w:cs="Expert Sans Regular"/>
          <w:szCs w:val="18"/>
        </w:rPr>
      </w:pPr>
    </w:p>
    <w:p w:rsidR="0007202F" w:rsidRPr="00491918" w:rsidRDefault="0007202F" w:rsidP="00A177DB">
      <w:pPr>
        <w:pStyle w:val="Normal135"/>
        <w:widowControl w:val="0"/>
        <w:jc w:val="both"/>
        <w:rPr>
          <w:rFonts w:cs="Expert Sans Regular"/>
          <w:szCs w:val="18"/>
        </w:rPr>
      </w:pPr>
    </w:p>
    <w:p w:rsidR="0007202F" w:rsidRPr="00491918" w:rsidRDefault="0007202F" w:rsidP="00A177DB">
      <w:pPr>
        <w:pStyle w:val="Normal135"/>
        <w:widowControl w:val="0"/>
        <w:jc w:val="both"/>
        <w:rPr>
          <w:rFonts w:cs="Expert Sans Regular"/>
          <w:szCs w:val="18"/>
        </w:rPr>
      </w:pPr>
    </w:p>
    <w:p w:rsidR="007D257D" w:rsidRPr="00491918" w:rsidRDefault="007D257D" w:rsidP="00A177DB">
      <w:pPr>
        <w:pStyle w:val="Normal135"/>
        <w:widowControl w:val="0"/>
        <w:jc w:val="both"/>
        <w:rPr>
          <w:rFonts w:cs="Expert Sans Regular"/>
          <w:szCs w:val="18"/>
        </w:rPr>
      </w:pPr>
    </w:p>
    <w:p w:rsidR="007D257D" w:rsidRPr="00491918" w:rsidRDefault="007D257D" w:rsidP="00EC729A">
      <w:pPr>
        <w:pStyle w:val="NoteandSourceText-BarcRA29"/>
        <w:numPr>
          <w:ilvl w:val="0"/>
          <w:numId w:val="225"/>
        </w:numPr>
        <w:tabs>
          <w:tab w:val="left" w:pos="0"/>
        </w:tabs>
        <w:ind w:hanging="720"/>
      </w:pPr>
      <w:r w:rsidRPr="00491918">
        <w:t>Total claims received to date including those for which no PPI policy exists and excluding responses to proactive mailing.</w:t>
      </w:r>
    </w:p>
    <w:p w:rsidR="0007202F" w:rsidRPr="00491918" w:rsidRDefault="0007202F" w:rsidP="0007202F">
      <w:pPr>
        <w:pStyle w:val="HeadingLevel1-BarcRA49"/>
      </w:pPr>
      <w:r w:rsidRPr="00491918">
        <w:t>Financial Statement Notes</w:t>
      </w:r>
    </w:p>
    <w:p w:rsidR="00CE62B3" w:rsidRPr="00491918" w:rsidRDefault="000D1659" w:rsidP="000D1659">
      <w:pPr>
        <w:pStyle w:val="Normal135"/>
        <w:widowControl w:val="0"/>
        <w:jc w:val="both"/>
        <w:rPr>
          <w:rFonts w:cs="Expert Sans Regular"/>
          <w:szCs w:val="18"/>
        </w:rPr>
      </w:pPr>
      <w:r w:rsidRPr="00491918">
        <w:rPr>
          <w:rFonts w:cs="Expert Sans Regular"/>
          <w:szCs w:val="18"/>
        </w:rPr>
        <w:t xml:space="preserve">These assumptions remain subjective; in particular due to the uncertainty associated with future claims levels. The resulting provision represents Barclays’ best estimate of all future expected costs of PPI redress. However, it is possible the eventual outcome may differ from the current estimate and if this were to be material a further provision will be made, otherwise it is expected that any residual costs will be handled as part of normal operations. The following table details, by key assumption, </w:t>
      </w:r>
      <w:r w:rsidRPr="00491918">
        <w:rPr>
          <w:rFonts w:cs="Expert Sans Regular"/>
          <w:szCs w:val="18"/>
        </w:rPr>
        <w:lastRenderedPageBreak/>
        <w:t>actual data through to 30 June 2013, forecast assumptions used in the provision calculation and a sensitivity analysis illustrating the impact on the provision if the future expected assump</w:t>
      </w:r>
      <w:r w:rsidR="00CC7FA0" w:rsidRPr="00491918">
        <w:rPr>
          <w:rFonts w:cs="Expert Sans Regular"/>
          <w:szCs w:val="18"/>
        </w:rPr>
        <w:t>tions prove too high or too low.</w:t>
      </w:r>
    </w:p>
    <w:tbl>
      <w:tblPr>
        <w:tblpPr w:leftFromText="180" w:rightFromText="180" w:vertAnchor="text" w:tblpX="-21" w:tblpY="43"/>
        <w:tblW w:w="9660" w:type="dxa"/>
        <w:tblLayout w:type="fixed"/>
        <w:tblCellMar>
          <w:left w:w="14" w:type="dxa"/>
          <w:right w:w="14" w:type="dxa"/>
        </w:tblCellMar>
        <w:tblLook w:val="00A0" w:firstRow="1" w:lastRow="0" w:firstColumn="1" w:lastColumn="0" w:noHBand="0" w:noVBand="0"/>
      </w:tblPr>
      <w:tblGrid>
        <w:gridCol w:w="5826"/>
        <w:gridCol w:w="1134"/>
        <w:gridCol w:w="992"/>
        <w:gridCol w:w="1708"/>
      </w:tblGrid>
      <w:tr w:rsidR="00DB725D" w:rsidRPr="00491918" w:rsidTr="000D1659">
        <w:trPr>
          <w:trHeight w:val="270"/>
        </w:trPr>
        <w:tc>
          <w:tcPr>
            <w:tcW w:w="5826" w:type="dxa"/>
            <w:tcBorders>
              <w:top w:val="nil"/>
              <w:left w:val="nil"/>
              <w:bottom w:val="single" w:sz="4" w:space="0" w:color="808080"/>
              <w:right w:val="nil"/>
            </w:tcBorders>
            <w:noWrap/>
          </w:tcPr>
          <w:p w:rsidR="00DB725D" w:rsidRPr="00491918" w:rsidRDefault="00DB725D" w:rsidP="000D1659">
            <w:pPr>
              <w:pStyle w:val="BodyText-AR10"/>
              <w:rPr>
                <w:b/>
                <w:sz w:val="18"/>
                <w:szCs w:val="18"/>
              </w:rPr>
            </w:pPr>
          </w:p>
        </w:tc>
        <w:tc>
          <w:tcPr>
            <w:tcW w:w="1134" w:type="dxa"/>
            <w:tcBorders>
              <w:top w:val="nil"/>
              <w:left w:val="nil"/>
              <w:bottom w:val="single" w:sz="4" w:space="0" w:color="808080"/>
              <w:right w:val="nil"/>
            </w:tcBorders>
            <w:noWrap/>
            <w:vAlign w:val="bottom"/>
          </w:tcPr>
          <w:p w:rsidR="00DB725D" w:rsidRPr="00491918" w:rsidRDefault="00DB725D" w:rsidP="000D1659">
            <w:pPr>
              <w:pStyle w:val="BodyText-AR10"/>
              <w:jc w:val="right"/>
              <w:rPr>
                <w:b/>
                <w:sz w:val="18"/>
                <w:szCs w:val="18"/>
              </w:rPr>
            </w:pPr>
          </w:p>
        </w:tc>
        <w:tc>
          <w:tcPr>
            <w:tcW w:w="992" w:type="dxa"/>
            <w:tcBorders>
              <w:top w:val="nil"/>
              <w:left w:val="nil"/>
              <w:bottom w:val="single" w:sz="4" w:space="0" w:color="808080"/>
              <w:right w:val="nil"/>
            </w:tcBorders>
            <w:noWrap/>
            <w:vAlign w:val="bottom"/>
          </w:tcPr>
          <w:p w:rsidR="00DB725D" w:rsidRPr="00491918" w:rsidRDefault="00DB725D" w:rsidP="000D1659">
            <w:pPr>
              <w:pStyle w:val="BodyText-AR10"/>
              <w:jc w:val="right"/>
              <w:rPr>
                <w:b/>
                <w:sz w:val="18"/>
                <w:szCs w:val="18"/>
              </w:rPr>
            </w:pPr>
          </w:p>
        </w:tc>
        <w:tc>
          <w:tcPr>
            <w:tcW w:w="1708" w:type="dxa"/>
            <w:tcBorders>
              <w:top w:val="nil"/>
              <w:left w:val="nil"/>
              <w:bottom w:val="single" w:sz="4" w:space="0" w:color="808080"/>
              <w:right w:val="nil"/>
            </w:tcBorders>
            <w:noWrap/>
            <w:vAlign w:val="bottom"/>
          </w:tcPr>
          <w:p w:rsidR="00DB725D" w:rsidRPr="00491918" w:rsidRDefault="00DB725D" w:rsidP="000D1659">
            <w:pPr>
              <w:pStyle w:val="BodyText-AR10"/>
              <w:jc w:val="right"/>
              <w:rPr>
                <w:b/>
                <w:sz w:val="18"/>
                <w:szCs w:val="18"/>
              </w:rPr>
            </w:pPr>
          </w:p>
        </w:tc>
      </w:tr>
    </w:tbl>
    <w:p w:rsidR="00DB725D" w:rsidRPr="00491918" w:rsidRDefault="00DB725D"/>
    <w:tbl>
      <w:tblPr>
        <w:tblpPr w:leftFromText="180" w:rightFromText="180" w:vertAnchor="text" w:tblpX="-21" w:tblpY="43"/>
        <w:tblW w:w="9660" w:type="dxa"/>
        <w:tblLayout w:type="fixed"/>
        <w:tblCellMar>
          <w:left w:w="14" w:type="dxa"/>
          <w:right w:w="14" w:type="dxa"/>
        </w:tblCellMar>
        <w:tblLook w:val="00A0" w:firstRow="1" w:lastRow="0" w:firstColumn="1" w:lastColumn="0" w:noHBand="0" w:noVBand="0"/>
      </w:tblPr>
      <w:tblGrid>
        <w:gridCol w:w="5826"/>
        <w:gridCol w:w="1134"/>
        <w:gridCol w:w="992"/>
        <w:gridCol w:w="1708"/>
      </w:tblGrid>
      <w:tr w:rsidR="000D1659" w:rsidRPr="00491918" w:rsidTr="000D1659">
        <w:trPr>
          <w:trHeight w:val="270"/>
        </w:trPr>
        <w:tc>
          <w:tcPr>
            <w:tcW w:w="5826" w:type="dxa"/>
            <w:tcBorders>
              <w:top w:val="nil"/>
              <w:left w:val="nil"/>
              <w:bottom w:val="single" w:sz="4" w:space="0" w:color="808080"/>
              <w:right w:val="nil"/>
            </w:tcBorders>
            <w:noWrap/>
          </w:tcPr>
          <w:p w:rsidR="000D1659" w:rsidRPr="00491918" w:rsidRDefault="000D1659" w:rsidP="000D1659">
            <w:pPr>
              <w:pStyle w:val="BodyText-AR10"/>
              <w:rPr>
                <w:b/>
                <w:sz w:val="18"/>
                <w:szCs w:val="18"/>
              </w:rPr>
            </w:pPr>
          </w:p>
          <w:p w:rsidR="000D1659" w:rsidRPr="00491918" w:rsidRDefault="000D1659" w:rsidP="000D1659">
            <w:pPr>
              <w:pStyle w:val="BodyText-AR10"/>
              <w:rPr>
                <w:b/>
                <w:sz w:val="18"/>
                <w:szCs w:val="18"/>
              </w:rPr>
            </w:pPr>
          </w:p>
          <w:p w:rsidR="000D1659" w:rsidRPr="00491918" w:rsidRDefault="000D1659" w:rsidP="000D1659">
            <w:pPr>
              <w:pStyle w:val="BodyText-AR10"/>
              <w:rPr>
                <w:b/>
                <w:sz w:val="18"/>
                <w:szCs w:val="18"/>
              </w:rPr>
            </w:pPr>
            <w:r w:rsidRPr="00491918">
              <w:rPr>
                <w:b/>
                <w:sz w:val="18"/>
                <w:szCs w:val="18"/>
              </w:rPr>
              <w:t>Assumption</w:t>
            </w:r>
          </w:p>
          <w:p w:rsidR="000D1659" w:rsidRPr="00491918" w:rsidRDefault="000D1659" w:rsidP="000D1659">
            <w:pPr>
              <w:pStyle w:val="BodyText-AR10"/>
              <w:rPr>
                <w:b/>
                <w:sz w:val="18"/>
                <w:szCs w:val="18"/>
              </w:rPr>
            </w:pPr>
          </w:p>
        </w:tc>
        <w:tc>
          <w:tcPr>
            <w:tcW w:w="1134" w:type="dxa"/>
            <w:tcBorders>
              <w:top w:val="nil"/>
              <w:left w:val="nil"/>
              <w:bottom w:val="single" w:sz="4" w:space="0" w:color="808080"/>
              <w:right w:val="nil"/>
            </w:tcBorders>
            <w:noWrap/>
            <w:vAlign w:val="bottom"/>
          </w:tcPr>
          <w:p w:rsidR="000D1659" w:rsidRPr="00491918" w:rsidRDefault="000D1659" w:rsidP="000D1659">
            <w:pPr>
              <w:pStyle w:val="BodyText-AR10"/>
              <w:jc w:val="right"/>
              <w:rPr>
                <w:b/>
                <w:sz w:val="18"/>
                <w:szCs w:val="18"/>
              </w:rPr>
            </w:pPr>
            <w:r w:rsidRPr="00491918">
              <w:rPr>
                <w:b/>
                <w:sz w:val="18"/>
                <w:szCs w:val="18"/>
              </w:rPr>
              <w:t xml:space="preserve">Cumulative actual   </w:t>
            </w:r>
          </w:p>
          <w:p w:rsidR="000D1659" w:rsidRPr="00491918" w:rsidRDefault="000D1659" w:rsidP="000D1659">
            <w:pPr>
              <w:pStyle w:val="BodyText-AR10"/>
              <w:jc w:val="right"/>
              <w:rPr>
                <w:b/>
                <w:sz w:val="18"/>
                <w:szCs w:val="18"/>
              </w:rPr>
            </w:pPr>
            <w:r w:rsidRPr="00491918">
              <w:rPr>
                <w:b/>
                <w:sz w:val="18"/>
                <w:szCs w:val="18"/>
              </w:rPr>
              <w:t xml:space="preserve">   to 30.06.13</w:t>
            </w:r>
          </w:p>
        </w:tc>
        <w:tc>
          <w:tcPr>
            <w:tcW w:w="992" w:type="dxa"/>
            <w:tcBorders>
              <w:top w:val="nil"/>
              <w:left w:val="nil"/>
              <w:bottom w:val="single" w:sz="4" w:space="0" w:color="808080"/>
              <w:right w:val="nil"/>
            </w:tcBorders>
            <w:noWrap/>
            <w:vAlign w:val="bottom"/>
          </w:tcPr>
          <w:p w:rsidR="000D1659" w:rsidRPr="00491918" w:rsidRDefault="000D1659" w:rsidP="000D1659">
            <w:pPr>
              <w:pStyle w:val="BodyText-AR10"/>
              <w:jc w:val="right"/>
              <w:rPr>
                <w:b/>
                <w:sz w:val="18"/>
                <w:szCs w:val="18"/>
              </w:rPr>
            </w:pPr>
            <w:r w:rsidRPr="00491918">
              <w:rPr>
                <w:b/>
                <w:sz w:val="18"/>
                <w:szCs w:val="18"/>
              </w:rPr>
              <w:t xml:space="preserve">  </w:t>
            </w:r>
          </w:p>
          <w:p w:rsidR="000D1659" w:rsidRPr="00491918" w:rsidRDefault="000D1659" w:rsidP="000D1659">
            <w:pPr>
              <w:pStyle w:val="BodyText-AR10"/>
              <w:jc w:val="right"/>
              <w:rPr>
                <w:b/>
                <w:sz w:val="18"/>
                <w:szCs w:val="18"/>
              </w:rPr>
            </w:pPr>
            <w:r w:rsidRPr="00491918">
              <w:rPr>
                <w:b/>
                <w:sz w:val="18"/>
                <w:szCs w:val="18"/>
              </w:rPr>
              <w:t>Future Expected</w:t>
            </w:r>
          </w:p>
        </w:tc>
        <w:tc>
          <w:tcPr>
            <w:tcW w:w="1708" w:type="dxa"/>
            <w:tcBorders>
              <w:top w:val="nil"/>
              <w:left w:val="nil"/>
              <w:bottom w:val="single" w:sz="4" w:space="0" w:color="808080"/>
              <w:right w:val="nil"/>
            </w:tcBorders>
            <w:noWrap/>
            <w:vAlign w:val="bottom"/>
          </w:tcPr>
          <w:p w:rsidR="000D1659" w:rsidRPr="00491918" w:rsidRDefault="000D1659" w:rsidP="000D1659">
            <w:pPr>
              <w:pStyle w:val="BodyText-AR10"/>
              <w:jc w:val="right"/>
              <w:rPr>
                <w:b/>
                <w:sz w:val="18"/>
                <w:szCs w:val="18"/>
              </w:rPr>
            </w:pPr>
            <w:r w:rsidRPr="00491918">
              <w:rPr>
                <w:b/>
                <w:sz w:val="18"/>
                <w:szCs w:val="18"/>
              </w:rPr>
              <w:t xml:space="preserve">Sensitivity Analysis        increase/decrease </w:t>
            </w:r>
          </w:p>
          <w:p w:rsidR="000D1659" w:rsidRPr="00491918" w:rsidRDefault="000D1659" w:rsidP="000D1659">
            <w:pPr>
              <w:pStyle w:val="BodyText-AR10"/>
              <w:jc w:val="right"/>
              <w:rPr>
                <w:b/>
                <w:sz w:val="18"/>
                <w:szCs w:val="18"/>
              </w:rPr>
            </w:pPr>
            <w:r w:rsidRPr="00491918">
              <w:rPr>
                <w:b/>
                <w:sz w:val="18"/>
                <w:szCs w:val="18"/>
              </w:rPr>
              <w:t>in provision</w:t>
            </w:r>
          </w:p>
        </w:tc>
      </w:tr>
      <w:tr w:rsidR="000D1659" w:rsidRPr="00491918" w:rsidTr="000D1659">
        <w:trPr>
          <w:trHeight w:hRule="exact" w:val="227"/>
        </w:trPr>
        <w:tc>
          <w:tcPr>
            <w:tcW w:w="5826" w:type="dxa"/>
            <w:tcBorders>
              <w:top w:val="single" w:sz="4" w:space="0" w:color="808080"/>
              <w:left w:val="nil"/>
              <w:bottom w:val="nil"/>
              <w:right w:val="nil"/>
            </w:tcBorders>
            <w:shd w:val="clear" w:color="auto" w:fill="auto"/>
            <w:noWrap/>
          </w:tcPr>
          <w:p w:rsidR="000D1659" w:rsidRPr="00491918" w:rsidRDefault="000D1659">
            <w:pPr>
              <w:pStyle w:val="Normal135"/>
              <w:rPr>
                <w:sz w:val="16"/>
                <w:szCs w:val="18"/>
              </w:rPr>
            </w:pPr>
            <w:r w:rsidRPr="00491918">
              <w:rPr>
                <w:sz w:val="16"/>
                <w:szCs w:val="18"/>
              </w:rPr>
              <w:t>Customer initiated claims</w:t>
            </w:r>
            <w:r w:rsidRPr="00491918">
              <w:rPr>
                <w:sz w:val="16"/>
                <w:szCs w:val="18"/>
                <w:vertAlign w:val="superscript"/>
              </w:rPr>
              <w:t>1</w:t>
            </w:r>
            <w:r w:rsidRPr="00491918">
              <w:rPr>
                <w:sz w:val="16"/>
                <w:szCs w:val="18"/>
              </w:rPr>
              <w:t xml:space="preserve"> received and processed</w:t>
            </w:r>
          </w:p>
        </w:tc>
        <w:tc>
          <w:tcPr>
            <w:tcW w:w="1134" w:type="dxa"/>
            <w:tcBorders>
              <w:top w:val="single" w:sz="4" w:space="0" w:color="808080"/>
              <w:left w:val="nil"/>
              <w:bottom w:val="nil"/>
              <w:right w:val="nil"/>
            </w:tcBorders>
            <w:shd w:val="clear" w:color="auto" w:fill="auto"/>
            <w:noWrap/>
            <w:vAlign w:val="center"/>
          </w:tcPr>
          <w:p w:rsidR="000D1659" w:rsidRPr="00491918" w:rsidRDefault="000D1659" w:rsidP="000D1659">
            <w:pPr>
              <w:pStyle w:val="BodyText-AR10"/>
              <w:jc w:val="right"/>
              <w:rPr>
                <w:szCs w:val="18"/>
              </w:rPr>
            </w:pPr>
            <w:r w:rsidRPr="00491918">
              <w:rPr>
                <w:szCs w:val="18"/>
              </w:rPr>
              <w:t>1,460k</w:t>
            </w:r>
          </w:p>
        </w:tc>
        <w:tc>
          <w:tcPr>
            <w:tcW w:w="992" w:type="dxa"/>
            <w:tcBorders>
              <w:top w:val="single" w:sz="4" w:space="0" w:color="808080"/>
              <w:left w:val="nil"/>
              <w:bottom w:val="nil"/>
              <w:right w:val="nil"/>
            </w:tcBorders>
            <w:shd w:val="clear" w:color="auto" w:fill="auto"/>
            <w:noWrap/>
            <w:vAlign w:val="center"/>
          </w:tcPr>
          <w:p w:rsidR="000D1659" w:rsidRPr="00491918" w:rsidRDefault="000D1659" w:rsidP="000D1659">
            <w:pPr>
              <w:pStyle w:val="BodyText-AR10"/>
              <w:jc w:val="right"/>
              <w:rPr>
                <w:szCs w:val="18"/>
              </w:rPr>
            </w:pPr>
            <w:r w:rsidRPr="00491918">
              <w:rPr>
                <w:szCs w:val="18"/>
              </w:rPr>
              <w:t>630k</w:t>
            </w:r>
          </w:p>
        </w:tc>
        <w:tc>
          <w:tcPr>
            <w:tcW w:w="1708" w:type="dxa"/>
            <w:tcBorders>
              <w:top w:val="single" w:sz="4" w:space="0" w:color="808080"/>
              <w:left w:val="nil"/>
              <w:bottom w:val="nil"/>
              <w:right w:val="nil"/>
            </w:tcBorders>
            <w:shd w:val="clear" w:color="auto" w:fill="EAEAEA"/>
            <w:noWrap/>
            <w:vAlign w:val="center"/>
          </w:tcPr>
          <w:p w:rsidR="000D1659" w:rsidRPr="00491918" w:rsidRDefault="000D1659" w:rsidP="000D1659">
            <w:pPr>
              <w:pStyle w:val="BodyText-AR10"/>
              <w:jc w:val="right"/>
              <w:rPr>
                <w:szCs w:val="18"/>
              </w:rPr>
            </w:pPr>
            <w:r w:rsidRPr="00491918">
              <w:rPr>
                <w:szCs w:val="18"/>
              </w:rPr>
              <w:t>50k = £54m</w:t>
            </w:r>
          </w:p>
        </w:tc>
      </w:tr>
      <w:tr w:rsidR="000D1659" w:rsidRPr="00491918" w:rsidTr="000D1659">
        <w:trPr>
          <w:trHeight w:hRule="exact" w:val="227"/>
        </w:trPr>
        <w:tc>
          <w:tcPr>
            <w:tcW w:w="5826" w:type="dxa"/>
            <w:shd w:val="clear" w:color="auto" w:fill="auto"/>
            <w:noWrap/>
          </w:tcPr>
          <w:p w:rsidR="000D1659" w:rsidRPr="00491918" w:rsidRDefault="000D1659">
            <w:pPr>
              <w:pStyle w:val="Normal135"/>
              <w:ind w:right="-33"/>
              <w:rPr>
                <w:sz w:val="16"/>
                <w:szCs w:val="18"/>
              </w:rPr>
            </w:pPr>
            <w:r w:rsidRPr="00491918">
              <w:rPr>
                <w:sz w:val="16"/>
                <w:szCs w:val="18"/>
              </w:rPr>
              <w:t>Proactive mailing</w:t>
            </w:r>
          </w:p>
        </w:tc>
        <w:tc>
          <w:tcPr>
            <w:tcW w:w="1134" w:type="dxa"/>
            <w:shd w:val="clear" w:color="auto" w:fill="auto"/>
            <w:noWrap/>
            <w:vAlign w:val="center"/>
          </w:tcPr>
          <w:p w:rsidR="000D1659" w:rsidRPr="00491918" w:rsidRDefault="000D1659" w:rsidP="000D1659">
            <w:pPr>
              <w:pStyle w:val="BodyText-AR10"/>
              <w:jc w:val="right"/>
              <w:rPr>
                <w:szCs w:val="18"/>
              </w:rPr>
            </w:pPr>
            <w:r w:rsidRPr="00491918">
              <w:rPr>
                <w:szCs w:val="18"/>
              </w:rPr>
              <w:t>510k</w:t>
            </w:r>
          </w:p>
        </w:tc>
        <w:tc>
          <w:tcPr>
            <w:tcW w:w="992" w:type="dxa"/>
            <w:shd w:val="clear" w:color="auto" w:fill="auto"/>
            <w:noWrap/>
            <w:vAlign w:val="center"/>
          </w:tcPr>
          <w:p w:rsidR="000D1659" w:rsidRPr="00491918" w:rsidRDefault="000D1659" w:rsidP="000D1659">
            <w:pPr>
              <w:pStyle w:val="BodyText-AR10"/>
              <w:jc w:val="right"/>
              <w:rPr>
                <w:szCs w:val="18"/>
              </w:rPr>
            </w:pPr>
            <w:r w:rsidRPr="00491918">
              <w:rPr>
                <w:szCs w:val="18"/>
              </w:rPr>
              <w:t>240k</w:t>
            </w:r>
          </w:p>
        </w:tc>
        <w:tc>
          <w:tcPr>
            <w:tcW w:w="1708" w:type="dxa"/>
            <w:shd w:val="clear" w:color="auto" w:fill="EAEAEA"/>
            <w:noWrap/>
            <w:vAlign w:val="center"/>
          </w:tcPr>
          <w:p w:rsidR="000D1659" w:rsidRPr="00491918" w:rsidRDefault="000D1659" w:rsidP="000D1659">
            <w:pPr>
              <w:pStyle w:val="Normal1161"/>
              <w:rPr>
                <w:sz w:val="16"/>
                <w:szCs w:val="18"/>
                <w:lang w:eastAsia="en-GB"/>
              </w:rPr>
            </w:pPr>
          </w:p>
        </w:tc>
      </w:tr>
      <w:tr w:rsidR="000D1659" w:rsidRPr="00491918" w:rsidTr="000D1659">
        <w:trPr>
          <w:trHeight w:hRule="exact" w:val="227"/>
        </w:trPr>
        <w:tc>
          <w:tcPr>
            <w:tcW w:w="5826" w:type="dxa"/>
            <w:shd w:val="clear" w:color="auto" w:fill="auto"/>
            <w:noWrap/>
          </w:tcPr>
          <w:p w:rsidR="000D1659" w:rsidRPr="00491918" w:rsidRDefault="000D1659">
            <w:pPr>
              <w:pStyle w:val="Normal135"/>
              <w:ind w:right="-33"/>
              <w:rPr>
                <w:sz w:val="16"/>
                <w:szCs w:val="18"/>
                <w:vertAlign w:val="superscript"/>
              </w:rPr>
            </w:pPr>
            <w:r w:rsidRPr="00491918">
              <w:rPr>
                <w:sz w:val="16"/>
                <w:szCs w:val="18"/>
              </w:rPr>
              <w:t>Response rate to proactive mailing</w:t>
            </w:r>
            <w:r w:rsidRPr="00491918">
              <w:rPr>
                <w:sz w:val="16"/>
                <w:szCs w:val="18"/>
                <w:vertAlign w:val="superscript"/>
              </w:rPr>
              <w:t>2</w:t>
            </w:r>
            <w:r w:rsidRPr="00491918">
              <w:rPr>
                <w:sz w:val="16"/>
                <w:szCs w:val="18"/>
              </w:rPr>
              <w:t xml:space="preserve">  </w:t>
            </w:r>
          </w:p>
        </w:tc>
        <w:tc>
          <w:tcPr>
            <w:tcW w:w="1134" w:type="dxa"/>
            <w:shd w:val="clear" w:color="auto" w:fill="auto"/>
            <w:noWrap/>
            <w:vAlign w:val="center"/>
          </w:tcPr>
          <w:p w:rsidR="000D1659" w:rsidRPr="00491918" w:rsidRDefault="000D1659" w:rsidP="000D1659">
            <w:pPr>
              <w:pStyle w:val="BodyText-AR10"/>
              <w:jc w:val="right"/>
              <w:rPr>
                <w:szCs w:val="18"/>
              </w:rPr>
            </w:pPr>
            <w:r w:rsidRPr="00491918">
              <w:rPr>
                <w:szCs w:val="18"/>
              </w:rPr>
              <w:t>24%</w:t>
            </w:r>
          </w:p>
        </w:tc>
        <w:tc>
          <w:tcPr>
            <w:tcW w:w="992" w:type="dxa"/>
            <w:shd w:val="clear" w:color="auto" w:fill="auto"/>
            <w:noWrap/>
            <w:vAlign w:val="center"/>
          </w:tcPr>
          <w:p w:rsidR="000D1659" w:rsidRPr="00491918" w:rsidRDefault="000D1659" w:rsidP="000D1659">
            <w:pPr>
              <w:pStyle w:val="BodyText-AR10"/>
              <w:jc w:val="right"/>
              <w:rPr>
                <w:szCs w:val="18"/>
              </w:rPr>
            </w:pPr>
            <w:r w:rsidRPr="00491918">
              <w:rPr>
                <w:szCs w:val="18"/>
              </w:rPr>
              <w:t>39%</w:t>
            </w:r>
          </w:p>
        </w:tc>
        <w:tc>
          <w:tcPr>
            <w:tcW w:w="1708" w:type="dxa"/>
            <w:shd w:val="clear" w:color="auto" w:fill="EAEAEA"/>
            <w:noWrap/>
            <w:vAlign w:val="center"/>
          </w:tcPr>
          <w:p w:rsidR="000D1659" w:rsidRPr="00491918" w:rsidRDefault="000D1659" w:rsidP="000D1659">
            <w:pPr>
              <w:pStyle w:val="BodyText-AR10"/>
              <w:jc w:val="right"/>
              <w:rPr>
                <w:szCs w:val="18"/>
              </w:rPr>
            </w:pPr>
            <w:r w:rsidRPr="00491918">
              <w:rPr>
                <w:szCs w:val="18"/>
              </w:rPr>
              <w:t xml:space="preserve">1% = £9m </w:t>
            </w:r>
          </w:p>
        </w:tc>
      </w:tr>
      <w:tr w:rsidR="000D1659" w:rsidRPr="00491918" w:rsidTr="000D1659">
        <w:trPr>
          <w:trHeight w:hRule="exact" w:val="227"/>
        </w:trPr>
        <w:tc>
          <w:tcPr>
            <w:tcW w:w="5826" w:type="dxa"/>
            <w:shd w:val="clear" w:color="auto" w:fill="auto"/>
            <w:noWrap/>
          </w:tcPr>
          <w:p w:rsidR="000D1659" w:rsidRPr="00491918" w:rsidRDefault="000D1659">
            <w:pPr>
              <w:pStyle w:val="Normal135"/>
              <w:ind w:right="-33"/>
              <w:rPr>
                <w:sz w:val="16"/>
                <w:szCs w:val="18"/>
              </w:rPr>
            </w:pPr>
            <w:r w:rsidRPr="00491918">
              <w:rPr>
                <w:sz w:val="16"/>
                <w:szCs w:val="18"/>
              </w:rPr>
              <w:t>Average uphold rate per claim</w:t>
            </w:r>
            <w:r w:rsidRPr="00491918">
              <w:rPr>
                <w:sz w:val="16"/>
                <w:szCs w:val="18"/>
                <w:vertAlign w:val="superscript"/>
              </w:rPr>
              <w:t>3</w:t>
            </w:r>
          </w:p>
        </w:tc>
        <w:tc>
          <w:tcPr>
            <w:tcW w:w="1134" w:type="dxa"/>
            <w:shd w:val="clear" w:color="auto" w:fill="auto"/>
            <w:noWrap/>
            <w:vAlign w:val="center"/>
          </w:tcPr>
          <w:p w:rsidR="000D1659" w:rsidRPr="00491918" w:rsidRDefault="000D1659" w:rsidP="000D1659">
            <w:pPr>
              <w:pStyle w:val="BodyText-AR10"/>
              <w:jc w:val="right"/>
              <w:rPr>
                <w:szCs w:val="18"/>
              </w:rPr>
            </w:pPr>
            <w:r w:rsidRPr="00491918">
              <w:rPr>
                <w:szCs w:val="18"/>
              </w:rPr>
              <w:t>41%</w:t>
            </w:r>
          </w:p>
        </w:tc>
        <w:tc>
          <w:tcPr>
            <w:tcW w:w="992" w:type="dxa"/>
            <w:shd w:val="clear" w:color="auto" w:fill="auto"/>
            <w:noWrap/>
            <w:vAlign w:val="center"/>
          </w:tcPr>
          <w:p w:rsidR="000D1659" w:rsidRPr="00491918" w:rsidRDefault="000D1659" w:rsidP="000D1659">
            <w:pPr>
              <w:pStyle w:val="BodyText-AR10"/>
              <w:jc w:val="right"/>
              <w:rPr>
                <w:szCs w:val="18"/>
              </w:rPr>
            </w:pPr>
            <w:r w:rsidRPr="00491918">
              <w:rPr>
                <w:szCs w:val="18"/>
              </w:rPr>
              <w:t>46%</w:t>
            </w:r>
          </w:p>
        </w:tc>
        <w:tc>
          <w:tcPr>
            <w:tcW w:w="1708" w:type="dxa"/>
            <w:shd w:val="clear" w:color="auto" w:fill="EAEAEA"/>
            <w:noWrap/>
            <w:vAlign w:val="center"/>
          </w:tcPr>
          <w:p w:rsidR="000D1659" w:rsidRPr="00491918" w:rsidRDefault="000D1659" w:rsidP="000D1659">
            <w:pPr>
              <w:pStyle w:val="BodyText-AR10"/>
              <w:jc w:val="right"/>
              <w:rPr>
                <w:szCs w:val="18"/>
              </w:rPr>
            </w:pPr>
            <w:r w:rsidRPr="00491918">
              <w:rPr>
                <w:szCs w:val="18"/>
              </w:rPr>
              <w:t>1% = £17m</w:t>
            </w:r>
          </w:p>
        </w:tc>
      </w:tr>
      <w:tr w:rsidR="000D1659" w:rsidRPr="00491918" w:rsidTr="000D1659">
        <w:trPr>
          <w:trHeight w:hRule="exact" w:val="227"/>
        </w:trPr>
        <w:tc>
          <w:tcPr>
            <w:tcW w:w="5826" w:type="dxa"/>
            <w:shd w:val="clear" w:color="auto" w:fill="auto"/>
            <w:noWrap/>
          </w:tcPr>
          <w:p w:rsidR="000D1659" w:rsidRPr="00491918" w:rsidRDefault="000D1659">
            <w:pPr>
              <w:pStyle w:val="Normal135"/>
              <w:rPr>
                <w:sz w:val="16"/>
                <w:szCs w:val="18"/>
                <w:vertAlign w:val="superscript"/>
              </w:rPr>
            </w:pPr>
            <w:r w:rsidRPr="00491918">
              <w:rPr>
                <w:sz w:val="16"/>
                <w:szCs w:val="18"/>
              </w:rPr>
              <w:t>Average redress per valid claim</w:t>
            </w:r>
            <w:r w:rsidRPr="00491918">
              <w:rPr>
                <w:sz w:val="16"/>
                <w:szCs w:val="18"/>
                <w:vertAlign w:val="superscript"/>
              </w:rPr>
              <w:t>3</w:t>
            </w:r>
          </w:p>
        </w:tc>
        <w:tc>
          <w:tcPr>
            <w:tcW w:w="1134" w:type="dxa"/>
            <w:shd w:val="clear" w:color="auto" w:fill="auto"/>
            <w:noWrap/>
            <w:vAlign w:val="center"/>
          </w:tcPr>
          <w:p w:rsidR="000D1659" w:rsidRPr="00491918" w:rsidRDefault="000D1659" w:rsidP="000D1659">
            <w:pPr>
              <w:pStyle w:val="BodyText-AR10"/>
              <w:jc w:val="right"/>
              <w:rPr>
                <w:szCs w:val="18"/>
              </w:rPr>
            </w:pPr>
            <w:r w:rsidRPr="00491918">
              <w:rPr>
                <w:szCs w:val="18"/>
              </w:rPr>
              <w:t>£2,830</w:t>
            </w:r>
          </w:p>
        </w:tc>
        <w:tc>
          <w:tcPr>
            <w:tcW w:w="992" w:type="dxa"/>
            <w:shd w:val="clear" w:color="auto" w:fill="auto"/>
            <w:noWrap/>
            <w:vAlign w:val="center"/>
          </w:tcPr>
          <w:p w:rsidR="000D1659" w:rsidRPr="00491918" w:rsidRDefault="000D1659" w:rsidP="000D1659">
            <w:pPr>
              <w:pStyle w:val="BodyText-AR10"/>
              <w:jc w:val="right"/>
              <w:rPr>
                <w:szCs w:val="18"/>
              </w:rPr>
            </w:pPr>
            <w:r w:rsidRPr="00491918">
              <w:rPr>
                <w:szCs w:val="18"/>
              </w:rPr>
              <w:t>£2,560</w:t>
            </w:r>
          </w:p>
        </w:tc>
        <w:tc>
          <w:tcPr>
            <w:tcW w:w="1708" w:type="dxa"/>
            <w:shd w:val="clear" w:color="auto" w:fill="EAEAEA"/>
            <w:noWrap/>
            <w:vAlign w:val="center"/>
          </w:tcPr>
          <w:p w:rsidR="000D1659" w:rsidRPr="00491918" w:rsidRDefault="000D1659" w:rsidP="000D1659">
            <w:pPr>
              <w:pStyle w:val="BodyText-AR10"/>
              <w:jc w:val="right"/>
              <w:rPr>
                <w:szCs w:val="18"/>
              </w:rPr>
            </w:pPr>
            <w:r w:rsidRPr="00491918">
              <w:rPr>
                <w:szCs w:val="18"/>
              </w:rPr>
              <w:t>£100 =  £56m</w:t>
            </w:r>
          </w:p>
        </w:tc>
      </w:tr>
    </w:tbl>
    <w:p w:rsidR="000D1659" w:rsidRPr="00491918" w:rsidRDefault="000D1659" w:rsidP="000D1659">
      <w:pPr>
        <w:pStyle w:val="BodyText-BarcRA891"/>
        <w:rPr>
          <w:b/>
        </w:rPr>
      </w:pPr>
      <w:r w:rsidRPr="00491918">
        <w:rPr>
          <w:b/>
        </w:rPr>
        <w:t>Interest rate hedging product redress</w:t>
      </w:r>
    </w:p>
    <w:p w:rsidR="000D1659" w:rsidRPr="00491918" w:rsidRDefault="000D1659" w:rsidP="000D1659">
      <w:pPr>
        <w:pStyle w:val="BodyText-BarcRA102"/>
      </w:pPr>
      <w:r w:rsidRPr="00491918">
        <w:t>On 29 June 2012, the FSA announced that it had reached agreement with a number of UK banks, including Barclays, in relation to a review and redress exercise to be carried out in respect of interest rate hedging products sold to small and medium sized enterprises.  On 31 January 2013, the FSA issued a report on the findings of an initial pilot review conducted by Barclays and a number of other banks.  The report included a number of changes and clarifications to the requirements under which the main review and redress exercise should be conducted and Barclays agreed to conduct the exercise in line with the approach set out in this report.</w:t>
      </w:r>
    </w:p>
    <w:p w:rsidR="000D1659" w:rsidRPr="00491918" w:rsidRDefault="000D1659" w:rsidP="000D1659">
      <w:pPr>
        <w:pStyle w:val="BodyText-BarcRA102"/>
      </w:pPr>
      <w:r w:rsidRPr="00491918">
        <w:t>There are approximately 4,000 private or retail classified customers to which interest rate hedging products were sold within the relevant timeframe, of which approximately 2,900 have been categorised as non-sophisticated under the terms of the agreement.  As at 31 December 2012, a provision of £850m had been recognised, reflecting management’s best estimate of future redress to customers categorised as non-sophisticated and related costs.  The estimate was based on an extrapolation of the results of the initial pilot exercise across the population.  The provision recognised in the balance sheet as at 31 December 2012 was £814m, after utilisation of £36m during 2012, primarily related to administrative costs.</w:t>
      </w:r>
    </w:p>
    <w:p w:rsidR="000D1659" w:rsidRPr="00491918" w:rsidRDefault="000D1659" w:rsidP="000D1659">
      <w:pPr>
        <w:pStyle w:val="BodyText-BarcRA102"/>
      </w:pPr>
      <w:r w:rsidRPr="00491918">
        <w:t>During 2013, additional cases have been reviewed providing a larger and more representative sample upon which to base our provision.  As a result, an additional provision of £650m has been recognised, bringing the cumulative expense to £1,500m. The provision on the balance sheet is £1,349m reflecting cumulative utilisation of £151m.</w:t>
      </w:r>
    </w:p>
    <w:p w:rsidR="000D1659" w:rsidRPr="00491918" w:rsidRDefault="000D1659" w:rsidP="000D1659">
      <w:pPr>
        <w:pStyle w:val="BodyText-BarcRA102"/>
        <w:rPr>
          <w:szCs w:val="18"/>
        </w:rPr>
      </w:pPr>
      <w:r w:rsidRPr="00491918">
        <w:rPr>
          <w:szCs w:val="18"/>
        </w:rPr>
        <w:t xml:space="preserve">It is expected that this provision will be sufficient to cover the full cost of completing the redress, however, no provision has been recognised in relation to claims from customers classified as sophisticated, which are not covered by the redress exercise, or incremental </w:t>
      </w:r>
      <w:r w:rsidRPr="00491918">
        <w:rPr>
          <w:szCs w:val="18"/>
          <w:lang w:eastAsia="en-GB"/>
        </w:rPr>
        <w:t xml:space="preserve">consequential loss </w:t>
      </w:r>
      <w:r w:rsidRPr="00491918">
        <w:rPr>
          <w:szCs w:val="18"/>
        </w:rPr>
        <w:t>claims from customers classified as non-sophisticated.  These will be monitored and future provisions will be recognised to the extent an obligation resulting in a probable outflow is identified.</w:t>
      </w:r>
    </w:p>
    <w:p w:rsidR="000D1659" w:rsidRPr="00491918" w:rsidRDefault="000D1659" w:rsidP="008D6001">
      <w:pPr>
        <w:pStyle w:val="HeadingLevel1-BarcRA53"/>
        <w:outlineLvl w:val="0"/>
        <w:rPr>
          <w:color w:val="auto"/>
          <w:lang w:val="en-GB"/>
        </w:rPr>
      </w:pPr>
      <w:r w:rsidRPr="00491918">
        <w:rPr>
          <w:color w:val="auto"/>
          <w:lang w:val="en-GB"/>
        </w:rPr>
        <w:t>16.</w:t>
      </w:r>
      <w:r w:rsidRPr="00491918">
        <w:rPr>
          <w:color w:val="auto"/>
        </w:rPr>
        <w:tab/>
        <w:t>Retirement Benefit</w:t>
      </w:r>
      <w:r w:rsidRPr="00491918">
        <w:rPr>
          <w:color w:val="auto"/>
          <w:lang w:val="en-GB"/>
        </w:rPr>
        <w:t>s</w:t>
      </w:r>
    </w:p>
    <w:p w:rsidR="000D1659" w:rsidRPr="00491918" w:rsidRDefault="000D1659" w:rsidP="000D1659">
      <w:pPr>
        <w:pStyle w:val="BodyText-BarcRA103"/>
      </w:pPr>
      <w:r w:rsidRPr="00491918">
        <w:t xml:space="preserve">As at 30 June 2013, the Group's IAS 19 (Revised) pension deficit across all </w:t>
      </w:r>
      <w:r w:rsidR="0021631B" w:rsidRPr="00491918">
        <w:t>schemes was £1.3bn (</w:t>
      </w:r>
      <w:r w:rsidRPr="00491918">
        <w:t>2012: £1.2bn). The increase in the deficit is due to small movements across a number of the Group’s pension schemes. The UK Retirement Fund (UKRF), which is the Group’s main scheme, had a</w:t>
      </w:r>
      <w:r w:rsidR="0021631B" w:rsidRPr="00491918">
        <w:t xml:space="preserve"> deficit of £0.8bn (</w:t>
      </w:r>
      <w:r w:rsidRPr="00491918">
        <w:t>2012: £0.8bn).</w:t>
      </w:r>
    </w:p>
    <w:p w:rsidR="000D1659" w:rsidRPr="00491918" w:rsidRDefault="000D1659" w:rsidP="000D1659">
      <w:pPr>
        <w:pStyle w:val="HeadingLevel4-AR"/>
        <w:jc w:val="both"/>
        <w:rPr>
          <w:rFonts w:eastAsia="Times New Roman"/>
          <w:b w:val="0"/>
          <w:sz w:val="18"/>
          <w:szCs w:val="20"/>
        </w:rPr>
      </w:pPr>
      <w:r w:rsidRPr="00491918">
        <w:rPr>
          <w:rFonts w:eastAsia="Times New Roman"/>
          <w:b w:val="0"/>
          <w:sz w:val="18"/>
          <w:szCs w:val="20"/>
        </w:rPr>
        <w:t xml:space="preserve">The latest triennial funding valuation of the UKRF was carried out with an effective date of 30 September 2010, and showed a deficit of £5.0bn. Under the agreed recovery plan, deficit contributions of £1.8bn were paid to the fund in December 2011 and a further £0.5bn paid in April 2012. Further deficit contributions are payable from 2017 to 2021 starting at £0.65bn in 2017 and increasing by approximately 3.5% per annum until 2021. These deficit contributions are in addition to the regular contributions to meet the Group’s share of the cost of benefits accruing over each year. </w:t>
      </w:r>
    </w:p>
    <w:p w:rsidR="007D257D" w:rsidRPr="00491918" w:rsidRDefault="000D1659" w:rsidP="000D1659">
      <w:pPr>
        <w:pStyle w:val="BodyText-BarcRA120"/>
      </w:pPr>
      <w:r w:rsidRPr="00491918">
        <w:t>The Scheme Actuary prepares an annual update of the funding position as at 30 September. The latest annual update was carried out as at 30 September 2012 and showed a deficit of £3.6bn. The next triennial funding valuation will be at 30 September 2013. Contribution requirements, including any deficit recovery plans, will be agreed between the Bank and Trustee by the end of 2014.</w:t>
      </w:r>
    </w:p>
    <w:p w:rsidR="000D1659" w:rsidRPr="00491918" w:rsidRDefault="000D1659">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pPr>
        <w:rPr>
          <w:szCs w:val="18"/>
        </w:rPr>
      </w:pPr>
    </w:p>
    <w:p w:rsidR="007D257D" w:rsidRPr="00491918" w:rsidRDefault="007D257D" w:rsidP="00EC729A">
      <w:pPr>
        <w:pStyle w:val="NoteandSourceText-BarcRA30"/>
        <w:numPr>
          <w:ilvl w:val="0"/>
          <w:numId w:val="228"/>
        </w:numPr>
        <w:tabs>
          <w:tab w:val="left" w:pos="0"/>
        </w:tabs>
        <w:ind w:left="284" w:hanging="284"/>
      </w:pPr>
      <w:r w:rsidRPr="00491918">
        <w:t>Total claims received to date including those for which no PPI policy exists and excluding responses to proactive mailing.</w:t>
      </w:r>
    </w:p>
    <w:p w:rsidR="007D257D" w:rsidRPr="00491918" w:rsidRDefault="007D257D" w:rsidP="00EC729A">
      <w:pPr>
        <w:pStyle w:val="NoteandSourceText-BarcRA30"/>
        <w:numPr>
          <w:ilvl w:val="0"/>
          <w:numId w:val="228"/>
        </w:numPr>
        <w:tabs>
          <w:tab w:val="left" w:pos="0"/>
        </w:tabs>
        <w:ind w:left="284" w:hanging="284"/>
      </w:pPr>
      <w:r w:rsidRPr="00491918">
        <w:t>The Proactive Response rate is expected to mature over time reflecting the lag between mailing and customer response.</w:t>
      </w:r>
    </w:p>
    <w:p w:rsidR="007D257D" w:rsidRPr="00491918" w:rsidRDefault="007D257D" w:rsidP="00EC729A">
      <w:pPr>
        <w:pStyle w:val="NoteandSourceText-BarcRA30"/>
        <w:numPr>
          <w:ilvl w:val="0"/>
          <w:numId w:val="228"/>
        </w:numPr>
        <w:tabs>
          <w:tab w:val="left" w:pos="0"/>
        </w:tabs>
        <w:ind w:left="284" w:hanging="284"/>
      </w:pPr>
      <w:r w:rsidRPr="00491918">
        <w:t>Claims include both customer initiated and proactive mailing. Future expected rates reflect the increased mix of proactive cases over time.</w:t>
      </w:r>
    </w:p>
    <w:p w:rsidR="007D257D" w:rsidRPr="00491918" w:rsidRDefault="007D257D">
      <w:pPr>
        <w:rPr>
          <w:szCs w:val="18"/>
        </w:rPr>
        <w:sectPr w:rsidR="007D257D" w:rsidRPr="00491918" w:rsidSect="00751636">
          <w:pgSz w:w="11905" w:h="16837"/>
          <w:pgMar w:top="851" w:right="1134" w:bottom="567" w:left="1134" w:header="851" w:footer="567" w:gutter="0"/>
          <w:cols w:space="708"/>
        </w:sectPr>
      </w:pPr>
    </w:p>
    <w:p w:rsidR="00DB725D" w:rsidRPr="00491918" w:rsidRDefault="00DB725D" w:rsidP="00DB725D">
      <w:pPr>
        <w:pStyle w:val="HeadingLevel1-BarcRA"/>
      </w:pPr>
      <w:r w:rsidRPr="00491918">
        <w:lastRenderedPageBreak/>
        <w:t>Financial Statement Notes</w:t>
      </w:r>
    </w:p>
    <w:p w:rsidR="000D1659" w:rsidRPr="00491918" w:rsidRDefault="000D1659" w:rsidP="000D1659">
      <w:pPr>
        <w:pStyle w:val="HeadingLevel1-BarcRA54"/>
        <w:rPr>
          <w:color w:val="auto"/>
          <w:lang w:val="en-GB"/>
        </w:rPr>
      </w:pPr>
      <w:r w:rsidRPr="00491918">
        <w:rPr>
          <w:color w:val="auto"/>
        </w:rPr>
        <w:t>17.</w:t>
      </w:r>
      <w:r w:rsidRPr="00491918">
        <w:rPr>
          <w:color w:val="auto"/>
        </w:rPr>
        <w:tab/>
        <w:t>Share Capital</w:t>
      </w:r>
      <w:r w:rsidRPr="00491918">
        <w:rPr>
          <w:color w:val="auto"/>
          <w:lang w:val="en-GB"/>
        </w:rPr>
        <w:t xml:space="preserve"> and Warrants</w:t>
      </w:r>
    </w:p>
    <w:p w:rsidR="000D1659" w:rsidRPr="00491918" w:rsidRDefault="000D1659" w:rsidP="000D1659">
      <w:pPr>
        <w:pStyle w:val="BodyText-BarcRA104"/>
      </w:pPr>
      <w:r w:rsidRPr="00491918">
        <w:t>Called up share capital comprises 12,867m (2012: 12,243m) ordinary shares of 25p each.</w:t>
      </w:r>
    </w:p>
    <w:p w:rsidR="000D1659" w:rsidRPr="00491918" w:rsidRDefault="000D1659" w:rsidP="000D1659">
      <w:pPr>
        <w:pStyle w:val="BodyText-BarcRA104"/>
      </w:pPr>
      <w:r w:rsidRPr="00491918">
        <w:t xml:space="preserve">As at 30 June 2013, there were no unexercised warrants (2012: 379.2m). </w:t>
      </w:r>
    </w:p>
    <w:p w:rsidR="000D1659" w:rsidRPr="00491918" w:rsidRDefault="000D1659"/>
    <w:p w:rsidR="000D1659" w:rsidRPr="00491918" w:rsidRDefault="000D1659" w:rsidP="000D1659">
      <w:pPr>
        <w:pStyle w:val="HeadingLevel1-BarcRA55"/>
      </w:pPr>
      <w:r w:rsidRPr="00491918">
        <w:t>18.</w:t>
      </w:r>
      <w:r w:rsidRPr="00491918">
        <w:tab/>
        <w:t>Other Reserves</w:t>
      </w:r>
    </w:p>
    <w:p w:rsidR="000D1659" w:rsidRPr="00491918" w:rsidRDefault="000D1659" w:rsidP="008D6001">
      <w:pPr>
        <w:pStyle w:val="HeadingLevel2-BarcRA33"/>
        <w:outlineLvl w:val="0"/>
        <w:rPr>
          <w:lang w:val="en-GB"/>
        </w:rPr>
      </w:pPr>
      <w:r w:rsidRPr="00491918">
        <w:t>Currency Translation Reserve</w:t>
      </w:r>
    </w:p>
    <w:p w:rsidR="000D1659" w:rsidRPr="00491918" w:rsidRDefault="000D1659" w:rsidP="000D1659">
      <w:pPr>
        <w:pStyle w:val="BodyText-BarcRA105"/>
      </w:pPr>
      <w:r w:rsidRPr="00491918">
        <w:t>Currency translation reserves in 2013 h</w:t>
      </w:r>
      <w:r w:rsidR="0021631B" w:rsidRPr="00491918">
        <w:t>ave increased by £750m (</w:t>
      </w:r>
      <w:r w:rsidRPr="00491918">
        <w:t>2012: decreased £531m) largely due to the appreciation of the US Dollar and Euro against Sterling. The currency translation reserve associated with non-controlling intere</w:t>
      </w:r>
      <w:r w:rsidR="0021631B" w:rsidRPr="00491918">
        <w:t>sts decreased by £239m (</w:t>
      </w:r>
      <w:r w:rsidRPr="00491918">
        <w:t>2012: £71m) due to the depreciation of ZAR against Sterling.</w:t>
      </w:r>
    </w:p>
    <w:p w:rsidR="000D1659" w:rsidRPr="00491918" w:rsidRDefault="000D1659" w:rsidP="000D1659">
      <w:pPr>
        <w:pStyle w:val="BodyText-BarcRA105"/>
      </w:pPr>
      <w:r w:rsidRPr="00491918">
        <w:t>During the period, £2m gain (2012: £20m gain) from the currency translation reserve was recognised in the income statement.</w:t>
      </w:r>
    </w:p>
    <w:p w:rsidR="000D1659" w:rsidRPr="00491918" w:rsidRDefault="000D1659" w:rsidP="008D6001">
      <w:pPr>
        <w:pStyle w:val="HeadingLevel2-BarcRA34"/>
        <w:outlineLvl w:val="0"/>
      </w:pPr>
      <w:r w:rsidRPr="00491918">
        <w:t>Available for Sale Reserve</w:t>
      </w:r>
    </w:p>
    <w:p w:rsidR="000D1659" w:rsidRPr="00491918" w:rsidRDefault="000D1659" w:rsidP="000D1659">
      <w:pPr>
        <w:pStyle w:val="BodyText-BarcRA106"/>
      </w:pPr>
      <w:r w:rsidRPr="00491918">
        <w:t xml:space="preserve">The available for sale reserve decreased £96m (2012: increased £502m), largely driven by £1,885m losses from changes in fair value on Government Bonds offset by £1,823m gains transferred to the income statement due to fair value hedging. </w:t>
      </w:r>
    </w:p>
    <w:p w:rsidR="000D1659" w:rsidRPr="00491918" w:rsidRDefault="000D1659" w:rsidP="008D6001">
      <w:pPr>
        <w:pStyle w:val="HeadingLevel2-BarcRA35"/>
        <w:outlineLvl w:val="0"/>
      </w:pPr>
      <w:r w:rsidRPr="00491918">
        <w:t>Cash Flow Hedge Reserve</w:t>
      </w:r>
    </w:p>
    <w:p w:rsidR="000D1659" w:rsidRPr="00491918" w:rsidRDefault="000D1659" w:rsidP="000D1659">
      <w:pPr>
        <w:pStyle w:val="BodyText-BarcRA107"/>
      </w:pPr>
      <w:r w:rsidRPr="00491918">
        <w:t>The cash flow hedge reserve represents the cumulative gains and losses on effective cash flow hedging instruments that will be recycled to the income statement when hedged transactions affect profit or loss.</w:t>
      </w:r>
    </w:p>
    <w:p w:rsidR="000D1659" w:rsidRPr="00491918" w:rsidRDefault="000D1659" w:rsidP="000D1659">
      <w:pPr>
        <w:pStyle w:val="BodyText-BarcRA107"/>
      </w:pPr>
      <w:r w:rsidRPr="00491918">
        <w:t>The decrease in the cash flow hedge reserve of £1,080m (2012: £0.7bn increase) principally reflected decreases in the fair value of interest rate swaps held for hedging purposes.</w:t>
      </w:r>
    </w:p>
    <w:p w:rsidR="000D1659" w:rsidRPr="00491918" w:rsidRDefault="000D1659" w:rsidP="008D6001">
      <w:pPr>
        <w:pStyle w:val="HeadingLevel2-BarcRA36"/>
        <w:outlineLvl w:val="0"/>
        <w:rPr>
          <w:lang w:val="en-GB"/>
        </w:rPr>
      </w:pPr>
      <w:r w:rsidRPr="00491918">
        <w:rPr>
          <w:lang w:val="en-GB"/>
        </w:rPr>
        <w:t>Treasury Shares</w:t>
      </w:r>
    </w:p>
    <w:p w:rsidR="000D1659" w:rsidRPr="00491918" w:rsidRDefault="000D1659" w:rsidP="000D1659">
      <w:pPr>
        <w:pStyle w:val="BodyText-BarcRA108"/>
      </w:pPr>
      <w:r w:rsidRPr="00491918">
        <w:rPr>
          <w:color w:val="000000"/>
        </w:rPr>
        <w:t>During the period £1,049m (2012: £955m) net purchases of treasury shares were made principally reflecting the increase in shares held for the purposes of employee share schemes, and £1,034m (2012: £912m) was transferred to retained earnings reflecting the vesting of deferred share based payments.</w:t>
      </w:r>
    </w:p>
    <w:p w:rsidR="000D1659" w:rsidRPr="00491918" w:rsidRDefault="000D1659">
      <w:pPr>
        <w:rPr>
          <w:color w:val="000000"/>
        </w:rPr>
      </w:pPr>
    </w:p>
    <w:p w:rsidR="00890D81" w:rsidRPr="00491918" w:rsidRDefault="00890D81">
      <w:pPr>
        <w:rPr>
          <w:color w:val="000000"/>
        </w:rPr>
      </w:pPr>
    </w:p>
    <w:tbl>
      <w:tblPr>
        <w:tblW w:w="0" w:type="auto"/>
        <w:tblLayout w:type="fixed"/>
        <w:tblLook w:val="0000" w:firstRow="0" w:lastRow="0" w:firstColumn="0" w:lastColumn="0" w:noHBand="0" w:noVBand="0"/>
      </w:tblPr>
      <w:tblGrid>
        <w:gridCol w:w="6270"/>
        <w:gridCol w:w="1125"/>
        <w:gridCol w:w="1125"/>
        <w:gridCol w:w="1125"/>
      </w:tblGrid>
      <w:tr w:rsidR="000D1659" w:rsidRPr="00491918">
        <w:trPr>
          <w:trHeight w:val="315"/>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rPr>
            </w:pPr>
            <w:r w:rsidRPr="00491918">
              <w:rPr>
                <w:b/>
                <w:color w:val="000000"/>
                <w:sz w:val="24"/>
              </w:rPr>
              <w:t>19.       Contingent Liabilities and Commitments</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24"/>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55"/>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As at</w:t>
            </w:r>
          </w:p>
        </w:tc>
      </w:tr>
      <w:tr w:rsidR="000D1659" w:rsidRPr="00491918">
        <w:trPr>
          <w:trHeight w:val="255"/>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30.06.13</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31.12.12</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30.06.12</w:t>
            </w:r>
          </w:p>
        </w:tc>
      </w:tr>
      <w:tr w:rsidR="000D1659" w:rsidRPr="00491918">
        <w:trPr>
          <w:trHeight w:val="255"/>
        </w:trPr>
        <w:tc>
          <w:tcPr>
            <w:tcW w:w="62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£m</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Securities lending arrangements</w:t>
            </w:r>
          </w:p>
        </w:tc>
        <w:tc>
          <w:tcPr>
            <w:tcW w:w="112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42,609 </w:t>
            </w:r>
          </w:p>
        </w:tc>
      </w:tr>
      <w:tr w:rsidR="000D1659" w:rsidRPr="00491918">
        <w:trPr>
          <w:trHeight w:val="240"/>
        </w:trPr>
        <w:tc>
          <w:tcPr>
            <w:tcW w:w="627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Guarantees and letters of credit pledged as collateral security</w:t>
            </w:r>
          </w:p>
        </w:tc>
        <w:tc>
          <w:tcPr>
            <w:tcW w:w="1125" w:type="dxa"/>
            <w:tcBorders>
              <w:top w:val="nil"/>
              <w:left w:val="nil"/>
              <w:bottom w:val="nil"/>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17,641 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15,855 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14,995 </w:t>
            </w:r>
          </w:p>
        </w:tc>
      </w:tr>
      <w:tr w:rsidR="000D1659" w:rsidRPr="00491918">
        <w:trPr>
          <w:trHeight w:val="255"/>
        </w:trPr>
        <w:tc>
          <w:tcPr>
            <w:tcW w:w="62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Performance guarantees, acceptances and endorsements</w:t>
            </w:r>
          </w:p>
        </w:tc>
        <w:tc>
          <w:tcPr>
            <w:tcW w:w="1125" w:type="dxa"/>
            <w:tcBorders>
              <w:top w:val="nil"/>
              <w:left w:val="nil"/>
              <w:bottom w:val="single" w:sz="6" w:space="0" w:color="969696"/>
              <w:right w:val="nil"/>
            </w:tcBorders>
            <w:shd w:val="clear" w:color="auto" w:fill="EAEAEA"/>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6,013 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6,406 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7,120 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Contingent liabilities</w:t>
            </w:r>
          </w:p>
        </w:tc>
        <w:tc>
          <w:tcPr>
            <w:tcW w:w="112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23,654 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22,261 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64,724 </w:t>
            </w:r>
          </w:p>
        </w:tc>
      </w:tr>
      <w:tr w:rsidR="000D1659" w:rsidRPr="00491918">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Documentary credits and other short-term trade related transactions</w:t>
            </w:r>
          </w:p>
        </w:tc>
        <w:tc>
          <w:tcPr>
            <w:tcW w:w="112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1,229 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1,027 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1,299 </w:t>
            </w:r>
          </w:p>
        </w:tc>
      </w:tr>
      <w:tr w:rsidR="000D1659" w:rsidRPr="00491918">
        <w:trPr>
          <w:trHeight w:hRule="exact" w:val="240"/>
        </w:trPr>
        <w:tc>
          <w:tcPr>
            <w:tcW w:w="627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b/>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w:t>
            </w:r>
          </w:p>
        </w:tc>
      </w:tr>
      <w:tr w:rsidR="000D1659" w:rsidRPr="00491918">
        <w:trPr>
          <w:trHeight w:val="240"/>
        </w:trPr>
        <w:tc>
          <w:tcPr>
            <w:tcW w:w="6270"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rPr>
                <w:color w:val="000000"/>
                <w:sz w:val="16"/>
              </w:rPr>
            </w:pPr>
            <w:r w:rsidRPr="00491918">
              <w:rPr>
                <w:b/>
                <w:color w:val="000000"/>
                <w:sz w:val="16"/>
              </w:rPr>
              <w:t>Standby facilities, credit lines and other commitments</w:t>
            </w:r>
          </w:p>
        </w:tc>
        <w:tc>
          <w:tcPr>
            <w:tcW w:w="1125" w:type="dxa"/>
            <w:tcBorders>
              <w:top w:val="single" w:sz="6" w:space="0" w:color="969696"/>
              <w:left w:val="nil"/>
              <w:bottom w:val="nil"/>
              <w:right w:val="nil"/>
            </w:tcBorders>
            <w:shd w:val="clear" w:color="auto" w:fill="EAEAEA"/>
            <w:tcMar>
              <w:left w:w="36" w:type="dxa"/>
              <w:right w:w="36" w:type="dxa"/>
            </w:tcMar>
            <w:vAlign w:val="bottom"/>
          </w:tcPr>
          <w:p w:rsidR="000D1659" w:rsidRPr="00491918" w:rsidRDefault="000D1659">
            <w:pPr>
              <w:jc w:val="right"/>
              <w:rPr>
                <w:b/>
                <w:color w:val="000000"/>
                <w:sz w:val="16"/>
              </w:rPr>
            </w:pPr>
            <w:r w:rsidRPr="00491918">
              <w:rPr>
                <w:b/>
                <w:color w:val="000000"/>
                <w:sz w:val="16"/>
              </w:rPr>
              <w:t xml:space="preserve"> 260,970 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rPr>
            </w:pPr>
            <w:r w:rsidRPr="00491918">
              <w:rPr>
                <w:color w:val="000000"/>
                <w:sz w:val="16"/>
              </w:rPr>
              <w:t xml:space="preserve"> 247,816 </w:t>
            </w:r>
          </w:p>
        </w:tc>
        <w:tc>
          <w:tcPr>
            <w:tcW w:w="1125" w:type="dxa"/>
            <w:tcBorders>
              <w:top w:val="single" w:sz="6" w:space="0" w:color="969696"/>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rPr>
            </w:pPr>
            <w:r w:rsidRPr="00491918">
              <w:rPr>
                <w:color w:val="000000"/>
                <w:sz w:val="16"/>
              </w:rPr>
              <w:t xml:space="preserve"> 245,853 </w:t>
            </w:r>
          </w:p>
        </w:tc>
      </w:tr>
    </w:tbl>
    <w:p w:rsidR="000D1659" w:rsidRPr="00491918" w:rsidRDefault="000D1659">
      <w:pPr>
        <w:rPr>
          <w:color w:val="000000"/>
        </w:rPr>
      </w:pPr>
    </w:p>
    <w:p w:rsidR="000D1659" w:rsidRPr="00491918" w:rsidRDefault="000D1659" w:rsidP="008D6001">
      <w:pPr>
        <w:pStyle w:val="HeadingLevel2-BarcRA38"/>
        <w:outlineLvl w:val="0"/>
      </w:pPr>
      <w:r w:rsidRPr="00491918">
        <w:t>The Financial Services Compensation Scheme</w:t>
      </w:r>
    </w:p>
    <w:p w:rsidR="000D1659" w:rsidRPr="00491918" w:rsidRDefault="000D1659" w:rsidP="00DF44D1">
      <w:pPr>
        <w:pStyle w:val="Normal139"/>
        <w:jc w:val="both"/>
      </w:pPr>
    </w:p>
    <w:p w:rsidR="00DF44D1" w:rsidRPr="00491918" w:rsidRDefault="000D1659" w:rsidP="00DF44D1">
      <w:pPr>
        <w:pStyle w:val="Normal139"/>
        <w:jc w:val="both"/>
      </w:pPr>
      <w:r w:rsidRPr="00491918">
        <w:t xml:space="preserve">The Financial Services Compensation Scheme (the FSCS) is the UK’s compensation scheme for customers of authorised institutions that are unable to pay claims. It provides compensation to depositors in the event that UK licensed deposit taking institutions are unable to meet their claims. The FSCS raises levies on UK licensed deposit taking institutions to meet such claims based on their share of UK deposits on 31 December of the year preceding the scheme year (which runs from 1 April to 31 March). </w:t>
      </w:r>
    </w:p>
    <w:p w:rsidR="00DB725D" w:rsidRPr="00491918" w:rsidRDefault="00CC7FA0" w:rsidP="00DF44D1">
      <w:pPr>
        <w:pStyle w:val="Normal139"/>
        <w:jc w:val="both"/>
      </w:pPr>
      <w:r w:rsidRPr="00491918">
        <w:br w:type="page"/>
      </w:r>
    </w:p>
    <w:p w:rsidR="00DB725D" w:rsidRPr="00491918" w:rsidRDefault="00DB725D" w:rsidP="00DB725D">
      <w:pPr>
        <w:pStyle w:val="HeadingLevel1-BarcRA"/>
      </w:pPr>
      <w:r w:rsidRPr="00491918">
        <w:lastRenderedPageBreak/>
        <w:t>Financial Statement Notes</w:t>
      </w:r>
    </w:p>
    <w:p w:rsidR="000D1659" w:rsidRPr="00491918" w:rsidRDefault="000D1659" w:rsidP="00DF44D1">
      <w:pPr>
        <w:pStyle w:val="Normal139"/>
        <w:jc w:val="both"/>
        <w:rPr>
          <w:color w:val="1F497D"/>
          <w:sz w:val="22"/>
          <w:szCs w:val="22"/>
        </w:rPr>
      </w:pPr>
      <w:r w:rsidRPr="00491918">
        <w:t>Compensation has previously been paid out by the FSCS funded by loan facilities totalling approximately £18bn provided by HM Treasury to FSCS in support of FSCS’s obligations to the depositors of banks declared in default.  In April 2012, the FSCS agreed revised terms on the loan facilities including a 70bps increase in the interest rate payable to 12 month LIBOR plus 100 basis points. This rate is subject to a floor equal to the HM Treasury’s own cost of borrowing, based on the relevant gilt rate. The facilities are expected to be repaid wholly from recoveries from the failed deposit takers, except for an estimated shortfall of £0.8bn,  The FSCS has announced it intends to recover this shortfall by levying the industry in three instalments across 2013, 2014 and 2015, in addition to the ongoing interest charges on the outstanding loans. Barclays has included an accrual of £190m in other liabilities as at 30</w:t>
      </w:r>
      <w:r w:rsidR="0021631B" w:rsidRPr="00491918">
        <w:t xml:space="preserve"> June 2013 (</w:t>
      </w:r>
      <w:r w:rsidRPr="00491918">
        <w:t>2012: £156m) in respect of the Barclays portion of the total levies raised by the FSCS.</w:t>
      </w:r>
    </w:p>
    <w:p w:rsidR="000D1659" w:rsidRPr="00491918" w:rsidRDefault="000D1659" w:rsidP="008D6001">
      <w:pPr>
        <w:pStyle w:val="HeadingLevel2-BarcRA38"/>
        <w:outlineLvl w:val="0"/>
        <w:rPr>
          <w:lang w:val="en-GB"/>
        </w:rPr>
      </w:pPr>
      <w:r w:rsidRPr="00491918">
        <w:rPr>
          <w:lang w:val="en-GB"/>
        </w:rPr>
        <w:t xml:space="preserve">Investment Bank </w:t>
      </w:r>
      <w:r w:rsidRPr="00491918">
        <w:t>US Mortgage Activities</w:t>
      </w:r>
    </w:p>
    <w:p w:rsidR="000D1659" w:rsidRPr="00491918" w:rsidRDefault="000D1659" w:rsidP="000D1659">
      <w:pPr>
        <w:pStyle w:val="BodyText-BarcRA1100"/>
      </w:pPr>
      <w:r w:rsidRPr="00491918">
        <w:t>Barclays activities within the US residential mortgage sector during the period of 2005 through 2008 included: sponsoring and underwriting of approximately $39bn of private-label securitisations; underwriting of approximately $34bn of other private-label securitisations; sales of approximately $150m of loans to government sponsored enterprises (GSEs); and sales of approximately $3bn of loans to others. Some of the loans sold by Barclays were originated by a Barclays subsidiary. Barclays also performed servicing activities through its US residential mortgage servicing business which Barclays acquired in Q4 2006 and subsequently sold in Q3 2010.</w:t>
      </w:r>
    </w:p>
    <w:p w:rsidR="000D1659" w:rsidRPr="00491918" w:rsidRDefault="000D1659" w:rsidP="000D1659">
      <w:pPr>
        <w:pStyle w:val="BodyText-BarcRA1100"/>
      </w:pPr>
      <w:r w:rsidRPr="00491918">
        <w:t>In connection with Barclays loan sales and sponsored private-label securitisations, Barclays provided certain loan level representations and warranties (R&amp;Ws) generally relating to the underlying borrower, the property, mortgage documentation and/or compliance with law. Under certain circumstances, Barclays may be required to repurchase the related loans or make other payments related to such loans if the R&amp;Ws are breached. Barclays was the sole provider of R&amp;Ws with respect to approximately $5bn of Barclays sponsored securitizations, approximately $0.2bn of sales of loans to GSEs and approximately $3bn of loans sold to others. Other than approximately $1bn of loans sold to others for which R&amp;Ws expired prior to 2012, there are no expiration provisions applicable to the R&amp;Ws made by Barclays.  Barclays R&amp;Ws with respect to loans sold to others are related to loans that were generally sold at significant discounts and contained more limited R&amp;Ws than loans sold to GSEs and in respect of the approximately $5bn of Barclays sponsored securitisations discussed above.  R&amp;Ws on the remaining approximately $34bn of Barclays sponsored securitisations were primarily provided by third party originators directly to the securitisation trusts with Barclays, as depositor to the securitisation trusts, providing more limited R&amp;Ws. Total unresolved repurchase requests associated with all R&amp;Ws made by Barclays on loans sold to GSEs and others and private-label activities were $0.4bn at 31 December 2012. Barclays currently has no provisions with respect to such repurchase requests, given Barclays analysis of such requests and Barclays belief as to applicable defences with respect thereto. Based upon a large number of defaults occurring in US residential mortgages, there is a potential for additional requests for repurchases.</w:t>
      </w:r>
    </w:p>
    <w:p w:rsidR="000D1659" w:rsidRPr="00491918" w:rsidRDefault="000D1659" w:rsidP="000D1659">
      <w:pPr>
        <w:pStyle w:val="BodyText-BarcRA1100"/>
      </w:pPr>
      <w:r w:rsidRPr="00491918">
        <w:t>Claims against Barclays as an underwriter of RMBS offerings have been brought in certain civil actions. Additionally, Barclays has received inquiries from various regulatory and governmental authorities regarding its mortgage-related activities and is cooperating with such inquiries.</w:t>
      </w:r>
    </w:p>
    <w:p w:rsidR="000D1659" w:rsidRPr="00491918" w:rsidRDefault="000D1659" w:rsidP="000D1659">
      <w:pPr>
        <w:pStyle w:val="BodyText-BarcRA1100"/>
      </w:pPr>
      <w:r w:rsidRPr="00491918">
        <w:t>It is not practicable to provide an estimate of the financial impact of the potential exposure in relation to Barclays US Mortgage activities.</w:t>
      </w:r>
    </w:p>
    <w:p w:rsidR="000D1659" w:rsidRPr="00491918" w:rsidRDefault="000D1659" w:rsidP="000D1659">
      <w:pPr>
        <w:pStyle w:val="BodyText-BarcRA1100"/>
        <w:rPr>
          <w:b/>
        </w:rPr>
      </w:pPr>
      <w:r w:rsidRPr="00491918">
        <w:rPr>
          <w:b/>
        </w:rPr>
        <w:t>Further details on contingent liabilities relating to Legal Proceedings and Competition and Regulatory Matters are held in Note 20 and 21 respectively.</w:t>
      </w:r>
    </w:p>
    <w:p w:rsidR="000D1659" w:rsidRPr="00491918" w:rsidRDefault="000D1659">
      <w:pPr>
        <w:rPr>
          <w:b/>
        </w:rPr>
        <w:sectPr w:rsidR="000D1659" w:rsidRPr="00491918" w:rsidSect="00751636">
          <w:pgSz w:w="11905" w:h="16837"/>
          <w:pgMar w:top="851" w:right="1134" w:bottom="567" w:left="1134" w:header="851" w:footer="567" w:gutter="0"/>
          <w:cols w:space="708"/>
        </w:sectPr>
      </w:pPr>
    </w:p>
    <w:p w:rsidR="00DB725D" w:rsidRPr="00491918" w:rsidRDefault="00DB725D" w:rsidP="00DB725D">
      <w:pPr>
        <w:pStyle w:val="HeadingLevel1-BarcRA"/>
      </w:pPr>
      <w:r w:rsidRPr="00491918">
        <w:lastRenderedPageBreak/>
        <w:t>Financial Statement Notes</w:t>
      </w:r>
    </w:p>
    <w:p w:rsidR="000D1659" w:rsidRPr="00491918" w:rsidRDefault="000D1659" w:rsidP="000D1659">
      <w:pPr>
        <w:pStyle w:val="HeadingLevel1-BarcRA61"/>
        <w:rPr>
          <w:color w:val="auto"/>
          <w:lang w:val="en-GB"/>
        </w:rPr>
      </w:pPr>
      <w:r w:rsidRPr="00491918">
        <w:rPr>
          <w:color w:val="auto"/>
        </w:rPr>
        <w:t>20.</w:t>
      </w:r>
      <w:r w:rsidRPr="00491918">
        <w:rPr>
          <w:color w:val="auto"/>
        </w:rPr>
        <w:tab/>
        <w:t>Legal Proceedings</w:t>
      </w:r>
    </w:p>
    <w:p w:rsidR="000D1659" w:rsidRPr="00491918" w:rsidRDefault="000D1659" w:rsidP="000D1659">
      <w:pPr>
        <w:pStyle w:val="Normal140"/>
        <w:spacing w:before="100" w:beforeAutospacing="1" w:after="100" w:afterAutospacing="1"/>
        <w:jc w:val="both"/>
        <w:rPr>
          <w:i/>
          <w:szCs w:val="18"/>
          <w:lang w:eastAsia="en-GB"/>
        </w:rPr>
      </w:pPr>
      <w:bookmarkStart w:id="4" w:name="OLE_LINK16"/>
      <w:bookmarkStart w:id="5" w:name="OLE_LINK14"/>
      <w:bookmarkStart w:id="6" w:name="OLE_LINK8"/>
      <w:bookmarkStart w:id="7" w:name="OLE_LINK7"/>
      <w:r w:rsidRPr="00491918">
        <w:rPr>
          <w:i/>
          <w:szCs w:val="18"/>
          <w:lang w:eastAsia="en-GB"/>
        </w:rPr>
        <w:t>Lehman Brothers</w:t>
      </w:r>
    </w:p>
    <w:p w:rsidR="000D1659" w:rsidRPr="00491918" w:rsidRDefault="000D1659" w:rsidP="000B44AD">
      <w:pPr>
        <w:pStyle w:val="Normal140"/>
        <w:spacing w:before="100" w:beforeAutospacing="1" w:after="100" w:afterAutospacing="1"/>
        <w:jc w:val="both"/>
        <w:rPr>
          <w:szCs w:val="18"/>
          <w:lang w:eastAsia="en-GB"/>
        </w:rPr>
      </w:pPr>
      <w:bookmarkStart w:id="8" w:name="OLE_LINK19"/>
      <w:bookmarkStart w:id="9" w:name="OLE_LINK18"/>
      <w:r w:rsidRPr="00491918">
        <w:rPr>
          <w:szCs w:val="18"/>
          <w:lang w:eastAsia="en-GB"/>
        </w:rPr>
        <w:t>On 15 September 2009, motions were filed in the United States Bankruptcy Court for the Southern District of New York (Bankruptcy Court) by Lehman Brothers Holdings Inc. (LBHI), the SIPA Trustee for Lehman Brothers Inc. (Trustee) and the Official Committee of Unsecured Creditors of Lehman Brothers Holdings Inc. (Committee). All three motions challenged certain aspects of the transaction pursuant to which Barclays Capital Inc. (BCI) and other companies in the Group acquired most of the assets of Lehman Brothers Inc. (LBI) in September 2008 and the court order approving such sale (Sale). The claimants were seeking an order voiding the transfer of certain assets to BCI; requiring BCI to return to the LBI estate alleged excess value BCI received; and declaring that BCI is not entitled to certain assets that it claims pursuant to the sale documents and order approving the Sale (Rule 60 Claims). On 16 November 2009, LBHI, the Trustee and the Committee filed separate complaints in the Bankruptcy Court asserting claims against BCI based on the same underlying allegations as the pending motions and seeking relief similar to that requested in the motions. On 29 January 2010, BCI filed its response to the motions and also filed a motion seeking delivery of certain assets that LBHI and LBI have failed to deliver as required by the sale documents and the court order approving the Sale (together with the Trustee’s competing claims to those assets, Contract Claims). Approximately $4.5bn (£3.0bn) of the assets acquired as part of the acquisition had not been received by 30 June 2013 approximately $3.4bn (£2.3bn) of which have been recognised as a receivable on the balance sheet as at 30 June 2013. The receivable reflects an increase of $0.4bn (£0.3bn) recognised in profit or loss during the period, primarily as a result of greater certainty regarding the recoverability of $769m (£0.5bn) from the Trustee in respect of LBI’s 15c3-3 reserve account assets. On 16 July 2013, the Trustee paid this amount to Barclays. This results in an effective provision as of 30 June 2013 of $1.1bn (£0.7bn) against the uncertainty inherent in the litigation and issues relating to the recovery of certain assets held by institutions outside the United States.</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 xml:space="preserve">On 22 February 2011, the Bankruptcy Court issued its Opinion in relation to these matters, rejecting the Rule 60 Claims and deciding some of the Contract Claims in the Trustee’s favour and some in favour of Barclays. On 15 July 2011, the Bankruptcy Court entered final Orders implementing its Opinion. Barclays and the Trustee each appealed the Bankruptcy Court’s adverse rulings on the Contract Claims to the United States District Court </w:t>
      </w:r>
      <w:r w:rsidRPr="00491918">
        <w:rPr>
          <w:rFonts w:cs="Arial"/>
          <w:szCs w:val="18"/>
          <w:lang w:val="en-US" w:eastAsia="en-GB"/>
        </w:rPr>
        <w:t>for the Southern District of New York</w:t>
      </w:r>
      <w:r w:rsidRPr="00491918">
        <w:rPr>
          <w:szCs w:val="18"/>
          <w:lang w:eastAsia="en-GB"/>
        </w:rPr>
        <w:t xml:space="preserve"> (District Court). LBHI and the Committee did not pursue an appeal from the Bankruptcy Court’s ruling on the Rule 60 Claims. After briefing and argument, the District Court issued its Opinion on 5 June 2012 in which it reversed one of the Bankruptcy Court’s rulings on the Contract Claims that had been adverse to Barclays and affirmed the Bankruptcy Court’s other rulings on the Contract Claims. On 17 July 2012, the District Court issued an amended Opinion, correcting certain errors but not otherwise affecting the rulings, and an agreed judgment implementing the rulings in the Opinion (Judgment). Barclays and the Trustee have each appealed the adverse rulings of the District Court to the United States Court of Appeals for the S</w:t>
      </w:r>
      <w:r w:rsidR="00955D35" w:rsidRPr="00491918">
        <w:rPr>
          <w:szCs w:val="18"/>
          <w:lang w:eastAsia="en-GB"/>
        </w:rPr>
        <w:t>econd Circuit (Court of Appeals).</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Under the Judgment, Barclays is entitled to receive: (i) $1.1bn (£0.7bn) from the Trustee in respect of “clearance box” assets</w:t>
      </w:r>
      <w:r w:rsidR="00955D35" w:rsidRPr="00491918">
        <w:rPr>
          <w:szCs w:val="18"/>
          <w:lang w:eastAsia="en-GB"/>
        </w:rPr>
        <w:t xml:space="preserve"> (Clearance Box Assets)</w:t>
      </w:r>
      <w:r w:rsidRPr="00491918">
        <w:rPr>
          <w:szCs w:val="18"/>
          <w:lang w:eastAsia="en-GB"/>
        </w:rPr>
        <w:t>; (ii) property held at various institutions to secure obligations under the exchange-traded derivatives transferred to BCI in the Sale (ETD Margin), subject to the proviso that BCI will be entitled to receive $507m (£0.3bn) of the ETD Margin only if and to the extent the Trustee has assets available once the Trustee has satisfied all of LBI’s customer claims; and (iii) $769m (£0.5bn) from the Trustee in respect of LBI’s 15c3-3 reserve account assets only if and to the extent the Trustee has assets available once the Trustee has satisfied all of LBI’s customer claims.</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A portion of the ETD Margin which has not yet been recovered by BCI or the Trustee is held or owed by certain institutions outside the United States (including several Lehman affiliates that are subject to insolvency or similar proceedings). Barclays cannot reliably estimate how much of the ETD Margin held or owed by such institutions Barclays is ultimately likely to receive. On 7 June 2013, the Trustee announced that he was commencing additional distributions to former securities customers of LBI and would continue to make distributions until all customer claims have been fully paid.  On 2 July 2013, the Trustee notified Barclays that such distributions were “substantially complete.”  Pursuant to a Stipulation and Order dated 24 April, 2013, the Trustee had previously reserved $5.6bn (£3.</w:t>
      </w:r>
      <w:r w:rsidR="0010458E" w:rsidRPr="00491918">
        <w:rPr>
          <w:szCs w:val="18"/>
          <w:lang w:eastAsia="en-GB"/>
        </w:rPr>
        <w:t>7</w:t>
      </w:r>
      <w:r w:rsidRPr="00491918">
        <w:rPr>
          <w:szCs w:val="18"/>
          <w:lang w:eastAsia="en-GB"/>
        </w:rPr>
        <w:t>m) which was to be available to pay any amounts ultimately due to Barclays, including the $507m (£0.3bn) in respect of ETD Margin and the $769m (£0.5bn) in respect of LBI’s 15c3-3 reserve account assets. On 16 July 2013, the Trustee paid Barclays the $769m (£0.5bn).</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The $3.4bn (£2.3bn) recognised on Barclays’ balance sheet as at 30 June 2013 is consistent with a scenario in which the District Court’s rulings are unaffected by future proceedings, but conservatively assuming no recovery by Barclays of any of the ETD Margin not yet recovered by Barclays or the Trustee that is held or owed by institutions outside the United States. In such case, to the extent Barclays recovers ETD Margin held or owed by institutions outside of the United States, the value of such recovered margin would therefore result in a gain to Barclays. However, there remains a significant degree of uncertainty with respect to the value of such ETD Margin to which Barclays is entitle</w:t>
      </w:r>
      <w:r w:rsidR="00955D35" w:rsidRPr="00491918">
        <w:rPr>
          <w:szCs w:val="18"/>
          <w:lang w:eastAsia="en-GB"/>
        </w:rPr>
        <w:t>d or that Barclays may recover.</w:t>
      </w:r>
      <w:r w:rsidR="00955D35" w:rsidRPr="00491918">
        <w:rPr>
          <w:color w:val="FF0000"/>
          <w:szCs w:val="18"/>
        </w:rPr>
        <w:t> </w:t>
      </w:r>
      <w:r w:rsidR="00955D35" w:rsidRPr="00491918">
        <w:rPr>
          <w:szCs w:val="18"/>
        </w:rPr>
        <w:t>In a worst case scenario in which the Court of Appeals reverses the District Court’s rulings and determines that Barclays is not entitled to any of the Clearance Box Assets or ETD Margin, Barclays estimates that, after taking into account its effective provision, its total losses w</w:t>
      </w:r>
      <w:r w:rsidR="0010458E" w:rsidRPr="00491918">
        <w:rPr>
          <w:szCs w:val="18"/>
        </w:rPr>
        <w:t>ou</w:t>
      </w:r>
      <w:r w:rsidR="00EC729A" w:rsidRPr="00491918">
        <w:rPr>
          <w:szCs w:val="18"/>
        </w:rPr>
        <w:t>ld be approximately $6.0bn (£4.0</w:t>
      </w:r>
      <w:r w:rsidR="00955D35" w:rsidRPr="00491918">
        <w:rPr>
          <w:szCs w:val="18"/>
        </w:rPr>
        <w:t>bn).  Approximately, $3.3bn (£</w:t>
      </w:r>
      <w:r w:rsidR="0010458E" w:rsidRPr="00491918">
        <w:rPr>
          <w:szCs w:val="18"/>
        </w:rPr>
        <w:t>2.2</w:t>
      </w:r>
      <w:r w:rsidR="00955D35" w:rsidRPr="00491918">
        <w:rPr>
          <w:szCs w:val="18"/>
        </w:rPr>
        <w:t>bn) of that loss would relate to Clearance Box Assets and ETD Margin previously received by Barclays and prejudgement and post-judgement interest on such Clearance Box Assets and ETD Margin that would have to be returned or paid to the Trustee</w:t>
      </w:r>
      <w:r w:rsidR="00955D35" w:rsidRPr="00491918">
        <w:rPr>
          <w:color w:val="0070C0"/>
          <w:szCs w:val="18"/>
        </w:rPr>
        <w:t>.</w:t>
      </w:r>
      <w:r w:rsidR="00955D35" w:rsidRPr="00491918">
        <w:rPr>
          <w:szCs w:val="18"/>
          <w:lang w:eastAsia="en-GB"/>
        </w:rPr>
        <w:t xml:space="preserve"> </w:t>
      </w:r>
      <w:r w:rsidRPr="00491918">
        <w:rPr>
          <w:szCs w:val="18"/>
          <w:lang w:eastAsia="en-GB"/>
        </w:rPr>
        <w:t>Barclays is satisfied with the valuation of the asset recognised on its balance sheet and the resulting level of effective provision.</w:t>
      </w:r>
    </w:p>
    <w:bookmarkEnd w:id="8"/>
    <w:bookmarkEnd w:id="9"/>
    <w:p w:rsidR="000D1659" w:rsidRPr="00491918" w:rsidRDefault="000D1659" w:rsidP="000D1659">
      <w:pPr>
        <w:pStyle w:val="Normal140"/>
        <w:spacing w:before="100" w:beforeAutospacing="1" w:after="100" w:afterAutospacing="1"/>
        <w:jc w:val="both"/>
        <w:rPr>
          <w:i/>
          <w:szCs w:val="18"/>
          <w:lang w:eastAsia="en-GB"/>
        </w:rPr>
      </w:pPr>
      <w:r w:rsidRPr="00491918">
        <w:rPr>
          <w:i/>
          <w:szCs w:val="18"/>
          <w:lang w:eastAsia="en-GB"/>
        </w:rPr>
        <w:t xml:space="preserve">American Depositary Shares </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lastRenderedPageBreak/>
        <w:t>Barclays Bank PLC, Barclays PLC and various current and former members of Barclays PLC's Board of Directors have been named as defendants in five proposed securities class actions (which have been consolidated) pending in the United States District Court for the Southern District of New York (Court). The consolidated amended complaint, dated 12 February 2010, alleges that the registration statements relating to American Depositary Shares representing Preferred Stock, Series 2, 3, 4 and 5 (ADS) offered by Barclays at various times between 2006 and 2008 contained misstatements and omissions concerning (amongst other things) Barclays’ portfolio of mortgage-related (including US subprime-related) securities, Barclays’ exposure to mortgage and credit market risk and Barclays’ financial condition. The consolidated amended complaint asserts claims under Sections 11, 12(a)(2) and 15 of the Securities Act of 1933. On 5 January 2011, the Court issued an order and, on 7 January 2011, judgment was entered, granting the defendants' motion to dismiss the complaint in its entirety and closing the case. On 4 February 2011, the plaintiffs filed a motion asking the Court to reconsider in part its dismissal order. On 31 May 2011, the Court denied in full the plaintiffs’ motion for reconsideration. The plaintiffs have appealed both decisions (the grant of the defendants’ motion to dismiss and the denial of the plaintiffs’ motion for reconsideration) to the United States Court of Appeals for the Second Circuit. Oral argument was held on 18 October 2012.</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 xml:space="preserve">Barclays considers that these ADS-related claims against it are without merit and is defending them vigorously. It is not practicable to estimate Barclays’ possible loss in relation to these claims or any effect that they might have upon operating results in any particular financial period. </w:t>
      </w:r>
    </w:p>
    <w:p w:rsidR="000D1659" w:rsidRPr="00491918" w:rsidRDefault="000D1659" w:rsidP="000D1659">
      <w:pPr>
        <w:pStyle w:val="Normal140"/>
        <w:spacing w:before="100" w:beforeAutospacing="1" w:after="100" w:afterAutospacing="1"/>
        <w:jc w:val="both"/>
        <w:rPr>
          <w:i/>
          <w:szCs w:val="18"/>
          <w:lang w:eastAsia="en-GB"/>
        </w:rPr>
      </w:pPr>
      <w:r w:rsidRPr="00491918">
        <w:rPr>
          <w:i/>
          <w:szCs w:val="18"/>
          <w:lang w:eastAsia="en-GB"/>
        </w:rPr>
        <w:t>US Federal Housing Finance Agency and Other Residential Mortgage-Backed Securities Litigation</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The US Federal Housing Finance Agency (FHFA), acting for two US government sponsored enterprises, Fannie Mae and Freddie Mac (collectively, GSEs), filed lawsuits against 17 financial institutions in connection with the GSEs’ purchases of residential mortgage-backed securities (RMBS). The lawsuits allege, amongst other things, that the RMBS offering materials contained materially false and misleading statements and/or omissions. Barclays and/or certain of its affiliates or former employees are named in two of these lawsuits, relating to sales between 2005 and 2007 of RMBS, in which BCI was lead or co-lead underwriter.</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Both complaints demand, amongst other things: rescission and recovery of the consideration paid for the RMBS; and recovery for the GSEs’ alleged monetary losses arising out of their ownership of the RMBS. The complaints are similar to other civil actions filed against Barclays Bank PLC and/or certain of its affiliates by other plaintiffs, including the Federal Home Loan Bank of Seattle, Federal Home Loan Bank of Boston, Federal Home Loan Bank of Chicago, Cambridge Place Investment Management, Inc., HSH Nordbank AG (and affiliates), Sealink Funding Limited, Landesbank Baden-Württemberg (and affiliates), Deutsche Zentral-Genossenschaftsbank AG (and affiliates) and Stichting Pensioenfonds ABP, Royal Park Investments SA/NV, Bayerische Landesbank, John Hancock Life Insurance Company (and affiliates), Prudential Life Insurance Company of America (and affiliates) and the National Credit Union Administration relating to purchases of RMBS. Barclays considers that the claims against it are without merit and intends to defend them vigorously.</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The original amount of RMBS related to the claims against Barclays in the FHFA cases and the other civil actions against the Group totalled approximately $8.7bn, of which approximately $2.6bn was outstanding as at 30 June 2013. Cumulative losses reported on these RMBS as at 30 June 2013 were approximately $0.5bn. If Barclays were to lose these cases Barclays believes it could incur a loss of up to the outstanding amount of the RMBS at the time of judgment (taking into account further principal payments after 30 June 2013), plus any cumulative losses on the RMBS at such time and any interest, fees and costs, less the market value of the RMBS at such time. Barclays has estimated the total market value of the RMBS as at 30 June 2013 to be approximately $1.6bn. Barclays may be entitled to indemnification for a portion of any losses. These figures do not include two related class actions brought on behalf of a putative class of investors in RMBS issued by Countrywide and underwritten by BCI and other underwriters, in which Barclays is indemnified by Countrywide.</w:t>
      </w:r>
    </w:p>
    <w:p w:rsidR="00DB725D" w:rsidRPr="00491918" w:rsidRDefault="00CC7FA0" w:rsidP="000D1659">
      <w:pPr>
        <w:pStyle w:val="Normal140"/>
        <w:spacing w:before="100" w:beforeAutospacing="1" w:after="100" w:afterAutospacing="1"/>
        <w:jc w:val="both"/>
        <w:rPr>
          <w:i/>
          <w:szCs w:val="18"/>
          <w:lang w:eastAsia="en-GB"/>
        </w:rPr>
      </w:pPr>
      <w:r w:rsidRPr="00491918">
        <w:rPr>
          <w:i/>
          <w:szCs w:val="18"/>
          <w:lang w:eastAsia="en-GB"/>
        </w:rPr>
        <w:br w:type="page"/>
      </w:r>
    </w:p>
    <w:p w:rsidR="00DB725D" w:rsidRPr="00491918" w:rsidRDefault="00DB725D" w:rsidP="00DB725D">
      <w:pPr>
        <w:pStyle w:val="HeadingLevel1-BarcRA"/>
        <w:rPr>
          <w:lang w:eastAsia="en-GB"/>
        </w:rPr>
      </w:pPr>
      <w:r w:rsidRPr="00491918">
        <w:rPr>
          <w:lang w:eastAsia="en-GB"/>
        </w:rPr>
        <w:lastRenderedPageBreak/>
        <w:t>Financial Statement Notes</w:t>
      </w:r>
    </w:p>
    <w:p w:rsidR="000D1659" w:rsidRPr="00491918" w:rsidRDefault="000D1659" w:rsidP="000D1659">
      <w:pPr>
        <w:pStyle w:val="Normal140"/>
        <w:spacing w:before="100" w:beforeAutospacing="1" w:after="100" w:afterAutospacing="1"/>
        <w:jc w:val="both"/>
        <w:rPr>
          <w:i/>
          <w:szCs w:val="18"/>
          <w:lang w:eastAsia="en-GB"/>
        </w:rPr>
      </w:pPr>
      <w:r w:rsidRPr="00491918">
        <w:rPr>
          <w:i/>
          <w:szCs w:val="18"/>
          <w:lang w:eastAsia="en-GB"/>
        </w:rPr>
        <w:t xml:space="preserve">Devonshire Trust </w:t>
      </w:r>
    </w:p>
    <w:p w:rsidR="00A54343" w:rsidRPr="00491918" w:rsidRDefault="00A54343" w:rsidP="00A54343">
      <w:pPr>
        <w:pStyle w:val="Normal140"/>
        <w:spacing w:before="100" w:beforeAutospacing="1" w:after="100" w:afterAutospacing="1"/>
        <w:jc w:val="both"/>
        <w:rPr>
          <w:szCs w:val="18"/>
          <w:lang w:eastAsia="en-GB"/>
        </w:rPr>
      </w:pPr>
      <w:r w:rsidRPr="00491918">
        <w:rPr>
          <w:lang w:val="en-US"/>
        </w:rPr>
        <w:t xml:space="preserve">On 13 January 2009, Barclays commenced an action in the Ontario Superior Court (Court) seeking an order that its early terminations earlier that day of two credit default swaps under an ISDA Master Agreement with the Devonshire Trust (Devonshire), an asset-backed commercial paper conduit trust, were valid. On the same day, Devonshire purported to terminate the swaps on the ground that Barclays had failed to provide liquidity support to Devonshire's commercial paper when required to do so. On 7 September 2011, the Court ruled that Barclays’ early terminations were invalid, Devonshire's early terminations were valid and, consequently, Devonshire was entitled to receive back from Barclays cash collateral of approximately C$533m together with accrued interest thereon. Barclays appealed the Court's decision to the Court of Appeal for Ontario (Court of Appeal).  On 26 July 2013, the Court of Appeal delivered its decision dismissing Barclays’ appeal.  Barclays is currently considering its options with respect to the decision.  If the Court of Appeal’s decision were to be unaffected by future proceedings, Barclays estimates that its loss would be approximately C$500m, less impairment </w:t>
      </w:r>
      <w:r w:rsidR="00EC729A" w:rsidRPr="00491918">
        <w:rPr>
          <w:lang w:val="en-US"/>
        </w:rPr>
        <w:t>provisions recognised to date. </w:t>
      </w:r>
      <w:r w:rsidRPr="00491918">
        <w:rPr>
          <w:lang w:val="en-US"/>
        </w:rPr>
        <w:t>Barclays has updat</w:t>
      </w:r>
      <w:r w:rsidR="00EC729A" w:rsidRPr="00491918">
        <w:rPr>
          <w:lang w:val="en-US"/>
        </w:rPr>
        <w:t>ed these provisions to take full</w:t>
      </w:r>
      <w:r w:rsidRPr="00491918">
        <w:rPr>
          <w:lang w:val="en-US"/>
        </w:rPr>
        <w:t xml:space="preserve"> account</w:t>
      </w:r>
      <w:r w:rsidR="00EC729A" w:rsidRPr="00491918">
        <w:rPr>
          <w:lang w:val="en-US"/>
        </w:rPr>
        <w:t xml:space="preserve"> of</w:t>
      </w:r>
      <w:r w:rsidRPr="00491918">
        <w:rPr>
          <w:lang w:val="en-US"/>
        </w:rPr>
        <w:t xml:space="preserve"> the Court of Appeal’s decision.</w:t>
      </w:r>
    </w:p>
    <w:p w:rsidR="000D1659" w:rsidRPr="00491918" w:rsidRDefault="000D1659" w:rsidP="000D1659">
      <w:pPr>
        <w:pStyle w:val="Normal140"/>
        <w:spacing w:before="100" w:beforeAutospacing="1" w:after="100" w:afterAutospacing="1"/>
        <w:jc w:val="both"/>
        <w:rPr>
          <w:szCs w:val="18"/>
          <w:lang w:eastAsia="en-GB"/>
        </w:rPr>
      </w:pPr>
      <w:r w:rsidRPr="00491918">
        <w:rPr>
          <w:i/>
          <w:szCs w:val="18"/>
          <w:lang w:eastAsia="en-GB"/>
        </w:rPr>
        <w:t>LIBOR Civil Actions</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Barclays and other banks have been named as defendants in class action and non-class action lawsuits pending in United States Federal Courts in connection with their roles as contributor panel banks to US Dollar LIBOR, the first of which was filed on 15 April 2011. The complaints are substantially similar and allege, amongst other things, that Barclays and the other banks individually and collectively violated various provisions of the Sherman Act, the US Commodity Exchange Act, the Racketeer Influenced and Corrupt Organizations Act (RICO)</w:t>
      </w:r>
      <w:r w:rsidRPr="00491918">
        <w:rPr>
          <w:rFonts w:ascii="Barclays Serif" w:hAnsi="Barclays Serif"/>
          <w:szCs w:val="18"/>
          <w:lang w:eastAsia="en-GB"/>
        </w:rPr>
        <w:t xml:space="preserve"> </w:t>
      </w:r>
      <w:r w:rsidRPr="00491918">
        <w:rPr>
          <w:szCs w:val="18"/>
          <w:lang w:eastAsia="en-GB"/>
        </w:rPr>
        <w:t>and various state laws by suppressing or otherwise manipulating US Dollar LIBOR rates.  The lawsuits seek an unspecified amount of damages and trebling of damages under the Sherman and RICO Acts. The proposed class actions purport to be brought on behalf of (amongst others) plaintiffs that (i) engaged in US Dollar LIBOR-linked over-the-counter transactions; (ii) purchased US Dollar LIBOR-linked financial instruments on an exchange; (iii) purchased US Dollar LIBOR-linked debt securities; (iv) purchased adjustable-rate mortgages linked to US Dollar LIBOR; or (v) issued loans linked to US Dollar LIBOR. The majority of the US Dollar LIBOR cases are consolidated before one United States District Court in the Southern District of New York. On 29 March 2013, that court issued a decision dismissing the majority of claims against Barclays and other panel bank defendants in six leading cases. Following the decision, various plaintiffs in those six cases have sought permission from the court to either file an amended complaint or appeal an aspect of the decision. These requests are still under consideration by the court. Other plaintiffs filed a new action in state court based on the same allegations. Defendants, including Barclays, have removed that action to federal court and are currently seeking to have it transferred back to the same judge who is handling the consolidated action. Additionally, a number of other actions before that same judge remain stayed, pending resolution of the various pending requests.</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Until there are further proceedings and the various pending requests are resolved, the ultimate impact of this decision will be unclear, although it is possible that the decision will be interpreted by courts to affect other litigation, including the actions described below, some of which concern different benchmark interest rates.</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An additional individual US Dollar LIBOR action was commenced on 13 February 2013 in the United States District Court for the Southern District of New York against Barclays and other banks. Plaintiffs allege that defendants conspired to increase US Dollar LIBOR, which caused the value of bonds pledged as collateral for a loan to decrease, ultimately resulting in the sale of the bonds at the bottom of the market. This action has been assigned to a different judge in the Southern District of New York, and is proceeding on a different schedule than is the consolidated action, with a motion to dismiss to be fully submitted to the court by the end of 2013.</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An additional class action was commenced on 30 April 2012 in the United States District Court for the Southern District of New York against Barclays and other Japanese Yen LIBOR panel banks by plaintiffs involved in exchange-traded derivatives. The complaint also names members of the Japanese Bankers Association’s Euroyen Tokyo Interbank Offered Rate (TIBOR) panel, of which Barclays is not a member. The complaint alleges, amongst other things, manipulation of the Euroyen TIBOR and Yen LIBOR rates and breaches of US antitrust laws between 2006 and 2010.</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A further class action was commenced on 6 July 2012 in the District Court against Barclays and other EURIBOR panel banks by plaintiffs that purchased or sold EURIBOR-related financial instruments. The complaint alleges, amongst other things, manipulation of the EURIBOR rate and breaches of the Sherman Act and the US Commodity Exchange Act beginning as early as 1 January 2005 and continuing through to 31 December 2009. On 23 August 2012, the plaintiffs voluntarily dismissed the complaint.</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On 12 February 2013, a class action was commenced against Barclays and other EURIBOR panel banks by plaintiffs that purchased or sold a NYSE LIFFE EURIBOR futures contract. The complaint alleges manipulation of the EURIBOR rate and violations of the Sherman Act beginning as early as 1 June 2005 and continuing through 30 June 2010. The action is currently pending in the United States District Court for the Southern District of New York.</w:t>
      </w:r>
    </w:p>
    <w:p w:rsidR="0007202F" w:rsidRPr="00491918" w:rsidRDefault="0007202F" w:rsidP="0007202F">
      <w:pPr>
        <w:pStyle w:val="HeadingLevel1-BarcRA"/>
        <w:rPr>
          <w:lang w:eastAsia="en-GB"/>
        </w:rPr>
      </w:pPr>
      <w:r w:rsidRPr="00491918">
        <w:rPr>
          <w:lang w:eastAsia="en-GB"/>
        </w:rPr>
        <w:t>Financial Statement Notes</w:t>
      </w:r>
    </w:p>
    <w:p w:rsidR="00DB725D" w:rsidRPr="00491918" w:rsidRDefault="0007202F" w:rsidP="000D1659">
      <w:pPr>
        <w:pStyle w:val="Normal140"/>
        <w:spacing w:before="100" w:beforeAutospacing="1" w:after="100" w:afterAutospacing="1"/>
        <w:jc w:val="both"/>
        <w:rPr>
          <w:szCs w:val="18"/>
          <w:lang w:eastAsia="en-GB"/>
        </w:rPr>
      </w:pPr>
      <w:r w:rsidRPr="00491918">
        <w:rPr>
          <w:szCs w:val="18"/>
          <w:lang w:eastAsia="en-GB"/>
        </w:rPr>
        <w:t>I</w:t>
      </w:r>
      <w:r w:rsidR="000D1659" w:rsidRPr="00491918">
        <w:rPr>
          <w:szCs w:val="18"/>
          <w:lang w:eastAsia="en-GB"/>
        </w:rPr>
        <w:t xml:space="preserve">n addition, Barclays has been granted conditional leniency from the Antitrust Division of the US Department of Justice (DOJ) in connection with potential US antitrust law violations with respect to financial instruments that reference EURIBOR. </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val="en-US" w:eastAsia="en-GB"/>
        </w:rPr>
        <w:lastRenderedPageBreak/>
        <w:t>As a result of that grant of conditional leniency, Barclays is eligible for (i) a limit on liability to actual rather than treble damages if damages were to be awarded in any civil antitrust action under US antitrust law based on conduct covered by the conditional leniency and (ii) relief from potential joint-and-several liability in connection with such civil antitrust action, subject to Barclays satisfying the DOJ and the court presiding over the civil litigation of its satisfaction of its cooperation obligations.</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Barclays has also been named as a defendant along with four current and former officers and directors of Barclays in a proposed securities class action pending in the United States District Court for the Southern District of New York in connection with Barclays’ role as a contributor panel bank to LIBOR. The complaint principally alleges that Barclays’ Annual Reports for the years 2006 to 2011 contained misstatements and omissions concerning (amongst other things) Barclays’ compliance with its operational risk management processes and certain laws and regulations. The complaint also alleged that Barclays’ daily US Dollar LIBOR submissions constituted false statements in violation of US securities law. The complaint was brought on behalf of a proposed class consisting of all persons or entities that purchased American Depositary Receipts sponsored by Barclays on an American securities exchange between 10 July 2007 and 27 June 2012. The complaint asserts claims under Sections 10(b) and 20(a) of the US Securities Exchange Act 1934.  On 13 May 2013, the court granted Barclays’ motion to dismiss the complaint in its entirety.  Plaintiffs’ motion for reconsideration of that dismissal was denied on 13 June 2013.  Plaintiffs filed a notice of appeal with the United States Court of Appeals for the Second Circuit on 12 July 2013.</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It is not practicable to provide an estimate of the financial impact of the potential exposure of any of the actions described or what effect, if any, that they might have upon operating results, cash flows or Barclays’ financial position in any particular period.</w:t>
      </w:r>
    </w:p>
    <w:p w:rsidR="000D1659" w:rsidRPr="00491918" w:rsidRDefault="000D1659" w:rsidP="000D1659">
      <w:pPr>
        <w:pStyle w:val="Normal140"/>
        <w:spacing w:before="100" w:beforeAutospacing="1" w:after="100" w:afterAutospacing="1"/>
        <w:jc w:val="both"/>
        <w:rPr>
          <w:i/>
          <w:szCs w:val="18"/>
          <w:lang w:eastAsia="en-GB"/>
        </w:rPr>
      </w:pPr>
      <w:r w:rsidRPr="00491918">
        <w:rPr>
          <w:i/>
          <w:szCs w:val="18"/>
          <w:lang w:eastAsia="en-GB"/>
        </w:rPr>
        <w:t>FERC Investigation</w:t>
      </w:r>
    </w:p>
    <w:p w:rsidR="000D1659" w:rsidRPr="00491918" w:rsidRDefault="000D1659" w:rsidP="000D1659">
      <w:pPr>
        <w:pStyle w:val="Normal140"/>
        <w:spacing w:before="100" w:beforeAutospacing="1" w:after="100" w:afterAutospacing="1"/>
        <w:jc w:val="both"/>
        <w:rPr>
          <w:szCs w:val="18"/>
          <w:lang w:eastAsia="en-GB"/>
        </w:rPr>
      </w:pPr>
      <w:r w:rsidRPr="00491918">
        <w:rPr>
          <w:szCs w:val="18"/>
          <w:lang w:eastAsia="en-GB"/>
        </w:rPr>
        <w:t xml:space="preserve">See Note 21. </w:t>
      </w:r>
    </w:p>
    <w:p w:rsidR="000D1659" w:rsidRPr="00491918" w:rsidRDefault="000D1659" w:rsidP="000D1659">
      <w:pPr>
        <w:pStyle w:val="Normal140"/>
        <w:spacing w:before="100" w:beforeAutospacing="1" w:after="100" w:afterAutospacing="1"/>
        <w:jc w:val="both"/>
        <w:rPr>
          <w:i/>
          <w:szCs w:val="18"/>
          <w:lang w:eastAsia="en-GB"/>
        </w:rPr>
      </w:pPr>
      <w:r w:rsidRPr="00491918">
        <w:rPr>
          <w:i/>
          <w:szCs w:val="18"/>
          <w:lang w:eastAsia="en-GB"/>
        </w:rPr>
        <w:t>Other</w:t>
      </w:r>
    </w:p>
    <w:p w:rsidR="000D1659" w:rsidRPr="00491918" w:rsidRDefault="000D1659" w:rsidP="000D1659">
      <w:pPr>
        <w:pStyle w:val="Normal140"/>
        <w:spacing w:before="100" w:beforeAutospacing="1" w:after="100" w:afterAutospacing="1"/>
        <w:jc w:val="both"/>
      </w:pPr>
      <w:r w:rsidRPr="00491918">
        <w:rPr>
          <w:szCs w:val="18"/>
          <w:lang w:eastAsia="en-GB"/>
        </w:rPr>
        <w:t>Barclays is engaged in various other legal proceedings both in the United Kingdom and a number of overseas jurisdictions, including the United States, involving claims by and against it which arise in the ordinary course of business, including debt collection, consumer claims and contractual disputes. Barclays does not expect the ultimate resolution of any of these proceedings to which Barclays is party to have a material adverse effect on its results of operations, cash flows or the financial position of the Group and Barclays has not disclosed the contingent liabilities associated with these claims either because they cannot reliably be estimated or because such disclosure could be prejudicial to the conduct of the claims. Provisions have been recognised for those cases where Barclays is able reliably to estimate the probable loss where the probable loss is not de minimis.</w:t>
      </w:r>
      <w:bookmarkEnd w:id="4"/>
      <w:bookmarkEnd w:id="5"/>
      <w:bookmarkEnd w:id="6"/>
      <w:bookmarkEnd w:id="7"/>
    </w:p>
    <w:p w:rsidR="000D1659" w:rsidRPr="00491918" w:rsidRDefault="000D1659">
      <w:pPr>
        <w:sectPr w:rsidR="000D1659" w:rsidRPr="00491918" w:rsidSect="00751636">
          <w:pgSz w:w="11905" w:h="16837"/>
          <w:pgMar w:top="851" w:right="1134" w:bottom="567" w:left="1134" w:header="851" w:footer="567" w:gutter="0"/>
          <w:cols w:space="708"/>
        </w:sectPr>
      </w:pPr>
    </w:p>
    <w:p w:rsidR="000D1659" w:rsidRPr="00491918" w:rsidRDefault="00DB725D" w:rsidP="00DB725D">
      <w:pPr>
        <w:pStyle w:val="HeadingLevel1-BarcRA"/>
      </w:pPr>
      <w:r w:rsidRPr="00491918">
        <w:lastRenderedPageBreak/>
        <w:t>Financial Statement Notes</w:t>
      </w:r>
    </w:p>
    <w:p w:rsidR="000D1659" w:rsidRPr="00491918" w:rsidRDefault="000D1659" w:rsidP="000D1659">
      <w:pPr>
        <w:pStyle w:val="HeadingLevel1-BarcRA6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200"/>
        </w:tabs>
        <w:rPr>
          <w:lang w:val="en-GB"/>
        </w:rPr>
      </w:pPr>
      <w:r w:rsidRPr="00491918">
        <w:t>21.</w:t>
      </w:r>
      <w:r w:rsidRPr="00491918">
        <w:tab/>
      </w:r>
      <w:r w:rsidRPr="00491918">
        <w:rPr>
          <w:lang w:val="en-GB"/>
        </w:rPr>
        <w:t>Competition and Regulatory Matters</w:t>
      </w:r>
      <w:r w:rsidRPr="00491918">
        <w:rPr>
          <w:lang w:val="en-GB"/>
        </w:rPr>
        <w:tab/>
      </w:r>
    </w:p>
    <w:p w:rsidR="000D1659" w:rsidRPr="00491918" w:rsidRDefault="000D1659" w:rsidP="00B54AC3">
      <w:pPr>
        <w:pStyle w:val="c3"/>
        <w:jc w:val="both"/>
        <w:rPr>
          <w:rFonts w:ascii="Expert Sans Regular" w:hAnsi="Expert Sans Regular" w:cs="Arial"/>
          <w:i/>
          <w:sz w:val="18"/>
          <w:szCs w:val="18"/>
        </w:rPr>
      </w:pPr>
      <w:r w:rsidRPr="00491918">
        <w:rPr>
          <w:rFonts w:ascii="Expert Sans Regular" w:hAnsi="Expert Sans Regular"/>
          <w:sz w:val="18"/>
          <w:szCs w:val="18"/>
        </w:rPr>
        <w:t>This note highlights some of the key competition and regulatory challenges facing Barclays, many of which are beyond our control. The extent of the impact of these matters on Barclays and the impact on Barclays of any other competition and regulatory matters in which Barclays is or may in the future become involved cannot always be predicted but may materially impact our businesses and earnings.</w:t>
      </w:r>
    </w:p>
    <w:p w:rsidR="000D1659" w:rsidRPr="00491918" w:rsidRDefault="000D1659" w:rsidP="008D6001">
      <w:pPr>
        <w:pStyle w:val="c3"/>
        <w:jc w:val="both"/>
        <w:outlineLvl w:val="0"/>
        <w:rPr>
          <w:rFonts w:ascii="Expert Sans Regular" w:hAnsi="Expert Sans Regular" w:cs="Arial"/>
          <w:b/>
          <w:color w:val="FF0000"/>
          <w:sz w:val="18"/>
          <w:szCs w:val="18"/>
        </w:rPr>
      </w:pPr>
      <w:r w:rsidRPr="00491918">
        <w:rPr>
          <w:rFonts w:ascii="Expert Sans Regular" w:hAnsi="Expert Sans Regular" w:cs="Arial"/>
          <w:b/>
          <w:sz w:val="18"/>
          <w:szCs w:val="18"/>
        </w:rPr>
        <w:t>Structural Reform</w:t>
      </w:r>
    </w:p>
    <w:p w:rsidR="000D1659" w:rsidRPr="00491918" w:rsidRDefault="000D1659" w:rsidP="000D1659">
      <w:pPr>
        <w:pStyle w:val="c3"/>
        <w:jc w:val="both"/>
        <w:rPr>
          <w:rFonts w:ascii="Expert Sans Regular" w:hAnsi="Expert Sans Regular" w:cs="Arial"/>
          <w:sz w:val="18"/>
          <w:szCs w:val="18"/>
        </w:rPr>
      </w:pPr>
      <w:r w:rsidRPr="00491918">
        <w:rPr>
          <w:rFonts w:ascii="Expert Sans Regular" w:hAnsi="Expert Sans Regular" w:cs="Arial"/>
          <w:sz w:val="18"/>
          <w:szCs w:val="18"/>
        </w:rPr>
        <w:t>There is continuing political and regulatory scrutiny of the banking industry which, in some cases, is leading to increased or changing regulation which is likely to have a significant effect on the structure and management of the Group.</w:t>
      </w:r>
    </w:p>
    <w:p w:rsidR="00560D72" w:rsidRPr="00491918" w:rsidRDefault="00560D72" w:rsidP="00560D72">
      <w:pPr>
        <w:pStyle w:val="c3"/>
        <w:jc w:val="both"/>
        <w:rPr>
          <w:rFonts w:ascii="Expert Sans Regular" w:eastAsia="SimSun" w:hAnsi="Expert Sans Regular" w:cs="Arial"/>
          <w:sz w:val="18"/>
          <w:szCs w:val="18"/>
        </w:rPr>
      </w:pPr>
      <w:r w:rsidRPr="00491918">
        <w:rPr>
          <w:rFonts w:ascii="Expert Sans Regular" w:eastAsia="SimSun" w:hAnsi="Expert Sans Regular" w:cs="Arial"/>
          <w:sz w:val="18"/>
          <w:szCs w:val="18"/>
        </w:rPr>
        <w:t xml:space="preserve">On 4 February 2013, the UK Government introduced the Financial Services (Banking Reform) Bill (Bill) to the House of Commons. The Bill </w:t>
      </w:r>
      <w:bookmarkStart w:id="10" w:name="_DV_C4"/>
      <w:r w:rsidRPr="00491918">
        <w:rPr>
          <w:rStyle w:val="DeltaViewInsertion"/>
          <w:rFonts w:ascii="Expert Sans Regular" w:eastAsia="SimSun" w:hAnsi="Expert Sans Regular" w:cs="Arial"/>
          <w:color w:val="auto"/>
          <w:sz w:val="18"/>
          <w:szCs w:val="18"/>
          <w:u w:val="none"/>
        </w:rPr>
        <w:t>will</w:t>
      </w:r>
      <w:bookmarkEnd w:id="10"/>
      <w:r w:rsidRPr="00491918">
        <w:rPr>
          <w:rFonts w:ascii="Expert Sans Regular" w:eastAsia="SimSun" w:hAnsi="Expert Sans Regular" w:cs="Arial"/>
          <w:sz w:val="18"/>
          <w:szCs w:val="18"/>
        </w:rPr>
        <w:t xml:space="preserve"> give the UK authorities the powers to implement key recommendations of the Independent Commission on Banking by requiring, amongst other things: (i) the separation of the UK and EEA retail banking activities of UK banks in a legally distinct, operationally separate and economically independent entity (so called ring fencing)</w:t>
      </w:r>
      <w:bookmarkStart w:id="11" w:name="_DV_M7"/>
      <w:bookmarkEnd w:id="11"/>
      <w:r w:rsidRPr="00491918">
        <w:rPr>
          <w:rFonts w:ascii="Expert Sans Regular" w:eastAsia="SimSun" w:hAnsi="Expert Sans Regular" w:cs="Arial"/>
          <w:sz w:val="18"/>
          <w:szCs w:val="18"/>
        </w:rPr>
        <w:t>; (ii) the increase of the loss-absorbing capacity of ring-fenced banks and UK headquartered global systemically important banks to levels higher than the Basel 3 guidelines</w:t>
      </w:r>
      <w:bookmarkStart w:id="12" w:name="_DV_C9"/>
      <w:r w:rsidRPr="00491918">
        <w:rPr>
          <w:rStyle w:val="DeltaViewDeletion"/>
          <w:rFonts w:ascii="Expert Sans Regular" w:eastAsia="SimSun" w:hAnsi="Expert Sans Regular" w:cs="Arial"/>
          <w:color w:val="auto"/>
          <w:sz w:val="18"/>
          <w:szCs w:val="18"/>
        </w:rPr>
        <w:t xml:space="preserve"> </w:t>
      </w:r>
      <w:r w:rsidRPr="00491918">
        <w:rPr>
          <w:rStyle w:val="DeltaViewInsertion"/>
          <w:rFonts w:ascii="Expert Sans Regular" w:eastAsia="SimSun" w:hAnsi="Expert Sans Regular" w:cs="Arial"/>
          <w:color w:val="auto"/>
          <w:sz w:val="18"/>
          <w:szCs w:val="18"/>
          <w:u w:val="none"/>
        </w:rPr>
        <w:t>and (iii) preference to deposits</w:t>
      </w:r>
      <w:bookmarkStart w:id="13" w:name="_DV_M8"/>
      <w:bookmarkEnd w:id="12"/>
      <w:bookmarkEnd w:id="13"/>
      <w:r w:rsidRPr="00491918">
        <w:rPr>
          <w:rFonts w:ascii="Expert Sans Regular" w:eastAsia="SimSun" w:hAnsi="Expert Sans Regular" w:cs="Arial"/>
          <w:sz w:val="18"/>
          <w:szCs w:val="18"/>
        </w:rPr>
        <w:t xml:space="preserve"> protected under the Financial Services Compensation Scheme </w:t>
      </w:r>
      <w:bookmarkStart w:id="14" w:name="_DV_M9"/>
      <w:bookmarkEnd w:id="14"/>
      <w:r w:rsidRPr="00491918">
        <w:rPr>
          <w:rFonts w:ascii="Expert Sans Regular" w:eastAsia="SimSun" w:hAnsi="Expert Sans Regular" w:cs="Arial"/>
          <w:sz w:val="18"/>
          <w:szCs w:val="18"/>
        </w:rPr>
        <w:t xml:space="preserve">if a bank enters insolvency. </w:t>
      </w:r>
      <w:bookmarkStart w:id="15" w:name="_DV_C12"/>
      <w:r w:rsidRPr="00491918">
        <w:rPr>
          <w:rStyle w:val="DeltaViewInsertion"/>
          <w:rFonts w:ascii="Expert Sans Regular" w:eastAsia="SimSun" w:hAnsi="Expert Sans Regular" w:cs="Arial"/>
          <w:color w:val="auto"/>
          <w:sz w:val="18"/>
          <w:szCs w:val="18"/>
          <w:u w:val="none"/>
        </w:rPr>
        <w:t>The Bill also establishes a reserve power for the Prudential Regulation Authority</w:t>
      </w:r>
      <w:bookmarkStart w:id="16" w:name="_DV_M11"/>
      <w:bookmarkEnd w:id="15"/>
      <w:bookmarkEnd w:id="16"/>
      <w:r w:rsidRPr="00491918">
        <w:rPr>
          <w:rFonts w:ascii="Expert Sans Regular" w:eastAsia="SimSun" w:hAnsi="Expert Sans Regular" w:cs="Arial"/>
          <w:sz w:val="18"/>
          <w:szCs w:val="18"/>
        </w:rPr>
        <w:t xml:space="preserve"> to enforce full separation </w:t>
      </w:r>
      <w:bookmarkStart w:id="17" w:name="_DV_C13"/>
      <w:r w:rsidRPr="00491918">
        <w:rPr>
          <w:rStyle w:val="DeltaViewInsertion"/>
          <w:rFonts w:ascii="Expert Sans Regular" w:eastAsia="SimSun" w:hAnsi="Expert Sans Regular" w:cs="Arial"/>
          <w:color w:val="auto"/>
          <w:sz w:val="18"/>
          <w:szCs w:val="18"/>
          <w:u w:val="none"/>
        </w:rPr>
        <w:t xml:space="preserve">of UK banks </w:t>
      </w:r>
      <w:bookmarkStart w:id="18" w:name="_DV_M12"/>
      <w:bookmarkEnd w:id="17"/>
      <w:bookmarkEnd w:id="18"/>
      <w:r w:rsidRPr="00491918">
        <w:rPr>
          <w:rFonts w:ascii="Expert Sans Regular" w:eastAsia="SimSun" w:hAnsi="Expert Sans Regular" w:cs="Arial"/>
          <w:sz w:val="18"/>
          <w:szCs w:val="18"/>
        </w:rPr>
        <w:t>under certain circumstances</w:t>
      </w:r>
      <w:bookmarkStart w:id="19" w:name="_DV_C14"/>
      <w:r w:rsidRPr="00491918">
        <w:rPr>
          <w:rStyle w:val="DeltaViewInsertion"/>
          <w:rFonts w:ascii="Expert Sans Regular" w:eastAsia="SimSun" w:hAnsi="Expert Sans Regular" w:cs="Arial"/>
          <w:color w:val="auto"/>
          <w:sz w:val="18"/>
          <w:szCs w:val="18"/>
          <w:u w:val="none"/>
        </w:rPr>
        <w:t xml:space="preserve">.  The Bill has completed its passage through the House of Commons and is currently before the House of Lords. </w:t>
      </w:r>
      <w:bookmarkEnd w:id="19"/>
    </w:p>
    <w:p w:rsidR="00560D72" w:rsidRPr="00491918" w:rsidRDefault="00560D72" w:rsidP="000D1659">
      <w:pPr>
        <w:pStyle w:val="c3"/>
        <w:jc w:val="both"/>
        <w:rPr>
          <w:rFonts w:ascii="Expert Sans Regular" w:hAnsi="Expert Sans Regular"/>
          <w:sz w:val="18"/>
          <w:szCs w:val="18"/>
        </w:rPr>
      </w:pPr>
      <w:bookmarkStart w:id="20" w:name="_DV_C15"/>
      <w:r w:rsidRPr="00491918">
        <w:rPr>
          <w:rFonts w:ascii="Expert Sans Regular" w:hAnsi="Expert Sans Regular"/>
          <w:sz w:val="18"/>
          <w:szCs w:val="18"/>
        </w:rPr>
        <w:t>The Bill is primarily an enabling statute which provides HM Treasury with the requisite powers to implement the policy underlying the Bill through secondary legislation</w:t>
      </w:r>
      <w:bookmarkEnd w:id="20"/>
      <w:r w:rsidRPr="00491918">
        <w:rPr>
          <w:rFonts w:ascii="Expert Sans Regular" w:hAnsi="Expert Sans Regular"/>
          <w:sz w:val="18"/>
          <w:szCs w:val="18"/>
        </w:rPr>
        <w:t xml:space="preserve">. </w:t>
      </w:r>
      <w:r w:rsidR="000D1659" w:rsidRPr="00491918">
        <w:rPr>
          <w:rFonts w:ascii="Expert Sans Regular" w:hAnsi="Expert Sans Regular"/>
          <w:sz w:val="18"/>
          <w:szCs w:val="18"/>
        </w:rPr>
        <w:t xml:space="preserve">On 8 March 2013, the UK Government published draft secondary legislation. The UK Government intends that both primary and secondary legislation will be in place by May 2015 and that UK banks will be required to be compliant by 1 January 2019.  </w:t>
      </w:r>
    </w:p>
    <w:p w:rsidR="000D1659" w:rsidRPr="00491918" w:rsidRDefault="000D1659" w:rsidP="000D1659">
      <w:pPr>
        <w:pStyle w:val="c3"/>
        <w:jc w:val="both"/>
        <w:rPr>
          <w:rFonts w:ascii="Expert Sans Regular" w:hAnsi="Expert Sans Regular" w:cs="Arial"/>
          <w:sz w:val="18"/>
          <w:szCs w:val="18"/>
        </w:rPr>
      </w:pPr>
      <w:r w:rsidRPr="00491918">
        <w:rPr>
          <w:rFonts w:ascii="Expert Sans Regular" w:hAnsi="Expert Sans Regular" w:cs="Arial"/>
          <w:sz w:val="18"/>
          <w:szCs w:val="18"/>
        </w:rPr>
        <w:t xml:space="preserve">On 19 June 2013 the Parliamentary Commission on Banking Standards (PCBS) published its final report on the UK Banking sector, which is expected to result in further changes to draft primary and secondary legislation. The PCBS’s report recommends, amongst other things: (i) a new “senior persons” regime for individuals in the banking sector to ensure full accountability for decisions made; (ii) reforms to the remuneration of senior management and other influential bank staff to better align risk and reward; and (iii) sanctions and enforcement, including a new criminal offence of reckless misconduct. The UK Government published its response to the PCBS’s report on 8 July 2013, in which </w:t>
      </w:r>
      <w:r w:rsidR="00560D72" w:rsidRPr="00491918">
        <w:rPr>
          <w:rFonts w:ascii="Expert Sans Regular" w:hAnsi="Expert Sans Regular" w:cs="Arial"/>
          <w:sz w:val="18"/>
          <w:szCs w:val="18"/>
        </w:rPr>
        <w:t xml:space="preserve">it </w:t>
      </w:r>
      <w:r w:rsidRPr="00491918">
        <w:rPr>
          <w:rFonts w:ascii="Expert Sans Regular" w:hAnsi="Expert Sans Regular" w:cs="Arial"/>
          <w:sz w:val="18"/>
          <w:szCs w:val="18"/>
        </w:rPr>
        <w:t>endorses the report’s principal findings and commits to implementing a number of its recommendations.</w:t>
      </w:r>
    </w:p>
    <w:p w:rsidR="000D1659" w:rsidRPr="00491918" w:rsidRDefault="000D1659" w:rsidP="000D1659">
      <w:pPr>
        <w:pStyle w:val="c3"/>
        <w:jc w:val="both"/>
        <w:rPr>
          <w:rFonts w:ascii="Expert Sans Regular" w:hAnsi="Expert Sans Regular" w:cs="Arial"/>
          <w:color w:val="FF0000"/>
          <w:sz w:val="18"/>
          <w:szCs w:val="18"/>
        </w:rPr>
      </w:pPr>
      <w:r w:rsidRPr="00491918">
        <w:rPr>
          <w:rFonts w:ascii="Expert Sans Regular" w:hAnsi="Expert Sans Regular" w:cs="Arial"/>
          <w:sz w:val="18"/>
          <w:szCs w:val="18"/>
        </w:rPr>
        <w:t>The US Dodd-Frank Wall Street Reform and Consumer Protection Act is expected, amongst other things, to require the US subsidiaries of foreign banks operating in the US to be held under a US intermediate holding company subject to a comprehensive set of prudential and supervisory requirements prescribed by US regulators. The full impact on Barclays’ businesses and markets will not be known until the principal implementing rules are adopted in final form by governmental authorities, a process which is underway and is expected to take effect over several years.</w:t>
      </w:r>
    </w:p>
    <w:p w:rsidR="000D1659" w:rsidRPr="00491918" w:rsidRDefault="000D1659" w:rsidP="000D1659">
      <w:pPr>
        <w:pStyle w:val="c3"/>
        <w:jc w:val="both"/>
        <w:rPr>
          <w:rFonts w:ascii="Expert Sans Regular" w:hAnsi="Expert Sans Regular" w:cs="Arial"/>
          <w:color w:val="FF0000"/>
          <w:sz w:val="18"/>
          <w:szCs w:val="18"/>
        </w:rPr>
      </w:pPr>
      <w:r w:rsidRPr="00491918">
        <w:rPr>
          <w:rFonts w:ascii="Expert Sans Regular" w:hAnsi="Expert Sans Regular" w:cs="Arial"/>
          <w:color w:val="000000"/>
          <w:sz w:val="18"/>
          <w:szCs w:val="18"/>
        </w:rPr>
        <w:t xml:space="preserve">On 2 October 2012 a high-level expert group chaired by Erkki Liikanen submitted a report (Liikanen Report) to the European Commission (Commission) on reform of the structure of the EU banking sector. The Liikanen Report contains five key recommendations, including the mandatory separation of proprietary trading and other high-risk trading activities (subject to thresholds) from deposit taking banks. The Commission is considering the impact of the Liikanen Report’s recommendations on growth and the safety and integrity of financial services in the EU, particularly in light of its current proposed legislative reforms, and will publish proposals on structural separation of banks in Q3 2013. Legislation is not expected to be finalised until 2015, at the earliest. The full impact on Barclays’ businesses and markets will not be known until principal implementing rules are adopted in final form by the Commission and other European legislative authorities.   </w:t>
      </w:r>
      <w:r w:rsidRPr="00491918">
        <w:rPr>
          <w:rFonts w:ascii="Expert Sans Regular" w:hAnsi="Expert Sans Regular" w:cs="Arial"/>
          <w:color w:val="FF0000"/>
          <w:sz w:val="18"/>
          <w:szCs w:val="18"/>
        </w:rPr>
        <w:t xml:space="preserve">  </w:t>
      </w:r>
    </w:p>
    <w:p w:rsidR="000D1659" w:rsidRPr="00491918" w:rsidRDefault="000D1659" w:rsidP="008D6001">
      <w:pPr>
        <w:pStyle w:val="c3"/>
        <w:keepNext/>
        <w:jc w:val="both"/>
        <w:outlineLvl w:val="0"/>
        <w:rPr>
          <w:rFonts w:ascii="Expert Sans Regular" w:hAnsi="Expert Sans Regular" w:cs="Arial"/>
          <w:b/>
          <w:color w:val="FF0000"/>
          <w:sz w:val="18"/>
          <w:szCs w:val="18"/>
        </w:rPr>
      </w:pPr>
      <w:r w:rsidRPr="00491918">
        <w:rPr>
          <w:rFonts w:ascii="Expert Sans Regular" w:hAnsi="Expert Sans Regular" w:cs="Arial"/>
          <w:b/>
          <w:sz w:val="18"/>
          <w:szCs w:val="18"/>
        </w:rPr>
        <w:t xml:space="preserve">Interchange </w:t>
      </w:r>
    </w:p>
    <w:p w:rsidR="000D1659" w:rsidRPr="00491918" w:rsidRDefault="000D1659" w:rsidP="000D1659">
      <w:pPr>
        <w:pStyle w:val="c3"/>
        <w:keepNext/>
        <w:jc w:val="both"/>
        <w:rPr>
          <w:rFonts w:ascii="Expert Sans Regular" w:hAnsi="Expert Sans Regular" w:cs="Arial"/>
          <w:color w:val="000000"/>
          <w:sz w:val="18"/>
          <w:szCs w:val="18"/>
        </w:rPr>
      </w:pPr>
      <w:r w:rsidRPr="00491918">
        <w:rPr>
          <w:rFonts w:ascii="Expert Sans Regular" w:hAnsi="Expert Sans Regular" w:cs="Arial"/>
          <w:color w:val="000000"/>
          <w:sz w:val="18"/>
          <w:szCs w:val="18"/>
        </w:rPr>
        <w:t>The Office of Fair Trading, as well as other competition authorities elsewhere in Europe, continues to investigate Visa and MasterCard credit and debit interchange rates. The key risks arising from the investigations comprise the potential for fines imposed by competition authorities, follow on litigation and proposals for new legislation. It is not currently possible to predict the likelihood or potential financial impact of these risks on Barclays.</w:t>
      </w:r>
    </w:p>
    <w:p w:rsidR="000D1659" w:rsidRPr="00491918" w:rsidRDefault="000D1659" w:rsidP="008D6001">
      <w:pPr>
        <w:pStyle w:val="c3"/>
        <w:keepNext/>
        <w:jc w:val="both"/>
        <w:outlineLvl w:val="0"/>
        <w:rPr>
          <w:rFonts w:ascii="Expert Sans Regular" w:hAnsi="Expert Sans Regular"/>
          <w:b/>
          <w:color w:val="FF0000"/>
          <w:sz w:val="18"/>
          <w:szCs w:val="18"/>
        </w:rPr>
      </w:pPr>
      <w:r w:rsidRPr="00491918">
        <w:rPr>
          <w:rFonts w:ascii="Expert Sans Regular" w:hAnsi="Expert Sans Regular"/>
          <w:b/>
          <w:sz w:val="18"/>
          <w:szCs w:val="18"/>
        </w:rPr>
        <w:t xml:space="preserve">London Interbank Offered Rate </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 xml:space="preserve">The FCA, the US Commodity Futures Trading Commission (CFTC), the SEC, the DOJ Fraud Section (DOJ-FS) and Antitrust Division (DOJ-AD), the Commission, the UK Serious Fraud Office, the Monetary Authority of Singapore, the Japan Financial Services Agency, the prosecutors’ office in Trani, Italy and various US state attorneys general are amongst various authorities conducting investigations (Investigations) into submissions made by Barclays and other financial institutions to the bodies that set or compile various financial benchmarks, such as the London Interbank Offered Rate (LIBOR) and the Euro Interbank Offered Rate (EURIBOR). </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lastRenderedPageBreak/>
        <w:t xml:space="preserve">On 27 June 2012, Barclays announced that it had </w:t>
      </w:r>
      <w:r w:rsidR="00560D72" w:rsidRPr="00491918">
        <w:rPr>
          <w:rFonts w:ascii="Expert Sans Regular" w:hAnsi="Expert Sans Regular"/>
          <w:sz w:val="18"/>
          <w:szCs w:val="18"/>
        </w:rPr>
        <w:t>reached settlements with the Financial Services Authority</w:t>
      </w:r>
      <w:r w:rsidR="00F33DF1" w:rsidRPr="00491918">
        <w:rPr>
          <w:rFonts w:ascii="Expert Sans Regular" w:hAnsi="Expert Sans Regular"/>
          <w:sz w:val="18"/>
          <w:szCs w:val="18"/>
        </w:rPr>
        <w:t xml:space="preserve"> (FSA)</w:t>
      </w:r>
      <w:r w:rsidRPr="00491918">
        <w:rPr>
          <w:rFonts w:ascii="Expert Sans Regular" w:hAnsi="Expert Sans Regular"/>
          <w:sz w:val="18"/>
          <w:szCs w:val="18"/>
        </w:rPr>
        <w:t xml:space="preserve"> (as predecessor to the FCA), the CFTC and the DOJ-FS in relation to their investigations and Barclays agreed to pay total penalties of £290m in 2012. The settlements were made by entry into a Settlement Agreement with the FSA, a Non-Prosecution Agreement (NPA) with the DOJ-FS and a Settlement Order Agreement with the CFTC (CFTC Order). In addition, Barclays has been granted conditional leniency from the DOJ-AD in connection with potential US antitrust law violations with respect to financial instruments that reference EURIBOR.</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The terms of the Settlement Agreement with the FSA are confidential. However, the Final Notice of the FSA, which imposed a financial penalty of £59.5m, is publicly available on the website of the FCA. This sets out the FSA’s reasoning for the penalty, references the settlement principles and sets out the factual context and justification for the terms imposed.  Summaries of the NPA and the CFTC Order are set out below. The full text of the NPA and the CFTC Order are publicly available on the websites of the DOJ and the CFTC, respectively.</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In addition to a $200m civil monetary penalty, the CFTC Order requires Barclays to cease and desist from further violations of specified provisions of the US Commodity Exchange Act and take specified steps to ensure the integrity and reliability of its benchmark interest rate submissions, including LIBOR and EURIBOR, and improve related internal controls.  Amongst other things, the CFTC Order requires Barclays to:</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make its submissions based on certain specified factors, with Barclays’ transactions being given the greatest weight, subject to certain specified adjustments and considerations;</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implement firewalls to prevent improper communications including between traders and submitters;</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 xml:space="preserve">prepare and retain certain documents concerning submissions and retain relevant communications; </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implement auditing, monitoring and training measures concerning its submissions and related processes;</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 xml:space="preserve">make regular reports to the CFTC concerning compliance with the terms of the CFTC Order; </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 xml:space="preserve">use best efforts to encourage the development of rigorous standards for benchmark interest rates; and </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continue to cooperate with the CFTC’s ongoing investigation of benchmark interest rates.</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 xml:space="preserve">As part of the NPA, Barclays agreed to pay a $160m penalty.  In addition, the DOJ agreed not to prosecute Barclays for any crimes (except for criminal tax violations, as to which the DOJ cannot and does not make any agreement) related to Barclays’ submissions of benchmark interest rates, including LIBOR and EURIBOR, contingent upon Barclays’ satisfaction of specified obligations under the NPA.  In particular, under the NPA, Barclays agreed for a period of two years from 26 June 2012, amongst other things, to: </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 xml:space="preserve">commit no US crime whatsoever; </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truthfully and completely disclose non-privileged information with respect to the activities of Barclays, its officers and employees, and others concerning all matters about which the DOJ inquires of it, which information can be used for any purpose, except as otherwise limited in the NPA;</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 xml:space="preserve">bring to the DOJ’s attention all potentially criminal conduct by Barclays or any of its employees that relates to fraud or violations of the laws governing securities and commodities markets; and </w:t>
      </w:r>
    </w:p>
    <w:p w:rsidR="000D1659" w:rsidRPr="00491918" w:rsidRDefault="000D1659" w:rsidP="00CC41A9">
      <w:pPr>
        <w:pStyle w:val="c3"/>
        <w:numPr>
          <w:ilvl w:val="0"/>
          <w:numId w:val="256"/>
        </w:numPr>
        <w:ind w:left="641" w:hanging="284"/>
        <w:jc w:val="both"/>
        <w:rPr>
          <w:rFonts w:ascii="Expert Sans Regular" w:hAnsi="Expert Sans Regular"/>
          <w:sz w:val="18"/>
          <w:szCs w:val="18"/>
          <w:lang w:eastAsia="en-US"/>
        </w:rPr>
      </w:pPr>
      <w:r w:rsidRPr="00491918">
        <w:rPr>
          <w:rFonts w:ascii="Expert Sans Regular" w:hAnsi="Expert Sans Regular"/>
          <w:sz w:val="18"/>
          <w:szCs w:val="18"/>
          <w:lang w:eastAsia="en-US"/>
        </w:rPr>
        <w:t xml:space="preserve">bring to the DOJ’s attention all criminal or regulatory investigations, administrative proceedings or civil actions brought by any governmental authority in the US by or against Barclays or its employees that alleges fraud or violations of the laws governing securities and commodities markets. </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Barclays also agreed to cooperate with the DOJ and other government authorities in the US in connection with any investigation or prosecution arising out of the conduct described in the NPA, which commitment shall remain in force until all such investigations and prosecutions are concluded. Barclays also continues to cooperate with the other ongoing investigations.</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 xml:space="preserve">Following the settlements announced on 27 June 2012, 38 US state attorneys general commenced their own investigations into LIBOR, EURIBOR and the Tokyo Interbank Offered Rate.  The New York Attorney General, on behalf of this coalition of attorneys general, issued a subpoena dated 17 July 2012 to Barclays (and subpoenas to a number of other banks) to produce wide-ranging information and has since issued additional information requests to Barclays for both documents and transactional data. Barclays is responding to these requests on a rolling basis.  Barclays has also entered into confidentiality agreements with the coalition of attorneys general as well as a tolling agreement which is set to expire on 1 April 2014.  </w:t>
      </w:r>
    </w:p>
    <w:p w:rsidR="00DB725D" w:rsidRPr="00491918" w:rsidRDefault="00DB725D" w:rsidP="000D1659">
      <w:pPr>
        <w:pStyle w:val="c3"/>
        <w:jc w:val="both"/>
        <w:rPr>
          <w:rFonts w:ascii="Expert Sans Regular" w:hAnsi="Expert Sans Regular"/>
          <w:sz w:val="18"/>
          <w:szCs w:val="18"/>
        </w:rPr>
      </w:pPr>
    </w:p>
    <w:p w:rsidR="00DB725D" w:rsidRPr="00491918" w:rsidRDefault="00DB725D" w:rsidP="00DB725D">
      <w:pPr>
        <w:pStyle w:val="HeadingLevel1-BarcRA"/>
      </w:pPr>
      <w:r w:rsidRPr="00491918">
        <w:t>Financial Statement Notes</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It is not practicable to provide an estimate of the financial impact of these matters or what effect, if any, that the matters might have upon operating results, cash flows or Barclays’ financial position in any particular period.</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t>For a discussion of litigation arising in connection with</w:t>
      </w:r>
      <w:r w:rsidR="00DD3185" w:rsidRPr="00491918">
        <w:rPr>
          <w:rFonts w:ascii="Expert Sans Regular" w:hAnsi="Expert Sans Regular"/>
          <w:sz w:val="18"/>
          <w:szCs w:val="18"/>
        </w:rPr>
        <w:t xml:space="preserve"> the Investigations see Note </w:t>
      </w:r>
      <w:r w:rsidRPr="00491918">
        <w:rPr>
          <w:rFonts w:ascii="Expert Sans Regular" w:hAnsi="Expert Sans Regular"/>
          <w:sz w:val="18"/>
          <w:szCs w:val="18"/>
        </w:rPr>
        <w:t xml:space="preserve">20. </w:t>
      </w:r>
    </w:p>
    <w:p w:rsidR="00DF44D1" w:rsidRPr="00491918" w:rsidRDefault="00DF44D1" w:rsidP="000D1659">
      <w:pPr>
        <w:pStyle w:val="c3"/>
        <w:jc w:val="both"/>
        <w:rPr>
          <w:rFonts w:ascii="Expert Sans Regular" w:hAnsi="Expert Sans Regular"/>
          <w:b/>
          <w:sz w:val="18"/>
          <w:szCs w:val="18"/>
        </w:rPr>
      </w:pPr>
    </w:p>
    <w:p w:rsidR="000D1659" w:rsidRPr="00491918" w:rsidRDefault="000D1659" w:rsidP="008D6001">
      <w:pPr>
        <w:pStyle w:val="c3"/>
        <w:jc w:val="both"/>
        <w:outlineLvl w:val="0"/>
        <w:rPr>
          <w:rFonts w:ascii="Expert Sans Regular" w:hAnsi="Expert Sans Regular"/>
          <w:b/>
          <w:color w:val="FF0000"/>
          <w:sz w:val="18"/>
          <w:szCs w:val="18"/>
        </w:rPr>
      </w:pPr>
      <w:r w:rsidRPr="00491918">
        <w:rPr>
          <w:rFonts w:ascii="Expert Sans Regular" w:hAnsi="Expert Sans Regular"/>
          <w:b/>
          <w:sz w:val="18"/>
          <w:szCs w:val="18"/>
        </w:rPr>
        <w:t xml:space="preserve">FERC Investigation </w:t>
      </w:r>
      <w:r w:rsidRPr="00491918">
        <w:rPr>
          <w:rFonts w:ascii="Expert Sans Regular" w:hAnsi="Expert Sans Regular"/>
          <w:b/>
          <w:color w:val="FF0000"/>
          <w:sz w:val="18"/>
          <w:szCs w:val="18"/>
        </w:rPr>
        <w:t xml:space="preserve"> </w:t>
      </w:r>
    </w:p>
    <w:p w:rsidR="000D1659" w:rsidRPr="00491918" w:rsidRDefault="000D1659" w:rsidP="000D1659">
      <w:pPr>
        <w:pStyle w:val="c3"/>
        <w:jc w:val="both"/>
        <w:rPr>
          <w:rFonts w:ascii="Expert Sans Regular" w:hAnsi="Expert Sans Regular"/>
          <w:sz w:val="18"/>
          <w:szCs w:val="18"/>
        </w:rPr>
      </w:pPr>
      <w:r w:rsidRPr="00491918">
        <w:rPr>
          <w:rFonts w:ascii="Expert Sans Regular" w:hAnsi="Expert Sans Regular"/>
          <w:sz w:val="18"/>
          <w:szCs w:val="18"/>
        </w:rPr>
        <w:lastRenderedPageBreak/>
        <w:t>The United States Federal Energy Regulatory Commission (</w:t>
      </w:r>
      <w:r w:rsidRPr="00491918">
        <w:rPr>
          <w:rFonts w:ascii="Expert Sans Regular" w:hAnsi="Expert Sans Regular"/>
          <w:bCs/>
          <w:sz w:val="18"/>
          <w:szCs w:val="18"/>
        </w:rPr>
        <w:t>FERC</w:t>
      </w:r>
      <w:r w:rsidRPr="00491918">
        <w:rPr>
          <w:rFonts w:ascii="Expert Sans Regular" w:hAnsi="Expert Sans Regular"/>
          <w:sz w:val="18"/>
          <w:szCs w:val="18"/>
        </w:rPr>
        <w:t>) Office of Enforcement has been investigating the Group’s power trading in the western US with respect to the period from late 2006 through 2008. On 31 October 2012, the FERC issued a public Order to Show Cause and Notice of Proposed Penalties (Order and Notice) against Barclays Bank PLC in relation to this matter.  In the Order and Notice the FERC asserts that Barclays Bank PLC violated the FERC’s Anti-Manipulation Rule by manipulating the electricity markets in and around California from November 2006 to December 2008, and proposed civil penalties and profit disgorgement to be paid by Barclays Bank PLC. On 16 July 2013 the FERC issued an Order Assessing Civil Penalties in which it assessed a $435m civil penalty against Barclays Bank PLC and ordered Barclays Bank PLC to disgorge an additional $34.9m of profits plus interest (both of which are consistent with the amounts it proposed in the Order and Notice). In order to attempt to collect the penalty and disgorgement amount, FERC must file a civil action in federal court. Barclays intends to vigorously defend this matter.</w:t>
      </w:r>
    </w:p>
    <w:p w:rsidR="000D1659" w:rsidRPr="00491918" w:rsidRDefault="000D1659" w:rsidP="008D6001">
      <w:pPr>
        <w:pStyle w:val="c3"/>
        <w:keepNext/>
        <w:jc w:val="both"/>
        <w:outlineLvl w:val="0"/>
        <w:rPr>
          <w:rFonts w:ascii="Expert Sans Regular" w:hAnsi="Expert Sans Regular"/>
          <w:b/>
          <w:sz w:val="18"/>
          <w:szCs w:val="18"/>
        </w:rPr>
      </w:pPr>
      <w:r w:rsidRPr="00491918">
        <w:rPr>
          <w:rFonts w:ascii="Expert Sans Regular" w:hAnsi="Expert Sans Regular"/>
          <w:b/>
          <w:sz w:val="18"/>
          <w:szCs w:val="18"/>
        </w:rPr>
        <w:t xml:space="preserve">Credit Default Swap (CDS) Antitrust Investigations </w:t>
      </w:r>
    </w:p>
    <w:p w:rsidR="000D1659" w:rsidRPr="00491918" w:rsidRDefault="000D1659" w:rsidP="000D1659">
      <w:pPr>
        <w:pStyle w:val="BodyText-AR249"/>
        <w:jc w:val="both"/>
        <w:rPr>
          <w:szCs w:val="18"/>
        </w:rPr>
      </w:pPr>
      <w:r w:rsidRPr="00491918">
        <w:rPr>
          <w:rFonts w:cs="Times"/>
          <w:sz w:val="18"/>
          <w:szCs w:val="18"/>
        </w:rPr>
        <w:t>Both the Commission and the DOJ-AD have commenced investigations in the CDS market (in 2011 and 2009, respectively).  On 1 July 2013 the Commission addressed a Statement of Objections to Barclays and 12 other banks, Markit and ISDA. The case relates to concerns that certain banks took collective action to delay and prevent the emergence of exchange traded credit derivative products. If the Commission does reach a decision in this matter it has indicated that it intends to impose sanctions. The Commission’s sanctions can include fines. The DOJ-AD’s investigation is a civil investigation and relates to similar issues.</w:t>
      </w:r>
      <w:r w:rsidRPr="00491918">
        <w:rPr>
          <w:sz w:val="18"/>
          <w:szCs w:val="18"/>
        </w:rPr>
        <w:t xml:space="preserve"> Putative class actions alleging similar issues have also been filed in the US.</w:t>
      </w:r>
      <w:r w:rsidRPr="00491918">
        <w:rPr>
          <w:rFonts w:cs="Times"/>
          <w:sz w:val="18"/>
          <w:szCs w:val="18"/>
        </w:rPr>
        <w:t xml:space="preserve"> The timing of these cases is uncertain and it is not possible to provide an estimate of the potential financial impact of this matter on Barclays.</w:t>
      </w:r>
    </w:p>
    <w:p w:rsidR="000D1659" w:rsidRPr="00491918" w:rsidRDefault="000D1659" w:rsidP="008D6001">
      <w:pPr>
        <w:pStyle w:val="c3"/>
        <w:jc w:val="both"/>
        <w:outlineLvl w:val="0"/>
        <w:rPr>
          <w:rFonts w:ascii="Expert Sans Regular" w:hAnsi="Expert Sans Regular"/>
          <w:b/>
          <w:color w:val="FF0000"/>
          <w:sz w:val="18"/>
          <w:szCs w:val="18"/>
        </w:rPr>
      </w:pPr>
      <w:r w:rsidRPr="00491918">
        <w:rPr>
          <w:rFonts w:ascii="Expert Sans Regular" w:hAnsi="Expert Sans Regular"/>
          <w:b/>
          <w:sz w:val="18"/>
          <w:szCs w:val="18"/>
        </w:rPr>
        <w:t xml:space="preserve">Other Regulatory Investigations </w:t>
      </w:r>
      <w:r w:rsidRPr="00491918">
        <w:rPr>
          <w:rFonts w:ascii="Expert Sans Regular" w:hAnsi="Expert Sans Regular"/>
          <w:b/>
          <w:color w:val="FF0000"/>
          <w:sz w:val="18"/>
          <w:szCs w:val="18"/>
        </w:rPr>
        <w:t xml:space="preserve"> </w:t>
      </w:r>
    </w:p>
    <w:p w:rsidR="006063F7" w:rsidRPr="00491918" w:rsidRDefault="006063F7" w:rsidP="006063F7">
      <w:pPr>
        <w:jc w:val="both"/>
        <w:rPr>
          <w:rFonts w:cs="Times"/>
          <w:sz w:val="18"/>
          <w:szCs w:val="18"/>
          <w:lang w:val="en-GB"/>
        </w:rPr>
      </w:pPr>
      <w:r w:rsidRPr="00491918">
        <w:rPr>
          <w:rFonts w:cs="Times"/>
          <w:sz w:val="18"/>
          <w:szCs w:val="18"/>
          <w:lang w:val="en-GB"/>
        </w:rPr>
        <w:t>The FCA and the Serious Fraud Office are both investigating certain commercial agreements between Barclays and Qatari interests and whether these may have related to Barclays’ capital raisings in June and November 2008. The FCA investigation involves four current and former senior employees, including Chris Lucas, Group Finance Director, as well as Barclays. The FCA enforcement investigation began in July 2012 and the Serious Fraud Office commenced its investigation in August 2012.</w:t>
      </w:r>
    </w:p>
    <w:p w:rsidR="006063F7" w:rsidRPr="00491918" w:rsidRDefault="006063F7" w:rsidP="006063F7">
      <w:pPr>
        <w:jc w:val="both"/>
        <w:rPr>
          <w:rFonts w:cs="Times"/>
          <w:sz w:val="18"/>
          <w:szCs w:val="18"/>
          <w:lang w:val="en-GB"/>
        </w:rPr>
      </w:pPr>
      <w:r w:rsidRPr="00491918">
        <w:rPr>
          <w:rFonts w:cs="Times"/>
          <w:sz w:val="18"/>
          <w:szCs w:val="18"/>
          <w:lang w:val="en-GB"/>
        </w:rPr>
        <w:t> </w:t>
      </w:r>
    </w:p>
    <w:p w:rsidR="006063F7" w:rsidRPr="00491918" w:rsidRDefault="006063F7" w:rsidP="006063F7">
      <w:pPr>
        <w:jc w:val="both"/>
        <w:rPr>
          <w:rFonts w:cs="Times"/>
          <w:sz w:val="18"/>
          <w:szCs w:val="18"/>
          <w:lang w:val="en-GB"/>
        </w:rPr>
      </w:pPr>
      <w:r w:rsidRPr="00491918">
        <w:rPr>
          <w:rFonts w:cs="Times"/>
          <w:sz w:val="18"/>
          <w:szCs w:val="18"/>
          <w:lang w:val="en-GB"/>
        </w:rPr>
        <w:t>The FCA provided its preliminary findings against Barclays on 27 June 2013 in respect of some of these commercial agreements.  Barclays has responded on 25 July 2013 contesting the FCA’s preliminary findings.   Barclays expects further developments in the near term.</w:t>
      </w:r>
    </w:p>
    <w:p w:rsidR="006063F7" w:rsidRPr="00491918" w:rsidRDefault="006063F7" w:rsidP="006063F7">
      <w:pPr>
        <w:jc w:val="both"/>
        <w:rPr>
          <w:rFonts w:cs="Times"/>
          <w:sz w:val="18"/>
          <w:szCs w:val="18"/>
          <w:lang w:val="en-GB"/>
        </w:rPr>
      </w:pPr>
      <w:r w:rsidRPr="00491918">
        <w:rPr>
          <w:rFonts w:cs="Times"/>
          <w:sz w:val="18"/>
          <w:szCs w:val="18"/>
          <w:lang w:val="en-GB"/>
        </w:rPr>
        <w:t> </w:t>
      </w:r>
    </w:p>
    <w:p w:rsidR="006063F7" w:rsidRPr="00491918" w:rsidRDefault="006063F7" w:rsidP="006063F7">
      <w:pPr>
        <w:jc w:val="both"/>
        <w:rPr>
          <w:rFonts w:cs="Times"/>
          <w:sz w:val="18"/>
          <w:szCs w:val="18"/>
          <w:lang w:val="en-GB"/>
        </w:rPr>
      </w:pPr>
      <w:r w:rsidRPr="00491918">
        <w:rPr>
          <w:rFonts w:cs="Times"/>
          <w:sz w:val="18"/>
          <w:szCs w:val="18"/>
          <w:lang w:val="en-GB"/>
        </w:rPr>
        <w:t>In October 2012 Barclays was informed by the DOJ and the SEC that they had commenced an investigation into whether the Group's relationships with third parties who assist Barclays to win or retain business are compliant with the United States Foreign Corrupt Practices Act.  The DOJ and the SEC are also investigating the commercial agreements and the US Federal Reserve has requested to be kept informed of these matters.  </w:t>
      </w:r>
    </w:p>
    <w:p w:rsidR="006063F7" w:rsidRPr="00491918" w:rsidRDefault="006063F7" w:rsidP="006063F7">
      <w:pPr>
        <w:jc w:val="both"/>
        <w:rPr>
          <w:rFonts w:cs="Times"/>
          <w:sz w:val="18"/>
          <w:szCs w:val="18"/>
          <w:lang w:val="en-GB"/>
        </w:rPr>
      </w:pPr>
      <w:r w:rsidRPr="00491918">
        <w:rPr>
          <w:rFonts w:cs="Times"/>
          <w:sz w:val="18"/>
          <w:szCs w:val="18"/>
          <w:lang w:val="en-GB"/>
        </w:rPr>
        <w:t> </w:t>
      </w:r>
    </w:p>
    <w:p w:rsidR="006063F7" w:rsidRPr="00491918" w:rsidRDefault="006063F7" w:rsidP="006063F7">
      <w:pPr>
        <w:jc w:val="both"/>
        <w:rPr>
          <w:rFonts w:cs="Times"/>
          <w:sz w:val="18"/>
          <w:szCs w:val="18"/>
          <w:lang w:val="en-GB"/>
        </w:rPr>
      </w:pPr>
      <w:r w:rsidRPr="00491918">
        <w:rPr>
          <w:rFonts w:cs="Times"/>
          <w:sz w:val="18"/>
          <w:szCs w:val="18"/>
          <w:lang w:val="en-GB"/>
        </w:rPr>
        <w:t>Barclays is co-operating with all the authorities fully. It is not possible to estimate the financial impact upon Barclays should any adverse findings be made.</w:t>
      </w:r>
    </w:p>
    <w:p w:rsidR="000D1659" w:rsidRPr="00491918" w:rsidRDefault="000D1659">
      <w:pPr>
        <w:rPr>
          <w:rFonts w:cs="Times"/>
          <w:sz w:val="18"/>
          <w:szCs w:val="18"/>
        </w:rPr>
      </w:pPr>
    </w:p>
    <w:p w:rsidR="000D1659" w:rsidRPr="00491918" w:rsidRDefault="000D1659" w:rsidP="000D1659">
      <w:pPr>
        <w:pStyle w:val="HeadingLevel1-BarcRA63"/>
        <w:rPr>
          <w:color w:val="auto"/>
          <w:lang w:val="en-GB"/>
        </w:rPr>
      </w:pPr>
      <w:r w:rsidRPr="00491918">
        <w:rPr>
          <w:color w:val="auto"/>
        </w:rPr>
        <w:t>22.</w:t>
      </w:r>
      <w:r w:rsidRPr="00491918">
        <w:rPr>
          <w:color w:val="auto"/>
        </w:rPr>
        <w:tab/>
      </w:r>
      <w:r w:rsidRPr="00491918">
        <w:rPr>
          <w:color w:val="auto"/>
          <w:lang w:val="en-GB"/>
        </w:rPr>
        <w:t>Related Party Transactions</w:t>
      </w:r>
    </w:p>
    <w:p w:rsidR="000D1659" w:rsidRPr="00491918" w:rsidRDefault="000D1659" w:rsidP="000D1659">
      <w:pPr>
        <w:pStyle w:val="Normal142"/>
        <w:jc w:val="both"/>
      </w:pPr>
      <w:r w:rsidRPr="00491918">
        <w:t>Related party transactions in the half year ended 30 June 2013 were similar in nature to those disclosed in the Group’s 2012 Annual Report. No related party transactions that have taken place in the six months to 30 June 2013 have materially affected the financial position or the performance of the Group during this period and there were no changes in the related parties transactions described in the 2012 Annual Report that could have a material effect on the financial position or performance of the Group in the first six months of the current financial year.</w:t>
      </w:r>
    </w:p>
    <w:p w:rsidR="006453C0" w:rsidRPr="00491918" w:rsidRDefault="006453C0" w:rsidP="000D1659">
      <w:pPr>
        <w:pStyle w:val="HeadingLevel1-BarcRA64"/>
        <w:rPr>
          <w:color w:val="auto"/>
          <w:sz w:val="6"/>
          <w:lang w:val="en-GB"/>
        </w:rPr>
      </w:pPr>
    </w:p>
    <w:p w:rsidR="0007202F" w:rsidRPr="00491918" w:rsidRDefault="0007202F" w:rsidP="000D1659">
      <w:pPr>
        <w:pStyle w:val="HeadingLevel1-BarcRA64"/>
        <w:rPr>
          <w:color w:val="auto"/>
          <w:lang w:val="en-GB"/>
        </w:rPr>
      </w:pPr>
    </w:p>
    <w:p w:rsidR="0007202F" w:rsidRPr="00491918" w:rsidRDefault="0007202F" w:rsidP="000D1659">
      <w:pPr>
        <w:pStyle w:val="HeadingLevel1-BarcRA64"/>
        <w:rPr>
          <w:color w:val="auto"/>
          <w:lang w:val="en-GB"/>
        </w:rPr>
      </w:pPr>
    </w:p>
    <w:p w:rsidR="0007202F" w:rsidRPr="00491918" w:rsidRDefault="0007202F" w:rsidP="0007202F">
      <w:pPr>
        <w:pStyle w:val="HeadingLevel1-BarcRA"/>
      </w:pPr>
      <w:r w:rsidRPr="00491918">
        <w:t>Financial Statement Notes</w:t>
      </w:r>
    </w:p>
    <w:p w:rsidR="000D1659" w:rsidRPr="00491918" w:rsidRDefault="00093576" w:rsidP="000D1659">
      <w:pPr>
        <w:pStyle w:val="HeadingLevel1-BarcRA64"/>
        <w:rPr>
          <w:color w:val="auto"/>
          <w:lang w:val="en-GB"/>
        </w:rPr>
      </w:pPr>
      <w:r w:rsidRPr="00491918">
        <w:rPr>
          <w:color w:val="auto"/>
        </w:rPr>
        <w:t>2</w:t>
      </w:r>
      <w:r w:rsidRPr="00491918">
        <w:rPr>
          <w:color w:val="auto"/>
          <w:lang w:val="en-GB"/>
        </w:rPr>
        <w:t>3</w:t>
      </w:r>
      <w:r w:rsidR="000D1659" w:rsidRPr="00491918">
        <w:rPr>
          <w:color w:val="auto"/>
        </w:rPr>
        <w:t>.</w:t>
      </w:r>
      <w:r w:rsidR="000D1659" w:rsidRPr="00491918">
        <w:rPr>
          <w:color w:val="auto"/>
        </w:rPr>
        <w:tab/>
      </w:r>
      <w:r w:rsidR="000D1659" w:rsidRPr="00491918">
        <w:rPr>
          <w:color w:val="auto"/>
          <w:lang w:val="en-GB"/>
        </w:rPr>
        <w:t>Segmental Reporting</w:t>
      </w:r>
    </w:p>
    <w:p w:rsidR="000D1659" w:rsidRPr="00491918" w:rsidRDefault="000D1659">
      <w:pPr>
        <w:rPr>
          <w:lang w:val="en-GB"/>
        </w:rPr>
      </w:pPr>
    </w:p>
    <w:tbl>
      <w:tblPr>
        <w:tblW w:w="0" w:type="auto"/>
        <w:tblLayout w:type="fixed"/>
        <w:tblLook w:val="0000" w:firstRow="0" w:lastRow="0" w:firstColumn="0" w:lastColumn="0" w:noHBand="0" w:noVBand="0"/>
      </w:tblPr>
      <w:tblGrid>
        <w:gridCol w:w="4020"/>
        <w:gridCol w:w="1125"/>
        <w:gridCol w:w="1125"/>
        <w:gridCol w:w="1125"/>
        <w:gridCol w:w="1125"/>
        <w:gridCol w:w="1125"/>
      </w:tblGrid>
      <w:tr w:rsidR="000D1659" w:rsidRPr="00491918">
        <w:trPr>
          <w:trHeight w:val="240"/>
        </w:trPr>
        <w:tc>
          <w:tcPr>
            <w:tcW w:w="4020" w:type="dxa"/>
            <w:tcBorders>
              <w:top w:val="nil"/>
              <w:left w:val="nil"/>
              <w:bottom w:val="nil"/>
              <w:right w:val="nil"/>
            </w:tcBorders>
            <w:shd w:val="clear" w:color="auto" w:fill="FFFFFF"/>
            <w:tcMar>
              <w:left w:w="36" w:type="dxa"/>
              <w:right w:w="36" w:type="dxa"/>
            </w:tcMar>
            <w:vAlign w:val="bottom"/>
          </w:tcPr>
          <w:p w:rsidR="000D1659" w:rsidRPr="00491918" w:rsidRDefault="000D1659">
            <w:pPr>
              <w:rPr>
                <w:lang w:val="en-GB"/>
              </w:rPr>
            </w:pPr>
            <w:r w:rsidRPr="00491918">
              <w:rPr>
                <w:b/>
                <w:color w:val="000000"/>
                <w:sz w:val="16"/>
                <w:lang w:val="en-GB"/>
              </w:rPr>
              <w:t>Analysis of results by business</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b/>
                <w:color w:val="000000"/>
                <w:sz w:val="16"/>
                <w:lang w:val="en-GB"/>
              </w:rPr>
              <w:t>UK RBB</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Europe RBB</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Africa RBB</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Barclaycard</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Half Year Ended 30 June 2013</w:t>
            </w:r>
            <w:r w:rsidRPr="00491918">
              <w:rPr>
                <w:b/>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Total income net of insurance claims</w:t>
            </w:r>
            <w:r w:rsidRPr="00491918">
              <w:rPr>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2,202 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352 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1,352 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2,343 </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(178)</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(142)</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(208)</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(616)</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16"/>
                <w:lang w:val="en-GB"/>
              </w:rPr>
              <w:t>Net operating income</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2,024 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210 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1,144 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1,727 </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Operating expenses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(1,393)</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(422)</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(926)</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(963)</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(660)</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(690)</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Provision for interest rate hedging products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(27)</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(356)</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(9)</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(5)</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81127">
            <w:pPr>
              <w:rPr>
                <w:b/>
                <w:color w:val="000000"/>
                <w:sz w:val="16"/>
                <w:lang w:val="en-GB"/>
              </w:rPr>
            </w:pPr>
            <w:r w:rsidRPr="00491918">
              <w:rPr>
                <w:color w:val="000000"/>
                <w:sz w:val="16"/>
                <w:lang w:val="en-GB"/>
              </w:rPr>
              <w:t>Other net income/(expense)</w:t>
            </w:r>
            <w:r w:rsidRPr="00491918">
              <w:rPr>
                <w:color w:val="000000"/>
                <w:sz w:val="16"/>
                <w:vertAlign w:val="superscript"/>
                <w:lang w:val="en-GB"/>
              </w:rPr>
              <w:t>1 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28 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(141)</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16 </w:t>
            </w:r>
          </w:p>
        </w:tc>
      </w:tr>
      <w:tr w:rsidR="000D1659" w:rsidRPr="00491918" w:rsidTr="006453C0">
        <w:trPr>
          <w:trHeight w:val="198"/>
        </w:trPr>
        <w:tc>
          <w:tcPr>
            <w:tcW w:w="4020"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DD3185">
            <w:pPr>
              <w:rPr>
                <w:b/>
                <w:color w:val="000000"/>
                <w:sz w:val="16"/>
                <w:lang w:val="en-GB"/>
              </w:rPr>
            </w:pPr>
            <w:r w:rsidRPr="00491918">
              <w:rPr>
                <w:color w:val="000000"/>
                <w:sz w:val="16"/>
                <w:lang w:val="en-GB"/>
              </w:rPr>
              <w:t>(Loss)</w:t>
            </w:r>
            <w:r w:rsidR="000D1659" w:rsidRPr="00491918">
              <w:rPr>
                <w:color w:val="000000"/>
                <w:sz w:val="16"/>
                <w:lang w:val="en-GB"/>
              </w:rPr>
              <w:t>/profit before tax</w:t>
            </w:r>
            <w:r w:rsidR="000D1659"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(28)</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(709)</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212 </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85 </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16"/>
                <w:lang w:val="en-GB"/>
              </w:rPr>
              <w:t xml:space="preserve">Total assets </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color w:val="000000"/>
                <w:sz w:val="16"/>
                <w:lang w:val="en-GB"/>
              </w:rPr>
            </w:pPr>
            <w:r w:rsidRPr="00491918">
              <w:rPr>
                <w:b/>
                <w:color w:val="000000"/>
                <w:sz w:val="16"/>
                <w:lang w:val="en-GB"/>
              </w:rPr>
              <w:t>159,515 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48,674 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37,500 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39,224 </w:t>
            </w:r>
          </w:p>
        </w:tc>
      </w:tr>
      <w:tr w:rsidR="000D1659" w:rsidRPr="00491918" w:rsidTr="006453C0">
        <w:trPr>
          <w:trHeight w:val="464"/>
        </w:trPr>
        <w:tc>
          <w:tcPr>
            <w:tcW w:w="4020" w:type="dxa"/>
            <w:tcBorders>
              <w:top w:val="nil"/>
              <w:left w:val="nil"/>
              <w:bottom w:val="nil"/>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lastRenderedPageBreak/>
              <w:t>Analysis of results by business</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Investment Bank</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p w:rsidR="000D1659" w:rsidRPr="00491918" w:rsidRDefault="000D1659">
            <w:pPr>
              <w:jc w:val="right"/>
              <w:rPr>
                <w:b/>
                <w:color w:val="000000"/>
                <w:sz w:val="16"/>
                <w:lang w:val="en-GB"/>
              </w:rPr>
            </w:pPr>
            <w:r w:rsidRPr="00491918">
              <w:rPr>
                <w:b/>
                <w:color w:val="000000"/>
                <w:sz w:val="16"/>
                <w:lang w:val="en-GB"/>
              </w:rPr>
              <w:t>Corporate Banking</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Wealth and Investment Management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Head Office</w:t>
            </w:r>
          </w:p>
          <w:p w:rsidR="000D1659" w:rsidRPr="00491918" w:rsidRDefault="000D1659">
            <w:pPr>
              <w:jc w:val="right"/>
              <w:rPr>
                <w:b/>
                <w:color w:val="000000"/>
                <w:sz w:val="16"/>
                <w:lang w:val="en-GB"/>
              </w:rPr>
            </w:pPr>
            <w:r w:rsidRPr="00491918">
              <w:rPr>
                <w:b/>
                <w:color w:val="000000"/>
                <w:sz w:val="16"/>
                <w:lang w:val="en-GB"/>
              </w:rPr>
              <w:t>and Other</w:t>
            </w:r>
          </w:p>
          <w:p w:rsidR="000D1659" w:rsidRPr="00491918" w:rsidRDefault="000D1659">
            <w:pPr>
              <w:jc w:val="right"/>
              <w:rPr>
                <w:b/>
                <w:color w:val="000000"/>
                <w:sz w:val="16"/>
                <w:lang w:val="en-GB"/>
              </w:rPr>
            </w:pPr>
            <w:r w:rsidRPr="00491918">
              <w:rPr>
                <w:b/>
                <w:color w:val="000000"/>
                <w:sz w:val="16"/>
                <w:lang w:val="en-GB"/>
              </w:rPr>
              <w:t>Operations</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Group Total</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Half Year Ended 30 June 2013 continued</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Total income</w:t>
            </w:r>
            <w:r w:rsidR="00DD3185" w:rsidRPr="00491918">
              <w:rPr>
                <w:color w:val="000000"/>
                <w:sz w:val="16"/>
                <w:lang w:val="en-GB"/>
              </w:rPr>
              <w:t>/(expense)</w:t>
            </w:r>
            <w:r w:rsidRPr="00491918">
              <w:rPr>
                <w:color w:val="000000"/>
                <w:sz w:val="16"/>
                <w:lang w:val="en-GB"/>
              </w:rPr>
              <w:t xml:space="preserve"> net of insurance claims</w:t>
            </w:r>
            <w:r w:rsidRPr="00491918">
              <w:rPr>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6,473 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1,552 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931 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(48)</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15,157 </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391981">
            <w:pPr>
              <w:jc w:val="right"/>
              <w:rPr>
                <w:color w:val="000000"/>
                <w:sz w:val="16"/>
                <w:vertAlign w:val="superscript"/>
                <w:lang w:val="en-GB"/>
              </w:rPr>
            </w:pPr>
            <w:r w:rsidRPr="00491918">
              <w:rPr>
                <w:b/>
                <w:color w:val="000000"/>
                <w:sz w:val="16"/>
                <w:lang w:val="en-GB"/>
              </w:rPr>
              <w:t>(181)</w:t>
            </w:r>
            <w:r w:rsidR="000D1659" w:rsidRPr="00491918">
              <w:rPr>
                <w:b/>
                <w:color w:val="000000"/>
                <w:sz w:val="16"/>
                <w:lang w:val="en-GB"/>
              </w:rPr>
              <w:t>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(258)</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(49)</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391981">
            <w:pPr>
              <w:jc w:val="right"/>
              <w:rPr>
                <w:b/>
                <w:color w:val="000000"/>
                <w:sz w:val="16"/>
                <w:lang w:val="en-GB"/>
              </w:rPr>
            </w:pPr>
            <w:r w:rsidRPr="00491918">
              <w:rPr>
                <w:b/>
                <w:color w:val="000000"/>
                <w:sz w:val="16"/>
                <w:lang w:val="en-GB"/>
              </w:rPr>
              <w:t>(1,631</w:t>
            </w:r>
            <w:r w:rsidR="000D1659" w:rsidRPr="00491918">
              <w:rPr>
                <w:b/>
                <w:color w:val="000000"/>
                <w:sz w:val="16"/>
                <w:lang w:val="en-GB"/>
              </w:rPr>
              <w:t>)</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16"/>
                <w:lang w:val="en-GB"/>
              </w:rPr>
              <w:t>Net operating income</w:t>
            </w:r>
            <w:r w:rsidR="00DD3185" w:rsidRPr="00491918">
              <w:rPr>
                <w:b/>
                <w:color w:val="000000"/>
                <w:sz w:val="16"/>
                <w:lang w:val="en-GB"/>
              </w:rPr>
              <w:t>/(expense)</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391981">
            <w:pPr>
              <w:jc w:val="right"/>
              <w:rPr>
                <w:b/>
                <w:color w:val="000000"/>
                <w:sz w:val="16"/>
                <w:vertAlign w:val="superscript"/>
                <w:lang w:val="en-GB"/>
              </w:rPr>
            </w:pPr>
            <w:r w:rsidRPr="00491918">
              <w:rPr>
                <w:b/>
                <w:color w:val="000000"/>
                <w:sz w:val="16"/>
                <w:lang w:val="en-GB"/>
              </w:rPr>
              <w:t>6,292</w:t>
            </w:r>
            <w:r w:rsidR="000D1659" w:rsidRPr="00491918">
              <w:rPr>
                <w:b/>
                <w:color w:val="000000"/>
                <w:sz w:val="16"/>
                <w:lang w:val="en-GB"/>
              </w:rPr>
              <w:t>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1,294 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882 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(47)</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391981">
            <w:pPr>
              <w:jc w:val="right"/>
              <w:rPr>
                <w:b/>
                <w:color w:val="000000"/>
                <w:sz w:val="16"/>
                <w:lang w:val="en-GB"/>
              </w:rPr>
            </w:pPr>
            <w:r w:rsidRPr="00491918">
              <w:rPr>
                <w:b/>
                <w:color w:val="000000"/>
                <w:sz w:val="16"/>
                <w:lang w:val="en-GB"/>
              </w:rPr>
              <w:t>13,526</w:t>
            </w:r>
            <w:r w:rsidR="000D1659" w:rsidRPr="00491918">
              <w:rPr>
                <w:b/>
                <w:color w:val="000000"/>
                <w:sz w:val="16"/>
                <w:lang w:val="en-GB"/>
              </w:rPr>
              <w:t> </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Operating expenses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(3,751)</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(852)</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(810)</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(24)</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(9,141)</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(1,350)</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Provision for interest rate hedging products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(650)</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(650)</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Costs to achieve Transform</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(169)</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(41)</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(33)</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(640)</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81127">
            <w:pPr>
              <w:rPr>
                <w:b/>
                <w:color w:val="000000"/>
                <w:sz w:val="16"/>
                <w:lang w:val="en-GB"/>
              </w:rPr>
            </w:pPr>
            <w:r w:rsidRPr="00491918">
              <w:rPr>
                <w:color w:val="000000"/>
                <w:sz w:val="16"/>
                <w:lang w:val="en-GB"/>
              </w:rPr>
              <w:t>Other net income/(expense)</w:t>
            </w:r>
            <w:r w:rsidRPr="00491918">
              <w:rPr>
                <w:color w:val="000000"/>
                <w:sz w:val="16"/>
                <w:vertAlign w:val="superscript"/>
                <w:lang w:val="en-GB"/>
              </w:rPr>
              <w:t>1 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17 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8 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w:t>
            </w:r>
          </w:p>
        </w:tc>
        <w:tc>
          <w:tcPr>
            <w:tcW w:w="1125"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(68)</w:t>
            </w:r>
          </w:p>
        </w:tc>
      </w:tr>
      <w:tr w:rsidR="000D1659" w:rsidRPr="00491918" w:rsidTr="006453C0">
        <w:trPr>
          <w:trHeight w:val="188"/>
        </w:trPr>
        <w:tc>
          <w:tcPr>
            <w:tcW w:w="4020"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16"/>
                <w:lang w:val="en-GB"/>
              </w:rPr>
              <w:t xml:space="preserve">Profit /(loss) before tax </w:t>
            </w:r>
            <w:r w:rsidRPr="00491918">
              <w:rPr>
                <w:b/>
                <w:color w:val="000000"/>
                <w:sz w:val="16"/>
                <w:vertAlign w:val="superscript"/>
                <w:lang w:val="en-GB"/>
              </w:rPr>
              <w:t xml:space="preserve"> </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391981">
            <w:pPr>
              <w:jc w:val="right"/>
              <w:rPr>
                <w:b/>
                <w:color w:val="000000"/>
                <w:sz w:val="16"/>
                <w:vertAlign w:val="superscript"/>
                <w:lang w:val="en-GB"/>
              </w:rPr>
            </w:pPr>
            <w:r w:rsidRPr="00491918">
              <w:rPr>
                <w:b/>
                <w:color w:val="000000"/>
                <w:sz w:val="16"/>
                <w:lang w:val="en-GB"/>
              </w:rPr>
              <w:t>2,389</w:t>
            </w:r>
            <w:r w:rsidR="000D1659" w:rsidRPr="00491918">
              <w:rPr>
                <w:b/>
                <w:color w:val="000000"/>
                <w:sz w:val="16"/>
                <w:lang w:val="en-GB"/>
              </w:rPr>
              <w:t> </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(248)</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47 </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(71)</w:t>
            </w:r>
          </w:p>
        </w:tc>
        <w:tc>
          <w:tcPr>
            <w:tcW w:w="1125" w:type="dxa"/>
            <w:tcBorders>
              <w:top w:val="single" w:sz="6" w:space="0" w:color="969696"/>
              <w:left w:val="nil"/>
              <w:bottom w:val="single" w:sz="6" w:space="0" w:color="969696"/>
              <w:right w:val="nil"/>
            </w:tcBorders>
            <w:shd w:val="clear" w:color="auto" w:fill="EAEAEA"/>
            <w:tcMar>
              <w:left w:w="36" w:type="dxa"/>
              <w:right w:w="36" w:type="dxa"/>
            </w:tcMar>
          </w:tcPr>
          <w:p w:rsidR="000D1659" w:rsidRPr="00491918" w:rsidRDefault="00391981">
            <w:pPr>
              <w:jc w:val="right"/>
              <w:rPr>
                <w:b/>
                <w:color w:val="000000"/>
                <w:sz w:val="16"/>
                <w:lang w:val="en-GB"/>
              </w:rPr>
            </w:pPr>
            <w:r w:rsidRPr="00491918">
              <w:rPr>
                <w:b/>
                <w:color w:val="000000"/>
                <w:sz w:val="16"/>
                <w:lang w:val="en-GB"/>
              </w:rPr>
              <w:t>1,677</w:t>
            </w:r>
            <w:r w:rsidR="000D1659" w:rsidRPr="00491918">
              <w:rPr>
                <w:b/>
                <w:color w:val="000000"/>
                <w:sz w:val="16"/>
                <w:lang w:val="en-GB"/>
              </w:rPr>
              <w:t> </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16"/>
                <w:lang w:val="en-GB"/>
              </w:rPr>
              <w:t xml:space="preserve">Total assets </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391981">
            <w:pPr>
              <w:jc w:val="right"/>
              <w:rPr>
                <w:b/>
                <w:color w:val="000000"/>
                <w:sz w:val="16"/>
                <w:vertAlign w:val="superscript"/>
                <w:lang w:val="en-GB"/>
              </w:rPr>
            </w:pPr>
            <w:r w:rsidRPr="00491918">
              <w:rPr>
                <w:b/>
                <w:color w:val="000000"/>
                <w:sz w:val="16"/>
                <w:lang w:val="en-GB"/>
              </w:rPr>
              <w:t>1,043,786</w:t>
            </w:r>
            <w:r w:rsidR="000D1659" w:rsidRPr="00491918">
              <w:rPr>
                <w:b/>
                <w:color w:val="000000"/>
                <w:sz w:val="16"/>
                <w:lang w:val="en-GB"/>
              </w:rPr>
              <w:t>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120,377 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36,475 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lang w:val="en-GB"/>
              </w:rPr>
            </w:pPr>
            <w:r w:rsidRPr="00491918">
              <w:rPr>
                <w:b/>
                <w:color w:val="000000"/>
                <w:sz w:val="16"/>
                <w:lang w:val="en-GB"/>
              </w:rPr>
              <w:t>47,182 </w:t>
            </w:r>
          </w:p>
        </w:tc>
        <w:tc>
          <w:tcPr>
            <w:tcW w:w="1125" w:type="dxa"/>
            <w:tcBorders>
              <w:top w:val="single" w:sz="6" w:space="0" w:color="969696"/>
              <w:left w:val="nil"/>
              <w:bottom w:val="nil"/>
              <w:right w:val="nil"/>
            </w:tcBorders>
            <w:shd w:val="clear" w:color="auto" w:fill="EAEAEA"/>
            <w:tcMar>
              <w:left w:w="36" w:type="dxa"/>
              <w:right w:w="36" w:type="dxa"/>
            </w:tcMar>
          </w:tcPr>
          <w:p w:rsidR="000D1659" w:rsidRPr="00491918" w:rsidRDefault="00391981">
            <w:pPr>
              <w:jc w:val="right"/>
              <w:rPr>
                <w:b/>
                <w:color w:val="000000"/>
                <w:sz w:val="16"/>
                <w:lang w:val="en-GB"/>
              </w:rPr>
            </w:pPr>
            <w:r w:rsidRPr="00491918">
              <w:rPr>
                <w:b/>
                <w:color w:val="000000"/>
                <w:sz w:val="16"/>
                <w:lang w:val="en-GB"/>
              </w:rPr>
              <w:t>1,532,733</w:t>
            </w:r>
            <w:r w:rsidR="000D1659" w:rsidRPr="00491918">
              <w:rPr>
                <w:b/>
                <w:color w:val="000000"/>
                <w:sz w:val="16"/>
                <w:lang w:val="en-GB"/>
              </w:rPr>
              <w:t> </w:t>
            </w:r>
          </w:p>
        </w:tc>
      </w:tr>
      <w:tr w:rsidR="000D1659" w:rsidRPr="00491918">
        <w:trPr>
          <w:trHeight w:hRule="exac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xml:space="preserve">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4020"/>
        <w:gridCol w:w="1125"/>
        <w:gridCol w:w="1125"/>
        <w:gridCol w:w="1125"/>
        <w:gridCol w:w="1125"/>
        <w:gridCol w:w="1125"/>
      </w:tblGrid>
      <w:tr w:rsidR="000D1659" w:rsidRPr="00491918">
        <w:trPr>
          <w:trHeight w:val="255"/>
        </w:trPr>
        <w:tc>
          <w:tcPr>
            <w:tcW w:w="4020" w:type="dxa"/>
            <w:tcBorders>
              <w:top w:val="nil"/>
              <w:left w:val="nil"/>
              <w:bottom w:val="nil"/>
              <w:right w:val="nil"/>
            </w:tcBorders>
            <w:shd w:val="clear" w:color="auto" w:fill="FFFFFF"/>
            <w:tcMar>
              <w:left w:w="36" w:type="dxa"/>
              <w:right w:w="36" w:type="dxa"/>
            </w:tcMar>
            <w:vAlign w:val="bottom"/>
          </w:tcPr>
          <w:p w:rsidR="000D1659" w:rsidRPr="00491918" w:rsidRDefault="000D1659">
            <w:pPr>
              <w:rPr>
                <w:lang w:val="en-GB"/>
              </w:rPr>
            </w:pPr>
            <w:r w:rsidRPr="00491918">
              <w:rPr>
                <w:b/>
                <w:color w:val="000000"/>
                <w:sz w:val="16"/>
                <w:lang w:val="en-GB"/>
              </w:rPr>
              <w:t>Analysis of results by business</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UK RBB</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Europe RBB</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Africa RBB</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Barclaycard</w:t>
            </w:r>
          </w:p>
        </w:tc>
      </w:tr>
      <w:tr w:rsidR="000D1659" w:rsidRPr="00491918">
        <w:trPr>
          <w:trHeight w:val="255"/>
        </w:trPr>
        <w:tc>
          <w:tcPr>
            <w:tcW w:w="4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Half Year Ended 31 December 2012</w:t>
            </w:r>
            <w:r w:rsidRPr="00491918">
              <w:rPr>
                <w:b/>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r>
      <w:tr w:rsidR="000D1659" w:rsidRPr="00491918">
        <w:trPr>
          <w:trHeight w:val="255"/>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Total income net of insurance claims</w:t>
            </w:r>
            <w:r w:rsidRPr="00491918">
              <w:rPr>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2,200 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329 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1,435 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2,232 </w:t>
            </w:r>
          </w:p>
        </w:tc>
      </w:tr>
      <w:tr w:rsidR="000D1659" w:rsidRPr="00491918">
        <w:trPr>
          <w:trHeight w:val="255"/>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(147)</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(132)</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(318)</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(557)</w:t>
            </w:r>
          </w:p>
        </w:tc>
      </w:tr>
      <w:tr w:rsidR="000D1659" w:rsidRPr="00491918">
        <w:trPr>
          <w:trHeight w:val="255"/>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Net operating income</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2,053 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197 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1,117 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1,675 </w:t>
            </w:r>
          </w:p>
        </w:tc>
      </w:tr>
      <w:tr w:rsidR="000D1659" w:rsidRPr="00491918">
        <w:trPr>
          <w:trHeight w:val="255"/>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Operating expenses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(1,407)</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(378)</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(961)</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(940)</w:t>
            </w:r>
          </w:p>
        </w:tc>
      </w:tr>
      <w:tr w:rsidR="000D1659" w:rsidRPr="00491918">
        <w:trPr>
          <w:trHeight w:val="255"/>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(880)</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(420)</w:t>
            </w:r>
          </w:p>
        </w:tc>
      </w:tr>
      <w:tr w:rsidR="000D1659" w:rsidRPr="00491918">
        <w:trPr>
          <w:trHeight w:val="255"/>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(17)</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(20)</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(24)</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(16)</w:t>
            </w:r>
          </w:p>
        </w:tc>
      </w:tr>
      <w:tr w:rsidR="000D1659" w:rsidRPr="00491918">
        <w:trPr>
          <w:trHeight w:val="255"/>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81127">
            <w:pPr>
              <w:rPr>
                <w:color w:val="000000"/>
                <w:sz w:val="16"/>
                <w:lang w:val="en-GB"/>
              </w:rPr>
            </w:pPr>
            <w:r w:rsidRPr="00491918">
              <w:rPr>
                <w:color w:val="000000"/>
                <w:sz w:val="16"/>
                <w:lang w:val="en-GB"/>
              </w:rPr>
              <w:t>Other net income</w:t>
            </w:r>
            <w:r w:rsidRPr="00491918">
              <w:rPr>
                <w:color w:val="000000"/>
                <w:sz w:val="16"/>
                <w:vertAlign w:val="superscript"/>
                <w:lang w:val="en-GB"/>
              </w:rPr>
              <w:t>1 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6 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7 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12 </w:t>
            </w:r>
          </w:p>
        </w:tc>
      </w:tr>
      <w:tr w:rsidR="000D1659" w:rsidRPr="00491918" w:rsidTr="006453C0">
        <w:trPr>
          <w:trHeight w:val="232"/>
        </w:trPr>
        <w:tc>
          <w:tcPr>
            <w:tcW w:w="4020"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81127">
            <w:pPr>
              <w:rPr>
                <w:color w:val="000000"/>
                <w:sz w:val="16"/>
                <w:lang w:val="en-GB"/>
              </w:rPr>
            </w:pPr>
            <w:r w:rsidRPr="00491918">
              <w:rPr>
                <w:b/>
                <w:color w:val="000000"/>
                <w:sz w:val="16"/>
                <w:lang w:val="en-GB"/>
              </w:rPr>
              <w:t xml:space="preserve">(Loss)/profit before tax </w:t>
            </w:r>
            <w:r w:rsidRPr="00491918">
              <w:rPr>
                <w:b/>
                <w:color w:val="000000"/>
                <w:sz w:val="16"/>
                <w:vertAlign w:val="superscript"/>
                <w:lang w:val="en-GB"/>
              </w:rPr>
              <w:t xml:space="preserve">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(247)</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(195)</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139 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311 </w:t>
            </w:r>
          </w:p>
        </w:tc>
      </w:tr>
      <w:tr w:rsidR="000D1659" w:rsidRPr="00491918" w:rsidTr="006453C0">
        <w:trPr>
          <w:trHeight w:val="292"/>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Total assets </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134,554 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46,119 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42,228 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38,156 </w:t>
            </w:r>
          </w:p>
        </w:tc>
      </w:tr>
    </w:tbl>
    <w:p w:rsidR="001B0DD0" w:rsidRPr="00491918" w:rsidRDefault="001B0DD0">
      <w:pPr>
        <w:rPr>
          <w:sz w:val="18"/>
          <w:szCs w:val="18"/>
        </w:rPr>
      </w:pPr>
    </w:p>
    <w:p w:rsidR="001B0DD0" w:rsidRPr="00491918" w:rsidRDefault="001B0DD0"/>
    <w:tbl>
      <w:tblPr>
        <w:tblW w:w="0" w:type="auto"/>
        <w:tblLayout w:type="fixed"/>
        <w:tblLook w:val="0000" w:firstRow="0" w:lastRow="0" w:firstColumn="0" w:lastColumn="0" w:noHBand="0" w:noVBand="0"/>
      </w:tblPr>
      <w:tblGrid>
        <w:gridCol w:w="4020"/>
        <w:gridCol w:w="1125"/>
        <w:gridCol w:w="1125"/>
        <w:gridCol w:w="1125"/>
        <w:gridCol w:w="1125"/>
        <w:gridCol w:w="1125"/>
      </w:tblGrid>
      <w:tr w:rsidR="000D1659" w:rsidRPr="00491918">
        <w:trPr>
          <w:trHeight w:val="765"/>
        </w:trPr>
        <w:tc>
          <w:tcPr>
            <w:tcW w:w="402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Analysis of results by business</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Investment Bank</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p w:rsidR="000D1659" w:rsidRPr="00491918" w:rsidRDefault="000D1659">
            <w:pPr>
              <w:jc w:val="right"/>
              <w:rPr>
                <w:b/>
                <w:color w:val="000000"/>
                <w:sz w:val="16"/>
                <w:lang w:val="en-GB"/>
              </w:rPr>
            </w:pPr>
            <w:r w:rsidRPr="00491918">
              <w:rPr>
                <w:b/>
                <w:color w:val="000000"/>
                <w:sz w:val="16"/>
                <w:lang w:val="en-GB"/>
              </w:rPr>
              <w:t>Corporate Banking</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Wealth and Investment Management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Head Office</w:t>
            </w:r>
          </w:p>
          <w:p w:rsidR="000D1659" w:rsidRPr="00491918" w:rsidRDefault="000D1659">
            <w:pPr>
              <w:jc w:val="right"/>
              <w:rPr>
                <w:b/>
                <w:color w:val="000000"/>
                <w:sz w:val="16"/>
                <w:lang w:val="en-GB"/>
              </w:rPr>
            </w:pPr>
            <w:r w:rsidRPr="00491918">
              <w:rPr>
                <w:b/>
                <w:color w:val="000000"/>
                <w:sz w:val="16"/>
                <w:lang w:val="en-GB"/>
              </w:rPr>
              <w:t>and Other</w:t>
            </w:r>
          </w:p>
          <w:p w:rsidR="000D1659" w:rsidRPr="00491918" w:rsidRDefault="000D1659">
            <w:pPr>
              <w:jc w:val="right"/>
              <w:rPr>
                <w:b/>
                <w:color w:val="000000"/>
                <w:sz w:val="16"/>
                <w:lang w:val="en-GB"/>
              </w:rPr>
            </w:pPr>
            <w:r w:rsidRPr="00491918">
              <w:rPr>
                <w:b/>
                <w:color w:val="000000"/>
                <w:sz w:val="16"/>
                <w:lang w:val="en-GB"/>
              </w:rPr>
              <w:t>Operations</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Group Total</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Half Year Ended 31 December 2012 continued</w:t>
            </w:r>
            <w:r w:rsidRPr="00491918">
              <w:rPr>
                <w:b/>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Total income</w:t>
            </w:r>
            <w:r w:rsidR="00510D2C" w:rsidRPr="00491918">
              <w:rPr>
                <w:color w:val="000000"/>
                <w:sz w:val="16"/>
                <w:lang w:val="en-GB"/>
              </w:rPr>
              <w:t>/(expense)</w:t>
            </w:r>
            <w:r w:rsidRPr="00491918">
              <w:rPr>
                <w:color w:val="000000"/>
                <w:sz w:val="16"/>
                <w:lang w:val="en-GB"/>
              </w:rPr>
              <w:t xml:space="preserve"> net of insurance claims</w:t>
            </w:r>
            <w:r w:rsidRPr="00491918">
              <w:rPr>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5,315 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1,463 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926 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(1,665)</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12,235 </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(454)</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(19)</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(1,630)</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Net operating income</w:t>
            </w:r>
            <w:r w:rsidR="00510D2C" w:rsidRPr="00491918">
              <w:rPr>
                <w:b/>
                <w:color w:val="000000"/>
                <w:sz w:val="16"/>
                <w:lang w:val="en-GB"/>
              </w:rPr>
              <w:t>/(expense)</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5,313 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1,009 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907 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(1,666)</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10,605 </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Operating expenses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(3,381)</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(833)</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(730)</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(67)</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(8,697)</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(1,300)</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Provision for interest rate hedging products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(400)</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(400)</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UK Bank levy</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(206)</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(39)</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(19)</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(345)</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81127">
            <w:pPr>
              <w:rPr>
                <w:color w:val="000000"/>
                <w:sz w:val="16"/>
                <w:lang w:val="en-GB"/>
              </w:rPr>
            </w:pPr>
            <w:r w:rsidRPr="00491918">
              <w:rPr>
                <w:color w:val="000000"/>
                <w:sz w:val="16"/>
                <w:lang w:val="en-GB"/>
              </w:rPr>
              <w:t>Other net income/(expense)</w:t>
            </w:r>
            <w:r w:rsidRPr="00491918">
              <w:rPr>
                <w:color w:val="000000"/>
                <w:sz w:val="16"/>
                <w:vertAlign w:val="superscript"/>
                <w:lang w:val="en-GB"/>
              </w:rPr>
              <w:t>1 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22 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12 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63 </w:t>
            </w:r>
          </w:p>
        </w:tc>
      </w:tr>
      <w:tr w:rsidR="000D1659" w:rsidRPr="00491918">
        <w:trPr>
          <w:trHeight w:val="480"/>
        </w:trPr>
        <w:tc>
          <w:tcPr>
            <w:tcW w:w="4020"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Profit /(loss) before tax </w:t>
            </w:r>
            <w:r w:rsidRPr="00491918">
              <w:rPr>
                <w:b/>
                <w:color w:val="000000"/>
                <w:sz w:val="16"/>
                <w:vertAlign w:val="superscript"/>
                <w:lang w:val="en-GB"/>
              </w:rPr>
              <w:t xml:space="preserve">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1,748 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(251)</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175 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(1,754)</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(74)</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Total assets </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1,073,663 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87,841 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24,480 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41,294 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1,488,335 </w:t>
            </w:r>
          </w:p>
        </w:tc>
      </w:tr>
      <w:tr w:rsidR="000D1659" w:rsidRPr="00491918">
        <w:trPr>
          <w:trHeight w:hRule="exac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r>
    </w:tbl>
    <w:p w:rsidR="000D1659" w:rsidRPr="00491918" w:rsidRDefault="000D1659">
      <w:pPr>
        <w:rPr>
          <w:lang w:val="en-GB"/>
        </w:rPr>
      </w:pPr>
    </w:p>
    <w:p w:rsidR="00DD3185" w:rsidRPr="00491918" w:rsidRDefault="00DD3185">
      <w:pPr>
        <w:rPr>
          <w:lang w:val="en-GB"/>
        </w:rPr>
      </w:pPr>
    </w:p>
    <w:p w:rsidR="00DD3185" w:rsidRPr="00491918" w:rsidRDefault="00DD3185">
      <w:pPr>
        <w:rPr>
          <w:lang w:val="en-GB"/>
        </w:rPr>
      </w:pPr>
    </w:p>
    <w:p w:rsidR="00DD3185" w:rsidRPr="00491918" w:rsidRDefault="00DD3185">
      <w:pPr>
        <w:rPr>
          <w:lang w:val="en-GB"/>
        </w:rPr>
      </w:pPr>
    </w:p>
    <w:p w:rsidR="00DD3185" w:rsidRPr="00491918" w:rsidRDefault="00DD3185">
      <w:pPr>
        <w:rPr>
          <w:lang w:val="en-GB"/>
        </w:rPr>
      </w:pPr>
    </w:p>
    <w:p w:rsidR="00DD3185" w:rsidRPr="00491918" w:rsidRDefault="00DD3185">
      <w:pPr>
        <w:rPr>
          <w:lang w:val="en-GB"/>
        </w:rPr>
      </w:pPr>
    </w:p>
    <w:p w:rsidR="00DD3185" w:rsidRPr="00491918" w:rsidRDefault="00DD3185">
      <w:pPr>
        <w:rPr>
          <w:lang w:val="en-GB"/>
        </w:rPr>
      </w:pPr>
    </w:p>
    <w:p w:rsidR="00DD3185" w:rsidRPr="00491918" w:rsidRDefault="00DD3185">
      <w:pPr>
        <w:rPr>
          <w:lang w:val="en-GB"/>
        </w:rPr>
      </w:pPr>
    </w:p>
    <w:p w:rsidR="00DD3185" w:rsidRPr="00491918" w:rsidRDefault="00DD3185">
      <w:pPr>
        <w:rPr>
          <w:lang w:val="en-GB"/>
        </w:rPr>
      </w:pPr>
    </w:p>
    <w:p w:rsidR="00DD3185" w:rsidRPr="00491918" w:rsidRDefault="00DD3185" w:rsidP="00CC41A9">
      <w:pPr>
        <w:pStyle w:val="NoteandSourceText-BarcRA31"/>
        <w:numPr>
          <w:ilvl w:val="0"/>
          <w:numId w:val="230"/>
        </w:numPr>
        <w:ind w:left="284" w:hanging="284"/>
      </w:pPr>
      <w:r w:rsidRPr="00491918">
        <w:t>Other income/(losses) represents: share of post-tax results of associates and joint ventures; profit or (loss) on disposal of subsidiaries, associates and joint ventures; and gains on acquisitions.</w:t>
      </w:r>
    </w:p>
    <w:p w:rsidR="00DD3185" w:rsidRPr="00491918" w:rsidRDefault="00DD3185">
      <w:pPr>
        <w:rPr>
          <w:lang w:val="en-GB"/>
        </w:rPr>
      </w:pPr>
    </w:p>
    <w:tbl>
      <w:tblPr>
        <w:tblW w:w="0" w:type="auto"/>
        <w:tblLayout w:type="fixed"/>
        <w:tblLook w:val="0000" w:firstRow="0" w:lastRow="0" w:firstColumn="0" w:lastColumn="0" w:noHBand="0" w:noVBand="0"/>
      </w:tblPr>
      <w:tblGrid>
        <w:gridCol w:w="4020"/>
        <w:gridCol w:w="1125"/>
        <w:gridCol w:w="1125"/>
        <w:gridCol w:w="1125"/>
        <w:gridCol w:w="1125"/>
        <w:gridCol w:w="1125"/>
      </w:tblGrid>
      <w:tr w:rsidR="000D1659" w:rsidRPr="00491918" w:rsidTr="00E24786">
        <w:trPr>
          <w:trHeight w:val="240"/>
        </w:trPr>
        <w:tc>
          <w:tcPr>
            <w:tcW w:w="4020" w:type="dxa"/>
            <w:tcBorders>
              <w:top w:val="nil"/>
              <w:left w:val="nil"/>
              <w:bottom w:val="nil"/>
              <w:right w:val="nil"/>
            </w:tcBorders>
            <w:shd w:val="clear" w:color="auto" w:fill="FFFFFF"/>
            <w:tcMar>
              <w:left w:w="36" w:type="dxa"/>
              <w:right w:w="36" w:type="dxa"/>
            </w:tcMar>
          </w:tcPr>
          <w:p w:rsidR="0007202F" w:rsidRPr="00491918" w:rsidRDefault="00E24786" w:rsidP="00E24786">
            <w:pPr>
              <w:pStyle w:val="HeadingLevel1-BarcRA"/>
              <w:jc w:val="left"/>
            </w:pPr>
            <w:r w:rsidRPr="00491918">
              <w:rPr>
                <w:lang w:val="en-GB"/>
              </w:rPr>
              <w:t>F</w:t>
            </w:r>
            <w:r w:rsidR="0007202F" w:rsidRPr="00491918">
              <w:t>inancial Statement Notes</w:t>
            </w:r>
          </w:p>
          <w:p w:rsidR="00E24786" w:rsidRPr="00491918" w:rsidRDefault="00E24786" w:rsidP="00E24786">
            <w:pPr>
              <w:rPr>
                <w:b/>
                <w:color w:val="000000"/>
                <w:sz w:val="16"/>
                <w:lang w:val="en-GB"/>
              </w:rPr>
            </w:pPr>
          </w:p>
          <w:p w:rsidR="000D1659" w:rsidRPr="00491918" w:rsidRDefault="000D1659" w:rsidP="00E24786">
            <w:pPr>
              <w:rPr>
                <w:lang w:val="en-GB"/>
              </w:rPr>
            </w:pPr>
            <w:r w:rsidRPr="00491918">
              <w:rPr>
                <w:b/>
                <w:color w:val="000000"/>
                <w:sz w:val="16"/>
                <w:lang w:val="en-GB"/>
              </w:rPr>
              <w:t>Analysis of results by business</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0D1659" w:rsidRPr="00491918" w:rsidRDefault="000D1659">
            <w:pPr>
              <w:jc w:val="right"/>
              <w:rPr>
                <w:b/>
                <w:color w:val="000000"/>
                <w:sz w:val="16"/>
                <w:lang w:val="en-GB"/>
              </w:rPr>
            </w:pPr>
            <w:r w:rsidRPr="00491918">
              <w:rPr>
                <w:b/>
                <w:color w:val="000000"/>
                <w:sz w:val="16"/>
                <w:lang w:val="en-GB"/>
              </w:rPr>
              <w:t>UK RBB</w:t>
            </w:r>
          </w:p>
        </w:tc>
        <w:tc>
          <w:tcPr>
            <w:tcW w:w="1125" w:type="dxa"/>
            <w:tcBorders>
              <w:top w:val="nil"/>
              <w:left w:val="nil"/>
              <w:bottom w:val="nil"/>
              <w:right w:val="nil"/>
            </w:tcBorders>
            <w:shd w:val="clear" w:color="auto" w:fill="FFFFFF"/>
            <w:tcMar>
              <w:left w:w="36" w:type="dxa"/>
              <w:right w:w="36" w:type="dxa"/>
            </w:tcMar>
            <w:vAlign w:val="bottom"/>
          </w:tcPr>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0D1659" w:rsidRPr="00491918" w:rsidRDefault="000D1659">
            <w:pPr>
              <w:jc w:val="right"/>
              <w:rPr>
                <w:b/>
                <w:color w:val="000000"/>
                <w:sz w:val="16"/>
                <w:lang w:val="en-GB"/>
              </w:rPr>
            </w:pPr>
            <w:r w:rsidRPr="00491918">
              <w:rPr>
                <w:b/>
                <w:color w:val="000000"/>
                <w:sz w:val="16"/>
                <w:lang w:val="en-GB"/>
              </w:rPr>
              <w:t>Europe RBB</w:t>
            </w:r>
          </w:p>
        </w:tc>
        <w:tc>
          <w:tcPr>
            <w:tcW w:w="1125" w:type="dxa"/>
            <w:tcBorders>
              <w:top w:val="nil"/>
              <w:left w:val="nil"/>
              <w:bottom w:val="nil"/>
              <w:right w:val="nil"/>
            </w:tcBorders>
            <w:shd w:val="clear" w:color="auto" w:fill="FFFFFF"/>
            <w:tcMar>
              <w:left w:w="36" w:type="dxa"/>
              <w:right w:w="36" w:type="dxa"/>
            </w:tcMar>
            <w:vAlign w:val="bottom"/>
          </w:tcPr>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0D1659" w:rsidRPr="00491918" w:rsidRDefault="000D1659">
            <w:pPr>
              <w:jc w:val="right"/>
              <w:rPr>
                <w:b/>
                <w:color w:val="000000"/>
                <w:sz w:val="16"/>
                <w:lang w:val="en-GB"/>
              </w:rPr>
            </w:pPr>
            <w:r w:rsidRPr="00491918">
              <w:rPr>
                <w:b/>
                <w:color w:val="000000"/>
                <w:sz w:val="16"/>
                <w:lang w:val="en-GB"/>
              </w:rPr>
              <w:t>Africa RBB</w:t>
            </w:r>
          </w:p>
        </w:tc>
        <w:tc>
          <w:tcPr>
            <w:tcW w:w="1125" w:type="dxa"/>
            <w:tcBorders>
              <w:top w:val="nil"/>
              <w:left w:val="nil"/>
              <w:bottom w:val="nil"/>
              <w:right w:val="nil"/>
            </w:tcBorders>
            <w:shd w:val="clear" w:color="auto" w:fill="FFFFFF"/>
            <w:tcMar>
              <w:left w:w="36" w:type="dxa"/>
              <w:right w:w="36" w:type="dxa"/>
            </w:tcMar>
            <w:vAlign w:val="bottom"/>
          </w:tcPr>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CC7F01" w:rsidRPr="00491918" w:rsidRDefault="00CC7F01">
            <w:pPr>
              <w:jc w:val="right"/>
              <w:rPr>
                <w:b/>
                <w:color w:val="000000"/>
                <w:sz w:val="16"/>
                <w:lang w:val="en-GB"/>
              </w:rPr>
            </w:pPr>
          </w:p>
          <w:p w:rsidR="000D1659" w:rsidRPr="00491918" w:rsidRDefault="000D1659">
            <w:pPr>
              <w:jc w:val="right"/>
              <w:rPr>
                <w:b/>
                <w:color w:val="000000"/>
                <w:sz w:val="16"/>
                <w:lang w:val="en-GB"/>
              </w:rPr>
            </w:pPr>
            <w:r w:rsidRPr="00491918">
              <w:rPr>
                <w:b/>
                <w:color w:val="000000"/>
                <w:sz w:val="16"/>
                <w:lang w:val="en-GB"/>
              </w:rPr>
              <w:t>Barclaycard</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t>Half Year Ended 30 June 2012</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b/>
                <w:color w:val="000000"/>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Total income net of insurance claims</w:t>
            </w:r>
            <w:r w:rsidRPr="00491918">
              <w:rPr>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2,184 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379 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1,493 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2,112 </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(122)</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(125)</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(314)</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(492)</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Net operating income</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2,062 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254 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1,179 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1,620 </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Operating expenses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(1,470)</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(409)</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(999)</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(886)</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(300)</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81127">
            <w:pPr>
              <w:rPr>
                <w:color w:val="000000"/>
                <w:sz w:val="16"/>
                <w:lang w:val="en-GB"/>
              </w:rPr>
            </w:pPr>
            <w:r w:rsidRPr="00491918">
              <w:rPr>
                <w:color w:val="000000"/>
                <w:sz w:val="16"/>
                <w:lang w:val="en-GB"/>
              </w:rPr>
              <w:t>Other net income</w:t>
            </w:r>
            <w:r w:rsidRPr="00491918">
              <w:rPr>
                <w:color w:val="000000"/>
                <w:sz w:val="16"/>
                <w:vertAlign w:val="superscript"/>
                <w:lang w:val="en-GB"/>
              </w:rPr>
              <w:t>1 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7 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17 </w:t>
            </w:r>
          </w:p>
        </w:tc>
      </w:tr>
      <w:tr w:rsidR="000D1659" w:rsidRPr="00491918">
        <w:trPr>
          <w:trHeight w:val="480"/>
        </w:trPr>
        <w:tc>
          <w:tcPr>
            <w:tcW w:w="4020"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Profit /(loss) before tax </w:t>
            </w:r>
            <w:r w:rsidRPr="00491918">
              <w:rPr>
                <w:b/>
                <w:color w:val="000000"/>
                <w:sz w:val="16"/>
                <w:vertAlign w:val="superscript"/>
                <w:lang w:val="en-GB"/>
              </w:rPr>
              <w:t xml:space="preserve">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292 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(148)</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183 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751 </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Total assets </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129,652 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47,066 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44,348 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35,444 </w:t>
            </w:r>
          </w:p>
        </w:tc>
      </w:tr>
      <w:tr w:rsidR="000D1659" w:rsidRPr="00491918">
        <w:trPr>
          <w:trHeight w:val="765"/>
        </w:trPr>
        <w:tc>
          <w:tcPr>
            <w:tcW w:w="402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b/>
                <w:color w:val="000000"/>
                <w:sz w:val="16"/>
                <w:lang w:val="en-GB"/>
              </w:rPr>
              <w:t>Analysis of results by business</w:t>
            </w:r>
            <w:r w:rsidRPr="00491918">
              <w:rPr>
                <w:b/>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vertAlign w:val="superscript"/>
                <w:lang w:val="en-GB"/>
              </w:rPr>
            </w:pPr>
            <w:r w:rsidRPr="00491918">
              <w:rPr>
                <w:b/>
                <w:color w:val="000000"/>
                <w:sz w:val="16"/>
                <w:lang w:val="en-GB"/>
              </w:rPr>
              <w:t>Investment Bank</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p>
          <w:p w:rsidR="000D1659" w:rsidRPr="00491918" w:rsidRDefault="000D1659">
            <w:pPr>
              <w:jc w:val="right"/>
              <w:rPr>
                <w:b/>
                <w:color w:val="000000"/>
                <w:sz w:val="16"/>
                <w:lang w:val="en-GB"/>
              </w:rPr>
            </w:pPr>
            <w:r w:rsidRPr="00491918">
              <w:rPr>
                <w:b/>
                <w:color w:val="000000"/>
                <w:sz w:val="16"/>
                <w:lang w:val="en-GB"/>
              </w:rPr>
              <w:t>Corporate Banking</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Wealth and Investment Management</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Head Office</w:t>
            </w:r>
          </w:p>
          <w:p w:rsidR="000D1659" w:rsidRPr="00491918" w:rsidRDefault="000D1659">
            <w:pPr>
              <w:jc w:val="right"/>
              <w:rPr>
                <w:b/>
                <w:color w:val="000000"/>
                <w:sz w:val="16"/>
                <w:lang w:val="en-GB"/>
              </w:rPr>
            </w:pPr>
            <w:r w:rsidRPr="00491918">
              <w:rPr>
                <w:b/>
                <w:color w:val="000000"/>
                <w:sz w:val="16"/>
                <w:lang w:val="en-GB"/>
              </w:rPr>
              <w:t>and Other</w:t>
            </w:r>
          </w:p>
          <w:p w:rsidR="000D1659" w:rsidRPr="00491918" w:rsidRDefault="000D1659">
            <w:pPr>
              <w:jc w:val="right"/>
              <w:rPr>
                <w:b/>
                <w:color w:val="000000"/>
                <w:sz w:val="16"/>
                <w:lang w:val="en-GB"/>
              </w:rPr>
            </w:pPr>
            <w:r w:rsidRPr="00491918">
              <w:rPr>
                <w:b/>
                <w:color w:val="000000"/>
                <w:sz w:val="16"/>
                <w:lang w:val="en-GB"/>
              </w:rPr>
              <w:t>Operations</w:t>
            </w:r>
          </w:p>
        </w:tc>
        <w:tc>
          <w:tcPr>
            <w:tcW w:w="1125"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Group Total</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rPr>
                <w:b/>
                <w:color w:val="000000"/>
                <w:sz w:val="16"/>
                <w:lang w:val="en-GB"/>
              </w:rPr>
            </w:pPr>
            <w:r w:rsidRPr="00491918">
              <w:rPr>
                <w:b/>
                <w:color w:val="000000"/>
                <w:sz w:val="16"/>
                <w:lang w:val="en-GB"/>
              </w:rPr>
              <w:lastRenderedPageBreak/>
              <w:t>Half Year Ended 30 June 2012 continued</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c>
          <w:tcPr>
            <w:tcW w:w="1125"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£m</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color w:val="000000"/>
                <w:sz w:val="16"/>
                <w:lang w:val="en-GB"/>
              </w:rPr>
              <w:t>Total income</w:t>
            </w:r>
            <w:r w:rsidR="00510D2C" w:rsidRPr="00491918">
              <w:rPr>
                <w:color w:val="000000"/>
                <w:sz w:val="16"/>
                <w:lang w:val="en-GB"/>
              </w:rPr>
              <w:t>/(expense)</w:t>
            </w:r>
            <w:r w:rsidRPr="00491918">
              <w:rPr>
                <w:color w:val="000000"/>
                <w:sz w:val="16"/>
                <w:lang w:val="en-GB"/>
              </w:rPr>
              <w:t xml:space="preserve"> net of insurance claims</w:t>
            </w:r>
            <w:r w:rsidRPr="00491918">
              <w:rPr>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6,460 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1,583 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894 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(2,331)</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12,774 </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Credit impairment charges and other provisions</w:t>
            </w:r>
            <w:r w:rsidRPr="00491918">
              <w:rPr>
                <w:color w:val="000000"/>
                <w:sz w:val="16"/>
                <w:vertAlign w:val="superscript"/>
                <w:lang w:val="en-GB"/>
              </w:rPr>
              <w:t xml:space="preserve">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(202)</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(431)</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(19)</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(5)</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(1,710)</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Net operating income</w:t>
            </w:r>
            <w:r w:rsidR="00510D2C" w:rsidRPr="00491918">
              <w:rPr>
                <w:b/>
                <w:color w:val="000000"/>
                <w:sz w:val="16"/>
                <w:lang w:val="en-GB"/>
              </w:rPr>
              <w:t>/(expense)</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6,258 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1,152 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875 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(2,336)</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11,064 </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Operating expenses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(4,044)</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(839)</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(775)</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(98)</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(9,520)</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Provision for PPI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(300)</w:t>
            </w:r>
          </w:p>
        </w:tc>
      </w:tr>
      <w:tr w:rsidR="000D1659" w:rsidRPr="00491918">
        <w:trPr>
          <w:trHeight w:val="240"/>
        </w:trPr>
        <w:tc>
          <w:tcPr>
            <w:tcW w:w="40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Provision for interest rate hedging products redress</w:t>
            </w:r>
            <w:r w:rsidRPr="00491918">
              <w:rPr>
                <w:color w:val="000000"/>
                <w:sz w:val="16"/>
                <w:vertAlign w:val="superscript"/>
                <w:lang w:val="en-GB"/>
              </w:rPr>
              <w:t xml:space="preserve">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(450)</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w:t>
            </w:r>
          </w:p>
        </w:tc>
        <w:tc>
          <w:tcPr>
            <w:tcW w:w="1125"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(450)</w:t>
            </w:r>
          </w:p>
        </w:tc>
      </w:tr>
      <w:tr w:rsidR="000D1659" w:rsidRPr="00491918">
        <w:trPr>
          <w:trHeight w:val="240"/>
        </w:trPr>
        <w:tc>
          <w:tcPr>
            <w:tcW w:w="4020" w:type="dxa"/>
            <w:tcBorders>
              <w:top w:val="nil"/>
              <w:left w:val="nil"/>
              <w:bottom w:val="single" w:sz="6" w:space="0" w:color="969696"/>
              <w:right w:val="nil"/>
            </w:tcBorders>
            <w:shd w:val="clear" w:color="auto" w:fill="FFFFFF"/>
            <w:tcMar>
              <w:left w:w="36" w:type="dxa"/>
              <w:right w:w="36" w:type="dxa"/>
            </w:tcMar>
          </w:tcPr>
          <w:p w:rsidR="000D1659" w:rsidRPr="00491918" w:rsidRDefault="00081127">
            <w:pPr>
              <w:rPr>
                <w:color w:val="000000"/>
                <w:sz w:val="16"/>
                <w:lang w:val="en-GB"/>
              </w:rPr>
            </w:pPr>
            <w:r w:rsidRPr="00491918">
              <w:rPr>
                <w:color w:val="000000"/>
                <w:sz w:val="16"/>
                <w:lang w:val="en-GB"/>
              </w:rPr>
              <w:t>Other net income/(expense)</w:t>
            </w:r>
            <w:r w:rsidRPr="00491918">
              <w:rPr>
                <w:color w:val="000000"/>
                <w:sz w:val="16"/>
                <w:vertAlign w:val="superscript"/>
                <w:lang w:val="en-GB"/>
              </w:rPr>
              <w:t>1 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28 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25 </w:t>
            </w:r>
          </w:p>
        </w:tc>
        <w:tc>
          <w:tcPr>
            <w:tcW w:w="1125"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77 </w:t>
            </w:r>
          </w:p>
        </w:tc>
      </w:tr>
      <w:tr w:rsidR="000D1659" w:rsidRPr="00491918">
        <w:trPr>
          <w:trHeight w:val="480"/>
        </w:trPr>
        <w:tc>
          <w:tcPr>
            <w:tcW w:w="4020"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510D2C">
            <w:pPr>
              <w:rPr>
                <w:color w:val="000000"/>
                <w:sz w:val="16"/>
                <w:lang w:val="en-GB"/>
              </w:rPr>
            </w:pPr>
            <w:r w:rsidRPr="00491918">
              <w:rPr>
                <w:b/>
                <w:color w:val="000000"/>
                <w:sz w:val="16"/>
                <w:lang w:val="en-GB"/>
              </w:rPr>
              <w:t>Profit</w:t>
            </w:r>
            <w:r w:rsidR="000D1659" w:rsidRPr="00491918">
              <w:rPr>
                <w:b/>
                <w:color w:val="000000"/>
                <w:sz w:val="16"/>
                <w:lang w:val="en-GB"/>
              </w:rPr>
              <w:t xml:space="preserve">/(loss) before tax </w:t>
            </w:r>
            <w:r w:rsidR="000D1659" w:rsidRPr="00491918">
              <w:rPr>
                <w:b/>
                <w:color w:val="000000"/>
                <w:sz w:val="16"/>
                <w:vertAlign w:val="superscript"/>
                <w:lang w:val="en-GB"/>
              </w:rPr>
              <w:t xml:space="preserve">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2,242 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(139)</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99 </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(2,409)</w:t>
            </w:r>
          </w:p>
        </w:tc>
        <w:tc>
          <w:tcPr>
            <w:tcW w:w="1125" w:type="dxa"/>
            <w:tcBorders>
              <w:top w:val="single" w:sz="6" w:space="0" w:color="969696"/>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871 </w:t>
            </w:r>
          </w:p>
        </w:tc>
      </w:tr>
      <w:tr w:rsidR="000D1659" w:rsidRPr="00491918">
        <w:trPr>
          <w:trHeight w:val="240"/>
        </w:trPr>
        <w:tc>
          <w:tcPr>
            <w:tcW w:w="40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Total assets </w:t>
            </w:r>
            <w:r w:rsidRPr="00491918">
              <w:rPr>
                <w:b/>
                <w:color w:val="000000"/>
                <w:sz w:val="16"/>
                <w:vertAlign w:val="superscript"/>
                <w:lang w:val="en-GB"/>
              </w:rPr>
              <w:t xml:space="preserve">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1,223,950 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89,865 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23,390 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35,341 </w:t>
            </w:r>
          </w:p>
        </w:tc>
        <w:tc>
          <w:tcPr>
            <w:tcW w:w="1125"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1,629,056 </w:t>
            </w:r>
          </w:p>
        </w:tc>
      </w:tr>
    </w:tbl>
    <w:p w:rsidR="000D1659" w:rsidRPr="00491918" w:rsidRDefault="000D1659">
      <w:pPr>
        <w:rPr>
          <w:lang w:val="en-GB"/>
        </w:rPr>
      </w:pPr>
    </w:p>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0D1659" w:rsidRPr="00491918">
        <w:trPr>
          <w:trHeight w:hRule="exact" w:val="240"/>
        </w:trPr>
        <w:tc>
          <w:tcPr>
            <w:tcW w:w="3720" w:type="dxa"/>
            <w:tcBorders>
              <w:top w:val="nil"/>
              <w:left w:val="nil"/>
              <w:bottom w:val="nil"/>
              <w:right w:val="nil"/>
            </w:tcBorders>
            <w:shd w:val="clear" w:color="auto" w:fill="FFFFFF"/>
            <w:tcMar>
              <w:left w:w="36" w:type="dxa"/>
              <w:right w:w="36" w:type="dxa"/>
            </w:tcMar>
            <w:vAlign w:val="bottom"/>
          </w:tcPr>
          <w:p w:rsidR="000D1659" w:rsidRPr="00491918" w:rsidRDefault="000D1659">
            <w:pPr>
              <w:rPr>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p>
        </w:tc>
      </w:tr>
      <w:tr w:rsidR="003D6023" w:rsidRPr="00491918" w:rsidTr="00F92E6D">
        <w:trPr>
          <w:trHeight w:val="240"/>
        </w:trPr>
        <w:tc>
          <w:tcPr>
            <w:tcW w:w="372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2880" w:type="dxa"/>
            <w:gridSpan w:val="3"/>
            <w:tcBorders>
              <w:top w:val="nil"/>
              <w:left w:val="nil"/>
              <w:bottom w:val="single" w:sz="6" w:space="0" w:color="A5A5A5"/>
              <w:right w:val="nil"/>
            </w:tcBorders>
            <w:shd w:val="clear" w:color="auto" w:fill="FFFFFF"/>
            <w:tcMar>
              <w:left w:w="36" w:type="dxa"/>
              <w:right w:w="36" w:type="dxa"/>
            </w:tcMar>
          </w:tcPr>
          <w:p w:rsidR="000D1659" w:rsidRPr="00491918" w:rsidRDefault="000D1659">
            <w:pPr>
              <w:jc w:val="center"/>
              <w:rPr>
                <w:color w:val="000000"/>
                <w:sz w:val="16"/>
                <w:vertAlign w:val="superscript"/>
                <w:lang w:val="en-GB"/>
              </w:rPr>
            </w:pPr>
            <w:r w:rsidRPr="00491918">
              <w:rPr>
                <w:b/>
                <w:color w:val="000000"/>
                <w:sz w:val="16"/>
                <w:lang w:val="en-GB"/>
              </w:rPr>
              <w:t>Adjusted</w:t>
            </w:r>
            <w:r w:rsidR="001B0DD0" w:rsidRPr="00491918">
              <w:rPr>
                <w:b/>
                <w:color w:val="000000"/>
                <w:sz w:val="16"/>
                <w:vertAlign w:val="superscript"/>
                <w:lang w:val="en-GB"/>
              </w:rPr>
              <w:t>2</w:t>
            </w:r>
          </w:p>
        </w:tc>
        <w:tc>
          <w:tcPr>
            <w:tcW w:w="180" w:type="dxa"/>
            <w:tcBorders>
              <w:top w:val="nil"/>
              <w:left w:val="nil"/>
              <w:bottom w:val="nil"/>
              <w:right w:val="nil"/>
            </w:tcBorders>
            <w:shd w:val="clear" w:color="auto" w:fill="FFFFFF"/>
            <w:tcMar>
              <w:left w:w="36" w:type="dxa"/>
              <w:right w:w="36" w:type="dxa"/>
            </w:tcMar>
          </w:tcPr>
          <w:p w:rsidR="000D1659" w:rsidRPr="00491918" w:rsidRDefault="000D1659" w:rsidP="001B0DD0">
            <w:pPr>
              <w:jc w:val="right"/>
              <w:rPr>
                <w:b/>
                <w:color w:val="000000"/>
                <w:sz w:val="16"/>
                <w:lang w:val="en-GB"/>
              </w:rPr>
            </w:pPr>
            <w:r w:rsidRPr="00491918">
              <w:rPr>
                <w:color w:val="000000"/>
                <w:sz w:val="16"/>
                <w:lang w:val="en-GB"/>
              </w:rPr>
              <w:t xml:space="preserve"> </w:t>
            </w:r>
            <w:r w:rsidRPr="00491918">
              <w:rPr>
                <w:color w:val="000000"/>
                <w:sz w:val="16"/>
                <w:vertAlign w:val="superscript"/>
                <w:lang w:val="en-GB"/>
              </w:rPr>
              <w:t> </w:t>
            </w:r>
          </w:p>
        </w:tc>
        <w:tc>
          <w:tcPr>
            <w:tcW w:w="2880" w:type="dxa"/>
            <w:gridSpan w:val="3"/>
            <w:tcBorders>
              <w:top w:val="nil"/>
              <w:left w:val="nil"/>
              <w:bottom w:val="single" w:sz="6" w:space="0" w:color="A5A5A5"/>
              <w:right w:val="nil"/>
            </w:tcBorders>
            <w:shd w:val="clear" w:color="auto" w:fill="FFFFFF"/>
            <w:tcMar>
              <w:left w:w="36" w:type="dxa"/>
              <w:right w:w="36" w:type="dxa"/>
            </w:tcMar>
          </w:tcPr>
          <w:p w:rsidR="000D1659" w:rsidRPr="00491918" w:rsidRDefault="000D1659">
            <w:pPr>
              <w:jc w:val="center"/>
              <w:rPr>
                <w:color w:val="000000"/>
                <w:sz w:val="16"/>
                <w:vertAlign w:val="superscript"/>
                <w:lang w:val="en-GB"/>
              </w:rPr>
            </w:pPr>
            <w:r w:rsidRPr="00491918">
              <w:rPr>
                <w:b/>
                <w:color w:val="000000"/>
                <w:sz w:val="16"/>
                <w:lang w:val="en-GB"/>
              </w:rPr>
              <w:t>Statutory</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20"/>
                <w:lang w:val="en-GB"/>
              </w:rPr>
              <w:t>Income by Geographic Region</w:t>
            </w:r>
            <w:r w:rsidR="001B0DD0" w:rsidRPr="00491918">
              <w:rPr>
                <w:b/>
                <w:color w:val="000000"/>
                <w:sz w:val="20"/>
                <w:vertAlign w:val="superscript"/>
                <w:lang w:val="en-GB"/>
              </w:rPr>
              <w:t>3</w:t>
            </w:r>
            <w:r w:rsidRPr="00491918">
              <w:rPr>
                <w:color w:val="000000"/>
                <w:sz w:val="16"/>
                <w:vertAlign w:val="superscript"/>
                <w:lang w:val="en-GB"/>
              </w:rPr>
              <w:t xml:space="preserve"> </w:t>
            </w:r>
          </w:p>
        </w:tc>
        <w:tc>
          <w:tcPr>
            <w:tcW w:w="960"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30.06.13</w:t>
            </w:r>
          </w:p>
        </w:tc>
        <w:tc>
          <w:tcPr>
            <w:tcW w:w="960"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30.06.12</w:t>
            </w:r>
          </w:p>
        </w:tc>
        <w:tc>
          <w:tcPr>
            <w:tcW w:w="960"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color w:val="000000"/>
                <w:sz w:val="16"/>
                <w:lang w:val="en-GB"/>
              </w:rPr>
              <w:t xml:space="preserve"> </w:t>
            </w:r>
          </w:p>
        </w:tc>
        <w:tc>
          <w:tcPr>
            <w:tcW w:w="18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color w:val="000000"/>
                <w:sz w:val="16"/>
                <w:vertAlign w:val="superscript"/>
                <w:lang w:val="en-GB"/>
              </w:rPr>
            </w:pPr>
            <w:r w:rsidRPr="00491918">
              <w:rPr>
                <w:b/>
                <w:color w:val="000000"/>
                <w:sz w:val="16"/>
                <w:lang w:val="en-GB"/>
              </w:rPr>
              <w:t>30.06.13</w:t>
            </w:r>
          </w:p>
        </w:tc>
        <w:tc>
          <w:tcPr>
            <w:tcW w:w="960"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30.06.12</w:t>
            </w:r>
          </w:p>
        </w:tc>
        <w:tc>
          <w:tcPr>
            <w:tcW w:w="960" w:type="dxa"/>
            <w:tcBorders>
              <w:top w:val="single" w:sz="6" w:space="0" w:color="A5A5A5"/>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color w:val="000000"/>
                <w:sz w:val="16"/>
                <w:lang w:val="en-GB"/>
              </w:rPr>
              <w:t xml:space="preserve"> </w:t>
            </w:r>
          </w:p>
        </w:tc>
      </w:tr>
      <w:tr w:rsidR="000D1659" w:rsidRPr="00491918">
        <w:trPr>
          <w:trHeight w:val="240"/>
        </w:trPr>
        <w:tc>
          <w:tcPr>
            <w:tcW w:w="37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p>
        </w:tc>
        <w:tc>
          <w:tcPr>
            <w:tcW w:w="96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color w:val="000000"/>
                <w:sz w:val="16"/>
                <w:lang w:val="en-GB"/>
              </w:rPr>
              <w:t>£m</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£m</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Change</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vertAlign w:val="superscript"/>
                <w:lang w:val="en-GB"/>
              </w:rPr>
            </w:pPr>
            <w:r w:rsidRPr="00491918">
              <w:rPr>
                <w:color w:val="000000"/>
                <w:sz w:val="16"/>
                <w:lang w:val="en-GB"/>
              </w:rPr>
              <w:t>£m</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£m</w:t>
            </w:r>
          </w:p>
        </w:tc>
        <w:tc>
          <w:tcPr>
            <w:tcW w:w="960" w:type="dxa"/>
            <w:tcBorders>
              <w:top w:val="nil"/>
              <w:left w:val="nil"/>
              <w:bottom w:val="single" w:sz="6" w:space="0" w:color="969696"/>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Change</w:t>
            </w:r>
          </w:p>
        </w:tc>
      </w:tr>
    </w:tbl>
    <w:p w:rsidR="00F92E6D" w:rsidRPr="00491918" w:rsidRDefault="00F92E6D"/>
    <w:tbl>
      <w:tblPr>
        <w:tblW w:w="0" w:type="auto"/>
        <w:tblLayout w:type="fixed"/>
        <w:tblLook w:val="0000" w:firstRow="0" w:lastRow="0" w:firstColumn="0" w:lastColumn="0" w:noHBand="0" w:noVBand="0"/>
      </w:tblPr>
      <w:tblGrid>
        <w:gridCol w:w="3720"/>
        <w:gridCol w:w="960"/>
        <w:gridCol w:w="960"/>
        <w:gridCol w:w="960"/>
        <w:gridCol w:w="180"/>
        <w:gridCol w:w="960"/>
        <w:gridCol w:w="960"/>
        <w:gridCol w:w="960"/>
      </w:tblGrid>
      <w:tr w:rsidR="000D1659" w:rsidRPr="00491918" w:rsidTr="00F92E6D">
        <w:trPr>
          <w:trHeight w:val="240"/>
        </w:trPr>
        <w:tc>
          <w:tcPr>
            <w:tcW w:w="3720" w:type="dxa"/>
            <w:tcBorders>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UK</w:t>
            </w:r>
            <w:r w:rsidRPr="00491918">
              <w:rPr>
                <w:b/>
                <w:color w:val="000000"/>
                <w:sz w:val="16"/>
                <w:vertAlign w:val="superscript"/>
                <w:lang w:val="en-GB"/>
              </w:rPr>
              <w:t xml:space="preserve"> </w:t>
            </w:r>
          </w:p>
        </w:tc>
        <w:tc>
          <w:tcPr>
            <w:tcW w:w="960" w:type="dxa"/>
            <w:tcBorders>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5,914 </w:t>
            </w:r>
          </w:p>
        </w:tc>
        <w:tc>
          <w:tcPr>
            <w:tcW w:w="960" w:type="dxa"/>
            <w:tcBorders>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6,893 </w:t>
            </w:r>
          </w:p>
        </w:tc>
        <w:tc>
          <w:tcPr>
            <w:tcW w:w="960"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(14)</w:t>
            </w:r>
          </w:p>
        </w:tc>
        <w:tc>
          <w:tcPr>
            <w:tcW w:w="180" w:type="dxa"/>
            <w:tcBorders>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6,000 </w:t>
            </w:r>
          </w:p>
        </w:tc>
        <w:tc>
          <w:tcPr>
            <w:tcW w:w="960" w:type="dxa"/>
            <w:tcBorders>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3,948 </w:t>
            </w:r>
          </w:p>
        </w:tc>
        <w:tc>
          <w:tcPr>
            <w:tcW w:w="960" w:type="dxa"/>
            <w:tcBorders>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52 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Europe</w:t>
            </w:r>
            <w:r w:rsidRPr="00491918">
              <w:rPr>
                <w:color w:val="000000"/>
                <w:sz w:val="16"/>
                <w:vertAlign w:val="superscript"/>
                <w:lang w:val="en-GB"/>
              </w:rPr>
              <w:t xml:space="preserve"> </w:t>
            </w:r>
          </w:p>
        </w:tc>
        <w:tc>
          <w:tcPr>
            <w:tcW w:w="96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2,306 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2,404 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(4)</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2,306 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2,404 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(4)</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Americas</w:t>
            </w:r>
            <w:r w:rsidRPr="00491918">
              <w:rPr>
                <w:b/>
                <w:color w:val="000000"/>
                <w:sz w:val="16"/>
                <w:vertAlign w:val="superscript"/>
                <w:lang w:val="en-GB"/>
              </w:rPr>
              <w:t xml:space="preserve"> </w:t>
            </w:r>
          </w:p>
        </w:tc>
        <w:tc>
          <w:tcPr>
            <w:tcW w:w="960" w:type="dxa"/>
            <w:tcBorders>
              <w:top w:val="nil"/>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lang w:val="en-GB"/>
              </w:rPr>
            </w:pPr>
            <w:r w:rsidRPr="00491918">
              <w:rPr>
                <w:color w:val="000000"/>
                <w:sz w:val="16"/>
                <w:lang w:val="en-GB"/>
              </w:rPr>
              <w:t>4,028 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3,269 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23 </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4,028 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3,496 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15 </w:t>
            </w:r>
          </w:p>
        </w:tc>
      </w:tr>
      <w:tr w:rsidR="000D1659" w:rsidRPr="00491918">
        <w:trPr>
          <w:trHeight w:val="240"/>
        </w:trPr>
        <w:tc>
          <w:tcPr>
            <w:tcW w:w="3720" w:type="dxa"/>
            <w:tcBorders>
              <w:top w:val="nil"/>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Africa and Middle East</w:t>
            </w:r>
            <w:r w:rsidRPr="00491918">
              <w:rPr>
                <w:color w:val="000000"/>
                <w:sz w:val="16"/>
                <w:vertAlign w:val="superscript"/>
                <w:lang w:val="en-GB"/>
              </w:rPr>
              <w:t xml:space="preserve"> </w:t>
            </w:r>
          </w:p>
        </w:tc>
        <w:tc>
          <w:tcPr>
            <w:tcW w:w="96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2,116 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2,336 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(9)</w:t>
            </w:r>
          </w:p>
        </w:tc>
        <w:tc>
          <w:tcPr>
            <w:tcW w:w="180" w:type="dxa"/>
            <w:tcBorders>
              <w:top w:val="nil"/>
              <w:left w:val="nil"/>
              <w:bottom w:val="nil"/>
              <w:right w:val="nil"/>
            </w:tcBorders>
            <w:shd w:val="clear" w:color="auto" w:fill="FFFFFF"/>
            <w:tcMar>
              <w:left w:w="36" w:type="dxa"/>
              <w:right w:w="36" w:type="dxa"/>
            </w:tcMar>
            <w:vAlign w:val="bottom"/>
          </w:tcPr>
          <w:p w:rsidR="000D1659" w:rsidRPr="00491918" w:rsidRDefault="000D1659">
            <w:pPr>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nil"/>
              <w:left w:val="nil"/>
              <w:bottom w:val="nil"/>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2,116 </w:t>
            </w:r>
          </w:p>
        </w:tc>
        <w:tc>
          <w:tcPr>
            <w:tcW w:w="96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2,336 </w:t>
            </w:r>
          </w:p>
        </w:tc>
        <w:tc>
          <w:tcPr>
            <w:tcW w:w="960" w:type="dxa"/>
            <w:tcBorders>
              <w:top w:val="nil"/>
              <w:left w:val="nil"/>
              <w:bottom w:val="nil"/>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(9)</w:t>
            </w:r>
          </w:p>
        </w:tc>
      </w:tr>
      <w:tr w:rsidR="000D1659" w:rsidRPr="00491918">
        <w:trPr>
          <w:trHeight w:val="240"/>
        </w:trPr>
        <w:tc>
          <w:tcPr>
            <w:tcW w:w="372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rPr>
                <w:color w:val="000000"/>
                <w:sz w:val="16"/>
                <w:lang w:val="en-GB"/>
              </w:rPr>
            </w:pPr>
            <w:r w:rsidRPr="00491918">
              <w:rPr>
                <w:color w:val="000000"/>
                <w:sz w:val="16"/>
                <w:lang w:val="en-GB"/>
              </w:rPr>
              <w:t>Asia</w:t>
            </w:r>
            <w:r w:rsidRPr="00491918">
              <w:rPr>
                <w:color w:val="000000"/>
                <w:sz w:val="16"/>
                <w:vertAlign w:val="superscript"/>
                <w:lang w:val="en-GB"/>
              </w:rPr>
              <w:t xml:space="preserve"> </w:t>
            </w:r>
          </w:p>
        </w:tc>
        <w:tc>
          <w:tcPr>
            <w:tcW w:w="960"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707 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590 </w:t>
            </w:r>
          </w:p>
        </w:tc>
        <w:tc>
          <w:tcPr>
            <w:tcW w:w="960" w:type="dxa"/>
            <w:tcBorders>
              <w:top w:val="nil"/>
              <w:left w:val="nil"/>
              <w:bottom w:val="single" w:sz="6" w:space="0" w:color="A5A5A5"/>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20 </w:t>
            </w:r>
          </w:p>
        </w:tc>
        <w:tc>
          <w:tcPr>
            <w:tcW w:w="180" w:type="dxa"/>
            <w:tcBorders>
              <w:top w:val="nil"/>
              <w:left w:val="nil"/>
              <w:bottom w:val="nil"/>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 xml:space="preserve"> </w:t>
            </w:r>
            <w:r w:rsidRPr="00491918">
              <w:rPr>
                <w:color w:val="000000"/>
                <w:sz w:val="16"/>
                <w:vertAlign w:val="superscript"/>
                <w:lang w:val="en-GB"/>
              </w:rPr>
              <w:t xml:space="preserve"> </w:t>
            </w:r>
          </w:p>
        </w:tc>
        <w:tc>
          <w:tcPr>
            <w:tcW w:w="960" w:type="dxa"/>
            <w:tcBorders>
              <w:top w:val="nil"/>
              <w:left w:val="nil"/>
              <w:bottom w:val="single" w:sz="6" w:space="0" w:color="969696"/>
              <w:right w:val="nil"/>
            </w:tcBorders>
            <w:shd w:val="clear" w:color="auto" w:fill="EAEAEA"/>
            <w:tcMar>
              <w:left w:w="36" w:type="dxa"/>
              <w:right w:w="36" w:type="dxa"/>
            </w:tcMar>
          </w:tcPr>
          <w:p w:rsidR="000D1659" w:rsidRPr="00491918" w:rsidRDefault="000D1659">
            <w:pPr>
              <w:jc w:val="right"/>
              <w:rPr>
                <w:color w:val="000000"/>
                <w:sz w:val="16"/>
                <w:vertAlign w:val="superscript"/>
                <w:lang w:val="en-GB"/>
              </w:rPr>
            </w:pPr>
            <w:r w:rsidRPr="00491918">
              <w:rPr>
                <w:color w:val="000000"/>
                <w:sz w:val="16"/>
                <w:lang w:val="en-GB"/>
              </w:rPr>
              <w:t>707 </w:t>
            </w:r>
          </w:p>
        </w:tc>
        <w:tc>
          <w:tcPr>
            <w:tcW w:w="960" w:type="dxa"/>
            <w:tcBorders>
              <w:top w:val="nil"/>
              <w:left w:val="nil"/>
              <w:bottom w:val="single" w:sz="6" w:space="0" w:color="969696"/>
              <w:right w:val="nil"/>
            </w:tcBorders>
            <w:shd w:val="clear" w:color="auto" w:fill="FFFFFF"/>
            <w:tcMar>
              <w:left w:w="36" w:type="dxa"/>
              <w:right w:w="36" w:type="dxa"/>
            </w:tcMar>
          </w:tcPr>
          <w:p w:rsidR="000D1659" w:rsidRPr="00491918" w:rsidRDefault="000D1659">
            <w:pPr>
              <w:jc w:val="right"/>
              <w:rPr>
                <w:color w:val="000000"/>
                <w:sz w:val="16"/>
                <w:lang w:val="en-GB"/>
              </w:rPr>
            </w:pPr>
            <w:r w:rsidRPr="00491918">
              <w:rPr>
                <w:color w:val="000000"/>
                <w:sz w:val="16"/>
                <w:lang w:val="en-GB"/>
              </w:rPr>
              <w:t>590 </w:t>
            </w:r>
          </w:p>
        </w:tc>
        <w:tc>
          <w:tcPr>
            <w:tcW w:w="960" w:type="dxa"/>
            <w:tcBorders>
              <w:top w:val="nil"/>
              <w:left w:val="nil"/>
              <w:bottom w:val="single" w:sz="6" w:space="0" w:color="A5A5A5"/>
              <w:right w:val="nil"/>
            </w:tcBorders>
            <w:shd w:val="clear" w:color="auto" w:fill="FFFFFF"/>
            <w:tcMar>
              <w:left w:w="36" w:type="dxa"/>
              <w:right w:w="36" w:type="dxa"/>
            </w:tcMar>
            <w:vAlign w:val="bottom"/>
          </w:tcPr>
          <w:p w:rsidR="000D1659" w:rsidRPr="00491918" w:rsidRDefault="000D1659">
            <w:pPr>
              <w:jc w:val="right"/>
              <w:rPr>
                <w:color w:val="000000"/>
                <w:sz w:val="16"/>
                <w:lang w:val="en-GB"/>
              </w:rPr>
            </w:pPr>
            <w:r w:rsidRPr="00491918">
              <w:rPr>
                <w:color w:val="000000"/>
                <w:sz w:val="16"/>
                <w:lang w:val="en-GB"/>
              </w:rPr>
              <w:t>20 </w:t>
            </w:r>
          </w:p>
        </w:tc>
      </w:tr>
      <w:tr w:rsidR="000D1659" w:rsidRPr="00491918">
        <w:trPr>
          <w:trHeight w:val="255"/>
        </w:trPr>
        <w:tc>
          <w:tcPr>
            <w:tcW w:w="372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rPr>
                <w:color w:val="000000"/>
                <w:sz w:val="16"/>
                <w:lang w:val="en-GB"/>
              </w:rPr>
            </w:pPr>
            <w:r w:rsidRPr="00491918">
              <w:rPr>
                <w:b/>
                <w:color w:val="000000"/>
                <w:sz w:val="16"/>
                <w:lang w:val="en-GB"/>
              </w:rPr>
              <w:t xml:space="preserve">Total  </w:t>
            </w:r>
            <w:r w:rsidRPr="00491918">
              <w:rPr>
                <w:b/>
                <w:color w:val="000000"/>
                <w:sz w:val="16"/>
                <w:vertAlign w:val="superscript"/>
                <w:lang w:val="en-GB"/>
              </w:rPr>
              <w:t xml:space="preserve"> </w:t>
            </w:r>
          </w:p>
        </w:tc>
        <w:tc>
          <w:tcPr>
            <w:tcW w:w="960"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lang w:val="en-GB"/>
              </w:rPr>
            </w:pPr>
            <w:r w:rsidRPr="00491918">
              <w:rPr>
                <w:b/>
                <w:color w:val="000000"/>
                <w:sz w:val="16"/>
                <w:lang w:val="en-GB"/>
              </w:rPr>
              <w:t>15,071 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xml:space="preserve"> 15,492 </w:t>
            </w:r>
          </w:p>
        </w:tc>
        <w:tc>
          <w:tcPr>
            <w:tcW w:w="960" w:type="dxa"/>
            <w:tcBorders>
              <w:top w:val="single" w:sz="6" w:space="0" w:color="A5A5A5"/>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(3)</w:t>
            </w:r>
          </w:p>
        </w:tc>
        <w:tc>
          <w:tcPr>
            <w:tcW w:w="180" w:type="dxa"/>
            <w:tcBorders>
              <w:top w:val="nil"/>
              <w:left w:val="nil"/>
              <w:bottom w:val="nil"/>
              <w:right w:val="nil"/>
            </w:tcBorders>
            <w:shd w:val="clear" w:color="auto" w:fill="FFFFFF"/>
            <w:tcMar>
              <w:left w:w="36" w:type="dxa"/>
              <w:right w:w="36" w:type="dxa"/>
            </w:tcMar>
          </w:tcPr>
          <w:p w:rsidR="000D1659" w:rsidRPr="00491918" w:rsidRDefault="000D1659">
            <w:pPr>
              <w:rPr>
                <w:b/>
                <w:color w:val="000000"/>
                <w:sz w:val="16"/>
                <w:lang w:val="en-GB"/>
              </w:rPr>
            </w:pPr>
            <w:r w:rsidRPr="00491918">
              <w:rPr>
                <w:b/>
                <w:color w:val="000000"/>
                <w:sz w:val="16"/>
                <w:lang w:val="en-GB"/>
              </w:rPr>
              <w:t xml:space="preserve"> </w:t>
            </w:r>
            <w:r w:rsidRPr="00491918">
              <w:rPr>
                <w:b/>
                <w:color w:val="000000"/>
                <w:sz w:val="16"/>
                <w:vertAlign w:val="superscript"/>
                <w:lang w:val="en-GB"/>
              </w:rPr>
              <w:t xml:space="preserve"> </w:t>
            </w:r>
          </w:p>
        </w:tc>
        <w:tc>
          <w:tcPr>
            <w:tcW w:w="960" w:type="dxa"/>
            <w:tcBorders>
              <w:top w:val="single" w:sz="6" w:space="0" w:color="969696"/>
              <w:left w:val="nil"/>
              <w:bottom w:val="nil"/>
              <w:right w:val="nil"/>
            </w:tcBorders>
            <w:shd w:val="clear" w:color="auto" w:fill="EAEAEA"/>
            <w:tcMar>
              <w:left w:w="36" w:type="dxa"/>
              <w:right w:w="36" w:type="dxa"/>
            </w:tcMar>
          </w:tcPr>
          <w:p w:rsidR="000D1659" w:rsidRPr="00491918" w:rsidRDefault="000D1659">
            <w:pPr>
              <w:jc w:val="right"/>
              <w:rPr>
                <w:b/>
                <w:color w:val="000000"/>
                <w:sz w:val="16"/>
                <w:vertAlign w:val="superscript"/>
                <w:lang w:val="en-GB"/>
              </w:rPr>
            </w:pPr>
            <w:r w:rsidRPr="00491918">
              <w:rPr>
                <w:b/>
                <w:color w:val="000000"/>
                <w:sz w:val="16"/>
                <w:lang w:val="en-GB"/>
              </w:rPr>
              <w:t>15,157 </w:t>
            </w:r>
          </w:p>
        </w:tc>
        <w:tc>
          <w:tcPr>
            <w:tcW w:w="960" w:type="dxa"/>
            <w:tcBorders>
              <w:top w:val="single" w:sz="6" w:space="0" w:color="969696"/>
              <w:left w:val="nil"/>
              <w:bottom w:val="nil"/>
              <w:right w:val="nil"/>
            </w:tcBorders>
            <w:shd w:val="clear" w:color="auto" w:fill="FFFFFF"/>
            <w:tcMar>
              <w:left w:w="36" w:type="dxa"/>
              <w:right w:w="36" w:type="dxa"/>
            </w:tcMar>
          </w:tcPr>
          <w:p w:rsidR="000D1659" w:rsidRPr="00491918" w:rsidRDefault="000D1659">
            <w:pPr>
              <w:jc w:val="right"/>
              <w:rPr>
                <w:b/>
                <w:color w:val="000000"/>
                <w:sz w:val="16"/>
                <w:lang w:val="en-GB"/>
              </w:rPr>
            </w:pPr>
            <w:r w:rsidRPr="00491918">
              <w:rPr>
                <w:b/>
                <w:color w:val="000000"/>
                <w:sz w:val="16"/>
                <w:lang w:val="en-GB"/>
              </w:rPr>
              <w:t xml:space="preserve"> 12,774 </w:t>
            </w:r>
          </w:p>
        </w:tc>
        <w:tc>
          <w:tcPr>
            <w:tcW w:w="960" w:type="dxa"/>
            <w:tcBorders>
              <w:top w:val="single" w:sz="6" w:space="0" w:color="A5A5A5"/>
              <w:left w:val="nil"/>
              <w:bottom w:val="nil"/>
              <w:right w:val="nil"/>
            </w:tcBorders>
            <w:shd w:val="clear" w:color="auto" w:fill="FFFFFF"/>
            <w:tcMar>
              <w:left w:w="36" w:type="dxa"/>
              <w:right w:w="36" w:type="dxa"/>
            </w:tcMar>
            <w:vAlign w:val="bottom"/>
          </w:tcPr>
          <w:p w:rsidR="000D1659" w:rsidRPr="00491918" w:rsidRDefault="000D1659">
            <w:pPr>
              <w:jc w:val="right"/>
              <w:rPr>
                <w:b/>
                <w:color w:val="000000"/>
                <w:sz w:val="16"/>
                <w:lang w:val="en-GB"/>
              </w:rPr>
            </w:pPr>
            <w:r w:rsidRPr="00491918">
              <w:rPr>
                <w:b/>
                <w:color w:val="000000"/>
                <w:sz w:val="16"/>
                <w:lang w:val="en-GB"/>
              </w:rPr>
              <w:t>19 </w:t>
            </w:r>
          </w:p>
        </w:tc>
      </w:tr>
    </w:tbl>
    <w:p w:rsidR="000D1659" w:rsidRPr="00491918" w:rsidRDefault="000D1659">
      <w:pPr>
        <w:rPr>
          <w:lang w:val="en-GB"/>
        </w:rPr>
      </w:pPr>
    </w:p>
    <w:p w:rsidR="000D1659" w:rsidRPr="00491918" w:rsidRDefault="000D1659"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81127" w:rsidRPr="00491918" w:rsidRDefault="00081127" w:rsidP="000D1659">
      <w:pPr>
        <w:pStyle w:val="Normal144"/>
        <w:ind w:left="284" w:hanging="284"/>
        <w:rPr>
          <w:rFonts w:ascii="Expert Sans Regular" w:hAnsi="Expert Sans Regular"/>
          <w:i/>
          <w:color w:val="000000"/>
          <w:sz w:val="14"/>
        </w:rPr>
      </w:pPr>
    </w:p>
    <w:p w:rsidR="000D1659" w:rsidRPr="00491918" w:rsidRDefault="000D1659" w:rsidP="00CC41A9">
      <w:pPr>
        <w:pStyle w:val="NoteandSourceText-BarcRA31"/>
        <w:numPr>
          <w:ilvl w:val="0"/>
          <w:numId w:val="249"/>
        </w:numPr>
        <w:ind w:left="284" w:hanging="284"/>
      </w:pPr>
      <w:r w:rsidRPr="00491918">
        <w:t>Other income/(losses) represents: share of post-tax results of associates and joint ventures; profit or (loss) on disposal of subsidiaries, associates and joint ventures; and gains on acquisitions.</w:t>
      </w:r>
    </w:p>
    <w:p w:rsidR="000D1659" w:rsidRPr="00491918" w:rsidRDefault="000D1659" w:rsidP="00CC41A9">
      <w:pPr>
        <w:pStyle w:val="Normal144"/>
        <w:numPr>
          <w:ilvl w:val="0"/>
          <w:numId w:val="249"/>
        </w:numPr>
        <w:tabs>
          <w:tab w:val="left" w:pos="284"/>
        </w:tabs>
        <w:ind w:left="284" w:hanging="284"/>
        <w:jc w:val="both"/>
        <w:rPr>
          <w:rFonts w:ascii="Expert Sans Regular" w:hAnsi="Expert Sans Regular"/>
          <w:i/>
          <w:color w:val="000000"/>
          <w:sz w:val="14"/>
        </w:rPr>
      </w:pPr>
      <w:r w:rsidRPr="00491918">
        <w:rPr>
          <w:rFonts w:ascii="Expert Sans Regular" w:hAnsi="Expert Sans Regular"/>
          <w:i/>
          <w:color w:val="000000"/>
          <w:sz w:val="14"/>
        </w:rPr>
        <w:t>Income by geography and profit before tax excludes the impact of £86m (2012: loss of £</w:t>
      </w:r>
      <w:r w:rsidRPr="00491918">
        <w:rPr>
          <w:rFonts w:ascii="Expert Sans Regular" w:hAnsi="Expert Sans Regular"/>
          <w:i/>
          <w:sz w:val="14"/>
        </w:rPr>
        <w:t>2,945m</w:t>
      </w:r>
      <w:r w:rsidRPr="00491918">
        <w:rPr>
          <w:rFonts w:ascii="Expert Sans Regular" w:hAnsi="Expert Sans Regular"/>
          <w:i/>
          <w:color w:val="000000"/>
          <w:sz w:val="14"/>
        </w:rPr>
        <w:t xml:space="preserve">) own credit gain and </w:t>
      </w:r>
      <w:r w:rsidRPr="00491918">
        <w:rPr>
          <w:rFonts w:ascii="Expert Sans Regular" w:hAnsi="Expert Sans Regular"/>
          <w:i/>
          <w:sz w:val="14"/>
        </w:rPr>
        <w:t>£nil</w:t>
      </w:r>
      <w:r w:rsidRPr="00491918">
        <w:rPr>
          <w:rFonts w:ascii="Expert Sans Regular" w:hAnsi="Expert Sans Regular"/>
          <w:i/>
          <w:color w:val="000000"/>
          <w:sz w:val="14"/>
        </w:rPr>
        <w:t xml:space="preserve"> (2012: gain of £227m) gain on disposal of strategic investment in BlackRock, Inc.</w:t>
      </w:r>
    </w:p>
    <w:p w:rsidR="000D1659" w:rsidRPr="00491918" w:rsidRDefault="000D1659" w:rsidP="00CC41A9">
      <w:pPr>
        <w:pStyle w:val="Normal144"/>
        <w:numPr>
          <w:ilvl w:val="0"/>
          <w:numId w:val="249"/>
        </w:numPr>
        <w:tabs>
          <w:tab w:val="left" w:pos="284"/>
        </w:tabs>
        <w:ind w:left="284" w:hanging="284"/>
        <w:jc w:val="both"/>
        <w:rPr>
          <w:rFonts w:ascii="Expert Sans Regular" w:hAnsi="Expert Sans Regular"/>
          <w:i/>
          <w:color w:val="000000"/>
          <w:sz w:val="14"/>
        </w:rPr>
      </w:pPr>
      <w:r w:rsidRPr="00491918">
        <w:rPr>
          <w:rFonts w:ascii="Expert Sans Regular" w:hAnsi="Expert Sans Regular"/>
          <w:i/>
          <w:color w:val="000000"/>
          <w:sz w:val="14"/>
        </w:rPr>
        <w:t>Total income net of insurance claims based on counterparty location.</w:t>
      </w:r>
    </w:p>
    <w:p w:rsidR="000D1659" w:rsidRPr="00491918" w:rsidRDefault="000D1659">
      <w:pPr>
        <w:rPr>
          <w:i/>
          <w:color w:val="000000"/>
          <w:sz w:val="14"/>
        </w:rPr>
        <w:sectPr w:rsidR="000D1659" w:rsidRPr="00491918" w:rsidSect="00751636">
          <w:pgSz w:w="11905" w:h="16837"/>
          <w:pgMar w:top="851" w:right="1134" w:bottom="567" w:left="1134" w:header="851" w:footer="567" w:gutter="0"/>
          <w:cols w:space="708"/>
        </w:sectPr>
      </w:pPr>
    </w:p>
    <w:p w:rsidR="00DB725D" w:rsidRPr="00491918" w:rsidRDefault="00DB725D" w:rsidP="00DB725D">
      <w:pPr>
        <w:pStyle w:val="HeadingLevel1-BarcRA"/>
      </w:pPr>
      <w:r w:rsidRPr="00491918">
        <w:lastRenderedPageBreak/>
        <w:t>CRD IV Appendices</w:t>
      </w:r>
    </w:p>
    <w:p w:rsidR="000E33D1" w:rsidRPr="00491918" w:rsidRDefault="000E33D1" w:rsidP="008D6001">
      <w:pPr>
        <w:pStyle w:val="HeadingLevel2-BarcRA40"/>
        <w:outlineLvl w:val="0"/>
      </w:pPr>
      <w:r w:rsidRPr="00491918">
        <w:t>CRD IV transitional own funds disclosure</w:t>
      </w:r>
    </w:p>
    <w:p w:rsidR="000E33D1" w:rsidRPr="00491918" w:rsidRDefault="00B54AC3" w:rsidP="000E33D1">
      <w:pPr>
        <w:pStyle w:val="BodyText-BarcRA117"/>
      </w:pPr>
      <w:r w:rsidRPr="00491918">
        <w:t>At</w:t>
      </w:r>
      <w:r w:rsidR="000E33D1" w:rsidRPr="00491918">
        <w:t xml:space="preserve"> the PRA</w:t>
      </w:r>
      <w:r w:rsidRPr="00491918">
        <w:t>’s request</w:t>
      </w:r>
      <w:r w:rsidR="000E33D1" w:rsidRPr="00491918">
        <w:t xml:space="preserve">, Barclays is disclosing the estimated components of regulatory capital presented on both a first year transitional and </w:t>
      </w:r>
      <w:r w:rsidR="00854CB7" w:rsidRPr="00491918">
        <w:t>fully loaded</w:t>
      </w:r>
      <w:r w:rsidR="000E33D1" w:rsidRPr="00491918">
        <w:t xml:space="preserve"> basis as at 30 June 2013. This disclosure has been prepared using the format set out in Annex VI of the EBA consultation paper ‘Draft Implementing Technical Standards on Disclosure for Own Funds by Institutions’. The final impact of CRD IV is dependent on technical standards to be finalised by the European Banking Authority (EBA) and on the final UK implementation of the rules. The basis of preparation can be found on page </w:t>
      </w:r>
      <w:r w:rsidR="008D6001" w:rsidRPr="00491918">
        <w:t>51</w:t>
      </w:r>
      <w:r w:rsidR="000E33D1" w:rsidRPr="00491918">
        <w:t xml:space="preserve">. </w:t>
      </w:r>
    </w:p>
    <w:p w:rsidR="000E33D1" w:rsidRPr="00491918" w:rsidRDefault="000E33D1" w:rsidP="000E33D1"/>
    <w:tbl>
      <w:tblPr>
        <w:tblW w:w="9715" w:type="dxa"/>
        <w:tblLayout w:type="fixed"/>
        <w:tblLook w:val="0000" w:firstRow="0" w:lastRow="0" w:firstColumn="0" w:lastColumn="0" w:noHBand="0" w:noVBand="0"/>
      </w:tblPr>
      <w:tblGrid>
        <w:gridCol w:w="6307"/>
        <w:gridCol w:w="1136"/>
        <w:gridCol w:w="1136"/>
        <w:gridCol w:w="1136"/>
      </w:tblGrid>
      <w:tr w:rsidR="000E33D1" w:rsidRPr="00491918" w:rsidTr="000E33D1">
        <w:trPr>
          <w:trHeight w:val="241"/>
        </w:trPr>
        <w:tc>
          <w:tcPr>
            <w:tcW w:w="6307"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b/>
                <w:color w:val="000000"/>
                <w:sz w:val="20"/>
              </w:rPr>
              <w:t xml:space="preserve">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20"/>
              </w:rPr>
            </w:pPr>
            <w:r w:rsidRPr="00491918">
              <w:rPr>
                <w:b/>
                <w:color w:val="000000"/>
                <w:sz w:val="16"/>
              </w:rPr>
              <w:t>As at</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As at</w:t>
            </w:r>
          </w:p>
        </w:tc>
      </w:tr>
      <w:tr w:rsidR="000E33D1" w:rsidRPr="00491918" w:rsidTr="000E33D1">
        <w:trPr>
          <w:trHeight w:val="241"/>
        </w:trPr>
        <w:tc>
          <w:tcPr>
            <w:tcW w:w="6307"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b/>
                <w:color w:val="000000"/>
                <w:sz w:val="20"/>
              </w:rPr>
              <w:t xml:space="preserve">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20"/>
              </w:rPr>
            </w:pPr>
            <w:r w:rsidRPr="00491918">
              <w:rPr>
                <w:b/>
                <w:color w:val="000000"/>
                <w:sz w:val="16"/>
              </w:rPr>
              <w:t>30.06.13</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30.06.13</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 xml:space="preserve">Transitional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 xml:space="preserve">Transitional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BF7F6E" w:rsidP="00BF7F6E">
            <w:pPr>
              <w:jc w:val="right"/>
              <w:rPr>
                <w:b/>
                <w:color w:val="000000"/>
                <w:sz w:val="16"/>
              </w:rPr>
            </w:pPr>
            <w:r w:rsidRPr="00491918">
              <w:rPr>
                <w:b/>
                <w:color w:val="000000"/>
                <w:sz w:val="16"/>
              </w:rPr>
              <w:t>Fully loaded</w:t>
            </w:r>
          </w:p>
        </w:tc>
      </w:tr>
      <w:tr w:rsidR="000E33D1" w:rsidRPr="00491918" w:rsidTr="00B54AC3">
        <w:trPr>
          <w:trHeight w:val="286"/>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Position Yr 1</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Impacts Yr 1</w:t>
            </w:r>
          </w:p>
        </w:tc>
        <w:tc>
          <w:tcPr>
            <w:tcW w:w="1136"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Position</w:t>
            </w:r>
          </w:p>
        </w:tc>
      </w:tr>
      <w:tr w:rsidR="000E33D1" w:rsidRPr="00491918" w:rsidTr="00B54AC3">
        <w:trPr>
          <w:trHeight w:val="241"/>
        </w:trPr>
        <w:tc>
          <w:tcPr>
            <w:tcW w:w="6307"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b/>
                <w:color w:val="000000"/>
                <w:sz w:val="16"/>
              </w:rPr>
              <w:t>Common Equity Tier 1 (CET1) capital: instruments and reserves</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£m</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£m</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£m</w:t>
            </w:r>
          </w:p>
        </w:tc>
      </w:tr>
      <w:tr w:rsidR="000E33D1" w:rsidRPr="00491918" w:rsidTr="00B54AC3">
        <w:trPr>
          <w:trHeight w:val="241"/>
        </w:trPr>
        <w:tc>
          <w:tcPr>
            <w:tcW w:w="6307"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color w:val="000000"/>
                <w:sz w:val="16"/>
              </w:rPr>
              <w:t>Capital instruments and the related share premium accounts</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13,763 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13,763 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Retained earnings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36,</w:t>
            </w:r>
            <w:r w:rsidR="00492E29" w:rsidRPr="00491918">
              <w:rPr>
                <w:color w:val="000000"/>
                <w:sz w:val="16"/>
              </w:rPr>
              <w:t>336 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36,</w:t>
            </w:r>
            <w:r w:rsidR="00492E29" w:rsidRPr="00491918">
              <w:rPr>
                <w:color w:val="000000"/>
                <w:sz w:val="16"/>
              </w:rPr>
              <w:t>336 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Accumulated other comprehensive income (and other reserves)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778 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778 </w:t>
            </w:r>
          </w:p>
        </w:tc>
      </w:tr>
      <w:tr w:rsidR="000E33D1" w:rsidRPr="00491918" w:rsidTr="00B54AC3">
        <w:trPr>
          <w:trHeight w:val="241"/>
        </w:trPr>
        <w:tc>
          <w:tcPr>
            <w:tcW w:w="6307"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Minority Interests (amount allowed in consolidated CET1)</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2,105 </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(381)</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1,724 </w:t>
            </w:r>
          </w:p>
        </w:tc>
      </w:tr>
      <w:tr w:rsidR="000E33D1" w:rsidRPr="00491918" w:rsidTr="00B54AC3">
        <w:trPr>
          <w:trHeight w:val="241"/>
        </w:trPr>
        <w:tc>
          <w:tcPr>
            <w:tcW w:w="6307"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b/>
                <w:color w:val="000000"/>
                <w:sz w:val="16"/>
              </w:rPr>
              <w:t>Common Equity Tier 1 capital before regulatory adjustments</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5</w:t>
            </w:r>
            <w:r w:rsidR="00492E29" w:rsidRPr="00491918">
              <w:rPr>
                <w:b/>
                <w:color w:val="000000"/>
                <w:sz w:val="16"/>
              </w:rPr>
              <w:t>2,982</w:t>
            </w:r>
            <w:r w:rsidRPr="00491918">
              <w:rPr>
                <w:b/>
                <w:color w:val="000000"/>
                <w:sz w:val="16"/>
              </w:rPr>
              <w:t>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(381)</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52,</w:t>
            </w:r>
            <w:r w:rsidR="00492E29" w:rsidRPr="00491918">
              <w:rPr>
                <w:b/>
                <w:color w:val="000000"/>
                <w:sz w:val="16"/>
              </w:rPr>
              <w:t>601 </w:t>
            </w:r>
          </w:p>
        </w:tc>
      </w:tr>
      <w:tr w:rsidR="000E33D1" w:rsidRPr="00491918" w:rsidTr="00B54AC3">
        <w:trPr>
          <w:trHeight w:hRule="exac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i/>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i/>
                <w:color w:val="000000"/>
                <w:sz w:val="16"/>
              </w:rPr>
            </w:pPr>
            <w:r w:rsidRPr="00491918">
              <w:rPr>
                <w:color w:val="1F497D"/>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1F497D"/>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xml:space="preserve">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b/>
                <w:color w:val="000000"/>
                <w:sz w:val="16"/>
              </w:rPr>
              <w:t>Common Equity Tier 1 capital: regulatory adjustments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 xml:space="preserve">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color w:val="000000"/>
                <w:sz w:val="16"/>
              </w:rPr>
              <w:t xml:space="preserve">Additional value adjustments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(2,111)</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(2,111)</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 xml:space="preserve">Intangible assets (net of related tax liability)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(1,517)</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(6,066)</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(7,583)</w:t>
            </w:r>
          </w:p>
        </w:tc>
      </w:tr>
      <w:tr w:rsidR="000E33D1"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 xml:space="preserve">Deferred tax assets that rely on future profitability excluding those arising from temporary differences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(376)</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(1,505)</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(1,881)</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Fair value reserves related to gains or losses on cash flow hedges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(1,001)</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(1,001)</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Negative amounts resulting from the calculation of expected loss amounts</w:t>
            </w:r>
          </w:p>
          <w:p w:rsidR="000E33D1" w:rsidRPr="00491918" w:rsidRDefault="000E33D1" w:rsidP="00B54AC3">
            <w:pPr>
              <w:rPr>
                <w:color w:val="000000"/>
                <w:sz w:val="16"/>
              </w:rPr>
            </w:pP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(365)</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(1,462)</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(1,827)</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 xml:space="preserve">Gains or losses on liabilities at fair value resulting from own credit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525 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(272)</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253 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Other regulatory adjustments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xml:space="preserve"> (150)</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(150)</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 xml:space="preserve">Direct and indirect holdings by an institution of own CET1 instruments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(242)</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(242)</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Direct and indirect holdings by the institution of the CET1 instruments of relevant entities where the institution does not have a significant investment in those entities (amount above the 10% threshold and net of eligible short positions) (negative amount)</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631C3C">
            <w:pPr>
              <w:jc w:val="right"/>
              <w:rPr>
                <w:color w:val="000000"/>
                <w:sz w:val="16"/>
              </w:rPr>
            </w:pPr>
            <w:r w:rsidRPr="00491918">
              <w:rPr>
                <w:color w:val="000000"/>
                <w:sz w:val="16"/>
              </w:rPr>
              <w:t>(49</w:t>
            </w:r>
            <w:r w:rsidR="00631C3C" w:rsidRPr="00491918">
              <w:rPr>
                <w:color w:val="000000"/>
                <w:sz w:val="16"/>
              </w:rPr>
              <w:t>6</w:t>
            </w:r>
            <w:r w:rsidRPr="00491918">
              <w:rPr>
                <w:color w:val="000000"/>
                <w:sz w:val="16"/>
              </w:rPr>
              <w:t>)</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631C3C">
            <w:pPr>
              <w:jc w:val="right"/>
              <w:rPr>
                <w:color w:val="000000"/>
                <w:sz w:val="16"/>
              </w:rPr>
            </w:pPr>
            <w:r w:rsidRPr="00491918">
              <w:rPr>
                <w:color w:val="000000"/>
                <w:sz w:val="16"/>
              </w:rPr>
              <w:t>(1,9</w:t>
            </w:r>
            <w:r w:rsidR="00631C3C" w:rsidRPr="00491918">
              <w:rPr>
                <w:color w:val="000000"/>
                <w:sz w:val="16"/>
              </w:rPr>
              <w:t>83</w:t>
            </w:r>
            <w:r w:rsidRPr="00491918">
              <w:rPr>
                <w:color w:val="000000"/>
                <w:sz w:val="16"/>
              </w:rPr>
              <w:t>)</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631C3C">
            <w:pPr>
              <w:jc w:val="right"/>
              <w:rPr>
                <w:color w:val="000000"/>
                <w:sz w:val="16"/>
              </w:rPr>
            </w:pPr>
            <w:r w:rsidRPr="00491918">
              <w:rPr>
                <w:color w:val="000000"/>
                <w:sz w:val="16"/>
              </w:rPr>
              <w:t>(2,47</w:t>
            </w:r>
            <w:r w:rsidR="00631C3C" w:rsidRPr="00491918">
              <w:rPr>
                <w:color w:val="000000"/>
                <w:sz w:val="16"/>
              </w:rPr>
              <w:t>9</w:t>
            </w:r>
            <w:r w:rsidRPr="00491918">
              <w:rPr>
                <w:color w:val="000000"/>
                <w:sz w:val="16"/>
              </w:rPr>
              <w:t>)</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Mitigation of non-significant holdings in relevant entities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631C3C">
            <w:pPr>
              <w:jc w:val="right"/>
              <w:rPr>
                <w:color w:val="000000"/>
                <w:sz w:val="16"/>
              </w:rPr>
            </w:pPr>
            <w:r w:rsidRPr="00491918">
              <w:rPr>
                <w:color w:val="000000"/>
                <w:sz w:val="16"/>
              </w:rPr>
              <w:t>49</w:t>
            </w:r>
            <w:r w:rsidR="00631C3C" w:rsidRPr="00491918">
              <w:rPr>
                <w:color w:val="000000"/>
                <w:sz w:val="16"/>
              </w:rPr>
              <w:t>6</w:t>
            </w: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631C3C">
            <w:pPr>
              <w:jc w:val="right"/>
              <w:rPr>
                <w:color w:val="000000"/>
                <w:sz w:val="16"/>
              </w:rPr>
            </w:pPr>
            <w:r w:rsidRPr="00491918">
              <w:rPr>
                <w:color w:val="000000"/>
                <w:sz w:val="16"/>
              </w:rPr>
              <w:t>1,9</w:t>
            </w:r>
            <w:r w:rsidR="00631C3C" w:rsidRPr="00491918">
              <w:rPr>
                <w:color w:val="000000"/>
                <w:sz w:val="16"/>
              </w:rPr>
              <w:t>83</w:t>
            </w: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631C3C">
            <w:pPr>
              <w:jc w:val="right"/>
              <w:rPr>
                <w:color w:val="000000"/>
                <w:sz w:val="16"/>
              </w:rPr>
            </w:pPr>
            <w:r w:rsidRPr="00491918">
              <w:rPr>
                <w:color w:val="000000"/>
                <w:sz w:val="16"/>
              </w:rPr>
              <w:t>2,47</w:t>
            </w:r>
            <w:r w:rsidR="00631C3C" w:rsidRPr="00491918">
              <w:rPr>
                <w:color w:val="000000"/>
                <w:sz w:val="16"/>
              </w:rPr>
              <w:t>9</w:t>
            </w:r>
            <w:r w:rsidRPr="00491918">
              <w:rPr>
                <w:color w:val="000000"/>
                <w:sz w:val="16"/>
              </w:rPr>
              <w:t>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Regulatory Adjustments relating to unrealised gains and losses: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(506)</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506 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of which unrealised gains on available for sale debt securities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(350)</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350 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of which unrealised gains on available for sale equity</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(137)</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137 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of which property revaluation reserve</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(19)</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19 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Adjustments to CET1 capital with regard to additional filters and deductions required pre CRR - Defined benefit pension adjustment</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9 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(9)</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241"/>
        </w:trPr>
        <w:tc>
          <w:tcPr>
            <w:tcW w:w="6307" w:type="dxa"/>
            <w:tcBorders>
              <w:top w:val="single" w:sz="6" w:space="0" w:color="B2B2B2"/>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b/>
                <w:color w:val="000000"/>
                <w:sz w:val="16"/>
              </w:rPr>
              <w:t xml:space="preserve">Total regulatory adjustments to Common equity Tier 1 </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(5,734)</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(8,808)</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(14,542)</w:t>
            </w:r>
          </w:p>
        </w:tc>
      </w:tr>
      <w:tr w:rsidR="000E33D1" w:rsidRPr="00491918" w:rsidTr="00B54AC3">
        <w:trPr>
          <w:trHeight w:val="241"/>
        </w:trPr>
        <w:tc>
          <w:tcPr>
            <w:tcW w:w="6307"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606655" w:rsidP="00B54AC3">
            <w:pPr>
              <w:rPr>
                <w:b/>
                <w:color w:val="000000"/>
                <w:sz w:val="16"/>
              </w:rPr>
            </w:pPr>
            <w:r w:rsidRPr="00491918">
              <w:rPr>
                <w:b/>
                <w:color w:val="000000"/>
                <w:sz w:val="16"/>
              </w:rPr>
              <w:t>Common Equity Tier 1 capital</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47,</w:t>
            </w:r>
            <w:r w:rsidR="00492E29" w:rsidRPr="00491918">
              <w:rPr>
                <w:b/>
                <w:color w:val="000000"/>
                <w:sz w:val="16"/>
              </w:rPr>
              <w:t>248 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(9,189)</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38,</w:t>
            </w:r>
            <w:r w:rsidR="00492E29" w:rsidRPr="00491918">
              <w:rPr>
                <w:b/>
                <w:color w:val="000000"/>
                <w:sz w:val="16"/>
              </w:rPr>
              <w:t>059 </w:t>
            </w:r>
          </w:p>
        </w:tc>
      </w:tr>
      <w:tr w:rsidR="000E33D1" w:rsidRPr="00491918" w:rsidTr="00B54AC3">
        <w:trPr>
          <w:trHeight w:hRule="exac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 xml:space="preserve">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b/>
                <w:color w:val="000000"/>
                <w:sz w:val="16"/>
              </w:rPr>
              <w:t>Additional Tier 1 (AT1) capital: instruments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xml:space="preserve">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Capital instruments and the related share premium accounts issued by Barclays Bank PLC</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9,323 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(9,323)</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of which: classified as equity under IFRS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5,868 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(5,868)</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606655" w:rsidP="00B54AC3">
            <w:pPr>
              <w:jc w:val="right"/>
              <w:rPr>
                <w:color w:val="000000"/>
                <w:sz w:val="16"/>
              </w:rPr>
            </w:pPr>
            <w:r w:rsidRPr="00491918">
              <w:rPr>
                <w:color w:val="000000"/>
                <w:sz w:val="16"/>
              </w:rPr>
              <w:t>-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of which: classified as liabilities under IFRS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3,455 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(3,455)</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Qualifying AT1 capital (including minority interests) issued by subsidiaries and held by third parties</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347 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(143)</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204 </w:t>
            </w:r>
          </w:p>
        </w:tc>
      </w:tr>
      <w:tr w:rsidR="000E33D1"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color w:val="000000"/>
                <w:sz w:val="16"/>
              </w:rPr>
              <w:t>Amount of qualifying items subject to phase out from AT1</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(1,926)</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1,926 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w:t>
            </w:r>
          </w:p>
        </w:tc>
      </w:tr>
      <w:tr w:rsidR="000E33D1" w:rsidRPr="00491918" w:rsidTr="00B54AC3">
        <w:trPr>
          <w:trHeight w:val="241"/>
        </w:trPr>
        <w:tc>
          <w:tcPr>
            <w:tcW w:w="6307"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rPr>
                <w:color w:val="000000"/>
                <w:sz w:val="16"/>
              </w:rPr>
            </w:pPr>
            <w:r w:rsidRPr="00491918">
              <w:rPr>
                <w:b/>
                <w:color w:val="000000"/>
                <w:sz w:val="16"/>
              </w:rPr>
              <w:t>Additional Tier 1 capital before regulatory adjustments</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7,744 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(7,540)</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0E33D1" w:rsidRPr="00491918" w:rsidRDefault="000E33D1" w:rsidP="00B54AC3">
            <w:pPr>
              <w:jc w:val="right"/>
              <w:rPr>
                <w:b/>
                <w:color w:val="000000"/>
                <w:sz w:val="16"/>
              </w:rPr>
            </w:pPr>
            <w:r w:rsidRPr="00491918">
              <w:rPr>
                <w:b/>
                <w:color w:val="000000"/>
                <w:sz w:val="16"/>
              </w:rPr>
              <w:t>204 </w:t>
            </w:r>
          </w:p>
        </w:tc>
      </w:tr>
      <w:tr w:rsidR="000E33D1" w:rsidRPr="00491918" w:rsidTr="00B54AC3">
        <w:trPr>
          <w:trHeight w:hRule="exact" w:val="1521"/>
        </w:trPr>
        <w:tc>
          <w:tcPr>
            <w:tcW w:w="6307"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0E33D1" w:rsidRPr="00491918" w:rsidRDefault="000E33D1" w:rsidP="00B54AC3">
            <w:pPr>
              <w:jc w:val="right"/>
              <w:rPr>
                <w:color w:val="000000"/>
                <w:sz w:val="16"/>
              </w:rPr>
            </w:pPr>
            <w:r w:rsidRPr="00491918">
              <w:rPr>
                <w:color w:val="000000"/>
                <w:sz w:val="16"/>
              </w:rPr>
              <w:t xml:space="preserve"> </w:t>
            </w:r>
          </w:p>
        </w:tc>
      </w:tr>
      <w:tr w:rsidR="00B54AC3" w:rsidRPr="00491918" w:rsidTr="000E33D1">
        <w:trPr>
          <w:trHeight w:val="241"/>
        </w:trPr>
        <w:tc>
          <w:tcPr>
            <w:tcW w:w="6307" w:type="dxa"/>
            <w:tcBorders>
              <w:top w:val="nil"/>
              <w:left w:val="nil"/>
              <w:bottom w:val="nil"/>
              <w:right w:val="nil"/>
            </w:tcBorders>
            <w:shd w:val="clear" w:color="auto" w:fill="FFFFFF"/>
            <w:tcMar>
              <w:left w:w="36" w:type="dxa"/>
              <w:right w:w="36" w:type="dxa"/>
            </w:tcMar>
            <w:vAlign w:val="center"/>
          </w:tcPr>
          <w:p w:rsidR="0007202F" w:rsidRPr="00491918" w:rsidRDefault="0007202F" w:rsidP="0007202F">
            <w:pPr>
              <w:pStyle w:val="HeadingLevel1-BarcRA"/>
              <w:rPr>
                <w:lang w:val="en-GB"/>
              </w:rPr>
            </w:pPr>
          </w:p>
          <w:p w:rsidR="0007202F" w:rsidRPr="00491918" w:rsidRDefault="0007202F" w:rsidP="0007202F">
            <w:pPr>
              <w:pStyle w:val="HeadingLevel1-BarcRA"/>
              <w:rPr>
                <w:lang w:val="en-GB"/>
              </w:rPr>
            </w:pPr>
          </w:p>
          <w:p w:rsidR="0007202F" w:rsidRPr="00491918" w:rsidRDefault="0007202F" w:rsidP="0007202F">
            <w:pPr>
              <w:pStyle w:val="HeadingLevel1-BarcRA"/>
              <w:rPr>
                <w:lang w:val="en-GB"/>
              </w:rPr>
            </w:pPr>
            <w:r w:rsidRPr="00491918">
              <w:t>CRD IV Appendices</w:t>
            </w:r>
          </w:p>
          <w:p w:rsidR="00B54AC3" w:rsidRPr="00491918" w:rsidRDefault="00B54AC3" w:rsidP="000E33D1">
            <w:pPr>
              <w:rPr>
                <w:b/>
                <w:color w:val="000000"/>
                <w:sz w:val="16"/>
              </w:rPr>
            </w:pPr>
          </w:p>
        </w:tc>
        <w:tc>
          <w:tcPr>
            <w:tcW w:w="1136" w:type="dxa"/>
            <w:tcBorders>
              <w:top w:val="nil"/>
              <w:left w:val="nil"/>
              <w:bottom w:val="nil"/>
              <w:right w:val="nil"/>
            </w:tcBorders>
            <w:shd w:val="clear" w:color="auto" w:fill="FFFFFF"/>
            <w:tcMar>
              <w:left w:w="36" w:type="dxa"/>
              <w:right w:w="36" w:type="dxa"/>
            </w:tcMar>
            <w:vAlign w:val="center"/>
          </w:tcPr>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B54AC3" w:rsidRPr="00491918" w:rsidRDefault="00B54AC3" w:rsidP="000E33D1">
            <w:pPr>
              <w:jc w:val="right"/>
              <w:rPr>
                <w:b/>
                <w:color w:val="000000"/>
                <w:sz w:val="16"/>
              </w:rPr>
            </w:pPr>
            <w:r w:rsidRPr="00491918">
              <w:rPr>
                <w:b/>
                <w:color w:val="000000"/>
                <w:sz w:val="16"/>
              </w:rPr>
              <w:t>As at</w:t>
            </w: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lastRenderedPageBreak/>
              <w:t xml:space="preserve"> </w:t>
            </w:r>
          </w:p>
        </w:tc>
        <w:tc>
          <w:tcPr>
            <w:tcW w:w="1136" w:type="dxa"/>
            <w:tcBorders>
              <w:top w:val="nil"/>
              <w:left w:val="nil"/>
              <w:bottom w:val="nil"/>
              <w:right w:val="nil"/>
            </w:tcBorders>
            <w:shd w:val="clear" w:color="auto" w:fill="FFFFFF"/>
            <w:tcMar>
              <w:left w:w="36" w:type="dxa"/>
              <w:right w:w="36" w:type="dxa"/>
            </w:tcMar>
            <w:vAlign w:val="center"/>
          </w:tcPr>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07202F" w:rsidRPr="00491918" w:rsidRDefault="0007202F" w:rsidP="000E33D1">
            <w:pPr>
              <w:jc w:val="right"/>
              <w:rPr>
                <w:b/>
                <w:color w:val="000000"/>
                <w:sz w:val="16"/>
              </w:rPr>
            </w:pPr>
          </w:p>
          <w:p w:rsidR="00B54AC3" w:rsidRPr="00491918" w:rsidRDefault="00B54AC3" w:rsidP="000E33D1">
            <w:pPr>
              <w:jc w:val="right"/>
              <w:rPr>
                <w:b/>
                <w:color w:val="000000"/>
                <w:sz w:val="16"/>
              </w:rPr>
            </w:pPr>
            <w:r w:rsidRPr="00491918">
              <w:rPr>
                <w:b/>
                <w:color w:val="000000"/>
                <w:sz w:val="16"/>
              </w:rPr>
              <w:t>As at</w:t>
            </w:r>
          </w:p>
        </w:tc>
      </w:tr>
      <w:tr w:rsidR="00B54AC3" w:rsidRPr="00491918" w:rsidTr="000E33D1">
        <w:trPr>
          <w:trHeight w:val="241"/>
        </w:trPr>
        <w:tc>
          <w:tcPr>
            <w:tcW w:w="6307"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rPr>
                <w:b/>
                <w:color w:val="000000"/>
                <w:sz w:val="16"/>
              </w:rPr>
            </w:pP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30.06.13</w:t>
            </w: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30.06.13</w:t>
            </w:r>
          </w:p>
        </w:tc>
      </w:tr>
      <w:tr w:rsidR="00B54AC3" w:rsidRPr="00491918" w:rsidTr="000E33D1">
        <w:trPr>
          <w:trHeight w:val="241"/>
        </w:trPr>
        <w:tc>
          <w:tcPr>
            <w:tcW w:w="6307"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rPr>
                <w:b/>
                <w:color w:val="000000"/>
                <w:sz w:val="16"/>
              </w:rPr>
            </w:pP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 xml:space="preserve">Transitional </w:t>
            </w: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 xml:space="preserve">Transitional </w:t>
            </w: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854CB7" w:rsidP="000E33D1">
            <w:pPr>
              <w:jc w:val="right"/>
              <w:rPr>
                <w:b/>
                <w:color w:val="000000"/>
                <w:sz w:val="16"/>
              </w:rPr>
            </w:pPr>
            <w:r w:rsidRPr="00491918">
              <w:rPr>
                <w:b/>
                <w:color w:val="000000"/>
                <w:sz w:val="16"/>
              </w:rPr>
              <w:t>Fully loaded</w:t>
            </w:r>
          </w:p>
        </w:tc>
      </w:tr>
      <w:tr w:rsidR="00B54AC3" w:rsidRPr="00491918" w:rsidTr="000E33D1">
        <w:trPr>
          <w:trHeight w:val="241"/>
        </w:trPr>
        <w:tc>
          <w:tcPr>
            <w:tcW w:w="6307"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rPr>
                <w:b/>
                <w:color w:val="000000"/>
                <w:sz w:val="16"/>
              </w:rPr>
            </w:pP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Position Yr 1</w:t>
            </w: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Impacts Yr 1</w:t>
            </w:r>
          </w:p>
        </w:tc>
        <w:tc>
          <w:tcPr>
            <w:tcW w:w="1136" w:type="dxa"/>
            <w:tcBorders>
              <w:top w:val="nil"/>
              <w:left w:val="nil"/>
              <w:bottom w:val="nil"/>
              <w:right w:val="nil"/>
            </w:tcBorders>
            <w:shd w:val="clear" w:color="auto" w:fill="FFFFFF"/>
            <w:tcMar>
              <w:left w:w="36" w:type="dxa"/>
              <w:right w:w="36" w:type="dxa"/>
            </w:tcMar>
            <w:vAlign w:val="center"/>
          </w:tcPr>
          <w:p w:rsidR="00B54AC3" w:rsidRPr="00491918" w:rsidRDefault="00B54AC3" w:rsidP="000E33D1">
            <w:pPr>
              <w:jc w:val="right"/>
              <w:rPr>
                <w:b/>
                <w:color w:val="000000"/>
                <w:sz w:val="16"/>
              </w:rPr>
            </w:pPr>
            <w:r w:rsidRPr="00491918">
              <w:rPr>
                <w:b/>
                <w:color w:val="000000"/>
                <w:sz w:val="16"/>
              </w:rPr>
              <w:t>Position</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b/>
                <w:color w:val="000000"/>
                <w:sz w:val="16"/>
              </w:rPr>
              <w:t>Additional Tier 1 capital: regulatory adjustments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xml:space="preserve">£m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£m</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£m</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color w:val="000000"/>
                <w:sz w:val="16"/>
              </w:rPr>
              <w:t>Direct and indirect holdings of own AT1 Instruments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814"/>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Direct and indirect holdings of the AT1 instruments of relevant entities where the institution does not have a significant investment in those entities (amount above the 10% threshold and net of eligible short positions) (negative amount)</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(30</w:t>
            </w:r>
            <w:r w:rsidR="00631C3C" w:rsidRPr="00491918">
              <w:rPr>
                <w:color w:val="000000"/>
                <w:sz w:val="16"/>
              </w:rPr>
              <w:t>4</w:t>
            </w:r>
            <w:r w:rsidRPr="00491918">
              <w:rPr>
                <w:color w:val="000000"/>
                <w:sz w:val="16"/>
              </w:rPr>
              <w:t>)</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19</w:t>
            </w:r>
            <w:r w:rsidR="00631C3C" w:rsidRPr="00491918">
              <w:rPr>
                <w:color w:val="000000"/>
                <w:sz w:val="16"/>
              </w:rPr>
              <w:t>3</w:t>
            </w: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(111)</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Mitigation of non-significant holdings in relevant entities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30</w:t>
            </w:r>
            <w:r w:rsidR="00631C3C" w:rsidRPr="00491918">
              <w:rPr>
                <w:color w:val="000000"/>
                <w:sz w:val="16"/>
              </w:rPr>
              <w:t>4</w:t>
            </w: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631C3C">
            <w:pPr>
              <w:jc w:val="right"/>
              <w:rPr>
                <w:color w:val="000000"/>
                <w:sz w:val="16"/>
              </w:rPr>
            </w:pPr>
            <w:r w:rsidRPr="00491918">
              <w:rPr>
                <w:color w:val="000000"/>
                <w:sz w:val="16"/>
              </w:rPr>
              <w:t>(19</w:t>
            </w:r>
            <w:r w:rsidR="00631C3C" w:rsidRPr="00491918">
              <w:rPr>
                <w:color w:val="000000"/>
                <w:sz w:val="16"/>
              </w:rPr>
              <w:t>3</w:t>
            </w:r>
            <w:r w:rsidRPr="00491918">
              <w:rPr>
                <w:color w:val="000000"/>
                <w:sz w:val="16"/>
              </w:rPr>
              <w:t>)</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111 </w:t>
            </w:r>
          </w:p>
        </w:tc>
      </w:tr>
      <w:tr w:rsidR="00B54AC3"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Residual amounts deducted from AT1 capital with regard to deduction from CET1 capital during the transitional period:</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(6,797)</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6,797 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of which intangible assets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(6,066)</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6,066 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of which shortfall of provisions to expected losses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(731)</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731 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b/>
                <w:color w:val="000000"/>
                <w:sz w:val="16"/>
              </w:rPr>
              <w:t>Total regulatory adjustments to Additional Tier 1 capital</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(6,804)</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6,804 </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w:t>
            </w:r>
          </w:p>
        </w:tc>
      </w:tr>
      <w:tr w:rsidR="00B54AC3" w:rsidRPr="00491918" w:rsidTr="00B54AC3">
        <w:trPr>
          <w:trHeight w:val="241"/>
        </w:trPr>
        <w:tc>
          <w:tcPr>
            <w:tcW w:w="6307"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b/>
                <w:color w:val="000000"/>
                <w:sz w:val="16"/>
              </w:rPr>
              <w:t>Additional Tier 1 capital</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940 </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(736)</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204 </w:t>
            </w:r>
          </w:p>
        </w:tc>
      </w:tr>
      <w:tr w:rsidR="00B54AC3" w:rsidRPr="00491918" w:rsidTr="00B54AC3">
        <w:trPr>
          <w:trHeight w:val="241"/>
        </w:trPr>
        <w:tc>
          <w:tcPr>
            <w:tcW w:w="6307"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b/>
                <w:color w:val="000000"/>
                <w:sz w:val="16"/>
              </w:rPr>
              <w:t>Tier 1 capital (T1 = CET1 + AT1)</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48,188 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(9,925)</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38,263 </w:t>
            </w:r>
          </w:p>
        </w:tc>
      </w:tr>
      <w:tr w:rsidR="00B54AC3" w:rsidRPr="00491918" w:rsidTr="00B54AC3">
        <w:trPr>
          <w:trHeight w:hRule="exac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b/>
                <w:color w:val="000000"/>
                <w:sz w:val="16"/>
              </w:rPr>
              <w:t>Tier 2 (T2) capital: instruments and provisions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xml:space="preserve">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color w:val="000000"/>
                <w:sz w:val="16"/>
              </w:rPr>
              <w:t>Capital instruments and the related share premium accounts issued by Barclays Bank PLC</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17,211 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2,464 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19,675 </w:t>
            </w:r>
          </w:p>
        </w:tc>
      </w:tr>
      <w:tr w:rsidR="00B54AC3"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Qualifying own funds instruments included in T2 capital (including minority interests) issued by subsidiaries and held by third parties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669 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(397)</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272 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Amount of qualifying items subject to phase out from T2</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(655)</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655 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b/>
                <w:color w:val="000000"/>
                <w:sz w:val="16"/>
              </w:rPr>
              <w:t>Tier 2 capital before regulatory adjustments</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17,225 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2,722 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19,947 </w:t>
            </w:r>
          </w:p>
        </w:tc>
      </w:tr>
      <w:tr w:rsidR="00B54AC3" w:rsidRPr="00491918" w:rsidTr="00B54AC3">
        <w:trPr>
          <w:trHeight w:hRule="exac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b/>
                <w:color w:val="000000"/>
                <w:sz w:val="16"/>
              </w:rPr>
              <w:t>Tier 2 capital: regulatory adjustments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 xml:space="preserve">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color w:val="000000"/>
                <w:sz w:val="16"/>
              </w:rPr>
              <w:t xml:space="preserve">Direct and indirect holdings of own T2 instruments and subordinated loans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(58)</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28 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(30)</w:t>
            </w:r>
          </w:p>
        </w:tc>
      </w:tr>
      <w:tr w:rsidR="00B54AC3" w:rsidRPr="00491918" w:rsidTr="00B54AC3">
        <w:trPr>
          <w:trHeight w:val="768"/>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Direct and indirect holdings of the T2 instruments and subordinated loans of relevant entities where the institution does not have a significant investment in those entities (amount above 10% threshold and net of eligible short positions) (negative amount)</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631C3C">
            <w:pPr>
              <w:jc w:val="right"/>
              <w:rPr>
                <w:color w:val="000000"/>
                <w:sz w:val="16"/>
              </w:rPr>
            </w:pPr>
            <w:r w:rsidRPr="00491918">
              <w:rPr>
                <w:color w:val="000000"/>
                <w:sz w:val="16"/>
              </w:rPr>
              <w:t>(8</w:t>
            </w:r>
            <w:r w:rsidR="00631C3C" w:rsidRPr="00491918">
              <w:rPr>
                <w:color w:val="000000"/>
                <w:sz w:val="16"/>
              </w:rPr>
              <w:t>61</w:t>
            </w:r>
            <w:r w:rsidRPr="00491918">
              <w:rPr>
                <w:color w:val="000000"/>
                <w:sz w:val="16"/>
              </w:rPr>
              <w:t>)</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631C3C">
            <w:pPr>
              <w:jc w:val="right"/>
              <w:rPr>
                <w:color w:val="000000"/>
                <w:sz w:val="16"/>
              </w:rPr>
            </w:pPr>
            <w:r w:rsidRPr="00491918">
              <w:rPr>
                <w:color w:val="000000"/>
                <w:sz w:val="16"/>
              </w:rPr>
              <w:t>(2,0</w:t>
            </w:r>
            <w:r w:rsidR="00631C3C" w:rsidRPr="00491918">
              <w:rPr>
                <w:color w:val="000000"/>
                <w:sz w:val="16"/>
              </w:rPr>
              <w:t>35</w:t>
            </w:r>
            <w:r w:rsidRPr="00491918">
              <w:rPr>
                <w:color w:val="000000"/>
                <w:sz w:val="16"/>
              </w:rPr>
              <w:t>)</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(2,8</w:t>
            </w:r>
            <w:r w:rsidR="00631C3C" w:rsidRPr="00491918">
              <w:rPr>
                <w:color w:val="000000"/>
                <w:sz w:val="16"/>
              </w:rPr>
              <w:t>96</w:t>
            </w:r>
            <w:r w:rsidRPr="00491918">
              <w:rPr>
                <w:color w:val="000000"/>
                <w:sz w:val="16"/>
              </w:rPr>
              <w:t>)</w:t>
            </w:r>
          </w:p>
        </w:tc>
      </w:tr>
      <w:tr w:rsidR="00B54AC3" w:rsidRPr="00491918" w:rsidTr="00B54AC3">
        <w:trPr>
          <w:trHeight w:val="286"/>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Mitigation of non-significant holdings in relevant entities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8</w:t>
            </w:r>
            <w:r w:rsidR="00631C3C" w:rsidRPr="00491918">
              <w:rPr>
                <w:color w:val="000000"/>
                <w:sz w:val="16"/>
              </w:rPr>
              <w:t>61</w:t>
            </w: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2,0</w:t>
            </w:r>
            <w:r w:rsidR="00631C3C" w:rsidRPr="00491918">
              <w:rPr>
                <w:color w:val="000000"/>
                <w:sz w:val="16"/>
              </w:rPr>
              <w:t>35</w:t>
            </w: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2,8</w:t>
            </w:r>
            <w:r w:rsidR="00631C3C" w:rsidRPr="00491918">
              <w:rPr>
                <w:color w:val="000000"/>
                <w:sz w:val="16"/>
              </w:rPr>
              <w:t>96</w:t>
            </w:r>
            <w:r w:rsidRPr="00491918">
              <w:rPr>
                <w:color w:val="000000"/>
                <w:sz w:val="16"/>
              </w:rPr>
              <w:t> </w:t>
            </w:r>
          </w:p>
        </w:tc>
      </w:tr>
      <w:tr w:rsidR="00B54AC3"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 xml:space="preserve">Direct and indirect holdings of T2 instruments where the institution has a significant investment in those entities (net of eligible short positions)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w:t>
            </w:r>
          </w:p>
        </w:tc>
      </w:tr>
      <w:tr w:rsidR="00B54AC3"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Residual amounts deducted from T2 capital with regard to deduction from CET1 capital during the transitional period:</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(731)</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731 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of which shortfall of provisions to expected losses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(731)</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731 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512"/>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Amount to be deducted from T2 capital with regard to additional filters and deductions required pre CRR:</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(869)</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869 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of which unrealised gains on available for sale equity</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137 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(137)</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of which property revaluation reserve</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19 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(19)</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of which connected lending of a capital nature</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(261)</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261 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of which non material non qualifying holdings</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(764)</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764 </w:t>
            </w:r>
          </w:p>
        </w:tc>
        <w:tc>
          <w:tcPr>
            <w:tcW w:w="1136" w:type="dxa"/>
            <w:tcBorders>
              <w:top w:val="nil"/>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b/>
                <w:color w:val="000000"/>
                <w:sz w:val="16"/>
              </w:rPr>
              <w:t>Total regulatory adjustments to Tier 2 capital</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(1,659)</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1,628 </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(31)</w:t>
            </w:r>
          </w:p>
        </w:tc>
      </w:tr>
      <w:tr w:rsidR="00B54AC3" w:rsidRPr="00491918" w:rsidTr="00B54AC3">
        <w:trPr>
          <w:trHeight w:val="241"/>
        </w:trPr>
        <w:tc>
          <w:tcPr>
            <w:tcW w:w="6307"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b/>
                <w:color w:val="000000"/>
                <w:sz w:val="16"/>
              </w:rPr>
              <w:t>Tier 2 capital</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15,566 </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4,350 </w:t>
            </w:r>
          </w:p>
        </w:tc>
        <w:tc>
          <w:tcPr>
            <w:tcW w:w="1136" w:type="dxa"/>
            <w:tcBorders>
              <w:top w:val="single" w:sz="6" w:space="0" w:color="B2B2B2"/>
              <w:left w:val="nil"/>
              <w:bottom w:val="single" w:sz="6" w:space="0" w:color="B2B2B2"/>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19,916 </w:t>
            </w:r>
          </w:p>
        </w:tc>
      </w:tr>
      <w:tr w:rsidR="00B54AC3" w:rsidRPr="00491918" w:rsidTr="00B54AC3">
        <w:trPr>
          <w:trHeight w:val="241"/>
        </w:trPr>
        <w:tc>
          <w:tcPr>
            <w:tcW w:w="6307"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b/>
                <w:color w:val="000000"/>
                <w:sz w:val="16"/>
              </w:rPr>
              <w:t>Total capital (TC = T1 + T2) 1</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63,754 </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(5,575)</w:t>
            </w:r>
          </w:p>
        </w:tc>
        <w:tc>
          <w:tcPr>
            <w:tcW w:w="1136" w:type="dxa"/>
            <w:tcBorders>
              <w:top w:val="single" w:sz="6" w:space="0" w:color="B2B2B2"/>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b/>
                <w:color w:val="000000"/>
                <w:sz w:val="16"/>
              </w:rPr>
              <w:t>58,179 </w:t>
            </w:r>
          </w:p>
        </w:tc>
      </w:tr>
      <w:tr w:rsidR="00B54AC3" w:rsidRPr="00491918" w:rsidTr="00B54AC3">
        <w:trPr>
          <w:trHeight w:hRule="exac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b/>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b/>
                <w:color w:val="000000"/>
                <w:sz w:val="16"/>
              </w:rPr>
              <w:t xml:space="preserve">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b/>
                <w:color w:val="000000"/>
                <w:sz w:val="16"/>
              </w:rPr>
            </w:pPr>
            <w:r w:rsidRPr="00491918">
              <w:rPr>
                <w:b/>
                <w:color w:val="000000"/>
                <w:sz w:val="16"/>
              </w:rPr>
              <w:t>Capital instruments subject to phase-out arrangements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b/>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xml:space="preserve">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Current cap on CET1 instruments subject to phase out arrangements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Amount excluded from CET1 due to cap</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Current cap on AT1 instruments subject to phase out arrangements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9,629 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(9,629)</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 xml:space="preserve">Amount excluded from AT1 due to cap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(1,926)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1,926</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Current cap on T2 instruments subject to phase out arrangements</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3,276 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(3,276)</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r w:rsidR="00B54AC3" w:rsidRPr="00491918" w:rsidTr="00B54AC3">
        <w:trPr>
          <w:trHeight w:val="241"/>
        </w:trPr>
        <w:tc>
          <w:tcPr>
            <w:tcW w:w="6307"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rPr>
                <w:color w:val="000000"/>
                <w:sz w:val="16"/>
              </w:rPr>
            </w:pPr>
            <w:r w:rsidRPr="00491918">
              <w:rPr>
                <w:color w:val="000000"/>
                <w:sz w:val="16"/>
              </w:rPr>
              <w:t>Amount excluded from T2 due to cap</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(655)</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655 </w:t>
            </w:r>
          </w:p>
        </w:tc>
        <w:tc>
          <w:tcPr>
            <w:tcW w:w="1136" w:type="dxa"/>
            <w:tcBorders>
              <w:top w:val="nil"/>
              <w:left w:val="nil"/>
              <w:bottom w:val="nil"/>
              <w:right w:val="nil"/>
            </w:tcBorders>
            <w:shd w:val="clear" w:color="auto" w:fill="FFFFFF"/>
            <w:tcMar>
              <w:left w:w="36" w:type="dxa"/>
              <w:right w:w="36" w:type="dxa"/>
            </w:tcMar>
            <w:vAlign w:val="bottom"/>
          </w:tcPr>
          <w:p w:rsidR="00B54AC3" w:rsidRPr="00491918" w:rsidRDefault="00B54AC3" w:rsidP="00B54AC3">
            <w:pPr>
              <w:jc w:val="right"/>
              <w:rPr>
                <w:color w:val="000000"/>
                <w:sz w:val="16"/>
              </w:rPr>
            </w:pPr>
            <w:r w:rsidRPr="00491918">
              <w:rPr>
                <w:color w:val="000000"/>
                <w:sz w:val="16"/>
              </w:rPr>
              <w:t>- </w:t>
            </w:r>
          </w:p>
        </w:tc>
      </w:tr>
    </w:tbl>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E33D1" w:rsidRPr="00491918" w:rsidRDefault="000E33D1" w:rsidP="000E33D1">
      <w:pPr>
        <w:pStyle w:val="MyLastParagraph"/>
      </w:pPr>
    </w:p>
    <w:p w:rsidR="000D1659" w:rsidRPr="00491918" w:rsidRDefault="000D1659">
      <w:pPr>
        <w:sectPr w:rsidR="000D1659" w:rsidRPr="00491918" w:rsidSect="00751636">
          <w:headerReference w:type="default" r:id="rId32"/>
          <w:pgSz w:w="11905" w:h="16837"/>
          <w:pgMar w:top="851" w:right="1134" w:bottom="567" w:left="1134" w:header="851" w:footer="567" w:gutter="0"/>
          <w:cols w:space="708"/>
        </w:sectPr>
      </w:pPr>
    </w:p>
    <w:p w:rsidR="00DB725D" w:rsidRPr="00491918" w:rsidRDefault="00DB725D" w:rsidP="00DB725D">
      <w:pPr>
        <w:pStyle w:val="HeadingLevel1-BarcRA"/>
      </w:pPr>
      <w:r w:rsidRPr="00491918">
        <w:lastRenderedPageBreak/>
        <w:t>Shareholder Information</w:t>
      </w:r>
    </w:p>
    <w:p w:rsidR="000E33D1" w:rsidRPr="00491918" w:rsidRDefault="000E33D1" w:rsidP="008D6001">
      <w:pPr>
        <w:pStyle w:val="HeadingLevel2-BarcRA39"/>
        <w:outlineLvl w:val="0"/>
        <w:rPr>
          <w:color w:val="auto"/>
        </w:rPr>
      </w:pPr>
      <w:r w:rsidRPr="00491918">
        <w:rPr>
          <w:color w:val="auto"/>
        </w:rPr>
        <w:t>Listing</w:t>
      </w:r>
    </w:p>
    <w:p w:rsidR="000E33D1" w:rsidRPr="00491918" w:rsidRDefault="000E33D1" w:rsidP="00B54AC3">
      <w:pPr>
        <w:pStyle w:val="BodyText-BarcRA115"/>
      </w:pPr>
      <w:r w:rsidRPr="00491918">
        <w:t>The principal trading market for Barclays PLC ordinary shares is the London Stock Exchange. Trading on the New York Stock Exchange is in the form of ADSs under the ticker symbol 'BCS'. Each ADS represents four ordinary shares of 25p each and is evidenced by an ADR. The ADR depositary is JP Morgan Chase Bank, whose international telephone number is +1-651-453-2128, domestic telephone number is 1-800-990-1135 and address is JPMorgan Chase Bank, PO Box 64504, St. Paul, MN 55164-0504, USA.</w:t>
      </w:r>
    </w:p>
    <w:p w:rsidR="000E33D1" w:rsidRPr="00491918" w:rsidRDefault="000E33D1" w:rsidP="008D6001">
      <w:pPr>
        <w:pStyle w:val="HeadingLevel2-BarcRA39"/>
        <w:outlineLvl w:val="0"/>
        <w:rPr>
          <w:color w:val="auto"/>
        </w:rPr>
      </w:pPr>
      <w:r w:rsidRPr="00491918">
        <w:rPr>
          <w:color w:val="auto"/>
        </w:rPr>
        <w:t xml:space="preserve">Barclays PLC Scrip Dividend Programme </w:t>
      </w:r>
    </w:p>
    <w:p w:rsidR="000E33D1" w:rsidRPr="00491918" w:rsidRDefault="000E33D1" w:rsidP="00B54AC3">
      <w:pPr>
        <w:pStyle w:val="Normal145"/>
        <w:jc w:val="both"/>
        <w:rPr>
          <w:sz w:val="20"/>
          <w:szCs w:val="20"/>
        </w:rPr>
      </w:pPr>
      <w:r w:rsidRPr="00491918">
        <w:rPr>
          <w:sz w:val="20"/>
          <w:szCs w:val="20"/>
        </w:rPr>
        <w:t> </w:t>
      </w:r>
    </w:p>
    <w:p w:rsidR="000E33D1" w:rsidRPr="00491918" w:rsidRDefault="000E33D1" w:rsidP="00B54AC3">
      <w:pPr>
        <w:pStyle w:val="Normal145"/>
        <w:jc w:val="both"/>
        <w:rPr>
          <w:szCs w:val="20"/>
        </w:rPr>
      </w:pPr>
      <w:r w:rsidRPr="00491918">
        <w:rPr>
          <w:szCs w:val="20"/>
        </w:rPr>
        <w:t>Shareholders may have their dividends reinvested in Barclays shares by joining the Barclays PLC Scrip Dividend Programme (the Programme).  At the Barclays 2013 Annual General Meeting, shareholders approved the introduction of the Programme to replace the Barclays Dividend Reinvestment Plan. The Programme will enable shareholders, if they wish, to receive new fully paid ordinary shares in Barclays PLC instead of a cash dividend, without incurring dealing costs or stamp duty.  The Programme will initially be offered for the second interim dividend, to be paid on 13 September 2013, and for any dividends paid thereafter (subject to the Directors making the Programme available for each dividend).</w:t>
      </w:r>
    </w:p>
    <w:p w:rsidR="000E33D1" w:rsidRPr="00491918" w:rsidRDefault="000E33D1" w:rsidP="00B54AC3">
      <w:pPr>
        <w:pStyle w:val="Normal145"/>
        <w:jc w:val="both"/>
        <w:rPr>
          <w:szCs w:val="20"/>
        </w:rPr>
      </w:pPr>
      <w:r w:rsidRPr="00491918">
        <w:rPr>
          <w:szCs w:val="20"/>
        </w:rPr>
        <w:t> </w:t>
      </w:r>
    </w:p>
    <w:p w:rsidR="000E33D1" w:rsidRPr="00491918" w:rsidRDefault="000E33D1" w:rsidP="00B54AC3">
      <w:pPr>
        <w:pStyle w:val="Normal145"/>
        <w:jc w:val="both"/>
        <w:rPr>
          <w:szCs w:val="20"/>
        </w:rPr>
      </w:pPr>
      <w:r w:rsidRPr="00491918">
        <w:rPr>
          <w:szCs w:val="20"/>
        </w:rPr>
        <w:t xml:space="preserve">For further details, including the full Terms and Conditions and information about how to join or leave the Programme, please visit </w:t>
      </w:r>
      <w:r w:rsidRPr="00491918">
        <w:rPr>
          <w:b/>
          <w:szCs w:val="20"/>
        </w:rPr>
        <w:t>Barclays.com/dividends</w:t>
      </w:r>
      <w:r w:rsidRPr="00491918">
        <w:rPr>
          <w:szCs w:val="20"/>
        </w:rPr>
        <w:t xml:space="preserve"> or alternatively contact: The Registrar to Barclays, Aspect House, Spencer Road, Lancing, West Sussex BN99 6DA United Kingdom, or by telephoning 0871 384 2055</w:t>
      </w:r>
      <w:r w:rsidRPr="00491918">
        <w:rPr>
          <w:szCs w:val="20"/>
          <w:vertAlign w:val="superscript"/>
        </w:rPr>
        <w:t>4</w:t>
      </w:r>
      <w:r w:rsidRPr="00491918">
        <w:rPr>
          <w:szCs w:val="20"/>
        </w:rPr>
        <w:t xml:space="preserve"> from the UK or +44 121 415 7004 from overseas.</w:t>
      </w:r>
    </w:p>
    <w:p w:rsidR="000E33D1" w:rsidRPr="00491918" w:rsidRDefault="000E33D1" w:rsidP="000E33D1">
      <w:pPr>
        <w:ind w:firstLine="720"/>
        <w:rPr>
          <w:lang w:val="en-GB" w:eastAsia="en-GB"/>
        </w:rPr>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p w:rsidR="0007202F" w:rsidRPr="00491918" w:rsidRDefault="0007202F" w:rsidP="0007202F">
      <w:pPr>
        <w:pStyle w:val="HeadingLevel1-BarcRA"/>
        <w:rPr>
          <w:lang w:val="en-GB"/>
        </w:rPr>
      </w:pPr>
    </w:p>
    <w:p w:rsidR="0007202F" w:rsidRPr="00491918" w:rsidRDefault="0007202F" w:rsidP="0007202F">
      <w:pPr>
        <w:pStyle w:val="HeadingLevel1-BarcRA"/>
        <w:rPr>
          <w:lang w:val="en-GB"/>
        </w:rPr>
      </w:pPr>
    </w:p>
    <w:p w:rsidR="0007202F" w:rsidRPr="00491918" w:rsidRDefault="0007202F" w:rsidP="0007202F">
      <w:pPr>
        <w:pStyle w:val="HeadingLevel1-BarcRA"/>
        <w:rPr>
          <w:lang w:val="en-GB"/>
        </w:rPr>
      </w:pPr>
    </w:p>
    <w:p w:rsidR="0007202F" w:rsidRPr="00491918" w:rsidRDefault="0007202F" w:rsidP="0007202F">
      <w:pPr>
        <w:pStyle w:val="HeadingLevel1-BarcRA"/>
      </w:pPr>
      <w:r w:rsidRPr="00491918">
        <w:t>Shareholder Information</w:t>
      </w:r>
    </w:p>
    <w:p w:rsidR="000E33D1" w:rsidRPr="00491918" w:rsidRDefault="000E33D1">
      <w:pPr>
        <w:pStyle w:val="MyLastParagraph"/>
      </w:pPr>
    </w:p>
    <w:p w:rsidR="000E33D1" w:rsidRPr="00491918" w:rsidRDefault="000E33D1">
      <w:pPr>
        <w:pStyle w:val="MyLastParagraph"/>
      </w:pPr>
    </w:p>
    <w:p w:rsidR="000E33D1" w:rsidRPr="00491918" w:rsidRDefault="000E33D1">
      <w:pPr>
        <w:pStyle w:val="MyLastParagraph"/>
      </w:pPr>
    </w:p>
    <w:tbl>
      <w:tblPr>
        <w:tblW w:w="0" w:type="auto"/>
        <w:tblLayout w:type="fixed"/>
        <w:tblLook w:val="0000" w:firstRow="0" w:lastRow="0" w:firstColumn="0" w:lastColumn="0" w:noHBand="0" w:noVBand="0"/>
      </w:tblPr>
      <w:tblGrid>
        <w:gridCol w:w="5115"/>
        <w:gridCol w:w="900"/>
        <w:gridCol w:w="900"/>
        <w:gridCol w:w="900"/>
        <w:gridCol w:w="900"/>
        <w:gridCol w:w="900"/>
      </w:tblGrid>
      <w:tr w:rsidR="000E33D1" w:rsidRPr="00491918" w:rsidTr="000E33D1">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both"/>
              <w:rPr>
                <w:i/>
                <w:color w:val="000000"/>
                <w:sz w:val="14"/>
              </w:rPr>
            </w:pPr>
            <w:r w:rsidRPr="00491918">
              <w:rPr>
                <w:b/>
                <w:color w:val="000000"/>
                <w:sz w:val="16"/>
              </w:rPr>
              <w:t>Results Timetable</w:t>
            </w:r>
            <w:r w:rsidRPr="00491918">
              <w:rPr>
                <w:color w:val="000000"/>
                <w:sz w:val="16"/>
                <w:vertAlign w:val="superscript"/>
              </w:rPr>
              <w:t>1 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b/>
                <w:color w:val="000000"/>
                <w:sz w:val="16"/>
              </w:rPr>
              <w:t>Date</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both"/>
              <w:rPr>
                <w:color w:val="000000"/>
                <w:sz w:val="16"/>
              </w:rPr>
            </w:pPr>
            <w:r w:rsidRPr="00491918">
              <w:rPr>
                <w:b/>
                <w:color w:val="000000"/>
                <w:sz w:val="16"/>
              </w:rPr>
              <w:t xml:space="preserve"> </w:t>
            </w:r>
            <w:r w:rsidRPr="00491918">
              <w:rPr>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bl>
    <w:p w:rsidR="00F92E6D" w:rsidRPr="00491918" w:rsidRDefault="00F92E6D"/>
    <w:tbl>
      <w:tblPr>
        <w:tblW w:w="0" w:type="auto"/>
        <w:tblLayout w:type="fixed"/>
        <w:tblLook w:val="0000" w:firstRow="0" w:lastRow="0" w:firstColumn="0" w:lastColumn="0" w:noHBand="0" w:noVBand="0"/>
      </w:tblPr>
      <w:tblGrid>
        <w:gridCol w:w="5115"/>
        <w:gridCol w:w="900"/>
        <w:gridCol w:w="900"/>
        <w:gridCol w:w="900"/>
        <w:gridCol w:w="900"/>
        <w:gridCol w:w="900"/>
      </w:tblGrid>
      <w:tr w:rsidR="000E33D1" w:rsidRPr="00491918" w:rsidTr="00F92E6D">
        <w:trPr>
          <w:trHeight w:val="240"/>
        </w:trPr>
        <w:tc>
          <w:tcPr>
            <w:tcW w:w="5115" w:type="dxa"/>
            <w:tcBorders>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lastRenderedPageBreak/>
              <w:t>Ex-dividend date</w:t>
            </w:r>
            <w:r w:rsidRPr="00491918">
              <w:rPr>
                <w:b/>
                <w:color w:val="000000"/>
                <w:sz w:val="16"/>
                <w:vertAlign w:val="superscript"/>
              </w:rPr>
              <w:t xml:space="preserve"> </w:t>
            </w:r>
          </w:p>
        </w:tc>
        <w:tc>
          <w:tcPr>
            <w:tcW w:w="2700" w:type="dxa"/>
            <w:gridSpan w:val="3"/>
            <w:tcBorders>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color w:val="000000"/>
                <w:sz w:val="16"/>
              </w:rPr>
              <w:t>7 August 2013</w:t>
            </w:r>
          </w:p>
        </w:tc>
        <w:tc>
          <w:tcPr>
            <w:tcW w:w="1800" w:type="dxa"/>
            <w:gridSpan w:val="2"/>
            <w:tcBorders>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Dividend Record date</w:t>
            </w:r>
            <w:r w:rsidRPr="00491918">
              <w:rPr>
                <w:color w:val="000000"/>
                <w:sz w:val="16"/>
                <w:vertAlign w:val="superscript"/>
              </w:rPr>
              <w:t xml:space="preserve"> </w:t>
            </w:r>
          </w:p>
        </w:tc>
        <w:tc>
          <w:tcPr>
            <w:tcW w:w="2700" w:type="dxa"/>
            <w:gridSpan w:val="3"/>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9 August 2013</w:t>
            </w:r>
          </w:p>
        </w:tc>
        <w:tc>
          <w:tcPr>
            <w:tcW w:w="1800" w:type="dxa"/>
            <w:gridSpan w:val="2"/>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240"/>
        </w:trPr>
        <w:tc>
          <w:tcPr>
            <w:tcW w:w="5115" w:type="dxa"/>
            <w:tcBorders>
              <w:top w:val="nil"/>
              <w:left w:val="nil"/>
              <w:bottom w:val="nil"/>
              <w:right w:val="nil"/>
            </w:tcBorders>
            <w:shd w:val="clear" w:color="auto" w:fill="FFFFFF"/>
            <w:tcMar>
              <w:left w:w="36" w:type="dxa"/>
              <w:right w:w="36" w:type="dxa"/>
            </w:tcMar>
            <w:vAlign w:val="bottom"/>
          </w:tcPr>
          <w:p w:rsidR="000E33D1" w:rsidRPr="00491918" w:rsidRDefault="000E33D1" w:rsidP="000E33D1">
            <w:pPr>
              <w:rPr>
                <w:color w:val="000000"/>
                <w:sz w:val="16"/>
                <w:vertAlign w:val="superscript"/>
              </w:rPr>
            </w:pPr>
            <w:r w:rsidRPr="00491918">
              <w:rPr>
                <w:color w:val="000000"/>
                <w:sz w:val="16"/>
              </w:rPr>
              <w:t>Scrip reference share price set and made available to shareholders</w:t>
            </w:r>
            <w:r w:rsidRPr="00491918">
              <w:rPr>
                <w:color w:val="000000"/>
                <w:sz w:val="16"/>
                <w:vertAlign w:val="superscript"/>
              </w:rPr>
              <w:t xml:space="preserve"> </w:t>
            </w:r>
          </w:p>
        </w:tc>
        <w:tc>
          <w:tcPr>
            <w:tcW w:w="2700" w:type="dxa"/>
            <w:gridSpan w:val="3"/>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14 August 2013</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525"/>
        </w:trPr>
        <w:tc>
          <w:tcPr>
            <w:tcW w:w="5115" w:type="dxa"/>
            <w:tcBorders>
              <w:top w:val="nil"/>
              <w:left w:val="nil"/>
              <w:bottom w:val="nil"/>
              <w:right w:val="nil"/>
            </w:tcBorders>
            <w:shd w:val="clear" w:color="auto" w:fill="FFFFFF"/>
            <w:tcMar>
              <w:left w:w="36" w:type="dxa"/>
              <w:right w:w="36" w:type="dxa"/>
            </w:tcMar>
            <w:vAlign w:val="bottom"/>
          </w:tcPr>
          <w:p w:rsidR="000E33D1" w:rsidRPr="00491918" w:rsidRDefault="000E33D1" w:rsidP="000E33D1">
            <w:pPr>
              <w:rPr>
                <w:color w:val="000000"/>
                <w:sz w:val="16"/>
                <w:vertAlign w:val="superscript"/>
              </w:rPr>
            </w:pPr>
            <w:r w:rsidRPr="00491918">
              <w:rPr>
                <w:color w:val="000000"/>
                <w:sz w:val="16"/>
              </w:rPr>
              <w:t>Cut off time of 4.30 pm (London time) for the receipt of Mandate Forms or Revocation Forms (as applicable)</w:t>
            </w:r>
            <w:r w:rsidRPr="00491918">
              <w:rPr>
                <w:color w:val="000000"/>
                <w:sz w:val="16"/>
                <w:vertAlign w:val="superscript"/>
              </w:rPr>
              <w:t xml:space="preserve"> </w:t>
            </w:r>
          </w:p>
        </w:tc>
        <w:tc>
          <w:tcPr>
            <w:tcW w:w="2700" w:type="dxa"/>
            <w:gridSpan w:val="3"/>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22 August 2013</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240"/>
        </w:trPr>
        <w:tc>
          <w:tcPr>
            <w:tcW w:w="5115" w:type="dxa"/>
            <w:tcBorders>
              <w:top w:val="nil"/>
              <w:left w:val="nil"/>
              <w:bottom w:val="nil"/>
              <w:right w:val="nil"/>
            </w:tcBorders>
            <w:shd w:val="clear" w:color="auto" w:fill="FFFFFF"/>
            <w:tcMar>
              <w:left w:w="36" w:type="dxa"/>
              <w:right w:w="36" w:type="dxa"/>
            </w:tcMar>
            <w:vAlign w:val="bottom"/>
          </w:tcPr>
          <w:p w:rsidR="000E33D1" w:rsidRPr="00491918" w:rsidRDefault="000E33D1" w:rsidP="000E33D1">
            <w:pPr>
              <w:rPr>
                <w:color w:val="000000"/>
                <w:sz w:val="16"/>
                <w:vertAlign w:val="superscript"/>
              </w:rPr>
            </w:pPr>
            <w:r w:rsidRPr="00491918">
              <w:rPr>
                <w:color w:val="000000"/>
                <w:sz w:val="16"/>
              </w:rPr>
              <w:t>Dividend Payment date /first day of dealing in New Shares</w:t>
            </w:r>
            <w:r w:rsidRPr="00491918">
              <w:rPr>
                <w:color w:val="000000"/>
                <w:sz w:val="16"/>
                <w:vertAlign w:val="superscript"/>
              </w:rPr>
              <w:t xml:space="preserve"> </w:t>
            </w:r>
          </w:p>
        </w:tc>
        <w:tc>
          <w:tcPr>
            <w:tcW w:w="2700" w:type="dxa"/>
            <w:gridSpan w:val="3"/>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13 September 2013</w:t>
            </w:r>
          </w:p>
        </w:tc>
        <w:tc>
          <w:tcPr>
            <w:tcW w:w="1800" w:type="dxa"/>
            <w:gridSpan w:val="2"/>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Q3 2013 Interim Management Statement</w:t>
            </w:r>
            <w:r w:rsidRPr="00491918">
              <w:rPr>
                <w:color w:val="000000"/>
                <w:sz w:val="16"/>
                <w:vertAlign w:val="superscript"/>
              </w:rPr>
              <w:t xml:space="preserve"> </w:t>
            </w:r>
          </w:p>
        </w:tc>
        <w:tc>
          <w:tcPr>
            <w:tcW w:w="2700" w:type="dxa"/>
            <w:gridSpan w:val="3"/>
            <w:tcBorders>
              <w:top w:val="nil"/>
              <w:left w:val="nil"/>
              <w:bottom w:val="nil"/>
              <w:right w:val="nil"/>
            </w:tcBorders>
            <w:shd w:val="clear" w:color="auto" w:fill="FFFFFF"/>
            <w:tcMar>
              <w:left w:w="36" w:type="dxa"/>
              <w:right w:w="36" w:type="dxa"/>
            </w:tcMar>
            <w:vAlign w:val="center"/>
          </w:tcPr>
          <w:p w:rsidR="000E33D1" w:rsidRPr="00491918" w:rsidRDefault="004A2896" w:rsidP="004A2896">
            <w:pPr>
              <w:rPr>
                <w:color w:val="000000"/>
                <w:sz w:val="16"/>
                <w:vertAlign w:val="superscript"/>
              </w:rPr>
            </w:pPr>
            <w:r w:rsidRPr="00491918">
              <w:rPr>
                <w:color w:val="000000"/>
                <w:sz w:val="16"/>
              </w:rPr>
              <w:t>30</w:t>
            </w:r>
            <w:r w:rsidR="000E33D1" w:rsidRPr="00491918">
              <w:rPr>
                <w:color w:val="000000"/>
                <w:sz w:val="16"/>
              </w:rPr>
              <w:t xml:space="preserve"> October 2013</w:t>
            </w:r>
          </w:p>
        </w:tc>
        <w:tc>
          <w:tcPr>
            <w:tcW w:w="1800" w:type="dxa"/>
            <w:gridSpan w:val="2"/>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r>
      <w:tr w:rsidR="000E33D1" w:rsidRPr="00491918" w:rsidTr="000E33D1">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795"/>
        </w:trPr>
        <w:tc>
          <w:tcPr>
            <w:tcW w:w="9615" w:type="dxa"/>
            <w:gridSpan w:val="6"/>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For qualifying US and Canadian resident ADR holders, the second interim dividend of 1p per ordinary share becomes 4p per ADS (representing four shares). The ADR depositary will post the second interim dividend on 13 September 2013 to ADR holders on the record at close of business on 9 August 2013.</w:t>
            </w:r>
            <w:r w:rsidRPr="00491918">
              <w:rPr>
                <w:color w:val="000000"/>
                <w:sz w:val="16"/>
                <w:vertAlign w:val="superscript"/>
              </w:rPr>
              <w:t xml:space="preserve"> </w:t>
            </w:r>
          </w:p>
        </w:tc>
      </w:tr>
      <w:tr w:rsidR="000E33D1" w:rsidRPr="00491918" w:rsidTr="000E33D1">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vertAlign w:val="superscript"/>
              </w:rPr>
            </w:pPr>
            <w:r w:rsidRPr="00491918">
              <w:rPr>
                <w:b/>
                <w:color w:val="000000"/>
                <w:sz w:val="16"/>
              </w:rPr>
              <w:t>Half Year</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Half Year</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Half Year</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vertAlign w:val="superscript"/>
              </w:rPr>
            </w:pPr>
            <w:r w:rsidRPr="00491918">
              <w:rPr>
                <w:b/>
                <w:color w:val="000000"/>
                <w:sz w:val="16"/>
              </w:rPr>
              <w:t xml:space="preserve"> </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b/>
                <w:color w:val="000000"/>
                <w:sz w:val="16"/>
              </w:rPr>
              <w:t xml:space="preserve"> </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vertAlign w:val="superscript"/>
              </w:rPr>
            </w:pPr>
            <w:r w:rsidRPr="00491918">
              <w:rPr>
                <w:b/>
                <w:color w:val="000000"/>
                <w:sz w:val="16"/>
              </w:rPr>
              <w:t>Ended</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Ended</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Ended</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Change</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b/>
                <w:color w:val="000000"/>
                <w:sz w:val="16"/>
                <w:vertAlign w:val="superscript"/>
              </w:rPr>
            </w:pPr>
            <w:r w:rsidRPr="00491918">
              <w:rPr>
                <w:b/>
                <w:color w:val="000000"/>
                <w:sz w:val="16"/>
              </w:rPr>
              <w:t>Change</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b/>
                <w:color w:val="000000"/>
                <w:sz w:val="16"/>
              </w:rPr>
              <w:t>Exchange Rates</w:t>
            </w:r>
            <w:r w:rsidRPr="00491918">
              <w:rPr>
                <w:b/>
                <w:color w:val="000000"/>
                <w:sz w:val="16"/>
                <w:vertAlign w:val="superscript"/>
              </w:rPr>
              <w:t>2 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vertAlign w:val="superscript"/>
              </w:rPr>
            </w:pPr>
            <w:r w:rsidRPr="00491918">
              <w:rPr>
                <w:b/>
                <w:color w:val="000000"/>
                <w:sz w:val="16"/>
              </w:rPr>
              <w:t>30.06.13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31.12.12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30.06.12</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31.12.12</w:t>
            </w:r>
            <w:r w:rsidRPr="00491918">
              <w:rPr>
                <w:b/>
                <w:color w:val="000000"/>
                <w:sz w:val="16"/>
                <w:vertAlign w:val="superscript"/>
              </w:rPr>
              <w:t>3 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vertAlign w:val="superscript"/>
              </w:rPr>
            </w:pPr>
            <w:r w:rsidRPr="00491918">
              <w:rPr>
                <w:b/>
                <w:color w:val="000000"/>
                <w:sz w:val="16"/>
              </w:rPr>
              <w:t>30.06.12</w:t>
            </w:r>
            <w:r w:rsidRPr="00491918">
              <w:rPr>
                <w:color w:val="000000"/>
                <w:sz w:val="16"/>
                <w:vertAlign w:val="superscript"/>
              </w:rPr>
              <w:t>3 </w:t>
            </w:r>
          </w:p>
        </w:tc>
      </w:tr>
      <w:tr w:rsidR="000E33D1" w:rsidRPr="00491918" w:rsidTr="000E33D1">
        <w:trPr>
          <w:trHeight w:val="240"/>
        </w:trPr>
        <w:tc>
          <w:tcPr>
            <w:tcW w:w="5115"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Period end - US$/£</w:t>
            </w:r>
            <w:r w:rsidRPr="00491918">
              <w:rPr>
                <w:color w:val="000000"/>
                <w:sz w:val="16"/>
                <w:vertAlign w:val="superscript"/>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1.52 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1.62 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1.57 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6%</w:t>
            </w:r>
            <w:r w:rsidRPr="00491918">
              <w:rPr>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3%</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Average - US$/£</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1.54 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1.60 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1.58 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3%</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2%</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Period end - €/£</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1.17 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1.23 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1.24 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5%</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6%</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Average - €/£</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1.18 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1.25 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1.22 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6%</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3%</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Period end - ZAR/£</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15.11 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13.74 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12.83 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(10%)</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(18%)</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Average - ZAR/£</w:t>
            </w:r>
            <w:r w:rsidRPr="00491918">
              <w:rPr>
                <w:color w:val="000000"/>
                <w:sz w:val="16"/>
                <w:vertAlign w:val="superscript"/>
              </w:rPr>
              <w:t xml:space="preserve"> </w:t>
            </w:r>
          </w:p>
        </w:tc>
        <w:tc>
          <w:tcPr>
            <w:tcW w:w="900" w:type="dxa"/>
            <w:tcBorders>
              <w:top w:val="nil"/>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14.20 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13.58 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12.52 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(5%)</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(13%)</w:t>
            </w:r>
            <w:r w:rsidRPr="00491918">
              <w:rPr>
                <w:color w:val="000000"/>
                <w:sz w:val="16"/>
                <w:vertAlign w:val="superscript"/>
              </w:rPr>
              <w:t xml:space="preserve"> </w:t>
            </w:r>
          </w:p>
        </w:tc>
      </w:tr>
      <w:tr w:rsidR="000E33D1" w:rsidRPr="00491918" w:rsidTr="000E33D1">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both"/>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b/>
                <w:color w:val="000000"/>
                <w:sz w:val="16"/>
              </w:rPr>
              <w:t>Share Price Data</w:t>
            </w:r>
            <w:r w:rsidRPr="00491918">
              <w:rPr>
                <w:b/>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b/>
                <w:color w:val="000000"/>
                <w:sz w:val="16"/>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30.06.13</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rPr>
            </w:pPr>
            <w:r w:rsidRPr="00491918">
              <w:rPr>
                <w:b/>
                <w:color w:val="000000"/>
                <w:sz w:val="16"/>
              </w:rPr>
              <w:t>31.12.12</w:t>
            </w:r>
            <w:r w:rsidRPr="00491918">
              <w:rPr>
                <w:b/>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right"/>
              <w:rPr>
                <w:b/>
                <w:color w:val="000000"/>
                <w:sz w:val="16"/>
                <w:vertAlign w:val="superscript"/>
              </w:rPr>
            </w:pPr>
            <w:r w:rsidRPr="00491918">
              <w:rPr>
                <w:b/>
                <w:color w:val="000000"/>
                <w:sz w:val="16"/>
              </w:rPr>
              <w:t>30.06.12</w:t>
            </w:r>
            <w:r w:rsidRPr="00491918">
              <w:rPr>
                <w:color w:val="000000"/>
                <w:sz w:val="16"/>
                <w:vertAlign w:val="superscript"/>
              </w:rPr>
              <w:t xml:space="preserve"> </w:t>
            </w:r>
          </w:p>
        </w:tc>
      </w:tr>
      <w:tr w:rsidR="000E33D1" w:rsidRPr="00491918" w:rsidTr="000E33D1">
        <w:trPr>
          <w:trHeight w:val="240"/>
        </w:trPr>
        <w:tc>
          <w:tcPr>
            <w:tcW w:w="5115"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Barclays PLC (p)</w:t>
            </w:r>
            <w:r w:rsidRPr="00491918">
              <w:rPr>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single" w:sz="6" w:space="0" w:color="969696"/>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rPr>
            </w:pPr>
            <w:r w:rsidRPr="00491918">
              <w:rPr>
                <w:color w:val="000000"/>
                <w:sz w:val="16"/>
              </w:rPr>
              <w:t>278.45 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262.40 </w:t>
            </w:r>
            <w:r w:rsidRPr="00491918">
              <w:rPr>
                <w:color w:val="000000"/>
                <w:sz w:val="16"/>
                <w:vertAlign w:val="superscript"/>
              </w:rPr>
              <w:t xml:space="preserve"> </w:t>
            </w:r>
          </w:p>
        </w:tc>
        <w:tc>
          <w:tcPr>
            <w:tcW w:w="900" w:type="dxa"/>
            <w:tcBorders>
              <w:top w:val="single" w:sz="6" w:space="0" w:color="969696"/>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162.85 </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Absa Group Limited (ZAR)</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EAEAEA"/>
            <w:tcMar>
              <w:left w:w="36" w:type="dxa"/>
              <w:right w:w="36" w:type="dxa"/>
            </w:tcMar>
            <w:vAlign w:val="center"/>
          </w:tcPr>
          <w:p w:rsidR="000E33D1" w:rsidRPr="00491918" w:rsidRDefault="000E33D1" w:rsidP="000E33D1">
            <w:pPr>
              <w:jc w:val="right"/>
              <w:rPr>
                <w:color w:val="000000"/>
                <w:sz w:val="16"/>
              </w:rPr>
            </w:pPr>
            <w:r w:rsidRPr="00491918">
              <w:rPr>
                <w:color w:val="000000"/>
                <w:sz w:val="16"/>
              </w:rPr>
              <w:t>148.50 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rPr>
            </w:pPr>
            <w:r w:rsidRPr="00491918">
              <w:rPr>
                <w:color w:val="000000"/>
                <w:sz w:val="16"/>
              </w:rPr>
              <w:t>164.00 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jc w:val="right"/>
              <w:rPr>
                <w:color w:val="000000"/>
                <w:sz w:val="16"/>
                <w:vertAlign w:val="superscript"/>
              </w:rPr>
            </w:pPr>
            <w:r w:rsidRPr="00491918">
              <w:rPr>
                <w:color w:val="000000"/>
                <w:sz w:val="16"/>
              </w:rPr>
              <w:t>141.20 </w:t>
            </w:r>
            <w:r w:rsidRPr="00491918">
              <w:rPr>
                <w:color w:val="000000"/>
                <w:sz w:val="16"/>
                <w:vertAlign w:val="superscript"/>
              </w:rPr>
              <w:t xml:space="preserve"> </w:t>
            </w:r>
          </w:p>
        </w:tc>
      </w:tr>
      <w:tr w:rsidR="000E33D1" w:rsidRPr="00491918" w:rsidTr="000E33D1">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0E33D1">
        <w:trPr>
          <w:trHeigh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b/>
                <w:color w:val="000000"/>
                <w:sz w:val="16"/>
              </w:rPr>
              <w:t>For Further Information Please Contact</w:t>
            </w:r>
            <w:r w:rsidRPr="00491918">
              <w:rPr>
                <w:b/>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b/>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b/>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0E33D1">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240"/>
        </w:trPr>
        <w:tc>
          <w:tcPr>
            <w:tcW w:w="5115"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jc w:val="both"/>
              <w:rPr>
                <w:color w:val="000000"/>
                <w:sz w:val="16"/>
                <w:vertAlign w:val="superscript"/>
              </w:rPr>
            </w:pPr>
            <w:r w:rsidRPr="00491918">
              <w:rPr>
                <w:b/>
                <w:color w:val="000000"/>
                <w:sz w:val="16"/>
              </w:rPr>
              <w:t>Investor Relations</w:t>
            </w:r>
            <w:r w:rsidRPr="00491918">
              <w:rPr>
                <w:b/>
                <w:color w:val="000000"/>
                <w:sz w:val="16"/>
                <w:vertAlign w:val="superscript"/>
              </w:rPr>
              <w:t xml:space="preserve"> </w:t>
            </w:r>
          </w:p>
        </w:tc>
        <w:tc>
          <w:tcPr>
            <w:tcW w:w="3600" w:type="dxa"/>
            <w:gridSpan w:val="4"/>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b/>
                <w:color w:val="000000"/>
                <w:sz w:val="16"/>
              </w:rPr>
              <w:t>Media Relations</w:t>
            </w:r>
            <w:r w:rsidRPr="00491918">
              <w:rPr>
                <w:b/>
                <w:color w:val="000000"/>
                <w:sz w:val="16"/>
                <w:vertAlign w:val="superscript"/>
              </w:rPr>
              <w:t xml:space="preserve"> </w:t>
            </w:r>
          </w:p>
        </w:tc>
        <w:tc>
          <w:tcPr>
            <w:tcW w:w="900" w:type="dxa"/>
            <w:tcBorders>
              <w:top w:val="nil"/>
              <w:left w:val="nil"/>
              <w:bottom w:val="single" w:sz="6" w:space="0" w:color="969696"/>
              <w:right w:val="nil"/>
            </w:tcBorders>
            <w:shd w:val="clear" w:color="auto" w:fill="FFFFFF"/>
            <w:tcMar>
              <w:left w:w="36" w:type="dxa"/>
              <w:right w:w="36" w:type="dxa"/>
            </w:tcMar>
            <w:vAlign w:val="center"/>
          </w:tcPr>
          <w:p w:rsidR="000E33D1" w:rsidRPr="00491918" w:rsidRDefault="000E33D1" w:rsidP="000E33D1">
            <w:pPr>
              <w:rPr>
                <w:b/>
                <w:color w:val="000000"/>
                <w:sz w:val="16"/>
                <w:vertAlign w:val="superscript"/>
              </w:rPr>
            </w:pPr>
            <w:r w:rsidRPr="00491918">
              <w:rPr>
                <w:b/>
                <w:color w:val="000000"/>
                <w:sz w:val="16"/>
              </w:rPr>
              <w:t xml:space="preserve"> </w:t>
            </w:r>
            <w:r w:rsidRPr="00491918">
              <w:rPr>
                <w:color w:val="000000"/>
                <w:sz w:val="16"/>
                <w:vertAlign w:val="superscript"/>
              </w:rPr>
              <w:t xml:space="preserve"> </w:t>
            </w:r>
          </w:p>
        </w:tc>
      </w:tr>
    </w:tbl>
    <w:p w:rsidR="00F92E6D" w:rsidRPr="00491918" w:rsidRDefault="00F92E6D"/>
    <w:tbl>
      <w:tblPr>
        <w:tblW w:w="0" w:type="auto"/>
        <w:tblLayout w:type="fixed"/>
        <w:tblLook w:val="0000" w:firstRow="0" w:lastRow="0" w:firstColumn="0" w:lastColumn="0" w:noHBand="0" w:noVBand="0"/>
      </w:tblPr>
      <w:tblGrid>
        <w:gridCol w:w="5115"/>
        <w:gridCol w:w="900"/>
        <w:gridCol w:w="900"/>
        <w:gridCol w:w="900"/>
        <w:gridCol w:w="900"/>
        <w:gridCol w:w="900"/>
      </w:tblGrid>
      <w:tr w:rsidR="000E33D1" w:rsidRPr="00491918" w:rsidTr="00F92E6D">
        <w:trPr>
          <w:trHeight w:val="240"/>
        </w:trPr>
        <w:tc>
          <w:tcPr>
            <w:tcW w:w="5115" w:type="dxa"/>
            <w:tcBorders>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Charlie Rozes +44 (0) 20 7116 5752</w:t>
            </w:r>
            <w:r w:rsidRPr="00491918">
              <w:rPr>
                <w:color w:val="000000"/>
                <w:sz w:val="16"/>
                <w:vertAlign w:val="superscript"/>
              </w:rPr>
              <w:t xml:space="preserve"> </w:t>
            </w:r>
          </w:p>
        </w:tc>
        <w:tc>
          <w:tcPr>
            <w:tcW w:w="3600" w:type="dxa"/>
            <w:gridSpan w:val="4"/>
            <w:tcBorders>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Giles Croot +44 (0) 20 7116 6132</w:t>
            </w:r>
            <w:r w:rsidRPr="00491918">
              <w:rPr>
                <w:color w:val="000000"/>
                <w:sz w:val="16"/>
                <w:vertAlign w:val="superscript"/>
              </w:rPr>
              <w:t xml:space="preserve"> </w:t>
            </w:r>
          </w:p>
        </w:tc>
        <w:tc>
          <w:tcPr>
            <w:tcW w:w="900" w:type="dxa"/>
            <w:tcBorders>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0E33D1">
        <w:trPr>
          <w:trHeight w:hRule="exact" w:val="240"/>
        </w:trPr>
        <w:tc>
          <w:tcPr>
            <w:tcW w:w="5115"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rPr>
            </w:pPr>
            <w:r w:rsidRPr="00491918">
              <w:rPr>
                <w:color w:val="000000"/>
                <w:sz w:val="16"/>
              </w:rPr>
              <w:t xml:space="preserve"> </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r w:rsidR="000E33D1" w:rsidRPr="00491918" w:rsidTr="00325F4E">
        <w:trPr>
          <w:trHeight w:val="240"/>
        </w:trPr>
        <w:tc>
          <w:tcPr>
            <w:tcW w:w="8715" w:type="dxa"/>
            <w:gridSpan w:val="5"/>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More information on Barclays can be found on our website: www.barclays.com</w:t>
            </w:r>
            <w:r w:rsidRPr="00491918">
              <w:rPr>
                <w:color w:val="000000"/>
                <w:sz w:val="16"/>
                <w:vertAlign w:val="superscript"/>
              </w:rPr>
              <w:t xml:space="preserve"> </w:t>
            </w:r>
          </w:p>
        </w:tc>
        <w:tc>
          <w:tcPr>
            <w:tcW w:w="900" w:type="dxa"/>
            <w:tcBorders>
              <w:top w:val="nil"/>
              <w:left w:val="nil"/>
              <w:bottom w:val="nil"/>
              <w:right w:val="nil"/>
            </w:tcBorders>
            <w:shd w:val="clear" w:color="auto" w:fill="FFFFFF"/>
            <w:tcMar>
              <w:left w:w="36" w:type="dxa"/>
              <w:right w:w="36" w:type="dxa"/>
            </w:tcMar>
            <w:vAlign w:val="center"/>
          </w:tcPr>
          <w:p w:rsidR="000E33D1" w:rsidRPr="00491918" w:rsidRDefault="000E33D1" w:rsidP="000E33D1">
            <w:pPr>
              <w:rPr>
                <w:color w:val="000000"/>
                <w:sz w:val="16"/>
                <w:vertAlign w:val="superscript"/>
              </w:rPr>
            </w:pPr>
            <w:r w:rsidRPr="00491918">
              <w:rPr>
                <w:color w:val="000000"/>
                <w:sz w:val="16"/>
              </w:rPr>
              <w:t xml:space="preserve"> </w:t>
            </w:r>
            <w:r w:rsidRPr="00491918">
              <w:rPr>
                <w:color w:val="000000"/>
                <w:sz w:val="16"/>
                <w:vertAlign w:val="superscript"/>
              </w:rPr>
              <w:t xml:space="preserve"> </w:t>
            </w:r>
          </w:p>
        </w:tc>
      </w:tr>
    </w:tbl>
    <w:p w:rsidR="000E33D1" w:rsidRPr="00491918" w:rsidRDefault="000E33D1">
      <w:pPr>
        <w:pStyle w:val="MyLastParagraph"/>
      </w:pPr>
    </w:p>
    <w:p w:rsidR="000E33D1" w:rsidRPr="00491918" w:rsidRDefault="000E33D1" w:rsidP="000E33D1">
      <w:pPr>
        <w:rPr>
          <w:lang w:val="en-GB" w:eastAsia="en-GB"/>
        </w:rPr>
      </w:pPr>
    </w:p>
    <w:p w:rsidR="000E33D1" w:rsidRPr="00491918" w:rsidRDefault="000E33D1" w:rsidP="008D6001">
      <w:pPr>
        <w:pStyle w:val="HeadingLevel2-BarcRA39"/>
        <w:outlineLvl w:val="0"/>
        <w:rPr>
          <w:color w:val="auto"/>
        </w:rPr>
      </w:pPr>
      <w:r w:rsidRPr="00491918">
        <w:rPr>
          <w:color w:val="auto"/>
        </w:rPr>
        <w:t>Registered Office</w:t>
      </w:r>
    </w:p>
    <w:p w:rsidR="000E33D1" w:rsidRPr="00491918" w:rsidRDefault="000E33D1" w:rsidP="000E33D1">
      <w:pPr>
        <w:pStyle w:val="BodyText-BarcRA115"/>
      </w:pPr>
      <w:r w:rsidRPr="00491918">
        <w:t>1 Churchill Place, London, E14 5HP, United Kingdom. Tel: +44 (0) 20 7116 1000. Company number: 48839</w:t>
      </w:r>
    </w:p>
    <w:p w:rsidR="000E33D1" w:rsidRPr="00491918" w:rsidRDefault="000E33D1" w:rsidP="008D6001">
      <w:pPr>
        <w:pStyle w:val="HeadingLevel2-BarcRA39"/>
        <w:outlineLvl w:val="0"/>
        <w:rPr>
          <w:color w:val="auto"/>
        </w:rPr>
      </w:pPr>
      <w:r w:rsidRPr="00491918">
        <w:rPr>
          <w:color w:val="auto"/>
        </w:rPr>
        <w:t xml:space="preserve">Registrar </w:t>
      </w:r>
    </w:p>
    <w:p w:rsidR="000E33D1" w:rsidRPr="00491918" w:rsidRDefault="000E33D1" w:rsidP="000E33D1">
      <w:pPr>
        <w:pStyle w:val="BodyText-BarcRA115"/>
      </w:pPr>
      <w:r w:rsidRPr="00491918">
        <w:t xml:space="preserve">The Registrar to Barclays, Aspect House, Spencer Road, Lancing, West Sussex BN99 6DA United Kingdom. </w:t>
      </w:r>
    </w:p>
    <w:p w:rsidR="000E33D1" w:rsidRPr="00491918" w:rsidRDefault="000E33D1" w:rsidP="000E33D1">
      <w:pPr>
        <w:pStyle w:val="BodyText-BarcRA115"/>
      </w:pPr>
      <w:r w:rsidRPr="00491918">
        <w:t>Tel: 0871 384 2055</w:t>
      </w:r>
      <w:r w:rsidRPr="00491918">
        <w:rPr>
          <w:vertAlign w:val="superscript"/>
        </w:rPr>
        <w:t>4</w:t>
      </w:r>
      <w:r w:rsidRPr="00491918">
        <w:t xml:space="preserve"> from the UK or +44 121 415 7004 from overseas.</w:t>
      </w:r>
    </w:p>
    <w:p w:rsidR="000E33D1" w:rsidRPr="00491918" w:rsidRDefault="000E33D1" w:rsidP="000E33D1">
      <w:pPr>
        <w:pStyle w:val="BodyText-BarcRA115"/>
      </w:pPr>
    </w:p>
    <w:p w:rsidR="000E33D1" w:rsidRPr="00491918" w:rsidRDefault="000E33D1" w:rsidP="000E33D1">
      <w:pPr>
        <w:pStyle w:val="BodyText-BarcRA115"/>
      </w:pPr>
    </w:p>
    <w:p w:rsidR="001B0DD0" w:rsidRPr="00491918" w:rsidRDefault="001B0DD0" w:rsidP="001B0DD0">
      <w:pPr>
        <w:pStyle w:val="BodyText-BarcRA115"/>
        <w:spacing w:after="0"/>
      </w:pPr>
    </w:p>
    <w:p w:rsidR="001B0DD0" w:rsidRPr="00491918" w:rsidRDefault="001B0DD0" w:rsidP="001B0DD0">
      <w:pPr>
        <w:pStyle w:val="BodyText-BarcRA115"/>
        <w:spacing w:after="0"/>
      </w:pPr>
    </w:p>
    <w:p w:rsidR="000E33D1" w:rsidRPr="00491918" w:rsidRDefault="000E33D1" w:rsidP="001B0DD0">
      <w:pPr>
        <w:pStyle w:val="BodyText-BarcRA115"/>
        <w:spacing w:after="0"/>
      </w:pPr>
    </w:p>
    <w:p w:rsidR="000E33D1" w:rsidRPr="00491918" w:rsidRDefault="000E33D1" w:rsidP="001B0DD0">
      <w:pPr>
        <w:pStyle w:val="BodyText-BarcRA115"/>
        <w:spacing w:before="0" w:after="0"/>
      </w:pPr>
    </w:p>
    <w:p w:rsidR="000E33D1" w:rsidRPr="00491918" w:rsidRDefault="000E33D1" w:rsidP="000E33D1">
      <w:pPr>
        <w:pStyle w:val="NoteandSourceText-BarcRA230"/>
        <w:ind w:left="284" w:hanging="284"/>
      </w:pPr>
      <w:r w:rsidRPr="00491918">
        <w:t>Note that these announcement dates are provisional and subject to change.  Any changes to the Scrip Dividend Programme dates will be made available at Barclays.com/dividends</w:t>
      </w:r>
    </w:p>
    <w:p w:rsidR="000E33D1" w:rsidRPr="00491918" w:rsidRDefault="000E33D1" w:rsidP="000E33D1">
      <w:pPr>
        <w:pStyle w:val="NoteandSourceText-BarcRA230"/>
        <w:ind w:left="284" w:hanging="284"/>
      </w:pPr>
      <w:r w:rsidRPr="00491918">
        <w:t xml:space="preserve">The average rates shown above are derived from daily spot rates during the year used to convert foreign currency transactions into Sterling for accounting    purposes.  </w:t>
      </w:r>
    </w:p>
    <w:p w:rsidR="000E33D1" w:rsidRPr="00491918" w:rsidRDefault="000E33D1" w:rsidP="000E33D1">
      <w:pPr>
        <w:pStyle w:val="NoteandSourceText-BarcRA230"/>
        <w:ind w:left="284" w:hanging="284"/>
      </w:pPr>
      <w:r w:rsidRPr="00491918">
        <w:t>The change is the impact to Sterling reported information.</w:t>
      </w:r>
    </w:p>
    <w:p w:rsidR="00E3394A" w:rsidRPr="00491918" w:rsidRDefault="000E33D1" w:rsidP="000E33D1">
      <w:pPr>
        <w:pStyle w:val="NoteandSourceText-BarcRA230"/>
        <w:ind w:left="284" w:hanging="284"/>
      </w:pPr>
      <w:r w:rsidRPr="00491918">
        <w:t>Calls cost 8p per minute plus network extras.  Lines open 8.30am to 5.30pm UK time, Monday to Friday excluding UK public holidays.</w:t>
      </w:r>
    </w:p>
    <w:p w:rsidR="00E3394A" w:rsidRPr="00491918" w:rsidRDefault="00E3394A" w:rsidP="00E3394A">
      <w:pPr>
        <w:pStyle w:val="NoteandSourceText-BarcRA230"/>
        <w:numPr>
          <w:ilvl w:val="0"/>
          <w:numId w:val="0"/>
        </w:numPr>
        <w:sectPr w:rsidR="00E3394A" w:rsidRPr="00491918" w:rsidSect="00751636">
          <w:headerReference w:type="default" r:id="rId33"/>
          <w:pgSz w:w="11905" w:h="16837"/>
          <w:pgMar w:top="851" w:right="1134" w:bottom="567" w:left="1134" w:header="851" w:footer="567" w:gutter="0"/>
          <w:cols w:space="708"/>
        </w:sectPr>
      </w:pPr>
    </w:p>
    <w:p w:rsidR="00E3394A" w:rsidRPr="00491918" w:rsidRDefault="00E3394A" w:rsidP="00E3394A">
      <w:pPr>
        <w:pStyle w:val="NoteandSourceText-BarcRA230"/>
        <w:numPr>
          <w:ilvl w:val="0"/>
          <w:numId w:val="0"/>
        </w:numPr>
      </w:pPr>
      <w:r w:rsidRPr="00491918">
        <w:lastRenderedPageBreak/>
        <w:br w:type="page"/>
      </w:r>
    </w:p>
    <w:p w:rsidR="00DB725D" w:rsidRPr="00491918" w:rsidRDefault="00DB725D" w:rsidP="00DB725D">
      <w:pPr>
        <w:pStyle w:val="HeadingLevel1-BarcRA"/>
      </w:pPr>
      <w:r w:rsidRPr="00491918">
        <w:lastRenderedPageBreak/>
        <w:t>Index</w:t>
      </w:r>
    </w:p>
    <w:tbl>
      <w:tblPr>
        <w:tblW w:w="9804" w:type="dxa"/>
        <w:tblInd w:w="85" w:type="dxa"/>
        <w:tblLook w:val="04A0" w:firstRow="1" w:lastRow="0" w:firstColumn="1" w:lastColumn="0" w:noHBand="0" w:noVBand="1"/>
      </w:tblPr>
      <w:tblGrid>
        <w:gridCol w:w="3823"/>
        <w:gridCol w:w="796"/>
        <w:gridCol w:w="366"/>
        <w:gridCol w:w="3827"/>
        <w:gridCol w:w="992"/>
      </w:tblGrid>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Africa Retail and Business Banking</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20</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AD446D" w:rsidP="00AD366C">
            <w:pPr>
              <w:pStyle w:val="Normal146"/>
              <w:rPr>
                <w:szCs w:val="18"/>
              </w:rPr>
            </w:pPr>
            <w:r w:rsidRPr="00491918">
              <w:rPr>
                <w:szCs w:val="18"/>
              </w:rPr>
              <w:t>Liquidity pool</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56</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Accounting policies</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97</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Loans and advances to customers and banks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64</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Administration and general expenses</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100</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Margins and balances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41</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 xml:space="preserve">Balance sheet </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13</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Market risk</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45</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Balance sheet leverage</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54</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Net interest income</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98</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Barclaycard</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22</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Non-controlling interests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101</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Capital ratios</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46</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Other reserves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120</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Capital resources</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47</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Performance highlights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2</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 xml:space="preserve">Cash flow statement </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15</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Principal risks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44</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Competition and regulatory matters</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126</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Provisions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118</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 xml:space="preserve">Contingent liabilities and commitments </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120</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Results by quarter</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10</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Corporate Banking</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27</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Results timetable</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134</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Country exposures (selected Eurozone)</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85</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Retail credit risk</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69</w:t>
            </w:r>
          </w:p>
        </w:tc>
      </w:tr>
      <w:tr w:rsidR="00E3394A" w:rsidRPr="00491918" w:rsidTr="00AD366C">
        <w:trPr>
          <w:trHeight w:val="243"/>
        </w:trPr>
        <w:tc>
          <w:tcPr>
            <w:tcW w:w="3823" w:type="dxa"/>
            <w:noWrap/>
            <w:vAlign w:val="center"/>
          </w:tcPr>
          <w:p w:rsidR="00E3394A" w:rsidRPr="00491918" w:rsidRDefault="00E3394A" w:rsidP="00AD366C">
            <w:pPr>
              <w:pStyle w:val="Normal146"/>
              <w:rPr>
                <w:szCs w:val="18"/>
              </w:rPr>
            </w:pPr>
            <w:r w:rsidRPr="00491918">
              <w:rPr>
                <w:szCs w:val="18"/>
              </w:rPr>
              <w:t>Credit impairment charges and other credit provisions</w:t>
            </w:r>
          </w:p>
        </w:tc>
        <w:tc>
          <w:tcPr>
            <w:tcW w:w="796" w:type="dxa"/>
            <w:vAlign w:val="center"/>
          </w:tcPr>
          <w:p w:rsidR="00E3394A" w:rsidRPr="00491918" w:rsidRDefault="008D6001" w:rsidP="00AD366C">
            <w:pPr>
              <w:pStyle w:val="Normal146"/>
              <w:spacing w:before="10" w:after="10"/>
              <w:jc w:val="center"/>
              <w:rPr>
                <w:szCs w:val="18"/>
              </w:rPr>
            </w:pPr>
            <w:r w:rsidRPr="00491918">
              <w:rPr>
                <w:szCs w:val="18"/>
              </w:rPr>
              <w:t>66</w:t>
            </w:r>
          </w:p>
        </w:tc>
        <w:tc>
          <w:tcPr>
            <w:tcW w:w="366" w:type="dxa"/>
            <w:noWrap/>
            <w:vAlign w:val="center"/>
          </w:tcPr>
          <w:p w:rsidR="00E3394A" w:rsidRPr="00491918" w:rsidRDefault="00E3394A" w:rsidP="00AD366C">
            <w:pPr>
              <w:pStyle w:val="Normal146"/>
              <w:rPr>
                <w:szCs w:val="18"/>
              </w:rPr>
            </w:pPr>
          </w:p>
        </w:tc>
        <w:tc>
          <w:tcPr>
            <w:tcW w:w="3827" w:type="dxa"/>
            <w:noWrap/>
            <w:vAlign w:val="center"/>
          </w:tcPr>
          <w:p w:rsidR="00E3394A" w:rsidRPr="00491918" w:rsidRDefault="00E3394A" w:rsidP="00AD366C">
            <w:pPr>
              <w:pStyle w:val="Normal146"/>
              <w:rPr>
                <w:szCs w:val="18"/>
              </w:rPr>
            </w:pPr>
            <w:r w:rsidRPr="00491918">
              <w:rPr>
                <w:szCs w:val="18"/>
              </w:rPr>
              <w:t>Retail forbearance programmes</w:t>
            </w:r>
          </w:p>
        </w:tc>
        <w:tc>
          <w:tcPr>
            <w:tcW w:w="992" w:type="dxa"/>
            <w:vAlign w:val="center"/>
          </w:tcPr>
          <w:p w:rsidR="00E3394A" w:rsidRPr="00491918" w:rsidRDefault="008D6001" w:rsidP="00AD366C">
            <w:pPr>
              <w:pStyle w:val="Normal146"/>
              <w:spacing w:before="10" w:after="10"/>
              <w:jc w:val="center"/>
              <w:rPr>
                <w:szCs w:val="18"/>
              </w:rPr>
            </w:pPr>
            <w:r w:rsidRPr="00491918">
              <w:rPr>
                <w:szCs w:val="18"/>
              </w:rPr>
              <w:t>78</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r w:rsidRPr="00491918">
              <w:rPr>
                <w:szCs w:val="18"/>
              </w:rPr>
              <w:t>Credit risk</w:t>
            </w:r>
          </w:p>
        </w:tc>
        <w:tc>
          <w:tcPr>
            <w:tcW w:w="796" w:type="dxa"/>
            <w:vAlign w:val="center"/>
          </w:tcPr>
          <w:p w:rsidR="00EA4D39" w:rsidRPr="00491918" w:rsidRDefault="008D6001" w:rsidP="00AD366C">
            <w:pPr>
              <w:pStyle w:val="Normal146"/>
              <w:spacing w:before="10" w:after="10"/>
              <w:jc w:val="center"/>
              <w:rPr>
                <w:szCs w:val="18"/>
              </w:rPr>
            </w:pPr>
            <w:r w:rsidRPr="00491918">
              <w:rPr>
                <w:szCs w:val="18"/>
              </w:rPr>
              <w:t>63</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Retirement benefits</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119</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r w:rsidRPr="00491918">
              <w:rPr>
                <w:szCs w:val="18"/>
              </w:rPr>
              <w:t>Credit risk loans</w:t>
            </w:r>
          </w:p>
        </w:tc>
        <w:tc>
          <w:tcPr>
            <w:tcW w:w="796" w:type="dxa"/>
            <w:vAlign w:val="center"/>
          </w:tcPr>
          <w:p w:rsidR="00EA4D39" w:rsidRPr="00491918" w:rsidRDefault="008D6001" w:rsidP="00AD366C">
            <w:pPr>
              <w:pStyle w:val="Normal146"/>
              <w:spacing w:before="10" w:after="10"/>
              <w:jc w:val="center"/>
              <w:rPr>
                <w:szCs w:val="18"/>
              </w:rPr>
            </w:pPr>
            <w:r w:rsidRPr="00491918">
              <w:rPr>
                <w:szCs w:val="18"/>
              </w:rPr>
              <w:t>64</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Returns and equity by business</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37</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r w:rsidRPr="00491918">
              <w:rPr>
                <w:szCs w:val="18"/>
              </w:rPr>
              <w:t>Derivative financial instruments</w:t>
            </w:r>
          </w:p>
        </w:tc>
        <w:tc>
          <w:tcPr>
            <w:tcW w:w="796" w:type="dxa"/>
            <w:vAlign w:val="center"/>
          </w:tcPr>
          <w:p w:rsidR="00EA4D39" w:rsidRPr="00491918" w:rsidRDefault="008D6001" w:rsidP="00AD366C">
            <w:pPr>
              <w:pStyle w:val="Normal146"/>
              <w:spacing w:before="10" w:after="10"/>
              <w:jc w:val="center"/>
              <w:rPr>
                <w:szCs w:val="18"/>
              </w:rPr>
            </w:pPr>
            <w:r w:rsidRPr="00491918">
              <w:rPr>
                <w:szCs w:val="18"/>
              </w:rPr>
              <w:t>102</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Risk weighted assets</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48</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r w:rsidRPr="00491918">
              <w:rPr>
                <w:szCs w:val="18"/>
              </w:rPr>
              <w:t>Dividends on ordinary shares</w:t>
            </w:r>
          </w:p>
        </w:tc>
        <w:tc>
          <w:tcPr>
            <w:tcW w:w="796" w:type="dxa"/>
            <w:vAlign w:val="center"/>
          </w:tcPr>
          <w:p w:rsidR="00EA4D39" w:rsidRPr="00491918" w:rsidRDefault="008D6001" w:rsidP="00AD366C">
            <w:pPr>
              <w:pStyle w:val="Normal146"/>
              <w:spacing w:before="10" w:after="10"/>
              <w:jc w:val="center"/>
              <w:rPr>
                <w:szCs w:val="18"/>
              </w:rPr>
            </w:pPr>
            <w:r w:rsidRPr="00491918">
              <w:rPr>
                <w:szCs w:val="18"/>
              </w:rPr>
              <w:t>101</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Share capital</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120</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r w:rsidRPr="00491918">
              <w:rPr>
                <w:szCs w:val="18"/>
              </w:rPr>
              <w:t>Earnings per share</w:t>
            </w:r>
          </w:p>
        </w:tc>
        <w:tc>
          <w:tcPr>
            <w:tcW w:w="796" w:type="dxa"/>
            <w:vAlign w:val="center"/>
          </w:tcPr>
          <w:p w:rsidR="00EA4D39" w:rsidRPr="00491918" w:rsidRDefault="008D6001" w:rsidP="00AD366C">
            <w:pPr>
              <w:pStyle w:val="Normal146"/>
              <w:spacing w:before="10" w:after="10"/>
              <w:jc w:val="center"/>
              <w:rPr>
                <w:szCs w:val="18"/>
              </w:rPr>
            </w:pPr>
            <w:r w:rsidRPr="00491918">
              <w:rPr>
                <w:szCs w:val="18"/>
              </w:rPr>
              <w:t>101</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Share price data</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134</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r w:rsidRPr="00491918">
              <w:rPr>
                <w:szCs w:val="18"/>
              </w:rPr>
              <w:t>Europe Retail and Business Banking</w:t>
            </w:r>
          </w:p>
        </w:tc>
        <w:tc>
          <w:tcPr>
            <w:tcW w:w="796" w:type="dxa"/>
            <w:vAlign w:val="center"/>
          </w:tcPr>
          <w:p w:rsidR="00EA4D39" w:rsidRPr="00491918" w:rsidRDefault="008D6001" w:rsidP="00AD366C">
            <w:pPr>
              <w:pStyle w:val="Normal146"/>
              <w:spacing w:before="10" w:after="10"/>
              <w:jc w:val="center"/>
              <w:rPr>
                <w:szCs w:val="18"/>
              </w:rPr>
            </w:pPr>
            <w:r w:rsidRPr="00491918">
              <w:rPr>
                <w:szCs w:val="18"/>
              </w:rPr>
              <w:t>18</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Staff costs</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99</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r w:rsidRPr="00491918">
              <w:rPr>
                <w:szCs w:val="18"/>
              </w:rPr>
              <w:t>Exit Quadrant Business Units</w:t>
            </w:r>
          </w:p>
        </w:tc>
        <w:tc>
          <w:tcPr>
            <w:tcW w:w="796" w:type="dxa"/>
            <w:vAlign w:val="center"/>
          </w:tcPr>
          <w:p w:rsidR="00EA4D39" w:rsidRPr="00491918" w:rsidRDefault="00A63FF8" w:rsidP="00AD366C">
            <w:pPr>
              <w:pStyle w:val="Normal146"/>
              <w:spacing w:before="10" w:after="10"/>
              <w:jc w:val="center"/>
              <w:rPr>
                <w:szCs w:val="18"/>
              </w:rPr>
            </w:pPr>
            <w:r w:rsidRPr="00491918">
              <w:rPr>
                <w:szCs w:val="18"/>
              </w:rPr>
              <w:t>40</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Statement of profit or loss and other comprehensive income</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12</w:t>
            </w:r>
          </w:p>
        </w:tc>
      </w:tr>
      <w:tr w:rsidR="00EA4D39" w:rsidRPr="00491918" w:rsidTr="00AD366C">
        <w:trPr>
          <w:trHeight w:val="243"/>
        </w:trPr>
        <w:tc>
          <w:tcPr>
            <w:tcW w:w="3823" w:type="dxa"/>
            <w:noWrap/>
            <w:vAlign w:val="center"/>
          </w:tcPr>
          <w:p w:rsidR="00EA4D39" w:rsidRPr="00491918" w:rsidRDefault="00EA4D39" w:rsidP="00813593">
            <w:pPr>
              <w:pStyle w:val="Normal146"/>
              <w:rPr>
                <w:szCs w:val="18"/>
              </w:rPr>
            </w:pPr>
            <w:r w:rsidRPr="00491918">
              <w:rPr>
                <w:szCs w:val="18"/>
              </w:rPr>
              <w:t>Financial instruments held at fair value</w:t>
            </w:r>
          </w:p>
        </w:tc>
        <w:tc>
          <w:tcPr>
            <w:tcW w:w="796" w:type="dxa"/>
            <w:vAlign w:val="center"/>
          </w:tcPr>
          <w:p w:rsidR="00EA4D39" w:rsidRPr="00491918" w:rsidRDefault="008D6001" w:rsidP="00813593">
            <w:pPr>
              <w:pStyle w:val="Normal146"/>
              <w:spacing w:before="10" w:after="10"/>
              <w:jc w:val="center"/>
              <w:rPr>
                <w:szCs w:val="18"/>
              </w:rPr>
            </w:pPr>
            <w:r w:rsidRPr="00491918">
              <w:rPr>
                <w:szCs w:val="18"/>
              </w:rPr>
              <w:t>103</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Statement of changes in equity</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14</w:t>
            </w:r>
          </w:p>
        </w:tc>
      </w:tr>
      <w:tr w:rsidR="00EA4D39" w:rsidRPr="00491918" w:rsidTr="00AD366C">
        <w:trPr>
          <w:trHeight w:val="243"/>
        </w:trPr>
        <w:tc>
          <w:tcPr>
            <w:tcW w:w="3823" w:type="dxa"/>
            <w:noWrap/>
            <w:vAlign w:val="center"/>
          </w:tcPr>
          <w:p w:rsidR="00EA4D39" w:rsidRPr="00491918" w:rsidRDefault="00EA4D39" w:rsidP="00813593">
            <w:pPr>
              <w:pStyle w:val="Normal146"/>
              <w:rPr>
                <w:szCs w:val="18"/>
              </w:rPr>
            </w:pPr>
            <w:r w:rsidRPr="00491918">
              <w:rPr>
                <w:szCs w:val="18"/>
              </w:rPr>
              <w:t>Finance Director’s review</w:t>
            </w:r>
          </w:p>
        </w:tc>
        <w:tc>
          <w:tcPr>
            <w:tcW w:w="796" w:type="dxa"/>
            <w:vAlign w:val="center"/>
          </w:tcPr>
          <w:p w:rsidR="00EA4D39" w:rsidRPr="00491918" w:rsidRDefault="008D6001" w:rsidP="00813593">
            <w:pPr>
              <w:pStyle w:val="Normal146"/>
              <w:spacing w:before="10" w:after="10"/>
              <w:jc w:val="center"/>
              <w:rPr>
                <w:szCs w:val="18"/>
              </w:rPr>
            </w:pPr>
            <w:r w:rsidRPr="00491918">
              <w:rPr>
                <w:szCs w:val="18"/>
              </w:rPr>
              <w:t>5</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Taxation</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100</w:t>
            </w:r>
          </w:p>
        </w:tc>
      </w:tr>
      <w:tr w:rsidR="00EA4D39" w:rsidRPr="00491918" w:rsidTr="00AD366C">
        <w:trPr>
          <w:trHeight w:val="243"/>
        </w:trPr>
        <w:tc>
          <w:tcPr>
            <w:tcW w:w="3823" w:type="dxa"/>
            <w:noWrap/>
            <w:vAlign w:val="center"/>
          </w:tcPr>
          <w:p w:rsidR="00EA4D39" w:rsidRPr="00491918" w:rsidRDefault="00EA4D39" w:rsidP="00813593">
            <w:pPr>
              <w:pStyle w:val="Normal146"/>
              <w:rPr>
                <w:szCs w:val="18"/>
              </w:rPr>
            </w:pPr>
            <w:r w:rsidRPr="00491918">
              <w:rPr>
                <w:szCs w:val="18"/>
              </w:rPr>
              <w:t>Funding and liquidity</w:t>
            </w:r>
          </w:p>
        </w:tc>
        <w:tc>
          <w:tcPr>
            <w:tcW w:w="796" w:type="dxa"/>
            <w:vAlign w:val="center"/>
          </w:tcPr>
          <w:p w:rsidR="00EA4D39" w:rsidRPr="00491918" w:rsidRDefault="008D6001" w:rsidP="008D6001">
            <w:pPr>
              <w:pStyle w:val="Normal146"/>
              <w:spacing w:before="10" w:after="10"/>
              <w:jc w:val="center"/>
              <w:rPr>
                <w:szCs w:val="18"/>
              </w:rPr>
            </w:pPr>
            <w:r w:rsidRPr="00491918">
              <w:rPr>
                <w:szCs w:val="18"/>
              </w:rPr>
              <w:t>55</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Tier 1 capital ratio</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46</w:t>
            </w:r>
          </w:p>
        </w:tc>
      </w:tr>
      <w:tr w:rsidR="00EA4D39" w:rsidRPr="00491918" w:rsidTr="00AD366C">
        <w:trPr>
          <w:trHeight w:val="243"/>
        </w:trPr>
        <w:tc>
          <w:tcPr>
            <w:tcW w:w="3823" w:type="dxa"/>
            <w:noWrap/>
            <w:vAlign w:val="center"/>
          </w:tcPr>
          <w:p w:rsidR="00EA4D39" w:rsidRPr="00491918" w:rsidRDefault="00EA4D39" w:rsidP="00813593">
            <w:pPr>
              <w:pStyle w:val="Normal146"/>
              <w:rPr>
                <w:szCs w:val="18"/>
              </w:rPr>
            </w:pPr>
            <w:r w:rsidRPr="00491918">
              <w:rPr>
                <w:szCs w:val="18"/>
              </w:rPr>
              <w:t>Head Office and Other Operations</w:t>
            </w:r>
          </w:p>
        </w:tc>
        <w:tc>
          <w:tcPr>
            <w:tcW w:w="796" w:type="dxa"/>
            <w:vAlign w:val="center"/>
          </w:tcPr>
          <w:p w:rsidR="00EA4D39" w:rsidRPr="00491918" w:rsidRDefault="008D6001" w:rsidP="00813593">
            <w:pPr>
              <w:pStyle w:val="Normal146"/>
              <w:spacing w:before="10" w:after="10"/>
              <w:jc w:val="center"/>
              <w:rPr>
                <w:szCs w:val="18"/>
              </w:rPr>
            </w:pPr>
            <w:r w:rsidRPr="00491918">
              <w:rPr>
                <w:szCs w:val="18"/>
              </w:rPr>
              <w:t>32</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Total assets</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63</w:t>
            </w:r>
          </w:p>
        </w:tc>
      </w:tr>
      <w:tr w:rsidR="00EA4D39" w:rsidRPr="00491918" w:rsidTr="00AD366C">
        <w:trPr>
          <w:trHeight w:val="243"/>
        </w:trPr>
        <w:tc>
          <w:tcPr>
            <w:tcW w:w="3823" w:type="dxa"/>
            <w:noWrap/>
            <w:vAlign w:val="center"/>
          </w:tcPr>
          <w:p w:rsidR="00EA4D39" w:rsidRPr="00491918" w:rsidRDefault="00EA4D39" w:rsidP="00813593">
            <w:pPr>
              <w:pStyle w:val="Normal146"/>
              <w:rPr>
                <w:szCs w:val="18"/>
              </w:rPr>
            </w:pPr>
            <w:r w:rsidRPr="00491918">
              <w:rPr>
                <w:szCs w:val="18"/>
              </w:rPr>
              <w:t xml:space="preserve">Income statement </w:t>
            </w:r>
          </w:p>
        </w:tc>
        <w:tc>
          <w:tcPr>
            <w:tcW w:w="796" w:type="dxa"/>
            <w:vAlign w:val="center"/>
          </w:tcPr>
          <w:p w:rsidR="00EA4D39" w:rsidRPr="00491918" w:rsidRDefault="008D6001" w:rsidP="00813593">
            <w:pPr>
              <w:pStyle w:val="Normal146"/>
              <w:spacing w:before="10" w:after="10"/>
              <w:jc w:val="center"/>
              <w:rPr>
                <w:szCs w:val="18"/>
              </w:rPr>
            </w:pPr>
            <w:r w:rsidRPr="00491918">
              <w:rPr>
                <w:szCs w:val="18"/>
              </w:rPr>
              <w:t>11</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 xml:space="preserve">UK Retail and Business Banking </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16</w:t>
            </w:r>
          </w:p>
        </w:tc>
      </w:tr>
      <w:tr w:rsidR="00EA4D39" w:rsidRPr="00491918" w:rsidTr="00AD366C">
        <w:trPr>
          <w:trHeight w:val="243"/>
        </w:trPr>
        <w:tc>
          <w:tcPr>
            <w:tcW w:w="3823" w:type="dxa"/>
            <w:noWrap/>
            <w:vAlign w:val="center"/>
          </w:tcPr>
          <w:p w:rsidR="00EA4D39" w:rsidRPr="00491918" w:rsidRDefault="00EA4D39" w:rsidP="00813593">
            <w:pPr>
              <w:pStyle w:val="Normal146"/>
              <w:rPr>
                <w:szCs w:val="18"/>
              </w:rPr>
            </w:pPr>
            <w:r w:rsidRPr="00491918">
              <w:rPr>
                <w:szCs w:val="18"/>
              </w:rPr>
              <w:t>Investment Bank</w:t>
            </w:r>
          </w:p>
        </w:tc>
        <w:tc>
          <w:tcPr>
            <w:tcW w:w="796" w:type="dxa"/>
            <w:vAlign w:val="center"/>
          </w:tcPr>
          <w:p w:rsidR="00EA4D39" w:rsidRPr="00491918" w:rsidRDefault="008D6001" w:rsidP="00813593">
            <w:pPr>
              <w:pStyle w:val="Normal146"/>
              <w:spacing w:before="10" w:after="10"/>
              <w:jc w:val="center"/>
              <w:rPr>
                <w:szCs w:val="18"/>
              </w:rPr>
            </w:pPr>
            <w:r w:rsidRPr="00491918">
              <w:rPr>
                <w:szCs w:val="18"/>
              </w:rPr>
              <w:t>24</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Wealth and Investment Management</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30</w:t>
            </w:r>
          </w:p>
        </w:tc>
      </w:tr>
      <w:tr w:rsidR="00EA4D39" w:rsidRPr="00491918" w:rsidTr="00AD366C">
        <w:trPr>
          <w:trHeight w:val="243"/>
        </w:trPr>
        <w:tc>
          <w:tcPr>
            <w:tcW w:w="3823" w:type="dxa"/>
            <w:noWrap/>
            <w:vAlign w:val="center"/>
          </w:tcPr>
          <w:p w:rsidR="00EA4D39" w:rsidRPr="00491918" w:rsidRDefault="00EA4D39" w:rsidP="00813593">
            <w:pPr>
              <w:pStyle w:val="Normal146"/>
              <w:rPr>
                <w:szCs w:val="18"/>
              </w:rPr>
            </w:pPr>
            <w:r w:rsidRPr="00491918">
              <w:rPr>
                <w:szCs w:val="18"/>
              </w:rPr>
              <w:t>Legal proceedings</w:t>
            </w:r>
          </w:p>
        </w:tc>
        <w:tc>
          <w:tcPr>
            <w:tcW w:w="796" w:type="dxa"/>
            <w:vAlign w:val="center"/>
          </w:tcPr>
          <w:p w:rsidR="00EA4D39" w:rsidRPr="00491918" w:rsidRDefault="008D6001" w:rsidP="00813593">
            <w:pPr>
              <w:pStyle w:val="Normal146"/>
              <w:spacing w:before="10" w:after="10"/>
              <w:jc w:val="center"/>
              <w:rPr>
                <w:szCs w:val="18"/>
              </w:rPr>
            </w:pPr>
            <w:r w:rsidRPr="00491918">
              <w:rPr>
                <w:szCs w:val="18"/>
              </w:rPr>
              <w:t>122</w:t>
            </w: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r w:rsidRPr="00491918">
              <w:rPr>
                <w:szCs w:val="18"/>
              </w:rPr>
              <w:t>Wholesale credit risk</w:t>
            </w:r>
          </w:p>
        </w:tc>
        <w:tc>
          <w:tcPr>
            <w:tcW w:w="992" w:type="dxa"/>
            <w:vAlign w:val="center"/>
          </w:tcPr>
          <w:p w:rsidR="00EA4D39" w:rsidRPr="00491918" w:rsidRDefault="008D6001" w:rsidP="00AD366C">
            <w:pPr>
              <w:pStyle w:val="Normal146"/>
              <w:spacing w:before="10" w:after="10"/>
              <w:jc w:val="center"/>
              <w:rPr>
                <w:szCs w:val="18"/>
              </w:rPr>
            </w:pPr>
            <w:r w:rsidRPr="00491918">
              <w:rPr>
                <w:szCs w:val="18"/>
              </w:rPr>
              <w:t>80</w:t>
            </w: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p>
        </w:tc>
        <w:tc>
          <w:tcPr>
            <w:tcW w:w="796" w:type="dxa"/>
            <w:vAlign w:val="center"/>
          </w:tcPr>
          <w:p w:rsidR="00EA4D39" w:rsidRPr="00491918" w:rsidRDefault="00EA4D39" w:rsidP="00AD366C">
            <w:pPr>
              <w:pStyle w:val="Normal146"/>
              <w:spacing w:before="10" w:after="10"/>
              <w:jc w:val="center"/>
              <w:rPr>
                <w:szCs w:val="18"/>
              </w:rPr>
            </w:pP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p>
        </w:tc>
        <w:tc>
          <w:tcPr>
            <w:tcW w:w="992" w:type="dxa"/>
            <w:vAlign w:val="center"/>
          </w:tcPr>
          <w:p w:rsidR="00EA4D39" w:rsidRPr="00491918" w:rsidRDefault="00EA4D39" w:rsidP="00AD366C">
            <w:pPr>
              <w:pStyle w:val="Normal146"/>
              <w:spacing w:before="10" w:after="10"/>
              <w:jc w:val="center"/>
              <w:rPr>
                <w:szCs w:val="18"/>
              </w:rPr>
            </w:pP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p>
        </w:tc>
        <w:tc>
          <w:tcPr>
            <w:tcW w:w="796" w:type="dxa"/>
            <w:vAlign w:val="center"/>
          </w:tcPr>
          <w:p w:rsidR="00EA4D39" w:rsidRPr="00491918" w:rsidRDefault="00EA4D39" w:rsidP="00AD366C">
            <w:pPr>
              <w:pStyle w:val="Normal146"/>
              <w:spacing w:before="10" w:after="10"/>
              <w:jc w:val="center"/>
              <w:rPr>
                <w:szCs w:val="18"/>
              </w:rPr>
            </w:pP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p>
        </w:tc>
        <w:tc>
          <w:tcPr>
            <w:tcW w:w="992" w:type="dxa"/>
            <w:vAlign w:val="center"/>
          </w:tcPr>
          <w:p w:rsidR="00EA4D39" w:rsidRPr="00491918" w:rsidRDefault="00EA4D39" w:rsidP="00AD366C">
            <w:pPr>
              <w:pStyle w:val="Normal146"/>
              <w:spacing w:before="10" w:after="10"/>
              <w:jc w:val="center"/>
              <w:rPr>
                <w:szCs w:val="18"/>
              </w:rPr>
            </w:pP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p>
        </w:tc>
        <w:tc>
          <w:tcPr>
            <w:tcW w:w="796" w:type="dxa"/>
            <w:vAlign w:val="center"/>
          </w:tcPr>
          <w:p w:rsidR="00EA4D39" w:rsidRPr="00491918" w:rsidRDefault="00EA4D39" w:rsidP="00AD366C">
            <w:pPr>
              <w:pStyle w:val="Normal146"/>
              <w:spacing w:before="10" w:after="10"/>
              <w:jc w:val="center"/>
              <w:rPr>
                <w:szCs w:val="18"/>
              </w:rPr>
            </w:pP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p>
        </w:tc>
        <w:tc>
          <w:tcPr>
            <w:tcW w:w="992" w:type="dxa"/>
            <w:vAlign w:val="center"/>
          </w:tcPr>
          <w:p w:rsidR="00EA4D39" w:rsidRPr="00491918" w:rsidRDefault="00EA4D39" w:rsidP="00AD366C">
            <w:pPr>
              <w:pStyle w:val="Normal146"/>
              <w:spacing w:before="10" w:after="10"/>
              <w:jc w:val="center"/>
              <w:rPr>
                <w:szCs w:val="18"/>
              </w:rPr>
            </w:pPr>
          </w:p>
        </w:tc>
      </w:tr>
      <w:tr w:rsidR="00EA4D39" w:rsidRPr="00491918" w:rsidTr="00AD366C">
        <w:trPr>
          <w:trHeight w:val="243"/>
        </w:trPr>
        <w:tc>
          <w:tcPr>
            <w:tcW w:w="3823" w:type="dxa"/>
            <w:noWrap/>
            <w:vAlign w:val="center"/>
          </w:tcPr>
          <w:p w:rsidR="00EA4D39" w:rsidRPr="00491918" w:rsidRDefault="00EA4D39" w:rsidP="00AD366C">
            <w:pPr>
              <w:pStyle w:val="Normal146"/>
              <w:rPr>
                <w:szCs w:val="18"/>
              </w:rPr>
            </w:pPr>
          </w:p>
        </w:tc>
        <w:tc>
          <w:tcPr>
            <w:tcW w:w="796" w:type="dxa"/>
            <w:vAlign w:val="center"/>
          </w:tcPr>
          <w:p w:rsidR="00EA4D39" w:rsidRPr="00491918" w:rsidRDefault="00EA4D39" w:rsidP="00AD366C">
            <w:pPr>
              <w:pStyle w:val="Normal146"/>
              <w:spacing w:before="10" w:after="10"/>
              <w:jc w:val="center"/>
              <w:rPr>
                <w:szCs w:val="18"/>
              </w:rPr>
            </w:pPr>
          </w:p>
        </w:tc>
        <w:tc>
          <w:tcPr>
            <w:tcW w:w="366" w:type="dxa"/>
            <w:noWrap/>
            <w:vAlign w:val="center"/>
          </w:tcPr>
          <w:p w:rsidR="00EA4D39" w:rsidRPr="00491918" w:rsidRDefault="00EA4D39" w:rsidP="00AD366C">
            <w:pPr>
              <w:pStyle w:val="Normal146"/>
              <w:rPr>
                <w:szCs w:val="18"/>
              </w:rPr>
            </w:pPr>
          </w:p>
        </w:tc>
        <w:tc>
          <w:tcPr>
            <w:tcW w:w="3827" w:type="dxa"/>
            <w:noWrap/>
            <w:vAlign w:val="center"/>
          </w:tcPr>
          <w:p w:rsidR="00EA4D39" w:rsidRPr="00491918" w:rsidRDefault="00EA4D39" w:rsidP="00AD366C">
            <w:pPr>
              <w:pStyle w:val="Normal146"/>
              <w:rPr>
                <w:szCs w:val="18"/>
              </w:rPr>
            </w:pPr>
          </w:p>
        </w:tc>
        <w:tc>
          <w:tcPr>
            <w:tcW w:w="992" w:type="dxa"/>
            <w:vAlign w:val="center"/>
          </w:tcPr>
          <w:p w:rsidR="00EA4D39" w:rsidRPr="00491918" w:rsidRDefault="00EA4D39" w:rsidP="00AD366C">
            <w:pPr>
              <w:pStyle w:val="Normal146"/>
              <w:spacing w:before="10" w:after="10"/>
              <w:jc w:val="center"/>
              <w:rPr>
                <w:szCs w:val="18"/>
              </w:rPr>
            </w:pPr>
          </w:p>
        </w:tc>
      </w:tr>
      <w:tr w:rsidR="008D6001" w:rsidRPr="00890D81" w:rsidTr="00813593">
        <w:trPr>
          <w:trHeight w:val="243"/>
        </w:trPr>
        <w:tc>
          <w:tcPr>
            <w:tcW w:w="9804" w:type="dxa"/>
            <w:gridSpan w:val="5"/>
            <w:noWrap/>
            <w:vAlign w:val="bottom"/>
          </w:tcPr>
          <w:p w:rsidR="008D6001" w:rsidRPr="00491918" w:rsidRDefault="008D6001" w:rsidP="00AD366C">
            <w:pPr>
              <w:pStyle w:val="Normal620"/>
              <w:rPr>
                <w:szCs w:val="18"/>
              </w:rPr>
            </w:pPr>
          </w:p>
          <w:p w:rsidR="008D6001" w:rsidRPr="00491918" w:rsidRDefault="008D6001" w:rsidP="00AD366C">
            <w:pPr>
              <w:pStyle w:val="Normal620"/>
              <w:jc w:val="both"/>
              <w:rPr>
                <w:szCs w:val="18"/>
              </w:rPr>
            </w:pPr>
            <w:r w:rsidRPr="00491918">
              <w:rPr>
                <w:szCs w:val="18"/>
              </w:rPr>
              <w:t>The glossary of terms can be found on:</w:t>
            </w:r>
          </w:p>
          <w:p w:rsidR="008D6001" w:rsidRPr="00890D81" w:rsidRDefault="008D6001" w:rsidP="00AD366C">
            <w:pPr>
              <w:pStyle w:val="Normal146"/>
              <w:spacing w:before="10" w:after="10"/>
              <w:rPr>
                <w:szCs w:val="18"/>
              </w:rPr>
            </w:pPr>
            <w:r w:rsidRPr="00491918">
              <w:rPr>
                <w:szCs w:val="18"/>
              </w:rPr>
              <w:t>http://group.barclays.com/about-barclays/investor-relations#institutional-investors</w:t>
            </w:r>
            <w:r>
              <w:rPr>
                <w:szCs w:val="18"/>
              </w:rPr>
              <w:t xml:space="preserve"> </w:t>
            </w:r>
          </w:p>
        </w:tc>
      </w:tr>
      <w:tr w:rsidR="00EA4D39" w:rsidTr="00AD366C">
        <w:trPr>
          <w:trHeight w:val="243"/>
        </w:trPr>
        <w:tc>
          <w:tcPr>
            <w:tcW w:w="8812" w:type="dxa"/>
            <w:gridSpan w:val="4"/>
            <w:noWrap/>
            <w:vAlign w:val="bottom"/>
          </w:tcPr>
          <w:p w:rsidR="00EA4D39" w:rsidRDefault="00EA4D39" w:rsidP="00AD366C">
            <w:pPr>
              <w:pStyle w:val="Normal620"/>
              <w:jc w:val="both"/>
              <w:rPr>
                <w:szCs w:val="18"/>
              </w:rPr>
            </w:pPr>
          </w:p>
        </w:tc>
        <w:tc>
          <w:tcPr>
            <w:tcW w:w="992" w:type="dxa"/>
          </w:tcPr>
          <w:p w:rsidR="00EA4D39" w:rsidRDefault="00EA4D39" w:rsidP="00AD366C">
            <w:pPr>
              <w:pStyle w:val="Normal620"/>
              <w:spacing w:before="10" w:after="10"/>
              <w:jc w:val="right"/>
              <w:rPr>
                <w:szCs w:val="18"/>
              </w:rPr>
            </w:pPr>
          </w:p>
        </w:tc>
      </w:tr>
    </w:tbl>
    <w:p w:rsidR="000E33D1" w:rsidRDefault="000E33D1" w:rsidP="008D6001">
      <w:pPr>
        <w:pStyle w:val="NoteandSourceText-BarcRA230"/>
        <w:numPr>
          <w:ilvl w:val="0"/>
          <w:numId w:val="0"/>
        </w:numPr>
      </w:pPr>
    </w:p>
    <w:sectPr w:rsidR="000E33D1" w:rsidSect="00751636">
      <w:headerReference w:type="default" r:id="rId34"/>
      <w:type w:val="continuous"/>
      <w:pgSz w:w="11905" w:h="16837"/>
      <w:pgMar w:top="851" w:right="1134" w:bottom="567" w:left="1134" w:header="851"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A4" w:rsidRDefault="00993AA4">
      <w:r>
        <w:separator/>
      </w:r>
    </w:p>
  </w:endnote>
  <w:endnote w:type="continuationSeparator" w:id="0">
    <w:p w:rsidR="00993AA4" w:rsidRDefault="00993AA4">
      <w:r>
        <w:continuationSeparator/>
      </w:r>
    </w:p>
  </w:endnote>
  <w:endnote w:id="1">
    <w:p w:rsidR="00993AA4" w:rsidRPr="00EA4D39" w:rsidRDefault="00993AA4" w:rsidP="008B3BCD">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rclays Serif">
    <w:altName w:val="Candara"/>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xpert Sans Regular">
    <w:altName w:val="Franklin Gothic Book"/>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Expert Serif Regula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xpertSans-Bold">
    <w:charset w:val="00"/>
    <w:family w:val="auto"/>
    <w:pitch w:val="default"/>
  </w:font>
  <w:font w:name="Barclays Sans">
    <w:altName w:val="Times New Roman"/>
    <w:panose1 w:val="00000000000000000000"/>
    <w:charset w:val="00"/>
    <w:family w:val="roman"/>
    <w:notTrueType/>
    <w:pitch w:val="default"/>
  </w:font>
  <w:font w:name="Expert Sans">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FrutigerLTCom-Light">
    <w:charset w:val="00"/>
    <w:family w:val="auto"/>
    <w:pitch w:val="default"/>
  </w:font>
  <w:font w:name="TimesNewRomanPSMT*1">
    <w:charset w:val="00"/>
    <w:family w:val="auto"/>
    <w:pitch w:val="default"/>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B725D" w:rsidRDefault="00993AA4" w:rsidP="00DB72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B725D" w:rsidRDefault="00993AA4" w:rsidP="00DB7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A4" w:rsidRDefault="00993AA4">
      <w:r>
        <w:separator/>
      </w:r>
    </w:p>
  </w:footnote>
  <w:footnote w:type="continuationSeparator" w:id="0">
    <w:p w:rsidR="00993AA4" w:rsidRDefault="00993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A356B" w:rsidRDefault="00993AA4" w:rsidP="00DA356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A356B" w:rsidRDefault="00993AA4" w:rsidP="00DA356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A356B" w:rsidRDefault="00993AA4" w:rsidP="00DA356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Default="00993AA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Default="00993AA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Default="00993AA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A356B" w:rsidRDefault="00993AA4" w:rsidP="00DA356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Default="00993AA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B725D" w:rsidRDefault="00993AA4" w:rsidP="00DB725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B725D" w:rsidRDefault="00993AA4" w:rsidP="00DB7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B725D" w:rsidRDefault="00993AA4" w:rsidP="00DB725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B725D" w:rsidRDefault="00993AA4" w:rsidP="00DB7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E627B" w:rsidRDefault="00993AA4" w:rsidP="00073B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Default="00993AA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Pr="00DA356B" w:rsidRDefault="00993AA4" w:rsidP="00DA356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A4" w:rsidRDefault="00993A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EC975C"/>
    <w:lvl w:ilvl="0" w:tplc="B336B698">
      <w:start w:val="1"/>
      <w:numFmt w:val="bullet"/>
      <w:lvlText w:val=""/>
      <w:lvlJc w:val="left"/>
      <w:pPr>
        <w:ind w:left="360" w:hanging="360"/>
      </w:pPr>
      <w:rPr>
        <w:rFonts w:ascii="Symbol" w:hAnsi="Symbol" w:hint="default"/>
      </w:rPr>
    </w:lvl>
    <w:lvl w:ilvl="1" w:tplc="615ED752">
      <w:start w:val="1"/>
      <w:numFmt w:val="decimal"/>
      <w:lvlText w:val="%2."/>
      <w:lvlJc w:val="left"/>
      <w:pPr>
        <w:tabs>
          <w:tab w:val="num" w:pos="1440"/>
        </w:tabs>
        <w:ind w:left="1440" w:hanging="360"/>
      </w:pPr>
    </w:lvl>
    <w:lvl w:ilvl="2" w:tplc="0AB62F92">
      <w:start w:val="1"/>
      <w:numFmt w:val="decimal"/>
      <w:lvlText w:val="%3."/>
      <w:lvlJc w:val="left"/>
      <w:pPr>
        <w:tabs>
          <w:tab w:val="num" w:pos="2160"/>
        </w:tabs>
        <w:ind w:left="2160" w:hanging="360"/>
      </w:pPr>
    </w:lvl>
    <w:lvl w:ilvl="3" w:tplc="5E16CF1C">
      <w:start w:val="1"/>
      <w:numFmt w:val="decimal"/>
      <w:lvlText w:val="%4."/>
      <w:lvlJc w:val="left"/>
      <w:pPr>
        <w:tabs>
          <w:tab w:val="num" w:pos="2880"/>
        </w:tabs>
        <w:ind w:left="2880" w:hanging="360"/>
      </w:pPr>
    </w:lvl>
    <w:lvl w:ilvl="4" w:tplc="1F0427EE">
      <w:start w:val="1"/>
      <w:numFmt w:val="decimal"/>
      <w:lvlText w:val="%5."/>
      <w:lvlJc w:val="left"/>
      <w:pPr>
        <w:tabs>
          <w:tab w:val="num" w:pos="3600"/>
        </w:tabs>
        <w:ind w:left="3600" w:hanging="360"/>
      </w:pPr>
    </w:lvl>
    <w:lvl w:ilvl="5" w:tplc="359AA56E">
      <w:start w:val="1"/>
      <w:numFmt w:val="decimal"/>
      <w:lvlText w:val="%6."/>
      <w:lvlJc w:val="left"/>
      <w:pPr>
        <w:tabs>
          <w:tab w:val="num" w:pos="4320"/>
        </w:tabs>
        <w:ind w:left="4320" w:hanging="360"/>
      </w:pPr>
    </w:lvl>
    <w:lvl w:ilvl="6" w:tplc="F4A4FAF0">
      <w:start w:val="1"/>
      <w:numFmt w:val="decimal"/>
      <w:lvlText w:val="%7."/>
      <w:lvlJc w:val="left"/>
      <w:pPr>
        <w:tabs>
          <w:tab w:val="num" w:pos="5040"/>
        </w:tabs>
        <w:ind w:left="5040" w:hanging="360"/>
      </w:pPr>
    </w:lvl>
    <w:lvl w:ilvl="7" w:tplc="9630320C">
      <w:start w:val="1"/>
      <w:numFmt w:val="decimal"/>
      <w:lvlText w:val="%8."/>
      <w:lvlJc w:val="left"/>
      <w:pPr>
        <w:tabs>
          <w:tab w:val="num" w:pos="5760"/>
        </w:tabs>
        <w:ind w:left="5760" w:hanging="360"/>
      </w:pPr>
    </w:lvl>
    <w:lvl w:ilvl="8" w:tplc="42E6EF74">
      <w:start w:val="1"/>
      <w:numFmt w:val="decimal"/>
      <w:lvlText w:val="%9."/>
      <w:lvlJc w:val="left"/>
      <w:pPr>
        <w:tabs>
          <w:tab w:val="num" w:pos="6480"/>
        </w:tabs>
        <w:ind w:left="6480" w:hanging="360"/>
      </w:pPr>
    </w:lvl>
  </w:abstractNum>
  <w:abstractNum w:abstractNumId="1">
    <w:nsid w:val="00000002"/>
    <w:multiLevelType w:val="hybridMultilevel"/>
    <w:tmpl w:val="B4DAA854"/>
    <w:lvl w:ilvl="0" w:tplc="B2CA9BA0">
      <w:start w:val="1"/>
      <w:numFmt w:val="bullet"/>
      <w:pStyle w:val="Level1Bullet-BarcRA"/>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A14F2D2">
      <w:start w:val="1"/>
      <w:numFmt w:val="bullet"/>
      <w:lvlText w:val="o"/>
      <w:lvlJc w:val="left"/>
      <w:pPr>
        <w:tabs>
          <w:tab w:val="num" w:pos="306"/>
        </w:tabs>
        <w:ind w:left="306" w:hanging="360"/>
      </w:pPr>
      <w:rPr>
        <w:rFonts w:ascii="Courier New" w:hAnsi="Courier New" w:hint="default"/>
      </w:rPr>
    </w:lvl>
    <w:lvl w:ilvl="2" w:tplc="F85EF8E4">
      <w:numFmt w:val="bullet"/>
      <w:lvlText w:val="-"/>
      <w:lvlJc w:val="left"/>
      <w:pPr>
        <w:tabs>
          <w:tab w:val="num" w:pos="1401"/>
        </w:tabs>
        <w:ind w:left="1401" w:hanging="735"/>
      </w:pPr>
      <w:rPr>
        <w:rFonts w:ascii="Barclays Serif" w:eastAsia="Times New Roman" w:hAnsi="Barclays Serif" w:cs="Times New Roman" w:hint="default"/>
      </w:rPr>
    </w:lvl>
    <w:lvl w:ilvl="3" w:tplc="E59EA4D0">
      <w:start w:val="1"/>
      <w:numFmt w:val="bullet"/>
      <w:lvlText w:val=""/>
      <w:lvlJc w:val="left"/>
      <w:pPr>
        <w:tabs>
          <w:tab w:val="num" w:pos="1746"/>
        </w:tabs>
        <w:ind w:left="1746" w:hanging="360"/>
      </w:pPr>
      <w:rPr>
        <w:rFonts w:ascii="Symbol" w:hAnsi="Symbol" w:hint="default"/>
      </w:rPr>
    </w:lvl>
    <w:lvl w:ilvl="4" w:tplc="5AEA5900" w:tentative="1">
      <w:start w:val="1"/>
      <w:numFmt w:val="bullet"/>
      <w:lvlText w:val="o"/>
      <w:lvlJc w:val="left"/>
      <w:pPr>
        <w:tabs>
          <w:tab w:val="num" w:pos="2466"/>
        </w:tabs>
        <w:ind w:left="2466" w:hanging="360"/>
      </w:pPr>
      <w:rPr>
        <w:rFonts w:ascii="Courier New" w:hAnsi="Courier New" w:hint="default"/>
      </w:rPr>
    </w:lvl>
    <w:lvl w:ilvl="5" w:tplc="B5C85C04" w:tentative="1">
      <w:start w:val="1"/>
      <w:numFmt w:val="bullet"/>
      <w:lvlText w:val=""/>
      <w:lvlJc w:val="left"/>
      <w:pPr>
        <w:tabs>
          <w:tab w:val="num" w:pos="3186"/>
        </w:tabs>
        <w:ind w:left="3186" w:hanging="360"/>
      </w:pPr>
      <w:rPr>
        <w:rFonts w:ascii="Wingdings" w:hAnsi="Wingdings" w:hint="default"/>
      </w:rPr>
    </w:lvl>
    <w:lvl w:ilvl="6" w:tplc="7A14F7B0" w:tentative="1">
      <w:start w:val="1"/>
      <w:numFmt w:val="bullet"/>
      <w:lvlText w:val=""/>
      <w:lvlJc w:val="left"/>
      <w:pPr>
        <w:tabs>
          <w:tab w:val="num" w:pos="3906"/>
        </w:tabs>
        <w:ind w:left="3906" w:hanging="360"/>
      </w:pPr>
      <w:rPr>
        <w:rFonts w:ascii="Symbol" w:hAnsi="Symbol" w:hint="default"/>
      </w:rPr>
    </w:lvl>
    <w:lvl w:ilvl="7" w:tplc="BFEEBEF6" w:tentative="1">
      <w:start w:val="1"/>
      <w:numFmt w:val="bullet"/>
      <w:lvlText w:val="o"/>
      <w:lvlJc w:val="left"/>
      <w:pPr>
        <w:tabs>
          <w:tab w:val="num" w:pos="4626"/>
        </w:tabs>
        <w:ind w:left="4626" w:hanging="360"/>
      </w:pPr>
      <w:rPr>
        <w:rFonts w:ascii="Courier New" w:hAnsi="Courier New" w:hint="default"/>
      </w:rPr>
    </w:lvl>
    <w:lvl w:ilvl="8" w:tplc="7DF0E384" w:tentative="1">
      <w:start w:val="1"/>
      <w:numFmt w:val="bullet"/>
      <w:lvlText w:val=""/>
      <w:lvlJc w:val="left"/>
      <w:pPr>
        <w:tabs>
          <w:tab w:val="num" w:pos="5346"/>
        </w:tabs>
        <w:ind w:left="5346" w:hanging="360"/>
      </w:pPr>
      <w:rPr>
        <w:rFonts w:ascii="Wingdings" w:hAnsi="Wingdings" w:hint="default"/>
      </w:rPr>
    </w:lvl>
  </w:abstractNum>
  <w:abstractNum w:abstractNumId="2">
    <w:nsid w:val="00000003"/>
    <w:multiLevelType w:val="hybridMultilevel"/>
    <w:tmpl w:val="6FB026A0"/>
    <w:lvl w:ilvl="0" w:tplc="69B48F46">
      <w:start w:val="1"/>
      <w:numFmt w:val="bullet"/>
      <w:lvlText w:val=""/>
      <w:lvlJc w:val="left"/>
      <w:pPr>
        <w:ind w:left="720" w:hanging="360"/>
      </w:pPr>
      <w:rPr>
        <w:rFonts w:ascii="Symbol" w:hAnsi="Symbol" w:hint="default"/>
      </w:rPr>
    </w:lvl>
    <w:lvl w:ilvl="1" w:tplc="E3C0F6F0">
      <w:start w:val="1"/>
      <w:numFmt w:val="decimal"/>
      <w:lvlText w:val="%2."/>
      <w:lvlJc w:val="left"/>
      <w:pPr>
        <w:tabs>
          <w:tab w:val="num" w:pos="1440"/>
        </w:tabs>
        <w:ind w:left="1440" w:hanging="360"/>
      </w:pPr>
    </w:lvl>
    <w:lvl w:ilvl="2" w:tplc="10F03CE4">
      <w:start w:val="1"/>
      <w:numFmt w:val="decimal"/>
      <w:lvlText w:val="%3."/>
      <w:lvlJc w:val="left"/>
      <w:pPr>
        <w:tabs>
          <w:tab w:val="num" w:pos="2160"/>
        </w:tabs>
        <w:ind w:left="2160" w:hanging="360"/>
      </w:pPr>
    </w:lvl>
    <w:lvl w:ilvl="3" w:tplc="7FD0F1A0">
      <w:start w:val="1"/>
      <w:numFmt w:val="decimal"/>
      <w:lvlText w:val="%4."/>
      <w:lvlJc w:val="left"/>
      <w:pPr>
        <w:tabs>
          <w:tab w:val="num" w:pos="2880"/>
        </w:tabs>
        <w:ind w:left="2880" w:hanging="360"/>
      </w:pPr>
    </w:lvl>
    <w:lvl w:ilvl="4" w:tplc="3FD2DBAC">
      <w:start w:val="1"/>
      <w:numFmt w:val="decimal"/>
      <w:lvlText w:val="%5."/>
      <w:lvlJc w:val="left"/>
      <w:pPr>
        <w:tabs>
          <w:tab w:val="num" w:pos="3600"/>
        </w:tabs>
        <w:ind w:left="3600" w:hanging="360"/>
      </w:pPr>
    </w:lvl>
    <w:lvl w:ilvl="5" w:tplc="04BAB98E">
      <w:start w:val="1"/>
      <w:numFmt w:val="decimal"/>
      <w:lvlText w:val="%6."/>
      <w:lvlJc w:val="left"/>
      <w:pPr>
        <w:tabs>
          <w:tab w:val="num" w:pos="4320"/>
        </w:tabs>
        <w:ind w:left="4320" w:hanging="360"/>
      </w:pPr>
    </w:lvl>
    <w:lvl w:ilvl="6" w:tplc="1C648D34">
      <w:start w:val="1"/>
      <w:numFmt w:val="decimal"/>
      <w:lvlText w:val="%7."/>
      <w:lvlJc w:val="left"/>
      <w:pPr>
        <w:tabs>
          <w:tab w:val="num" w:pos="5040"/>
        </w:tabs>
        <w:ind w:left="5040" w:hanging="360"/>
      </w:pPr>
    </w:lvl>
    <w:lvl w:ilvl="7" w:tplc="64DEF44A">
      <w:start w:val="1"/>
      <w:numFmt w:val="decimal"/>
      <w:lvlText w:val="%8."/>
      <w:lvlJc w:val="left"/>
      <w:pPr>
        <w:tabs>
          <w:tab w:val="num" w:pos="5760"/>
        </w:tabs>
        <w:ind w:left="5760" w:hanging="360"/>
      </w:pPr>
    </w:lvl>
    <w:lvl w:ilvl="8" w:tplc="3E2A34F0">
      <w:start w:val="1"/>
      <w:numFmt w:val="decimal"/>
      <w:lvlText w:val="%9."/>
      <w:lvlJc w:val="left"/>
      <w:pPr>
        <w:tabs>
          <w:tab w:val="num" w:pos="6480"/>
        </w:tabs>
        <w:ind w:left="6480" w:hanging="360"/>
      </w:pPr>
    </w:lvl>
  </w:abstractNum>
  <w:abstractNum w:abstractNumId="3">
    <w:nsid w:val="00000004"/>
    <w:multiLevelType w:val="hybridMultilevel"/>
    <w:tmpl w:val="B4DAA854"/>
    <w:lvl w:ilvl="0" w:tplc="368618B0">
      <w:start w:val="1"/>
      <w:numFmt w:val="bullet"/>
      <w:pStyle w:val="Level1Bullet-BarcRA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57A23252">
      <w:start w:val="1"/>
      <w:numFmt w:val="bullet"/>
      <w:lvlText w:val="o"/>
      <w:lvlJc w:val="left"/>
      <w:pPr>
        <w:tabs>
          <w:tab w:val="num" w:pos="306"/>
        </w:tabs>
        <w:ind w:left="306" w:hanging="360"/>
      </w:pPr>
      <w:rPr>
        <w:rFonts w:ascii="Courier New" w:hAnsi="Courier New" w:cs="Times New Roman" w:hint="default"/>
      </w:rPr>
    </w:lvl>
    <w:lvl w:ilvl="2" w:tplc="ECD08700">
      <w:numFmt w:val="bullet"/>
      <w:lvlText w:val="-"/>
      <w:lvlJc w:val="left"/>
      <w:pPr>
        <w:tabs>
          <w:tab w:val="num" w:pos="1401"/>
        </w:tabs>
        <w:ind w:left="1401" w:hanging="735"/>
      </w:pPr>
      <w:rPr>
        <w:rFonts w:ascii="Barclays Serif" w:eastAsia="Times New Roman" w:hAnsi="Barclays Serif" w:cs="Times New Roman" w:hint="default"/>
      </w:rPr>
    </w:lvl>
    <w:lvl w:ilvl="3" w:tplc="B394ECBE">
      <w:start w:val="1"/>
      <w:numFmt w:val="decimal"/>
      <w:lvlText w:val="%4."/>
      <w:lvlJc w:val="left"/>
      <w:pPr>
        <w:tabs>
          <w:tab w:val="num" w:pos="2880"/>
        </w:tabs>
        <w:ind w:left="2880" w:hanging="360"/>
      </w:pPr>
    </w:lvl>
    <w:lvl w:ilvl="4" w:tplc="D8F603FA">
      <w:start w:val="1"/>
      <w:numFmt w:val="decimal"/>
      <w:lvlText w:val="%5."/>
      <w:lvlJc w:val="left"/>
      <w:pPr>
        <w:tabs>
          <w:tab w:val="num" w:pos="3600"/>
        </w:tabs>
        <w:ind w:left="3600" w:hanging="360"/>
      </w:pPr>
    </w:lvl>
    <w:lvl w:ilvl="5" w:tplc="F490BE48">
      <w:start w:val="1"/>
      <w:numFmt w:val="decimal"/>
      <w:lvlText w:val="%6."/>
      <w:lvlJc w:val="left"/>
      <w:pPr>
        <w:tabs>
          <w:tab w:val="num" w:pos="4320"/>
        </w:tabs>
        <w:ind w:left="4320" w:hanging="360"/>
      </w:pPr>
    </w:lvl>
    <w:lvl w:ilvl="6" w:tplc="67A2245C">
      <w:start w:val="1"/>
      <w:numFmt w:val="decimal"/>
      <w:lvlText w:val="%7."/>
      <w:lvlJc w:val="left"/>
      <w:pPr>
        <w:tabs>
          <w:tab w:val="num" w:pos="5040"/>
        </w:tabs>
        <w:ind w:left="5040" w:hanging="360"/>
      </w:pPr>
    </w:lvl>
    <w:lvl w:ilvl="7" w:tplc="22BE1C48">
      <w:start w:val="1"/>
      <w:numFmt w:val="decimal"/>
      <w:lvlText w:val="%8."/>
      <w:lvlJc w:val="left"/>
      <w:pPr>
        <w:tabs>
          <w:tab w:val="num" w:pos="5760"/>
        </w:tabs>
        <w:ind w:left="5760" w:hanging="360"/>
      </w:pPr>
    </w:lvl>
    <w:lvl w:ilvl="8" w:tplc="4E3E1684">
      <w:start w:val="1"/>
      <w:numFmt w:val="decimal"/>
      <w:lvlText w:val="%9."/>
      <w:lvlJc w:val="left"/>
      <w:pPr>
        <w:tabs>
          <w:tab w:val="num" w:pos="6480"/>
        </w:tabs>
        <w:ind w:left="6480" w:hanging="360"/>
      </w:pPr>
    </w:lvl>
  </w:abstractNum>
  <w:abstractNum w:abstractNumId="4">
    <w:nsid w:val="00000005"/>
    <w:multiLevelType w:val="hybridMultilevel"/>
    <w:tmpl w:val="B4DAA854"/>
    <w:lvl w:ilvl="0" w:tplc="445E2082">
      <w:start w:val="1"/>
      <w:numFmt w:val="bullet"/>
      <w:pStyle w:val="Level1Bullet-BarcRA1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F203FB4">
      <w:start w:val="1"/>
      <w:numFmt w:val="bullet"/>
      <w:lvlText w:val="o"/>
      <w:lvlJc w:val="left"/>
      <w:pPr>
        <w:tabs>
          <w:tab w:val="num" w:pos="306"/>
        </w:tabs>
        <w:ind w:left="306" w:hanging="360"/>
      </w:pPr>
      <w:rPr>
        <w:rFonts w:ascii="Courier New" w:hAnsi="Courier New" w:cs="Times New Roman" w:hint="default"/>
      </w:rPr>
    </w:lvl>
    <w:lvl w:ilvl="2" w:tplc="566288D6">
      <w:numFmt w:val="bullet"/>
      <w:lvlText w:val="-"/>
      <w:lvlJc w:val="left"/>
      <w:pPr>
        <w:tabs>
          <w:tab w:val="num" w:pos="1401"/>
        </w:tabs>
        <w:ind w:left="1401" w:hanging="735"/>
      </w:pPr>
      <w:rPr>
        <w:rFonts w:ascii="Barclays Serif" w:eastAsia="Times New Roman" w:hAnsi="Barclays Serif" w:cs="Times New Roman" w:hint="default"/>
      </w:rPr>
    </w:lvl>
    <w:lvl w:ilvl="3" w:tplc="E4A89A20">
      <w:start w:val="1"/>
      <w:numFmt w:val="decimal"/>
      <w:lvlText w:val="%4."/>
      <w:lvlJc w:val="left"/>
      <w:pPr>
        <w:tabs>
          <w:tab w:val="num" w:pos="2880"/>
        </w:tabs>
        <w:ind w:left="2880" w:hanging="360"/>
      </w:pPr>
    </w:lvl>
    <w:lvl w:ilvl="4" w:tplc="262CEA18">
      <w:start w:val="1"/>
      <w:numFmt w:val="decimal"/>
      <w:lvlText w:val="%5."/>
      <w:lvlJc w:val="left"/>
      <w:pPr>
        <w:tabs>
          <w:tab w:val="num" w:pos="3600"/>
        </w:tabs>
        <w:ind w:left="3600" w:hanging="360"/>
      </w:pPr>
    </w:lvl>
    <w:lvl w:ilvl="5" w:tplc="4C0A96FC">
      <w:start w:val="1"/>
      <w:numFmt w:val="decimal"/>
      <w:lvlText w:val="%6."/>
      <w:lvlJc w:val="left"/>
      <w:pPr>
        <w:tabs>
          <w:tab w:val="num" w:pos="4320"/>
        </w:tabs>
        <w:ind w:left="4320" w:hanging="360"/>
      </w:pPr>
    </w:lvl>
    <w:lvl w:ilvl="6" w:tplc="BD3C55B8">
      <w:start w:val="1"/>
      <w:numFmt w:val="decimal"/>
      <w:lvlText w:val="%7."/>
      <w:lvlJc w:val="left"/>
      <w:pPr>
        <w:tabs>
          <w:tab w:val="num" w:pos="5040"/>
        </w:tabs>
        <w:ind w:left="5040" w:hanging="360"/>
      </w:pPr>
    </w:lvl>
    <w:lvl w:ilvl="7" w:tplc="E996AEDC">
      <w:start w:val="1"/>
      <w:numFmt w:val="decimal"/>
      <w:lvlText w:val="%8."/>
      <w:lvlJc w:val="left"/>
      <w:pPr>
        <w:tabs>
          <w:tab w:val="num" w:pos="5760"/>
        </w:tabs>
        <w:ind w:left="5760" w:hanging="360"/>
      </w:pPr>
    </w:lvl>
    <w:lvl w:ilvl="8" w:tplc="9F3C5B4A">
      <w:start w:val="1"/>
      <w:numFmt w:val="decimal"/>
      <w:lvlText w:val="%9."/>
      <w:lvlJc w:val="left"/>
      <w:pPr>
        <w:tabs>
          <w:tab w:val="num" w:pos="6480"/>
        </w:tabs>
        <w:ind w:left="6480" w:hanging="360"/>
      </w:pPr>
    </w:lvl>
  </w:abstractNum>
  <w:abstractNum w:abstractNumId="5">
    <w:nsid w:val="00000006"/>
    <w:multiLevelType w:val="hybridMultilevel"/>
    <w:tmpl w:val="67106A94"/>
    <w:lvl w:ilvl="0" w:tplc="BCA8F7C4">
      <w:start w:val="1"/>
      <w:numFmt w:val="decimal"/>
      <w:lvlText w:val="%1"/>
      <w:lvlJc w:val="left"/>
      <w:pPr>
        <w:ind w:left="720" w:hanging="360"/>
      </w:pPr>
      <w:rPr>
        <w:i/>
        <w:sz w:val="14"/>
        <w:szCs w:val="14"/>
      </w:rPr>
    </w:lvl>
    <w:lvl w:ilvl="1" w:tplc="AC3E3D28">
      <w:start w:val="1"/>
      <w:numFmt w:val="decimal"/>
      <w:lvlText w:val="%2."/>
      <w:lvlJc w:val="left"/>
      <w:pPr>
        <w:tabs>
          <w:tab w:val="num" w:pos="1440"/>
        </w:tabs>
        <w:ind w:left="1440" w:hanging="360"/>
      </w:pPr>
    </w:lvl>
    <w:lvl w:ilvl="2" w:tplc="8F623A50">
      <w:start w:val="1"/>
      <w:numFmt w:val="decimal"/>
      <w:lvlText w:val="%3."/>
      <w:lvlJc w:val="left"/>
      <w:pPr>
        <w:tabs>
          <w:tab w:val="num" w:pos="2160"/>
        </w:tabs>
        <w:ind w:left="2160" w:hanging="360"/>
      </w:pPr>
    </w:lvl>
    <w:lvl w:ilvl="3" w:tplc="6426686C">
      <w:start w:val="1"/>
      <w:numFmt w:val="decimal"/>
      <w:lvlText w:val="%4."/>
      <w:lvlJc w:val="left"/>
      <w:pPr>
        <w:tabs>
          <w:tab w:val="num" w:pos="2880"/>
        </w:tabs>
        <w:ind w:left="2880" w:hanging="360"/>
      </w:pPr>
    </w:lvl>
    <w:lvl w:ilvl="4" w:tplc="888CD95E">
      <w:start w:val="1"/>
      <w:numFmt w:val="decimal"/>
      <w:lvlText w:val="%5."/>
      <w:lvlJc w:val="left"/>
      <w:pPr>
        <w:tabs>
          <w:tab w:val="num" w:pos="3600"/>
        </w:tabs>
        <w:ind w:left="3600" w:hanging="360"/>
      </w:pPr>
    </w:lvl>
    <w:lvl w:ilvl="5" w:tplc="AAD8AFBA">
      <w:start w:val="1"/>
      <w:numFmt w:val="decimal"/>
      <w:lvlText w:val="%6."/>
      <w:lvlJc w:val="left"/>
      <w:pPr>
        <w:tabs>
          <w:tab w:val="num" w:pos="4320"/>
        </w:tabs>
        <w:ind w:left="4320" w:hanging="360"/>
      </w:pPr>
    </w:lvl>
    <w:lvl w:ilvl="6" w:tplc="E2686C8E">
      <w:start w:val="1"/>
      <w:numFmt w:val="decimal"/>
      <w:lvlText w:val="%7."/>
      <w:lvlJc w:val="left"/>
      <w:pPr>
        <w:tabs>
          <w:tab w:val="num" w:pos="5040"/>
        </w:tabs>
        <w:ind w:left="5040" w:hanging="360"/>
      </w:pPr>
    </w:lvl>
    <w:lvl w:ilvl="7" w:tplc="E7F06DDC">
      <w:start w:val="1"/>
      <w:numFmt w:val="decimal"/>
      <w:lvlText w:val="%8."/>
      <w:lvlJc w:val="left"/>
      <w:pPr>
        <w:tabs>
          <w:tab w:val="num" w:pos="5760"/>
        </w:tabs>
        <w:ind w:left="5760" w:hanging="360"/>
      </w:pPr>
    </w:lvl>
    <w:lvl w:ilvl="8" w:tplc="F0E0550A">
      <w:start w:val="1"/>
      <w:numFmt w:val="decimal"/>
      <w:lvlText w:val="%9."/>
      <w:lvlJc w:val="left"/>
      <w:pPr>
        <w:tabs>
          <w:tab w:val="num" w:pos="6480"/>
        </w:tabs>
        <w:ind w:left="6480" w:hanging="360"/>
      </w:pPr>
    </w:lvl>
  </w:abstractNum>
  <w:abstractNum w:abstractNumId="6">
    <w:nsid w:val="00000007"/>
    <w:multiLevelType w:val="hybridMultilevel"/>
    <w:tmpl w:val="B4DAA854"/>
    <w:lvl w:ilvl="0" w:tplc="9298737A">
      <w:start w:val="1"/>
      <w:numFmt w:val="bullet"/>
      <w:pStyle w:val="Level1Bullet-BarcRA0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6501036">
      <w:start w:val="1"/>
      <w:numFmt w:val="bullet"/>
      <w:lvlText w:val="o"/>
      <w:lvlJc w:val="left"/>
      <w:pPr>
        <w:tabs>
          <w:tab w:val="num" w:pos="306"/>
        </w:tabs>
        <w:ind w:left="306" w:hanging="360"/>
      </w:pPr>
      <w:rPr>
        <w:rFonts w:ascii="Courier New" w:hAnsi="Courier New" w:cs="Times New Roman" w:hint="default"/>
      </w:rPr>
    </w:lvl>
    <w:lvl w:ilvl="2" w:tplc="58BA437A">
      <w:numFmt w:val="bullet"/>
      <w:lvlText w:val="-"/>
      <w:lvlJc w:val="left"/>
      <w:pPr>
        <w:tabs>
          <w:tab w:val="num" w:pos="1401"/>
        </w:tabs>
        <w:ind w:left="1401" w:hanging="735"/>
      </w:pPr>
      <w:rPr>
        <w:rFonts w:ascii="Barclays Serif" w:eastAsia="Times New Roman" w:hAnsi="Barclays Serif" w:cs="Times New Roman" w:hint="default"/>
      </w:rPr>
    </w:lvl>
    <w:lvl w:ilvl="3" w:tplc="1F0EC42C">
      <w:start w:val="1"/>
      <w:numFmt w:val="decimal"/>
      <w:lvlText w:val="%4."/>
      <w:lvlJc w:val="left"/>
      <w:pPr>
        <w:tabs>
          <w:tab w:val="num" w:pos="2880"/>
        </w:tabs>
        <w:ind w:left="2880" w:hanging="360"/>
      </w:pPr>
    </w:lvl>
    <w:lvl w:ilvl="4" w:tplc="86FE473A">
      <w:start w:val="1"/>
      <w:numFmt w:val="decimal"/>
      <w:lvlText w:val="%5."/>
      <w:lvlJc w:val="left"/>
      <w:pPr>
        <w:tabs>
          <w:tab w:val="num" w:pos="3600"/>
        </w:tabs>
        <w:ind w:left="3600" w:hanging="360"/>
      </w:pPr>
    </w:lvl>
    <w:lvl w:ilvl="5" w:tplc="E17AADFA">
      <w:start w:val="1"/>
      <w:numFmt w:val="decimal"/>
      <w:lvlText w:val="%6."/>
      <w:lvlJc w:val="left"/>
      <w:pPr>
        <w:tabs>
          <w:tab w:val="num" w:pos="4320"/>
        </w:tabs>
        <w:ind w:left="4320" w:hanging="360"/>
      </w:pPr>
    </w:lvl>
    <w:lvl w:ilvl="6" w:tplc="F01AD7EC">
      <w:start w:val="1"/>
      <w:numFmt w:val="decimal"/>
      <w:lvlText w:val="%7."/>
      <w:lvlJc w:val="left"/>
      <w:pPr>
        <w:tabs>
          <w:tab w:val="num" w:pos="5040"/>
        </w:tabs>
        <w:ind w:left="5040" w:hanging="360"/>
      </w:pPr>
    </w:lvl>
    <w:lvl w:ilvl="7" w:tplc="1E46E9E6">
      <w:start w:val="1"/>
      <w:numFmt w:val="decimal"/>
      <w:lvlText w:val="%8."/>
      <w:lvlJc w:val="left"/>
      <w:pPr>
        <w:tabs>
          <w:tab w:val="num" w:pos="5760"/>
        </w:tabs>
        <w:ind w:left="5760" w:hanging="360"/>
      </w:pPr>
    </w:lvl>
    <w:lvl w:ilvl="8" w:tplc="D5AE1200">
      <w:start w:val="1"/>
      <w:numFmt w:val="decimal"/>
      <w:lvlText w:val="%9."/>
      <w:lvlJc w:val="left"/>
      <w:pPr>
        <w:tabs>
          <w:tab w:val="num" w:pos="6480"/>
        </w:tabs>
        <w:ind w:left="6480" w:hanging="360"/>
      </w:pPr>
    </w:lvl>
  </w:abstractNum>
  <w:abstractNum w:abstractNumId="7">
    <w:nsid w:val="00000008"/>
    <w:multiLevelType w:val="hybridMultilevel"/>
    <w:tmpl w:val="28D243B6"/>
    <w:lvl w:ilvl="0" w:tplc="DA0EF8AE">
      <w:start w:val="1"/>
      <w:numFmt w:val="bullet"/>
      <w:pStyle w:val="Level1Bullet-BarcRA0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CEF2B3A0">
      <w:start w:val="1"/>
      <w:numFmt w:val="bullet"/>
      <w:lvlText w:val=""/>
      <w:lvlJc w:val="left"/>
      <w:pPr>
        <w:tabs>
          <w:tab w:val="num" w:pos="306"/>
        </w:tabs>
        <w:ind w:left="306" w:hanging="360"/>
      </w:pPr>
      <w:rPr>
        <w:rFonts w:ascii="Symbol" w:hAnsi="Symbol" w:hint="default"/>
      </w:rPr>
    </w:lvl>
    <w:lvl w:ilvl="2" w:tplc="95963550">
      <w:numFmt w:val="bullet"/>
      <w:lvlText w:val=""/>
      <w:lvlJc w:val="left"/>
      <w:pPr>
        <w:tabs>
          <w:tab w:val="num" w:pos="1401"/>
        </w:tabs>
        <w:ind w:left="1401" w:hanging="735"/>
      </w:pPr>
      <w:rPr>
        <w:rFonts w:ascii="Symbol" w:hAnsi="Symbol" w:hint="default"/>
      </w:rPr>
    </w:lvl>
    <w:lvl w:ilvl="3" w:tplc="A7CE00E8">
      <w:start w:val="1"/>
      <w:numFmt w:val="decimal"/>
      <w:lvlText w:val="%4."/>
      <w:lvlJc w:val="left"/>
      <w:pPr>
        <w:tabs>
          <w:tab w:val="num" w:pos="2880"/>
        </w:tabs>
        <w:ind w:left="2880" w:hanging="360"/>
      </w:pPr>
    </w:lvl>
    <w:lvl w:ilvl="4" w:tplc="430EC11C">
      <w:start w:val="1"/>
      <w:numFmt w:val="decimal"/>
      <w:lvlText w:val="%5."/>
      <w:lvlJc w:val="left"/>
      <w:pPr>
        <w:tabs>
          <w:tab w:val="num" w:pos="3600"/>
        </w:tabs>
        <w:ind w:left="3600" w:hanging="360"/>
      </w:pPr>
    </w:lvl>
    <w:lvl w:ilvl="5" w:tplc="DF509DEA">
      <w:start w:val="1"/>
      <w:numFmt w:val="decimal"/>
      <w:lvlText w:val="%6."/>
      <w:lvlJc w:val="left"/>
      <w:pPr>
        <w:tabs>
          <w:tab w:val="num" w:pos="4320"/>
        </w:tabs>
        <w:ind w:left="4320" w:hanging="360"/>
      </w:pPr>
    </w:lvl>
    <w:lvl w:ilvl="6" w:tplc="7FB01514">
      <w:start w:val="1"/>
      <w:numFmt w:val="decimal"/>
      <w:lvlText w:val="%7."/>
      <w:lvlJc w:val="left"/>
      <w:pPr>
        <w:tabs>
          <w:tab w:val="num" w:pos="5040"/>
        </w:tabs>
        <w:ind w:left="5040" w:hanging="360"/>
      </w:pPr>
    </w:lvl>
    <w:lvl w:ilvl="7" w:tplc="E812C188">
      <w:start w:val="1"/>
      <w:numFmt w:val="decimal"/>
      <w:lvlText w:val="%8."/>
      <w:lvlJc w:val="left"/>
      <w:pPr>
        <w:tabs>
          <w:tab w:val="num" w:pos="5760"/>
        </w:tabs>
        <w:ind w:left="5760" w:hanging="360"/>
      </w:pPr>
    </w:lvl>
    <w:lvl w:ilvl="8" w:tplc="01128F02">
      <w:start w:val="1"/>
      <w:numFmt w:val="decimal"/>
      <w:lvlText w:val="%9."/>
      <w:lvlJc w:val="left"/>
      <w:pPr>
        <w:tabs>
          <w:tab w:val="num" w:pos="6480"/>
        </w:tabs>
        <w:ind w:left="6480" w:hanging="360"/>
      </w:pPr>
    </w:lvl>
  </w:abstractNum>
  <w:abstractNum w:abstractNumId="8">
    <w:nsid w:val="00000009"/>
    <w:multiLevelType w:val="hybridMultilevel"/>
    <w:tmpl w:val="DCC0405C"/>
    <w:lvl w:ilvl="0" w:tplc="14207564">
      <w:start w:val="1"/>
      <w:numFmt w:val="bullet"/>
      <w:pStyle w:val="Level1Bullet-BarcRA2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7DCFF4C">
      <w:start w:val="1"/>
      <w:numFmt w:val="bullet"/>
      <w:lvlText w:val="o"/>
      <w:lvlJc w:val="left"/>
      <w:pPr>
        <w:tabs>
          <w:tab w:val="num" w:pos="306"/>
        </w:tabs>
        <w:ind w:left="306" w:hanging="360"/>
      </w:pPr>
      <w:rPr>
        <w:rFonts w:ascii="Courier New" w:hAnsi="Courier New" w:cs="Times New Roman" w:hint="default"/>
      </w:rPr>
    </w:lvl>
    <w:lvl w:ilvl="2" w:tplc="A266B8DA">
      <w:numFmt w:val="bullet"/>
      <w:lvlText w:val="-"/>
      <w:lvlJc w:val="left"/>
      <w:pPr>
        <w:tabs>
          <w:tab w:val="num" w:pos="1401"/>
        </w:tabs>
        <w:ind w:left="1401" w:hanging="735"/>
      </w:pPr>
      <w:rPr>
        <w:rFonts w:ascii="Barclays Serif" w:eastAsia="Times New Roman" w:hAnsi="Barclays Serif" w:cs="Times New Roman" w:hint="default"/>
      </w:rPr>
    </w:lvl>
    <w:lvl w:ilvl="3" w:tplc="F522C65E">
      <w:start w:val="1"/>
      <w:numFmt w:val="decimal"/>
      <w:lvlText w:val="%4."/>
      <w:lvlJc w:val="left"/>
      <w:pPr>
        <w:tabs>
          <w:tab w:val="num" w:pos="2880"/>
        </w:tabs>
        <w:ind w:left="2880" w:hanging="360"/>
      </w:pPr>
    </w:lvl>
    <w:lvl w:ilvl="4" w:tplc="9398AF64">
      <w:start w:val="1"/>
      <w:numFmt w:val="decimal"/>
      <w:lvlText w:val="%5."/>
      <w:lvlJc w:val="left"/>
      <w:pPr>
        <w:tabs>
          <w:tab w:val="num" w:pos="3600"/>
        </w:tabs>
        <w:ind w:left="3600" w:hanging="360"/>
      </w:pPr>
    </w:lvl>
    <w:lvl w:ilvl="5" w:tplc="FA7CF99C">
      <w:start w:val="1"/>
      <w:numFmt w:val="decimal"/>
      <w:lvlText w:val="%6."/>
      <w:lvlJc w:val="left"/>
      <w:pPr>
        <w:tabs>
          <w:tab w:val="num" w:pos="4320"/>
        </w:tabs>
        <w:ind w:left="4320" w:hanging="360"/>
      </w:pPr>
    </w:lvl>
    <w:lvl w:ilvl="6" w:tplc="6F6612CE">
      <w:start w:val="1"/>
      <w:numFmt w:val="decimal"/>
      <w:lvlText w:val="%7."/>
      <w:lvlJc w:val="left"/>
      <w:pPr>
        <w:tabs>
          <w:tab w:val="num" w:pos="5040"/>
        </w:tabs>
        <w:ind w:left="5040" w:hanging="360"/>
      </w:pPr>
    </w:lvl>
    <w:lvl w:ilvl="7" w:tplc="D9BCB830">
      <w:start w:val="1"/>
      <w:numFmt w:val="decimal"/>
      <w:lvlText w:val="%8."/>
      <w:lvlJc w:val="left"/>
      <w:pPr>
        <w:tabs>
          <w:tab w:val="num" w:pos="5760"/>
        </w:tabs>
        <w:ind w:left="5760" w:hanging="360"/>
      </w:pPr>
    </w:lvl>
    <w:lvl w:ilvl="8" w:tplc="B29A2CF6">
      <w:start w:val="1"/>
      <w:numFmt w:val="decimal"/>
      <w:lvlText w:val="%9."/>
      <w:lvlJc w:val="left"/>
      <w:pPr>
        <w:tabs>
          <w:tab w:val="num" w:pos="6480"/>
        </w:tabs>
        <w:ind w:left="6480" w:hanging="360"/>
      </w:pPr>
    </w:lvl>
  </w:abstractNum>
  <w:abstractNum w:abstractNumId="9">
    <w:nsid w:val="0000000A"/>
    <w:multiLevelType w:val="hybridMultilevel"/>
    <w:tmpl w:val="8F04F040"/>
    <w:lvl w:ilvl="0" w:tplc="C1CE7A28">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BA257DA">
      <w:start w:val="1"/>
      <w:numFmt w:val="bullet"/>
      <w:lvlText w:val="o"/>
      <w:lvlJc w:val="left"/>
      <w:pPr>
        <w:tabs>
          <w:tab w:val="num" w:pos="306"/>
        </w:tabs>
        <w:ind w:left="306" w:hanging="360"/>
      </w:pPr>
      <w:rPr>
        <w:rFonts w:ascii="Courier New" w:hAnsi="Courier New" w:cs="Times New Roman" w:hint="default"/>
      </w:rPr>
    </w:lvl>
    <w:lvl w:ilvl="2" w:tplc="AECA017C">
      <w:numFmt w:val="bullet"/>
      <w:pStyle w:val="Level2Bullet-BarcRA0"/>
      <w:lvlText w:val="–"/>
      <w:lvlJc w:val="left"/>
      <w:pPr>
        <w:tabs>
          <w:tab w:val="num" w:pos="1401"/>
        </w:tabs>
        <w:ind w:left="1401" w:hanging="735"/>
      </w:pPr>
      <w:rPr>
        <w:rFonts w:ascii="Arial" w:eastAsia="Times New Roman" w:hAnsi="Arial" w:cs="Times New Roman" w:hint="default"/>
      </w:rPr>
    </w:lvl>
    <w:lvl w:ilvl="3" w:tplc="5E44CC5A">
      <w:start w:val="1"/>
      <w:numFmt w:val="bullet"/>
      <w:lvlText w:val=""/>
      <w:lvlJc w:val="left"/>
      <w:pPr>
        <w:tabs>
          <w:tab w:val="num" w:pos="1746"/>
        </w:tabs>
        <w:ind w:left="1746" w:hanging="360"/>
      </w:pPr>
      <w:rPr>
        <w:rFonts w:ascii="Symbol" w:hAnsi="Symbol" w:hint="default"/>
      </w:rPr>
    </w:lvl>
    <w:lvl w:ilvl="4" w:tplc="18BC23E2">
      <w:start w:val="1"/>
      <w:numFmt w:val="decimal"/>
      <w:lvlText w:val="%5."/>
      <w:lvlJc w:val="left"/>
      <w:pPr>
        <w:tabs>
          <w:tab w:val="num" w:pos="3600"/>
        </w:tabs>
        <w:ind w:left="3600" w:hanging="360"/>
      </w:pPr>
    </w:lvl>
    <w:lvl w:ilvl="5" w:tplc="E94EE7AC">
      <w:start w:val="1"/>
      <w:numFmt w:val="decimal"/>
      <w:lvlText w:val="%6."/>
      <w:lvlJc w:val="left"/>
      <w:pPr>
        <w:tabs>
          <w:tab w:val="num" w:pos="4320"/>
        </w:tabs>
        <w:ind w:left="4320" w:hanging="360"/>
      </w:pPr>
    </w:lvl>
    <w:lvl w:ilvl="6" w:tplc="36723EE8">
      <w:start w:val="1"/>
      <w:numFmt w:val="decimal"/>
      <w:lvlText w:val="%7."/>
      <w:lvlJc w:val="left"/>
      <w:pPr>
        <w:tabs>
          <w:tab w:val="num" w:pos="5040"/>
        </w:tabs>
        <w:ind w:left="5040" w:hanging="360"/>
      </w:pPr>
    </w:lvl>
    <w:lvl w:ilvl="7" w:tplc="CCBE529E">
      <w:start w:val="1"/>
      <w:numFmt w:val="decimal"/>
      <w:lvlText w:val="%8."/>
      <w:lvlJc w:val="left"/>
      <w:pPr>
        <w:tabs>
          <w:tab w:val="num" w:pos="5760"/>
        </w:tabs>
        <w:ind w:left="5760" w:hanging="360"/>
      </w:pPr>
    </w:lvl>
    <w:lvl w:ilvl="8" w:tplc="12209830">
      <w:start w:val="1"/>
      <w:numFmt w:val="decimal"/>
      <w:lvlText w:val="%9."/>
      <w:lvlJc w:val="left"/>
      <w:pPr>
        <w:tabs>
          <w:tab w:val="num" w:pos="6480"/>
        </w:tabs>
        <w:ind w:left="6480" w:hanging="360"/>
      </w:pPr>
    </w:lvl>
  </w:abstractNum>
  <w:abstractNum w:abstractNumId="10">
    <w:nsid w:val="0000000B"/>
    <w:multiLevelType w:val="hybridMultilevel"/>
    <w:tmpl w:val="B4DAA854"/>
    <w:lvl w:ilvl="0" w:tplc="692A0A86">
      <w:start w:val="1"/>
      <w:numFmt w:val="bullet"/>
      <w:pStyle w:val="Level1Bullet-BarcRA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DCE7A20">
      <w:start w:val="1"/>
      <w:numFmt w:val="bullet"/>
      <w:lvlText w:val="o"/>
      <w:lvlJc w:val="left"/>
      <w:pPr>
        <w:tabs>
          <w:tab w:val="num" w:pos="306"/>
        </w:tabs>
        <w:ind w:left="306" w:hanging="360"/>
      </w:pPr>
      <w:rPr>
        <w:rFonts w:ascii="Courier New" w:hAnsi="Courier New" w:hint="default"/>
      </w:rPr>
    </w:lvl>
    <w:lvl w:ilvl="2" w:tplc="BD3C2546">
      <w:numFmt w:val="bullet"/>
      <w:lvlText w:val="-"/>
      <w:lvlJc w:val="left"/>
      <w:pPr>
        <w:tabs>
          <w:tab w:val="num" w:pos="1401"/>
        </w:tabs>
        <w:ind w:left="1401" w:hanging="735"/>
      </w:pPr>
      <w:rPr>
        <w:rFonts w:ascii="Barclays Serif" w:eastAsia="Times New Roman" w:hAnsi="Barclays Serif" w:cs="Times New Roman" w:hint="default"/>
      </w:rPr>
    </w:lvl>
    <w:lvl w:ilvl="3" w:tplc="4498F60C" w:tentative="1">
      <w:start w:val="1"/>
      <w:numFmt w:val="bullet"/>
      <w:lvlText w:val=""/>
      <w:lvlJc w:val="left"/>
      <w:pPr>
        <w:tabs>
          <w:tab w:val="num" w:pos="1746"/>
        </w:tabs>
        <w:ind w:left="1746" w:hanging="360"/>
      </w:pPr>
      <w:rPr>
        <w:rFonts w:ascii="Symbol" w:hAnsi="Symbol" w:hint="default"/>
      </w:rPr>
    </w:lvl>
    <w:lvl w:ilvl="4" w:tplc="C6A40CB6" w:tentative="1">
      <w:start w:val="1"/>
      <w:numFmt w:val="bullet"/>
      <w:lvlText w:val="o"/>
      <w:lvlJc w:val="left"/>
      <w:pPr>
        <w:tabs>
          <w:tab w:val="num" w:pos="2466"/>
        </w:tabs>
        <w:ind w:left="2466" w:hanging="360"/>
      </w:pPr>
      <w:rPr>
        <w:rFonts w:ascii="Courier New" w:hAnsi="Courier New" w:hint="default"/>
      </w:rPr>
    </w:lvl>
    <w:lvl w:ilvl="5" w:tplc="1DD835A0" w:tentative="1">
      <w:start w:val="1"/>
      <w:numFmt w:val="bullet"/>
      <w:lvlText w:val=""/>
      <w:lvlJc w:val="left"/>
      <w:pPr>
        <w:tabs>
          <w:tab w:val="num" w:pos="3186"/>
        </w:tabs>
        <w:ind w:left="3186" w:hanging="360"/>
      </w:pPr>
      <w:rPr>
        <w:rFonts w:ascii="Wingdings" w:hAnsi="Wingdings" w:hint="default"/>
      </w:rPr>
    </w:lvl>
    <w:lvl w:ilvl="6" w:tplc="A148C588" w:tentative="1">
      <w:start w:val="1"/>
      <w:numFmt w:val="bullet"/>
      <w:lvlText w:val=""/>
      <w:lvlJc w:val="left"/>
      <w:pPr>
        <w:tabs>
          <w:tab w:val="num" w:pos="3906"/>
        </w:tabs>
        <w:ind w:left="3906" w:hanging="360"/>
      </w:pPr>
      <w:rPr>
        <w:rFonts w:ascii="Symbol" w:hAnsi="Symbol" w:hint="default"/>
      </w:rPr>
    </w:lvl>
    <w:lvl w:ilvl="7" w:tplc="AFE437CC" w:tentative="1">
      <w:start w:val="1"/>
      <w:numFmt w:val="bullet"/>
      <w:lvlText w:val="o"/>
      <w:lvlJc w:val="left"/>
      <w:pPr>
        <w:tabs>
          <w:tab w:val="num" w:pos="4626"/>
        </w:tabs>
        <w:ind w:left="4626" w:hanging="360"/>
      </w:pPr>
      <w:rPr>
        <w:rFonts w:ascii="Courier New" w:hAnsi="Courier New" w:hint="default"/>
      </w:rPr>
    </w:lvl>
    <w:lvl w:ilvl="8" w:tplc="E4D43962" w:tentative="1">
      <w:start w:val="1"/>
      <w:numFmt w:val="bullet"/>
      <w:lvlText w:val=""/>
      <w:lvlJc w:val="left"/>
      <w:pPr>
        <w:tabs>
          <w:tab w:val="num" w:pos="5346"/>
        </w:tabs>
        <w:ind w:left="5346" w:hanging="360"/>
      </w:pPr>
      <w:rPr>
        <w:rFonts w:ascii="Wingdings" w:hAnsi="Wingdings" w:hint="default"/>
      </w:rPr>
    </w:lvl>
  </w:abstractNum>
  <w:abstractNum w:abstractNumId="11">
    <w:nsid w:val="0000000C"/>
    <w:multiLevelType w:val="hybridMultilevel"/>
    <w:tmpl w:val="B4DAA854"/>
    <w:lvl w:ilvl="0" w:tplc="DCD8088A">
      <w:start w:val="1"/>
      <w:numFmt w:val="bullet"/>
      <w:pStyle w:val="Level1Bullet-BarcRA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6F07376">
      <w:start w:val="1"/>
      <w:numFmt w:val="bullet"/>
      <w:lvlText w:val="o"/>
      <w:lvlJc w:val="left"/>
      <w:pPr>
        <w:tabs>
          <w:tab w:val="num" w:pos="306"/>
        </w:tabs>
        <w:ind w:left="306" w:hanging="360"/>
      </w:pPr>
      <w:rPr>
        <w:rFonts w:ascii="Courier New" w:hAnsi="Courier New" w:cs="Times New Roman" w:hint="default"/>
      </w:rPr>
    </w:lvl>
    <w:lvl w:ilvl="2" w:tplc="1A22CCDE">
      <w:numFmt w:val="bullet"/>
      <w:lvlText w:val="-"/>
      <w:lvlJc w:val="left"/>
      <w:pPr>
        <w:tabs>
          <w:tab w:val="num" w:pos="1401"/>
        </w:tabs>
        <w:ind w:left="1401" w:hanging="735"/>
      </w:pPr>
      <w:rPr>
        <w:rFonts w:ascii="Barclays Serif" w:eastAsia="Times New Roman" w:hAnsi="Barclays Serif" w:cs="Times New Roman" w:hint="default"/>
      </w:rPr>
    </w:lvl>
    <w:lvl w:ilvl="3" w:tplc="E91A4900">
      <w:start w:val="1"/>
      <w:numFmt w:val="decimal"/>
      <w:lvlText w:val="%4."/>
      <w:lvlJc w:val="left"/>
      <w:pPr>
        <w:tabs>
          <w:tab w:val="num" w:pos="2880"/>
        </w:tabs>
        <w:ind w:left="2880" w:hanging="360"/>
      </w:pPr>
    </w:lvl>
    <w:lvl w:ilvl="4" w:tplc="E7543E88">
      <w:start w:val="1"/>
      <w:numFmt w:val="decimal"/>
      <w:lvlText w:val="%5."/>
      <w:lvlJc w:val="left"/>
      <w:pPr>
        <w:tabs>
          <w:tab w:val="num" w:pos="3600"/>
        </w:tabs>
        <w:ind w:left="3600" w:hanging="360"/>
      </w:pPr>
    </w:lvl>
    <w:lvl w:ilvl="5" w:tplc="7AF81F58">
      <w:start w:val="1"/>
      <w:numFmt w:val="decimal"/>
      <w:lvlText w:val="%6."/>
      <w:lvlJc w:val="left"/>
      <w:pPr>
        <w:tabs>
          <w:tab w:val="num" w:pos="4320"/>
        </w:tabs>
        <w:ind w:left="4320" w:hanging="360"/>
      </w:pPr>
    </w:lvl>
    <w:lvl w:ilvl="6" w:tplc="FB92B950">
      <w:start w:val="1"/>
      <w:numFmt w:val="decimal"/>
      <w:lvlText w:val="%7."/>
      <w:lvlJc w:val="left"/>
      <w:pPr>
        <w:tabs>
          <w:tab w:val="num" w:pos="5040"/>
        </w:tabs>
        <w:ind w:left="5040" w:hanging="360"/>
      </w:pPr>
    </w:lvl>
    <w:lvl w:ilvl="7" w:tplc="C8EEE3B2">
      <w:start w:val="1"/>
      <w:numFmt w:val="decimal"/>
      <w:lvlText w:val="%8."/>
      <w:lvlJc w:val="left"/>
      <w:pPr>
        <w:tabs>
          <w:tab w:val="num" w:pos="5760"/>
        </w:tabs>
        <w:ind w:left="5760" w:hanging="360"/>
      </w:pPr>
    </w:lvl>
    <w:lvl w:ilvl="8" w:tplc="EA58EE52">
      <w:start w:val="1"/>
      <w:numFmt w:val="decimal"/>
      <w:lvlText w:val="%9."/>
      <w:lvlJc w:val="left"/>
      <w:pPr>
        <w:tabs>
          <w:tab w:val="num" w:pos="6480"/>
        </w:tabs>
        <w:ind w:left="6480" w:hanging="360"/>
      </w:pPr>
    </w:lvl>
  </w:abstractNum>
  <w:abstractNum w:abstractNumId="12">
    <w:nsid w:val="0000000D"/>
    <w:multiLevelType w:val="hybridMultilevel"/>
    <w:tmpl w:val="B4DAA854"/>
    <w:lvl w:ilvl="0" w:tplc="A0C2A8F6">
      <w:start w:val="1"/>
      <w:numFmt w:val="bullet"/>
      <w:pStyle w:val="Level1Bullet-BarcRA3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9507A94">
      <w:start w:val="1"/>
      <w:numFmt w:val="bullet"/>
      <w:lvlText w:val="o"/>
      <w:lvlJc w:val="left"/>
      <w:pPr>
        <w:tabs>
          <w:tab w:val="num" w:pos="306"/>
        </w:tabs>
        <w:ind w:left="306" w:hanging="360"/>
      </w:pPr>
      <w:rPr>
        <w:rFonts w:ascii="Courier New" w:hAnsi="Courier New" w:cs="Times New Roman" w:hint="default"/>
      </w:rPr>
    </w:lvl>
    <w:lvl w:ilvl="2" w:tplc="1416D6DE">
      <w:numFmt w:val="bullet"/>
      <w:lvlText w:val="-"/>
      <w:lvlJc w:val="left"/>
      <w:pPr>
        <w:tabs>
          <w:tab w:val="num" w:pos="1401"/>
        </w:tabs>
        <w:ind w:left="1401" w:hanging="735"/>
      </w:pPr>
      <w:rPr>
        <w:rFonts w:ascii="Barclays Serif" w:eastAsia="Times New Roman" w:hAnsi="Barclays Serif" w:cs="Times New Roman" w:hint="default"/>
      </w:rPr>
    </w:lvl>
    <w:lvl w:ilvl="3" w:tplc="B406D6CA">
      <w:start w:val="1"/>
      <w:numFmt w:val="decimal"/>
      <w:lvlText w:val="%4."/>
      <w:lvlJc w:val="left"/>
      <w:pPr>
        <w:tabs>
          <w:tab w:val="num" w:pos="2880"/>
        </w:tabs>
        <w:ind w:left="2880" w:hanging="360"/>
      </w:pPr>
    </w:lvl>
    <w:lvl w:ilvl="4" w:tplc="C482350E">
      <w:start w:val="1"/>
      <w:numFmt w:val="decimal"/>
      <w:lvlText w:val="%5."/>
      <w:lvlJc w:val="left"/>
      <w:pPr>
        <w:tabs>
          <w:tab w:val="num" w:pos="3600"/>
        </w:tabs>
        <w:ind w:left="3600" w:hanging="360"/>
      </w:pPr>
    </w:lvl>
    <w:lvl w:ilvl="5" w:tplc="D206CDD0">
      <w:start w:val="1"/>
      <w:numFmt w:val="decimal"/>
      <w:lvlText w:val="%6."/>
      <w:lvlJc w:val="left"/>
      <w:pPr>
        <w:tabs>
          <w:tab w:val="num" w:pos="4320"/>
        </w:tabs>
        <w:ind w:left="4320" w:hanging="360"/>
      </w:pPr>
    </w:lvl>
    <w:lvl w:ilvl="6" w:tplc="23421182">
      <w:start w:val="1"/>
      <w:numFmt w:val="decimal"/>
      <w:lvlText w:val="%7."/>
      <w:lvlJc w:val="left"/>
      <w:pPr>
        <w:tabs>
          <w:tab w:val="num" w:pos="5040"/>
        </w:tabs>
        <w:ind w:left="5040" w:hanging="360"/>
      </w:pPr>
    </w:lvl>
    <w:lvl w:ilvl="7" w:tplc="0B96EDD4">
      <w:start w:val="1"/>
      <w:numFmt w:val="decimal"/>
      <w:lvlText w:val="%8."/>
      <w:lvlJc w:val="left"/>
      <w:pPr>
        <w:tabs>
          <w:tab w:val="num" w:pos="5760"/>
        </w:tabs>
        <w:ind w:left="5760" w:hanging="360"/>
      </w:pPr>
    </w:lvl>
    <w:lvl w:ilvl="8" w:tplc="927627E4">
      <w:start w:val="1"/>
      <w:numFmt w:val="decimal"/>
      <w:lvlText w:val="%9."/>
      <w:lvlJc w:val="left"/>
      <w:pPr>
        <w:tabs>
          <w:tab w:val="num" w:pos="6480"/>
        </w:tabs>
        <w:ind w:left="6480" w:hanging="360"/>
      </w:pPr>
    </w:lvl>
  </w:abstractNum>
  <w:abstractNum w:abstractNumId="13">
    <w:nsid w:val="0000000E"/>
    <w:multiLevelType w:val="hybridMultilevel"/>
    <w:tmpl w:val="B4DAA854"/>
    <w:lvl w:ilvl="0" w:tplc="5C7A300C">
      <w:start w:val="1"/>
      <w:numFmt w:val="bullet"/>
      <w:pStyle w:val="Level1Bullet-BarcRA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8974D240">
      <w:start w:val="1"/>
      <w:numFmt w:val="bullet"/>
      <w:lvlText w:val="o"/>
      <w:lvlJc w:val="left"/>
      <w:pPr>
        <w:tabs>
          <w:tab w:val="num" w:pos="306"/>
        </w:tabs>
        <w:ind w:left="306" w:hanging="360"/>
      </w:pPr>
      <w:rPr>
        <w:rFonts w:ascii="Courier New" w:hAnsi="Courier New" w:cs="Times New Roman" w:hint="default"/>
      </w:rPr>
    </w:lvl>
    <w:lvl w:ilvl="2" w:tplc="8A88094A">
      <w:numFmt w:val="bullet"/>
      <w:lvlText w:val="-"/>
      <w:lvlJc w:val="left"/>
      <w:pPr>
        <w:tabs>
          <w:tab w:val="num" w:pos="1401"/>
        </w:tabs>
        <w:ind w:left="1401" w:hanging="735"/>
      </w:pPr>
      <w:rPr>
        <w:rFonts w:ascii="Barclays Serif" w:eastAsia="Times New Roman" w:hAnsi="Barclays Serif" w:cs="Times New Roman" w:hint="default"/>
      </w:rPr>
    </w:lvl>
    <w:lvl w:ilvl="3" w:tplc="AC62BA4A">
      <w:start w:val="1"/>
      <w:numFmt w:val="decimal"/>
      <w:lvlText w:val="%4."/>
      <w:lvlJc w:val="left"/>
      <w:pPr>
        <w:tabs>
          <w:tab w:val="num" w:pos="2880"/>
        </w:tabs>
        <w:ind w:left="2880" w:hanging="360"/>
      </w:pPr>
    </w:lvl>
    <w:lvl w:ilvl="4" w:tplc="33E652B6">
      <w:start w:val="1"/>
      <w:numFmt w:val="decimal"/>
      <w:lvlText w:val="%5."/>
      <w:lvlJc w:val="left"/>
      <w:pPr>
        <w:tabs>
          <w:tab w:val="num" w:pos="3600"/>
        </w:tabs>
        <w:ind w:left="3600" w:hanging="360"/>
      </w:pPr>
    </w:lvl>
    <w:lvl w:ilvl="5" w:tplc="6A2A6EC6">
      <w:start w:val="1"/>
      <w:numFmt w:val="decimal"/>
      <w:lvlText w:val="%6."/>
      <w:lvlJc w:val="left"/>
      <w:pPr>
        <w:tabs>
          <w:tab w:val="num" w:pos="4320"/>
        </w:tabs>
        <w:ind w:left="4320" w:hanging="360"/>
      </w:pPr>
    </w:lvl>
    <w:lvl w:ilvl="6" w:tplc="260E3BBA">
      <w:start w:val="1"/>
      <w:numFmt w:val="decimal"/>
      <w:lvlText w:val="%7."/>
      <w:lvlJc w:val="left"/>
      <w:pPr>
        <w:tabs>
          <w:tab w:val="num" w:pos="5040"/>
        </w:tabs>
        <w:ind w:left="5040" w:hanging="360"/>
      </w:pPr>
    </w:lvl>
    <w:lvl w:ilvl="7" w:tplc="9A94B240">
      <w:start w:val="1"/>
      <w:numFmt w:val="decimal"/>
      <w:lvlText w:val="%8."/>
      <w:lvlJc w:val="left"/>
      <w:pPr>
        <w:tabs>
          <w:tab w:val="num" w:pos="5760"/>
        </w:tabs>
        <w:ind w:left="5760" w:hanging="360"/>
      </w:pPr>
    </w:lvl>
    <w:lvl w:ilvl="8" w:tplc="E806ABE6">
      <w:start w:val="1"/>
      <w:numFmt w:val="decimal"/>
      <w:lvlText w:val="%9."/>
      <w:lvlJc w:val="left"/>
      <w:pPr>
        <w:tabs>
          <w:tab w:val="num" w:pos="6480"/>
        </w:tabs>
        <w:ind w:left="6480" w:hanging="360"/>
      </w:pPr>
    </w:lvl>
  </w:abstractNum>
  <w:abstractNum w:abstractNumId="14">
    <w:nsid w:val="0000000F"/>
    <w:multiLevelType w:val="hybridMultilevel"/>
    <w:tmpl w:val="B4DAA854"/>
    <w:lvl w:ilvl="0" w:tplc="30C4340C">
      <w:start w:val="1"/>
      <w:numFmt w:val="bullet"/>
      <w:pStyle w:val="Level1Bullet-BarcRA03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15CB488">
      <w:start w:val="1"/>
      <w:numFmt w:val="bullet"/>
      <w:lvlText w:val="o"/>
      <w:lvlJc w:val="left"/>
      <w:pPr>
        <w:tabs>
          <w:tab w:val="num" w:pos="306"/>
        </w:tabs>
        <w:ind w:left="306" w:hanging="360"/>
      </w:pPr>
      <w:rPr>
        <w:rFonts w:ascii="Courier New" w:hAnsi="Courier New" w:cs="Times New Roman" w:hint="default"/>
      </w:rPr>
    </w:lvl>
    <w:lvl w:ilvl="2" w:tplc="77929C0A">
      <w:numFmt w:val="bullet"/>
      <w:lvlText w:val="-"/>
      <w:lvlJc w:val="left"/>
      <w:pPr>
        <w:tabs>
          <w:tab w:val="num" w:pos="1401"/>
        </w:tabs>
        <w:ind w:left="1401" w:hanging="735"/>
      </w:pPr>
      <w:rPr>
        <w:rFonts w:ascii="Barclays Serif" w:eastAsia="Times New Roman" w:hAnsi="Barclays Serif" w:cs="Times New Roman" w:hint="default"/>
      </w:rPr>
    </w:lvl>
    <w:lvl w:ilvl="3" w:tplc="CCBCC2C2">
      <w:start w:val="1"/>
      <w:numFmt w:val="decimal"/>
      <w:lvlText w:val="%4."/>
      <w:lvlJc w:val="left"/>
      <w:pPr>
        <w:tabs>
          <w:tab w:val="num" w:pos="2880"/>
        </w:tabs>
        <w:ind w:left="2880" w:hanging="360"/>
      </w:pPr>
    </w:lvl>
    <w:lvl w:ilvl="4" w:tplc="034496A0">
      <w:start w:val="1"/>
      <w:numFmt w:val="decimal"/>
      <w:lvlText w:val="%5."/>
      <w:lvlJc w:val="left"/>
      <w:pPr>
        <w:tabs>
          <w:tab w:val="num" w:pos="3600"/>
        </w:tabs>
        <w:ind w:left="3600" w:hanging="360"/>
      </w:pPr>
    </w:lvl>
    <w:lvl w:ilvl="5" w:tplc="2626F380">
      <w:start w:val="1"/>
      <w:numFmt w:val="decimal"/>
      <w:lvlText w:val="%6."/>
      <w:lvlJc w:val="left"/>
      <w:pPr>
        <w:tabs>
          <w:tab w:val="num" w:pos="4320"/>
        </w:tabs>
        <w:ind w:left="4320" w:hanging="360"/>
      </w:pPr>
    </w:lvl>
    <w:lvl w:ilvl="6" w:tplc="3162F462">
      <w:start w:val="1"/>
      <w:numFmt w:val="decimal"/>
      <w:lvlText w:val="%7."/>
      <w:lvlJc w:val="left"/>
      <w:pPr>
        <w:tabs>
          <w:tab w:val="num" w:pos="5040"/>
        </w:tabs>
        <w:ind w:left="5040" w:hanging="360"/>
      </w:pPr>
    </w:lvl>
    <w:lvl w:ilvl="7" w:tplc="151AE588">
      <w:start w:val="1"/>
      <w:numFmt w:val="decimal"/>
      <w:lvlText w:val="%8."/>
      <w:lvlJc w:val="left"/>
      <w:pPr>
        <w:tabs>
          <w:tab w:val="num" w:pos="5760"/>
        </w:tabs>
        <w:ind w:left="5760" w:hanging="360"/>
      </w:pPr>
    </w:lvl>
    <w:lvl w:ilvl="8" w:tplc="58E24916">
      <w:start w:val="1"/>
      <w:numFmt w:val="decimal"/>
      <w:lvlText w:val="%9."/>
      <w:lvlJc w:val="left"/>
      <w:pPr>
        <w:tabs>
          <w:tab w:val="num" w:pos="6480"/>
        </w:tabs>
        <w:ind w:left="6480" w:hanging="360"/>
      </w:pPr>
    </w:lvl>
  </w:abstractNum>
  <w:abstractNum w:abstractNumId="15">
    <w:nsid w:val="00000010"/>
    <w:multiLevelType w:val="hybridMultilevel"/>
    <w:tmpl w:val="B4DAA854"/>
    <w:lvl w:ilvl="0" w:tplc="70D2C588">
      <w:start w:val="1"/>
      <w:numFmt w:val="bullet"/>
      <w:pStyle w:val="Level1Bullet-BarcRA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2443966">
      <w:start w:val="1"/>
      <w:numFmt w:val="bullet"/>
      <w:lvlText w:val="o"/>
      <w:lvlJc w:val="left"/>
      <w:pPr>
        <w:tabs>
          <w:tab w:val="num" w:pos="306"/>
        </w:tabs>
        <w:ind w:left="306" w:hanging="360"/>
      </w:pPr>
      <w:rPr>
        <w:rFonts w:ascii="Courier New" w:hAnsi="Courier New" w:cs="Times New Roman" w:hint="default"/>
      </w:rPr>
    </w:lvl>
    <w:lvl w:ilvl="2" w:tplc="6EB245C0">
      <w:numFmt w:val="bullet"/>
      <w:lvlText w:val="-"/>
      <w:lvlJc w:val="left"/>
      <w:pPr>
        <w:tabs>
          <w:tab w:val="num" w:pos="1401"/>
        </w:tabs>
        <w:ind w:left="1401" w:hanging="735"/>
      </w:pPr>
      <w:rPr>
        <w:rFonts w:ascii="Barclays Serif" w:eastAsia="Times New Roman" w:hAnsi="Barclays Serif" w:cs="Times New Roman" w:hint="default"/>
      </w:rPr>
    </w:lvl>
    <w:lvl w:ilvl="3" w:tplc="3EF8011A">
      <w:start w:val="1"/>
      <w:numFmt w:val="decimal"/>
      <w:lvlText w:val="%4."/>
      <w:lvlJc w:val="left"/>
      <w:pPr>
        <w:tabs>
          <w:tab w:val="num" w:pos="2880"/>
        </w:tabs>
        <w:ind w:left="2880" w:hanging="360"/>
      </w:pPr>
    </w:lvl>
    <w:lvl w:ilvl="4" w:tplc="BB7C091A">
      <w:start w:val="1"/>
      <w:numFmt w:val="decimal"/>
      <w:lvlText w:val="%5."/>
      <w:lvlJc w:val="left"/>
      <w:pPr>
        <w:tabs>
          <w:tab w:val="num" w:pos="3600"/>
        </w:tabs>
        <w:ind w:left="3600" w:hanging="360"/>
      </w:pPr>
    </w:lvl>
    <w:lvl w:ilvl="5" w:tplc="7DFE02BA">
      <w:start w:val="1"/>
      <w:numFmt w:val="decimal"/>
      <w:lvlText w:val="%6."/>
      <w:lvlJc w:val="left"/>
      <w:pPr>
        <w:tabs>
          <w:tab w:val="num" w:pos="4320"/>
        </w:tabs>
        <w:ind w:left="4320" w:hanging="360"/>
      </w:pPr>
    </w:lvl>
    <w:lvl w:ilvl="6" w:tplc="196EE866">
      <w:start w:val="1"/>
      <w:numFmt w:val="decimal"/>
      <w:lvlText w:val="%7."/>
      <w:lvlJc w:val="left"/>
      <w:pPr>
        <w:tabs>
          <w:tab w:val="num" w:pos="5040"/>
        </w:tabs>
        <w:ind w:left="5040" w:hanging="360"/>
      </w:pPr>
    </w:lvl>
    <w:lvl w:ilvl="7" w:tplc="13309B48">
      <w:start w:val="1"/>
      <w:numFmt w:val="decimal"/>
      <w:lvlText w:val="%8."/>
      <w:lvlJc w:val="left"/>
      <w:pPr>
        <w:tabs>
          <w:tab w:val="num" w:pos="5760"/>
        </w:tabs>
        <w:ind w:left="5760" w:hanging="360"/>
      </w:pPr>
    </w:lvl>
    <w:lvl w:ilvl="8" w:tplc="8DA0A35C">
      <w:start w:val="1"/>
      <w:numFmt w:val="decimal"/>
      <w:lvlText w:val="%9."/>
      <w:lvlJc w:val="left"/>
      <w:pPr>
        <w:tabs>
          <w:tab w:val="num" w:pos="6480"/>
        </w:tabs>
        <w:ind w:left="6480" w:hanging="360"/>
      </w:pPr>
    </w:lvl>
  </w:abstractNum>
  <w:abstractNum w:abstractNumId="16">
    <w:nsid w:val="00000011"/>
    <w:multiLevelType w:val="hybridMultilevel"/>
    <w:tmpl w:val="B4DAA854"/>
    <w:lvl w:ilvl="0" w:tplc="93A49D3C">
      <w:start w:val="1"/>
      <w:numFmt w:val="bullet"/>
      <w:pStyle w:val="Level1Bullet-BarcRA11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1421494">
      <w:start w:val="1"/>
      <w:numFmt w:val="bullet"/>
      <w:lvlText w:val="o"/>
      <w:lvlJc w:val="left"/>
      <w:pPr>
        <w:tabs>
          <w:tab w:val="num" w:pos="306"/>
        </w:tabs>
        <w:ind w:left="306" w:hanging="360"/>
      </w:pPr>
      <w:rPr>
        <w:rFonts w:ascii="Courier New" w:hAnsi="Courier New" w:cs="Times New Roman" w:hint="default"/>
      </w:rPr>
    </w:lvl>
    <w:lvl w:ilvl="2" w:tplc="B6FA2318">
      <w:numFmt w:val="bullet"/>
      <w:lvlText w:val="-"/>
      <w:lvlJc w:val="left"/>
      <w:pPr>
        <w:tabs>
          <w:tab w:val="num" w:pos="1401"/>
        </w:tabs>
        <w:ind w:left="1401" w:hanging="735"/>
      </w:pPr>
      <w:rPr>
        <w:rFonts w:ascii="Barclays Serif" w:eastAsia="Times New Roman" w:hAnsi="Barclays Serif" w:cs="Times New Roman" w:hint="default"/>
      </w:rPr>
    </w:lvl>
    <w:lvl w:ilvl="3" w:tplc="CD1E7506">
      <w:start w:val="1"/>
      <w:numFmt w:val="decimal"/>
      <w:lvlText w:val="%4."/>
      <w:lvlJc w:val="left"/>
      <w:pPr>
        <w:tabs>
          <w:tab w:val="num" w:pos="2880"/>
        </w:tabs>
        <w:ind w:left="2880" w:hanging="360"/>
      </w:pPr>
    </w:lvl>
    <w:lvl w:ilvl="4" w:tplc="D38087DA">
      <w:start w:val="1"/>
      <w:numFmt w:val="decimal"/>
      <w:lvlText w:val="%5."/>
      <w:lvlJc w:val="left"/>
      <w:pPr>
        <w:tabs>
          <w:tab w:val="num" w:pos="3600"/>
        </w:tabs>
        <w:ind w:left="3600" w:hanging="360"/>
      </w:pPr>
    </w:lvl>
    <w:lvl w:ilvl="5" w:tplc="4EE41056">
      <w:start w:val="1"/>
      <w:numFmt w:val="decimal"/>
      <w:lvlText w:val="%6."/>
      <w:lvlJc w:val="left"/>
      <w:pPr>
        <w:tabs>
          <w:tab w:val="num" w:pos="4320"/>
        </w:tabs>
        <w:ind w:left="4320" w:hanging="360"/>
      </w:pPr>
    </w:lvl>
    <w:lvl w:ilvl="6" w:tplc="F60CE984">
      <w:start w:val="1"/>
      <w:numFmt w:val="decimal"/>
      <w:lvlText w:val="%7."/>
      <w:lvlJc w:val="left"/>
      <w:pPr>
        <w:tabs>
          <w:tab w:val="num" w:pos="5040"/>
        </w:tabs>
        <w:ind w:left="5040" w:hanging="360"/>
      </w:pPr>
    </w:lvl>
    <w:lvl w:ilvl="7" w:tplc="113ED3DE">
      <w:start w:val="1"/>
      <w:numFmt w:val="decimal"/>
      <w:lvlText w:val="%8."/>
      <w:lvlJc w:val="left"/>
      <w:pPr>
        <w:tabs>
          <w:tab w:val="num" w:pos="5760"/>
        </w:tabs>
        <w:ind w:left="5760" w:hanging="360"/>
      </w:pPr>
    </w:lvl>
    <w:lvl w:ilvl="8" w:tplc="869EE5A0">
      <w:start w:val="1"/>
      <w:numFmt w:val="decimal"/>
      <w:lvlText w:val="%9."/>
      <w:lvlJc w:val="left"/>
      <w:pPr>
        <w:tabs>
          <w:tab w:val="num" w:pos="6480"/>
        </w:tabs>
        <w:ind w:left="6480" w:hanging="360"/>
      </w:pPr>
    </w:lvl>
  </w:abstractNum>
  <w:abstractNum w:abstractNumId="17">
    <w:nsid w:val="00000012"/>
    <w:multiLevelType w:val="hybridMultilevel"/>
    <w:tmpl w:val="B4DAA854"/>
    <w:lvl w:ilvl="0" w:tplc="F5044864">
      <w:start w:val="1"/>
      <w:numFmt w:val="bullet"/>
      <w:pStyle w:val="Level1Bullet-BarcRA1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BAE410E">
      <w:start w:val="1"/>
      <w:numFmt w:val="bullet"/>
      <w:lvlText w:val="o"/>
      <w:lvlJc w:val="left"/>
      <w:pPr>
        <w:tabs>
          <w:tab w:val="num" w:pos="306"/>
        </w:tabs>
        <w:ind w:left="306" w:hanging="360"/>
      </w:pPr>
      <w:rPr>
        <w:rFonts w:ascii="Courier New" w:hAnsi="Courier New" w:cs="Times New Roman" w:hint="default"/>
      </w:rPr>
    </w:lvl>
    <w:lvl w:ilvl="2" w:tplc="43AC7C0C">
      <w:numFmt w:val="bullet"/>
      <w:lvlText w:val="-"/>
      <w:lvlJc w:val="left"/>
      <w:pPr>
        <w:tabs>
          <w:tab w:val="num" w:pos="1401"/>
        </w:tabs>
        <w:ind w:left="1401" w:hanging="735"/>
      </w:pPr>
      <w:rPr>
        <w:rFonts w:ascii="Barclays Serif" w:eastAsia="Times New Roman" w:hAnsi="Barclays Serif" w:cs="Times New Roman" w:hint="default"/>
      </w:rPr>
    </w:lvl>
    <w:lvl w:ilvl="3" w:tplc="488A45E4">
      <w:start w:val="1"/>
      <w:numFmt w:val="decimal"/>
      <w:lvlText w:val="%4."/>
      <w:lvlJc w:val="left"/>
      <w:pPr>
        <w:tabs>
          <w:tab w:val="num" w:pos="2880"/>
        </w:tabs>
        <w:ind w:left="2880" w:hanging="360"/>
      </w:pPr>
    </w:lvl>
    <w:lvl w:ilvl="4" w:tplc="ACBC56CE">
      <w:start w:val="1"/>
      <w:numFmt w:val="decimal"/>
      <w:lvlText w:val="%5."/>
      <w:lvlJc w:val="left"/>
      <w:pPr>
        <w:tabs>
          <w:tab w:val="num" w:pos="3600"/>
        </w:tabs>
        <w:ind w:left="3600" w:hanging="360"/>
      </w:pPr>
    </w:lvl>
    <w:lvl w:ilvl="5" w:tplc="80002422">
      <w:start w:val="1"/>
      <w:numFmt w:val="decimal"/>
      <w:lvlText w:val="%6."/>
      <w:lvlJc w:val="left"/>
      <w:pPr>
        <w:tabs>
          <w:tab w:val="num" w:pos="4320"/>
        </w:tabs>
        <w:ind w:left="4320" w:hanging="360"/>
      </w:pPr>
    </w:lvl>
    <w:lvl w:ilvl="6" w:tplc="90384D6C">
      <w:start w:val="1"/>
      <w:numFmt w:val="decimal"/>
      <w:lvlText w:val="%7."/>
      <w:lvlJc w:val="left"/>
      <w:pPr>
        <w:tabs>
          <w:tab w:val="num" w:pos="5040"/>
        </w:tabs>
        <w:ind w:left="5040" w:hanging="360"/>
      </w:pPr>
    </w:lvl>
    <w:lvl w:ilvl="7" w:tplc="BEAA10DC">
      <w:start w:val="1"/>
      <w:numFmt w:val="decimal"/>
      <w:lvlText w:val="%8."/>
      <w:lvlJc w:val="left"/>
      <w:pPr>
        <w:tabs>
          <w:tab w:val="num" w:pos="5760"/>
        </w:tabs>
        <w:ind w:left="5760" w:hanging="360"/>
      </w:pPr>
    </w:lvl>
    <w:lvl w:ilvl="8" w:tplc="27B81320">
      <w:start w:val="1"/>
      <w:numFmt w:val="decimal"/>
      <w:lvlText w:val="%9."/>
      <w:lvlJc w:val="left"/>
      <w:pPr>
        <w:tabs>
          <w:tab w:val="num" w:pos="6480"/>
        </w:tabs>
        <w:ind w:left="6480" w:hanging="360"/>
      </w:pPr>
    </w:lvl>
  </w:abstractNum>
  <w:abstractNum w:abstractNumId="18">
    <w:nsid w:val="00000013"/>
    <w:multiLevelType w:val="hybridMultilevel"/>
    <w:tmpl w:val="B242450A"/>
    <w:lvl w:ilvl="0" w:tplc="6DA00644">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5CA3882">
      <w:start w:val="1"/>
      <w:numFmt w:val="bullet"/>
      <w:lvlText w:val="o"/>
      <w:lvlJc w:val="left"/>
      <w:pPr>
        <w:tabs>
          <w:tab w:val="num" w:pos="306"/>
        </w:tabs>
        <w:ind w:left="306" w:hanging="360"/>
      </w:pPr>
      <w:rPr>
        <w:rFonts w:ascii="Courier New" w:hAnsi="Courier New" w:cs="Times New Roman" w:hint="default"/>
      </w:rPr>
    </w:lvl>
    <w:lvl w:ilvl="2" w:tplc="367CC448">
      <w:numFmt w:val="bullet"/>
      <w:pStyle w:val="Level2Bullet-BarcRA30"/>
      <w:lvlText w:val="–"/>
      <w:lvlJc w:val="left"/>
      <w:pPr>
        <w:tabs>
          <w:tab w:val="num" w:pos="1401"/>
        </w:tabs>
        <w:ind w:left="1401" w:hanging="735"/>
      </w:pPr>
      <w:rPr>
        <w:rFonts w:ascii="Arial" w:eastAsia="Times New Roman" w:hAnsi="Arial" w:cs="Times New Roman" w:hint="default"/>
      </w:rPr>
    </w:lvl>
    <w:lvl w:ilvl="3" w:tplc="ABEAB77A">
      <w:start w:val="1"/>
      <w:numFmt w:val="decimal"/>
      <w:lvlText w:val="%4."/>
      <w:lvlJc w:val="left"/>
      <w:pPr>
        <w:tabs>
          <w:tab w:val="num" w:pos="2880"/>
        </w:tabs>
        <w:ind w:left="2880" w:hanging="360"/>
      </w:pPr>
    </w:lvl>
    <w:lvl w:ilvl="4" w:tplc="67C08E56">
      <w:start w:val="1"/>
      <w:numFmt w:val="decimal"/>
      <w:lvlText w:val="%5."/>
      <w:lvlJc w:val="left"/>
      <w:pPr>
        <w:tabs>
          <w:tab w:val="num" w:pos="3600"/>
        </w:tabs>
        <w:ind w:left="3600" w:hanging="360"/>
      </w:pPr>
    </w:lvl>
    <w:lvl w:ilvl="5" w:tplc="F9A82F44">
      <w:start w:val="1"/>
      <w:numFmt w:val="decimal"/>
      <w:lvlText w:val="%6."/>
      <w:lvlJc w:val="left"/>
      <w:pPr>
        <w:tabs>
          <w:tab w:val="num" w:pos="4320"/>
        </w:tabs>
        <w:ind w:left="4320" w:hanging="360"/>
      </w:pPr>
    </w:lvl>
    <w:lvl w:ilvl="6" w:tplc="9F086F26">
      <w:start w:val="1"/>
      <w:numFmt w:val="decimal"/>
      <w:lvlText w:val="%7."/>
      <w:lvlJc w:val="left"/>
      <w:pPr>
        <w:tabs>
          <w:tab w:val="num" w:pos="5040"/>
        </w:tabs>
        <w:ind w:left="5040" w:hanging="360"/>
      </w:pPr>
    </w:lvl>
    <w:lvl w:ilvl="7" w:tplc="7346B54C">
      <w:start w:val="1"/>
      <w:numFmt w:val="decimal"/>
      <w:lvlText w:val="%8."/>
      <w:lvlJc w:val="left"/>
      <w:pPr>
        <w:tabs>
          <w:tab w:val="num" w:pos="5760"/>
        </w:tabs>
        <w:ind w:left="5760" w:hanging="360"/>
      </w:pPr>
    </w:lvl>
    <w:lvl w:ilvl="8" w:tplc="A63E3656">
      <w:start w:val="1"/>
      <w:numFmt w:val="decimal"/>
      <w:lvlText w:val="%9."/>
      <w:lvlJc w:val="left"/>
      <w:pPr>
        <w:tabs>
          <w:tab w:val="num" w:pos="6480"/>
        </w:tabs>
        <w:ind w:left="6480" w:hanging="360"/>
      </w:pPr>
    </w:lvl>
  </w:abstractNum>
  <w:abstractNum w:abstractNumId="19">
    <w:nsid w:val="00000014"/>
    <w:multiLevelType w:val="hybridMultilevel"/>
    <w:tmpl w:val="D6E6B9AA"/>
    <w:lvl w:ilvl="0" w:tplc="BFDCFA66">
      <w:start w:val="1"/>
      <w:numFmt w:val="decimal"/>
      <w:lvlText w:val="%1"/>
      <w:lvlJc w:val="left"/>
      <w:pPr>
        <w:ind w:left="720" w:hanging="360"/>
      </w:pPr>
      <w:rPr>
        <w:rFonts w:hint="default"/>
      </w:rPr>
    </w:lvl>
    <w:lvl w:ilvl="1" w:tplc="E4BCB848" w:tentative="1">
      <w:start w:val="1"/>
      <w:numFmt w:val="lowerLetter"/>
      <w:lvlText w:val="%2."/>
      <w:lvlJc w:val="left"/>
      <w:pPr>
        <w:ind w:left="1440" w:hanging="360"/>
      </w:pPr>
    </w:lvl>
    <w:lvl w:ilvl="2" w:tplc="42E0FE46" w:tentative="1">
      <w:start w:val="1"/>
      <w:numFmt w:val="lowerRoman"/>
      <w:lvlText w:val="%3."/>
      <w:lvlJc w:val="right"/>
      <w:pPr>
        <w:ind w:left="2160" w:hanging="180"/>
      </w:pPr>
    </w:lvl>
    <w:lvl w:ilvl="3" w:tplc="601A471A" w:tentative="1">
      <w:start w:val="1"/>
      <w:numFmt w:val="decimal"/>
      <w:lvlText w:val="%4."/>
      <w:lvlJc w:val="left"/>
      <w:pPr>
        <w:ind w:left="2880" w:hanging="360"/>
      </w:pPr>
    </w:lvl>
    <w:lvl w:ilvl="4" w:tplc="25860FD2" w:tentative="1">
      <w:start w:val="1"/>
      <w:numFmt w:val="lowerLetter"/>
      <w:lvlText w:val="%5."/>
      <w:lvlJc w:val="left"/>
      <w:pPr>
        <w:ind w:left="3600" w:hanging="360"/>
      </w:pPr>
    </w:lvl>
    <w:lvl w:ilvl="5" w:tplc="28FE0106" w:tentative="1">
      <w:start w:val="1"/>
      <w:numFmt w:val="lowerRoman"/>
      <w:lvlText w:val="%6."/>
      <w:lvlJc w:val="right"/>
      <w:pPr>
        <w:ind w:left="4320" w:hanging="180"/>
      </w:pPr>
    </w:lvl>
    <w:lvl w:ilvl="6" w:tplc="9C30493C" w:tentative="1">
      <w:start w:val="1"/>
      <w:numFmt w:val="decimal"/>
      <w:lvlText w:val="%7."/>
      <w:lvlJc w:val="left"/>
      <w:pPr>
        <w:ind w:left="5040" w:hanging="360"/>
      </w:pPr>
    </w:lvl>
    <w:lvl w:ilvl="7" w:tplc="F4F2A768" w:tentative="1">
      <w:start w:val="1"/>
      <w:numFmt w:val="lowerLetter"/>
      <w:lvlText w:val="%8."/>
      <w:lvlJc w:val="left"/>
      <w:pPr>
        <w:ind w:left="5760" w:hanging="360"/>
      </w:pPr>
    </w:lvl>
    <w:lvl w:ilvl="8" w:tplc="D8781816" w:tentative="1">
      <w:start w:val="1"/>
      <w:numFmt w:val="lowerRoman"/>
      <w:lvlText w:val="%9."/>
      <w:lvlJc w:val="right"/>
      <w:pPr>
        <w:ind w:left="6480" w:hanging="180"/>
      </w:pPr>
    </w:lvl>
  </w:abstractNum>
  <w:abstractNum w:abstractNumId="20">
    <w:nsid w:val="00000015"/>
    <w:multiLevelType w:val="hybridMultilevel"/>
    <w:tmpl w:val="2A94FDDA"/>
    <w:lvl w:ilvl="0" w:tplc="8B665CB2">
      <w:start w:val="1"/>
      <w:numFmt w:val="decimal"/>
      <w:lvlText w:val="%1"/>
      <w:lvlJc w:val="left"/>
      <w:pPr>
        <w:ind w:left="720" w:hanging="360"/>
      </w:pPr>
      <w:rPr>
        <w:rFonts w:hint="default"/>
        <w:sz w:val="14"/>
        <w:szCs w:val="14"/>
      </w:rPr>
    </w:lvl>
    <w:lvl w:ilvl="1" w:tplc="A04CFD8E" w:tentative="1">
      <w:start w:val="1"/>
      <w:numFmt w:val="lowerLetter"/>
      <w:lvlText w:val="%2."/>
      <w:lvlJc w:val="left"/>
      <w:pPr>
        <w:ind w:left="1440" w:hanging="360"/>
      </w:pPr>
    </w:lvl>
    <w:lvl w:ilvl="2" w:tplc="BB08BB84" w:tentative="1">
      <w:start w:val="1"/>
      <w:numFmt w:val="lowerRoman"/>
      <w:lvlText w:val="%3."/>
      <w:lvlJc w:val="right"/>
      <w:pPr>
        <w:ind w:left="2160" w:hanging="180"/>
      </w:pPr>
    </w:lvl>
    <w:lvl w:ilvl="3" w:tplc="28D4D10A" w:tentative="1">
      <w:start w:val="1"/>
      <w:numFmt w:val="decimal"/>
      <w:lvlText w:val="%4."/>
      <w:lvlJc w:val="left"/>
      <w:pPr>
        <w:ind w:left="2880" w:hanging="360"/>
      </w:pPr>
    </w:lvl>
    <w:lvl w:ilvl="4" w:tplc="20EAF638" w:tentative="1">
      <w:start w:val="1"/>
      <w:numFmt w:val="lowerLetter"/>
      <w:lvlText w:val="%5."/>
      <w:lvlJc w:val="left"/>
      <w:pPr>
        <w:ind w:left="3600" w:hanging="360"/>
      </w:pPr>
    </w:lvl>
    <w:lvl w:ilvl="5" w:tplc="862EF6CC" w:tentative="1">
      <w:start w:val="1"/>
      <w:numFmt w:val="lowerRoman"/>
      <w:lvlText w:val="%6."/>
      <w:lvlJc w:val="right"/>
      <w:pPr>
        <w:ind w:left="4320" w:hanging="180"/>
      </w:pPr>
    </w:lvl>
    <w:lvl w:ilvl="6" w:tplc="952AE80C" w:tentative="1">
      <w:start w:val="1"/>
      <w:numFmt w:val="decimal"/>
      <w:lvlText w:val="%7."/>
      <w:lvlJc w:val="left"/>
      <w:pPr>
        <w:ind w:left="5040" w:hanging="360"/>
      </w:pPr>
    </w:lvl>
    <w:lvl w:ilvl="7" w:tplc="9DB6EDB0" w:tentative="1">
      <w:start w:val="1"/>
      <w:numFmt w:val="lowerLetter"/>
      <w:lvlText w:val="%8."/>
      <w:lvlJc w:val="left"/>
      <w:pPr>
        <w:ind w:left="5760" w:hanging="360"/>
      </w:pPr>
    </w:lvl>
    <w:lvl w:ilvl="8" w:tplc="09BCD29A" w:tentative="1">
      <w:start w:val="1"/>
      <w:numFmt w:val="lowerRoman"/>
      <w:lvlText w:val="%9."/>
      <w:lvlJc w:val="right"/>
      <w:pPr>
        <w:ind w:left="6480" w:hanging="180"/>
      </w:pPr>
    </w:lvl>
  </w:abstractNum>
  <w:abstractNum w:abstractNumId="21">
    <w:nsid w:val="00000016"/>
    <w:multiLevelType w:val="hybridMultilevel"/>
    <w:tmpl w:val="DCC0405C"/>
    <w:lvl w:ilvl="0" w:tplc="6546A000">
      <w:start w:val="1"/>
      <w:numFmt w:val="bullet"/>
      <w:pStyle w:val="Level1Bullet-BarcRA2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BB8C9482">
      <w:start w:val="1"/>
      <w:numFmt w:val="bullet"/>
      <w:lvlText w:val="o"/>
      <w:lvlJc w:val="left"/>
      <w:pPr>
        <w:tabs>
          <w:tab w:val="num" w:pos="306"/>
        </w:tabs>
        <w:ind w:left="306" w:hanging="360"/>
      </w:pPr>
      <w:rPr>
        <w:rFonts w:ascii="Courier New" w:hAnsi="Courier New" w:cs="Times New Roman" w:hint="default"/>
      </w:rPr>
    </w:lvl>
    <w:lvl w:ilvl="2" w:tplc="C72A48EC">
      <w:numFmt w:val="bullet"/>
      <w:lvlText w:val="-"/>
      <w:lvlJc w:val="left"/>
      <w:pPr>
        <w:tabs>
          <w:tab w:val="num" w:pos="1401"/>
        </w:tabs>
        <w:ind w:left="1401" w:hanging="735"/>
      </w:pPr>
      <w:rPr>
        <w:rFonts w:ascii="Barclays Serif" w:eastAsia="Times New Roman" w:hAnsi="Barclays Serif" w:cs="Times New Roman" w:hint="default"/>
      </w:rPr>
    </w:lvl>
    <w:lvl w:ilvl="3" w:tplc="FFB45DDE">
      <w:start w:val="1"/>
      <w:numFmt w:val="decimal"/>
      <w:lvlText w:val="%4."/>
      <w:lvlJc w:val="left"/>
      <w:pPr>
        <w:tabs>
          <w:tab w:val="num" w:pos="2880"/>
        </w:tabs>
        <w:ind w:left="2880" w:hanging="360"/>
      </w:pPr>
    </w:lvl>
    <w:lvl w:ilvl="4" w:tplc="60FE6F2A">
      <w:start w:val="1"/>
      <w:numFmt w:val="decimal"/>
      <w:lvlText w:val="%5."/>
      <w:lvlJc w:val="left"/>
      <w:pPr>
        <w:tabs>
          <w:tab w:val="num" w:pos="3600"/>
        </w:tabs>
        <w:ind w:left="3600" w:hanging="360"/>
      </w:pPr>
    </w:lvl>
    <w:lvl w:ilvl="5" w:tplc="13A4FAC6">
      <w:start w:val="1"/>
      <w:numFmt w:val="decimal"/>
      <w:lvlText w:val="%6."/>
      <w:lvlJc w:val="left"/>
      <w:pPr>
        <w:tabs>
          <w:tab w:val="num" w:pos="4320"/>
        </w:tabs>
        <w:ind w:left="4320" w:hanging="360"/>
      </w:pPr>
    </w:lvl>
    <w:lvl w:ilvl="6" w:tplc="1E340E1C">
      <w:start w:val="1"/>
      <w:numFmt w:val="decimal"/>
      <w:lvlText w:val="%7."/>
      <w:lvlJc w:val="left"/>
      <w:pPr>
        <w:tabs>
          <w:tab w:val="num" w:pos="5040"/>
        </w:tabs>
        <w:ind w:left="5040" w:hanging="360"/>
      </w:pPr>
    </w:lvl>
    <w:lvl w:ilvl="7" w:tplc="8E22537E">
      <w:start w:val="1"/>
      <w:numFmt w:val="decimal"/>
      <w:lvlText w:val="%8."/>
      <w:lvlJc w:val="left"/>
      <w:pPr>
        <w:tabs>
          <w:tab w:val="num" w:pos="5760"/>
        </w:tabs>
        <w:ind w:left="5760" w:hanging="360"/>
      </w:pPr>
    </w:lvl>
    <w:lvl w:ilvl="8" w:tplc="9C6C5938">
      <w:start w:val="1"/>
      <w:numFmt w:val="decimal"/>
      <w:lvlText w:val="%9."/>
      <w:lvlJc w:val="left"/>
      <w:pPr>
        <w:tabs>
          <w:tab w:val="num" w:pos="6480"/>
        </w:tabs>
        <w:ind w:left="6480" w:hanging="360"/>
      </w:pPr>
    </w:lvl>
  </w:abstractNum>
  <w:abstractNum w:abstractNumId="22">
    <w:nsid w:val="00000017"/>
    <w:multiLevelType w:val="hybridMultilevel"/>
    <w:tmpl w:val="B4DAA854"/>
    <w:lvl w:ilvl="0" w:tplc="10889B36">
      <w:start w:val="1"/>
      <w:numFmt w:val="bullet"/>
      <w:pStyle w:val="Level1Bullet-BarcRA30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E287E56">
      <w:start w:val="1"/>
      <w:numFmt w:val="bullet"/>
      <w:lvlText w:val="o"/>
      <w:lvlJc w:val="left"/>
      <w:pPr>
        <w:tabs>
          <w:tab w:val="num" w:pos="306"/>
        </w:tabs>
        <w:ind w:left="306" w:hanging="360"/>
      </w:pPr>
      <w:rPr>
        <w:rFonts w:ascii="Courier New" w:hAnsi="Courier New" w:cs="Times New Roman" w:hint="default"/>
      </w:rPr>
    </w:lvl>
    <w:lvl w:ilvl="2" w:tplc="224C17BE">
      <w:numFmt w:val="bullet"/>
      <w:lvlText w:val="-"/>
      <w:lvlJc w:val="left"/>
      <w:pPr>
        <w:tabs>
          <w:tab w:val="num" w:pos="1401"/>
        </w:tabs>
        <w:ind w:left="1401" w:hanging="735"/>
      </w:pPr>
      <w:rPr>
        <w:rFonts w:ascii="Barclays Serif" w:eastAsia="Times New Roman" w:hAnsi="Barclays Serif" w:cs="Times New Roman" w:hint="default"/>
      </w:rPr>
    </w:lvl>
    <w:lvl w:ilvl="3" w:tplc="3BCA33C2">
      <w:start w:val="1"/>
      <w:numFmt w:val="decimal"/>
      <w:lvlText w:val="%4."/>
      <w:lvlJc w:val="left"/>
      <w:pPr>
        <w:tabs>
          <w:tab w:val="num" w:pos="2880"/>
        </w:tabs>
        <w:ind w:left="2880" w:hanging="360"/>
      </w:pPr>
    </w:lvl>
    <w:lvl w:ilvl="4" w:tplc="2AA8EE4E">
      <w:start w:val="1"/>
      <w:numFmt w:val="decimal"/>
      <w:lvlText w:val="%5."/>
      <w:lvlJc w:val="left"/>
      <w:pPr>
        <w:tabs>
          <w:tab w:val="num" w:pos="3600"/>
        </w:tabs>
        <w:ind w:left="3600" w:hanging="360"/>
      </w:pPr>
    </w:lvl>
    <w:lvl w:ilvl="5" w:tplc="CAC6C71A">
      <w:start w:val="1"/>
      <w:numFmt w:val="decimal"/>
      <w:lvlText w:val="%6."/>
      <w:lvlJc w:val="left"/>
      <w:pPr>
        <w:tabs>
          <w:tab w:val="num" w:pos="4320"/>
        </w:tabs>
        <w:ind w:left="4320" w:hanging="360"/>
      </w:pPr>
    </w:lvl>
    <w:lvl w:ilvl="6" w:tplc="CAD85CD8">
      <w:start w:val="1"/>
      <w:numFmt w:val="decimal"/>
      <w:lvlText w:val="%7."/>
      <w:lvlJc w:val="left"/>
      <w:pPr>
        <w:tabs>
          <w:tab w:val="num" w:pos="5040"/>
        </w:tabs>
        <w:ind w:left="5040" w:hanging="360"/>
      </w:pPr>
    </w:lvl>
    <w:lvl w:ilvl="7" w:tplc="2F505DB0">
      <w:start w:val="1"/>
      <w:numFmt w:val="decimal"/>
      <w:lvlText w:val="%8."/>
      <w:lvlJc w:val="left"/>
      <w:pPr>
        <w:tabs>
          <w:tab w:val="num" w:pos="5760"/>
        </w:tabs>
        <w:ind w:left="5760" w:hanging="360"/>
      </w:pPr>
    </w:lvl>
    <w:lvl w:ilvl="8" w:tplc="9E9C334E">
      <w:start w:val="1"/>
      <w:numFmt w:val="decimal"/>
      <w:lvlText w:val="%9."/>
      <w:lvlJc w:val="left"/>
      <w:pPr>
        <w:tabs>
          <w:tab w:val="num" w:pos="6480"/>
        </w:tabs>
        <w:ind w:left="6480" w:hanging="360"/>
      </w:pPr>
    </w:lvl>
  </w:abstractNum>
  <w:abstractNum w:abstractNumId="23">
    <w:nsid w:val="00000018"/>
    <w:multiLevelType w:val="hybridMultilevel"/>
    <w:tmpl w:val="B242450A"/>
    <w:lvl w:ilvl="0" w:tplc="D60E5C72">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B1AC6D6">
      <w:start w:val="1"/>
      <w:numFmt w:val="bullet"/>
      <w:lvlText w:val="o"/>
      <w:lvlJc w:val="left"/>
      <w:pPr>
        <w:tabs>
          <w:tab w:val="num" w:pos="306"/>
        </w:tabs>
        <w:ind w:left="306" w:hanging="360"/>
      </w:pPr>
      <w:rPr>
        <w:rFonts w:ascii="Courier New" w:hAnsi="Courier New" w:cs="Times New Roman" w:hint="default"/>
      </w:rPr>
    </w:lvl>
    <w:lvl w:ilvl="2" w:tplc="A77CC860">
      <w:numFmt w:val="bullet"/>
      <w:pStyle w:val="Level2Bullet-BarcRA300"/>
      <w:lvlText w:val="–"/>
      <w:lvlJc w:val="left"/>
      <w:pPr>
        <w:tabs>
          <w:tab w:val="num" w:pos="1401"/>
        </w:tabs>
        <w:ind w:left="1401" w:hanging="735"/>
      </w:pPr>
      <w:rPr>
        <w:rFonts w:ascii="Arial" w:eastAsia="Times New Roman" w:hAnsi="Arial" w:cs="Times New Roman" w:hint="default"/>
      </w:rPr>
    </w:lvl>
    <w:lvl w:ilvl="3" w:tplc="AF12FB04">
      <w:start w:val="1"/>
      <w:numFmt w:val="decimal"/>
      <w:lvlText w:val="%4."/>
      <w:lvlJc w:val="left"/>
      <w:pPr>
        <w:tabs>
          <w:tab w:val="num" w:pos="2880"/>
        </w:tabs>
        <w:ind w:left="2880" w:hanging="360"/>
      </w:pPr>
    </w:lvl>
    <w:lvl w:ilvl="4" w:tplc="86725D7E">
      <w:start w:val="1"/>
      <w:numFmt w:val="decimal"/>
      <w:lvlText w:val="%5."/>
      <w:lvlJc w:val="left"/>
      <w:pPr>
        <w:tabs>
          <w:tab w:val="num" w:pos="3600"/>
        </w:tabs>
        <w:ind w:left="3600" w:hanging="360"/>
      </w:pPr>
    </w:lvl>
    <w:lvl w:ilvl="5" w:tplc="260AA9B2">
      <w:start w:val="1"/>
      <w:numFmt w:val="decimal"/>
      <w:lvlText w:val="%6."/>
      <w:lvlJc w:val="left"/>
      <w:pPr>
        <w:tabs>
          <w:tab w:val="num" w:pos="4320"/>
        </w:tabs>
        <w:ind w:left="4320" w:hanging="360"/>
      </w:pPr>
    </w:lvl>
    <w:lvl w:ilvl="6" w:tplc="9FC82CF4">
      <w:start w:val="1"/>
      <w:numFmt w:val="decimal"/>
      <w:lvlText w:val="%7."/>
      <w:lvlJc w:val="left"/>
      <w:pPr>
        <w:tabs>
          <w:tab w:val="num" w:pos="5040"/>
        </w:tabs>
        <w:ind w:left="5040" w:hanging="360"/>
      </w:pPr>
    </w:lvl>
    <w:lvl w:ilvl="7" w:tplc="F03A7500">
      <w:start w:val="1"/>
      <w:numFmt w:val="decimal"/>
      <w:lvlText w:val="%8."/>
      <w:lvlJc w:val="left"/>
      <w:pPr>
        <w:tabs>
          <w:tab w:val="num" w:pos="5760"/>
        </w:tabs>
        <w:ind w:left="5760" w:hanging="360"/>
      </w:pPr>
    </w:lvl>
    <w:lvl w:ilvl="8" w:tplc="FACAA4AE">
      <w:start w:val="1"/>
      <w:numFmt w:val="decimal"/>
      <w:lvlText w:val="%9."/>
      <w:lvlJc w:val="left"/>
      <w:pPr>
        <w:tabs>
          <w:tab w:val="num" w:pos="6480"/>
        </w:tabs>
        <w:ind w:left="6480" w:hanging="360"/>
      </w:pPr>
    </w:lvl>
  </w:abstractNum>
  <w:abstractNum w:abstractNumId="24">
    <w:nsid w:val="00000019"/>
    <w:multiLevelType w:val="hybridMultilevel"/>
    <w:tmpl w:val="DCC0405C"/>
    <w:lvl w:ilvl="0" w:tplc="2A9CF5C4">
      <w:start w:val="1"/>
      <w:numFmt w:val="bullet"/>
      <w:pStyle w:val="Level1Bullet-BarcRA20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8C4F86C">
      <w:start w:val="1"/>
      <w:numFmt w:val="bullet"/>
      <w:lvlText w:val="o"/>
      <w:lvlJc w:val="left"/>
      <w:pPr>
        <w:tabs>
          <w:tab w:val="num" w:pos="306"/>
        </w:tabs>
        <w:ind w:left="306" w:hanging="360"/>
      </w:pPr>
      <w:rPr>
        <w:rFonts w:ascii="Courier New" w:hAnsi="Courier New" w:cs="Times New Roman" w:hint="default"/>
      </w:rPr>
    </w:lvl>
    <w:lvl w:ilvl="2" w:tplc="F676D80C">
      <w:numFmt w:val="bullet"/>
      <w:lvlText w:val="-"/>
      <w:lvlJc w:val="left"/>
      <w:pPr>
        <w:tabs>
          <w:tab w:val="num" w:pos="1401"/>
        </w:tabs>
        <w:ind w:left="1401" w:hanging="735"/>
      </w:pPr>
      <w:rPr>
        <w:rFonts w:ascii="Barclays Serif" w:eastAsia="Times New Roman" w:hAnsi="Barclays Serif" w:cs="Times New Roman" w:hint="default"/>
      </w:rPr>
    </w:lvl>
    <w:lvl w:ilvl="3" w:tplc="E8047412">
      <w:start w:val="1"/>
      <w:numFmt w:val="decimal"/>
      <w:lvlText w:val="%4."/>
      <w:lvlJc w:val="left"/>
      <w:pPr>
        <w:tabs>
          <w:tab w:val="num" w:pos="2880"/>
        </w:tabs>
        <w:ind w:left="2880" w:hanging="360"/>
      </w:pPr>
    </w:lvl>
    <w:lvl w:ilvl="4" w:tplc="51A8E8FC">
      <w:start w:val="1"/>
      <w:numFmt w:val="decimal"/>
      <w:lvlText w:val="%5."/>
      <w:lvlJc w:val="left"/>
      <w:pPr>
        <w:tabs>
          <w:tab w:val="num" w:pos="3600"/>
        </w:tabs>
        <w:ind w:left="3600" w:hanging="360"/>
      </w:pPr>
    </w:lvl>
    <w:lvl w:ilvl="5" w:tplc="BD3E7B6E">
      <w:start w:val="1"/>
      <w:numFmt w:val="decimal"/>
      <w:lvlText w:val="%6."/>
      <w:lvlJc w:val="left"/>
      <w:pPr>
        <w:tabs>
          <w:tab w:val="num" w:pos="4320"/>
        </w:tabs>
        <w:ind w:left="4320" w:hanging="360"/>
      </w:pPr>
    </w:lvl>
    <w:lvl w:ilvl="6" w:tplc="C3062DC0">
      <w:start w:val="1"/>
      <w:numFmt w:val="decimal"/>
      <w:lvlText w:val="%7."/>
      <w:lvlJc w:val="left"/>
      <w:pPr>
        <w:tabs>
          <w:tab w:val="num" w:pos="5040"/>
        </w:tabs>
        <w:ind w:left="5040" w:hanging="360"/>
      </w:pPr>
    </w:lvl>
    <w:lvl w:ilvl="7" w:tplc="9B381DAE">
      <w:start w:val="1"/>
      <w:numFmt w:val="decimal"/>
      <w:lvlText w:val="%8."/>
      <w:lvlJc w:val="left"/>
      <w:pPr>
        <w:tabs>
          <w:tab w:val="num" w:pos="5760"/>
        </w:tabs>
        <w:ind w:left="5760" w:hanging="360"/>
      </w:pPr>
    </w:lvl>
    <w:lvl w:ilvl="8" w:tplc="20CA48F6">
      <w:start w:val="1"/>
      <w:numFmt w:val="decimal"/>
      <w:lvlText w:val="%9."/>
      <w:lvlJc w:val="left"/>
      <w:pPr>
        <w:tabs>
          <w:tab w:val="num" w:pos="6480"/>
        </w:tabs>
        <w:ind w:left="6480" w:hanging="360"/>
      </w:pPr>
    </w:lvl>
  </w:abstractNum>
  <w:abstractNum w:abstractNumId="25">
    <w:nsid w:val="0000001A"/>
    <w:multiLevelType w:val="hybridMultilevel"/>
    <w:tmpl w:val="B4DAA854"/>
    <w:lvl w:ilvl="0" w:tplc="369C7F96">
      <w:start w:val="1"/>
      <w:numFmt w:val="bullet"/>
      <w:pStyle w:val="Level1Bullet-BarcRA203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0C42400">
      <w:start w:val="1"/>
      <w:numFmt w:val="bullet"/>
      <w:lvlText w:val="o"/>
      <w:lvlJc w:val="left"/>
      <w:pPr>
        <w:tabs>
          <w:tab w:val="num" w:pos="306"/>
        </w:tabs>
        <w:ind w:left="306" w:hanging="360"/>
      </w:pPr>
      <w:rPr>
        <w:rFonts w:ascii="Courier New" w:hAnsi="Courier New" w:cs="Times New Roman" w:hint="default"/>
      </w:rPr>
    </w:lvl>
    <w:lvl w:ilvl="2" w:tplc="697AD998">
      <w:numFmt w:val="bullet"/>
      <w:lvlText w:val="-"/>
      <w:lvlJc w:val="left"/>
      <w:pPr>
        <w:tabs>
          <w:tab w:val="num" w:pos="1401"/>
        </w:tabs>
        <w:ind w:left="1401" w:hanging="735"/>
      </w:pPr>
      <w:rPr>
        <w:rFonts w:ascii="Barclays Serif" w:eastAsia="Times New Roman" w:hAnsi="Barclays Serif" w:cs="Times New Roman" w:hint="default"/>
      </w:rPr>
    </w:lvl>
    <w:lvl w:ilvl="3" w:tplc="2C3A32DC">
      <w:start w:val="1"/>
      <w:numFmt w:val="decimal"/>
      <w:lvlText w:val="%4."/>
      <w:lvlJc w:val="left"/>
      <w:pPr>
        <w:tabs>
          <w:tab w:val="num" w:pos="2880"/>
        </w:tabs>
        <w:ind w:left="2880" w:hanging="360"/>
      </w:pPr>
    </w:lvl>
    <w:lvl w:ilvl="4" w:tplc="B3707182">
      <w:start w:val="1"/>
      <w:numFmt w:val="decimal"/>
      <w:lvlText w:val="%5."/>
      <w:lvlJc w:val="left"/>
      <w:pPr>
        <w:tabs>
          <w:tab w:val="num" w:pos="3600"/>
        </w:tabs>
        <w:ind w:left="3600" w:hanging="360"/>
      </w:pPr>
    </w:lvl>
    <w:lvl w:ilvl="5" w:tplc="06B4940E">
      <w:start w:val="1"/>
      <w:numFmt w:val="decimal"/>
      <w:lvlText w:val="%6."/>
      <w:lvlJc w:val="left"/>
      <w:pPr>
        <w:tabs>
          <w:tab w:val="num" w:pos="4320"/>
        </w:tabs>
        <w:ind w:left="4320" w:hanging="360"/>
      </w:pPr>
    </w:lvl>
    <w:lvl w:ilvl="6" w:tplc="6AA0EF2E">
      <w:start w:val="1"/>
      <w:numFmt w:val="decimal"/>
      <w:lvlText w:val="%7."/>
      <w:lvlJc w:val="left"/>
      <w:pPr>
        <w:tabs>
          <w:tab w:val="num" w:pos="5040"/>
        </w:tabs>
        <w:ind w:left="5040" w:hanging="360"/>
      </w:pPr>
    </w:lvl>
    <w:lvl w:ilvl="7" w:tplc="3C9A592A">
      <w:start w:val="1"/>
      <w:numFmt w:val="decimal"/>
      <w:lvlText w:val="%8."/>
      <w:lvlJc w:val="left"/>
      <w:pPr>
        <w:tabs>
          <w:tab w:val="num" w:pos="5760"/>
        </w:tabs>
        <w:ind w:left="5760" w:hanging="360"/>
      </w:pPr>
    </w:lvl>
    <w:lvl w:ilvl="8" w:tplc="3B42A16A">
      <w:start w:val="1"/>
      <w:numFmt w:val="decimal"/>
      <w:lvlText w:val="%9."/>
      <w:lvlJc w:val="left"/>
      <w:pPr>
        <w:tabs>
          <w:tab w:val="num" w:pos="6480"/>
        </w:tabs>
        <w:ind w:left="6480" w:hanging="360"/>
      </w:pPr>
    </w:lvl>
  </w:abstractNum>
  <w:abstractNum w:abstractNumId="26">
    <w:nsid w:val="0000001B"/>
    <w:multiLevelType w:val="hybridMultilevel"/>
    <w:tmpl w:val="2A94FDDA"/>
    <w:lvl w:ilvl="0" w:tplc="FFB42412">
      <w:start w:val="1"/>
      <w:numFmt w:val="decimal"/>
      <w:lvlText w:val="%1"/>
      <w:lvlJc w:val="left"/>
      <w:pPr>
        <w:ind w:left="720" w:hanging="360"/>
      </w:pPr>
      <w:rPr>
        <w:rFonts w:hint="default"/>
        <w:sz w:val="14"/>
        <w:szCs w:val="14"/>
      </w:rPr>
    </w:lvl>
    <w:lvl w:ilvl="1" w:tplc="292A97B2" w:tentative="1">
      <w:start w:val="1"/>
      <w:numFmt w:val="lowerLetter"/>
      <w:lvlText w:val="%2."/>
      <w:lvlJc w:val="left"/>
      <w:pPr>
        <w:ind w:left="1440" w:hanging="360"/>
      </w:pPr>
    </w:lvl>
    <w:lvl w:ilvl="2" w:tplc="0EC04BD2" w:tentative="1">
      <w:start w:val="1"/>
      <w:numFmt w:val="lowerRoman"/>
      <w:lvlText w:val="%3."/>
      <w:lvlJc w:val="right"/>
      <w:pPr>
        <w:ind w:left="2160" w:hanging="180"/>
      </w:pPr>
    </w:lvl>
    <w:lvl w:ilvl="3" w:tplc="0B6A3862" w:tentative="1">
      <w:start w:val="1"/>
      <w:numFmt w:val="decimal"/>
      <w:lvlText w:val="%4."/>
      <w:lvlJc w:val="left"/>
      <w:pPr>
        <w:ind w:left="2880" w:hanging="360"/>
      </w:pPr>
    </w:lvl>
    <w:lvl w:ilvl="4" w:tplc="5A84D96C" w:tentative="1">
      <w:start w:val="1"/>
      <w:numFmt w:val="lowerLetter"/>
      <w:lvlText w:val="%5."/>
      <w:lvlJc w:val="left"/>
      <w:pPr>
        <w:ind w:left="3600" w:hanging="360"/>
      </w:pPr>
    </w:lvl>
    <w:lvl w:ilvl="5" w:tplc="AA74992E" w:tentative="1">
      <w:start w:val="1"/>
      <w:numFmt w:val="lowerRoman"/>
      <w:lvlText w:val="%6."/>
      <w:lvlJc w:val="right"/>
      <w:pPr>
        <w:ind w:left="4320" w:hanging="180"/>
      </w:pPr>
    </w:lvl>
    <w:lvl w:ilvl="6" w:tplc="1E2AB500" w:tentative="1">
      <w:start w:val="1"/>
      <w:numFmt w:val="decimal"/>
      <w:lvlText w:val="%7."/>
      <w:lvlJc w:val="left"/>
      <w:pPr>
        <w:ind w:left="5040" w:hanging="360"/>
      </w:pPr>
    </w:lvl>
    <w:lvl w:ilvl="7" w:tplc="5B66C12E" w:tentative="1">
      <w:start w:val="1"/>
      <w:numFmt w:val="lowerLetter"/>
      <w:lvlText w:val="%8."/>
      <w:lvlJc w:val="left"/>
      <w:pPr>
        <w:ind w:left="5760" w:hanging="360"/>
      </w:pPr>
    </w:lvl>
    <w:lvl w:ilvl="8" w:tplc="857453F0" w:tentative="1">
      <w:start w:val="1"/>
      <w:numFmt w:val="lowerRoman"/>
      <w:lvlText w:val="%9."/>
      <w:lvlJc w:val="right"/>
      <w:pPr>
        <w:ind w:left="6480" w:hanging="180"/>
      </w:pPr>
    </w:lvl>
  </w:abstractNum>
  <w:abstractNum w:abstractNumId="27">
    <w:nsid w:val="0000001C"/>
    <w:multiLevelType w:val="hybridMultilevel"/>
    <w:tmpl w:val="B4DAA854"/>
    <w:lvl w:ilvl="0" w:tplc="F0C2F81E">
      <w:start w:val="1"/>
      <w:numFmt w:val="bullet"/>
      <w:pStyle w:val="Level1Bullet-BarcRA4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372CF734">
      <w:start w:val="1"/>
      <w:numFmt w:val="bullet"/>
      <w:lvlText w:val="o"/>
      <w:lvlJc w:val="left"/>
      <w:pPr>
        <w:tabs>
          <w:tab w:val="num" w:pos="306"/>
        </w:tabs>
        <w:ind w:left="306" w:hanging="360"/>
      </w:pPr>
      <w:rPr>
        <w:rFonts w:ascii="Courier New" w:hAnsi="Courier New" w:cs="Times New Roman" w:hint="default"/>
      </w:rPr>
    </w:lvl>
    <w:lvl w:ilvl="2" w:tplc="0C7E9A5A">
      <w:numFmt w:val="bullet"/>
      <w:lvlText w:val="-"/>
      <w:lvlJc w:val="left"/>
      <w:pPr>
        <w:tabs>
          <w:tab w:val="num" w:pos="1401"/>
        </w:tabs>
        <w:ind w:left="1401" w:hanging="735"/>
      </w:pPr>
      <w:rPr>
        <w:rFonts w:ascii="Barclays Serif" w:eastAsia="Times New Roman" w:hAnsi="Barclays Serif" w:cs="Times New Roman" w:hint="default"/>
      </w:rPr>
    </w:lvl>
    <w:lvl w:ilvl="3" w:tplc="EEF01014">
      <w:start w:val="1"/>
      <w:numFmt w:val="decimal"/>
      <w:lvlText w:val="%4."/>
      <w:lvlJc w:val="left"/>
      <w:pPr>
        <w:tabs>
          <w:tab w:val="num" w:pos="2880"/>
        </w:tabs>
        <w:ind w:left="2880" w:hanging="360"/>
      </w:pPr>
    </w:lvl>
    <w:lvl w:ilvl="4" w:tplc="0CA8F5EE">
      <w:start w:val="1"/>
      <w:numFmt w:val="decimal"/>
      <w:lvlText w:val="%5."/>
      <w:lvlJc w:val="left"/>
      <w:pPr>
        <w:tabs>
          <w:tab w:val="num" w:pos="3600"/>
        </w:tabs>
        <w:ind w:left="3600" w:hanging="360"/>
      </w:pPr>
    </w:lvl>
    <w:lvl w:ilvl="5" w:tplc="437C7AAA">
      <w:start w:val="1"/>
      <w:numFmt w:val="decimal"/>
      <w:lvlText w:val="%6."/>
      <w:lvlJc w:val="left"/>
      <w:pPr>
        <w:tabs>
          <w:tab w:val="num" w:pos="4320"/>
        </w:tabs>
        <w:ind w:left="4320" w:hanging="360"/>
      </w:pPr>
    </w:lvl>
    <w:lvl w:ilvl="6" w:tplc="4E50CB98">
      <w:start w:val="1"/>
      <w:numFmt w:val="decimal"/>
      <w:lvlText w:val="%7."/>
      <w:lvlJc w:val="left"/>
      <w:pPr>
        <w:tabs>
          <w:tab w:val="num" w:pos="5040"/>
        </w:tabs>
        <w:ind w:left="5040" w:hanging="360"/>
      </w:pPr>
    </w:lvl>
    <w:lvl w:ilvl="7" w:tplc="3B2699C4">
      <w:start w:val="1"/>
      <w:numFmt w:val="decimal"/>
      <w:lvlText w:val="%8."/>
      <w:lvlJc w:val="left"/>
      <w:pPr>
        <w:tabs>
          <w:tab w:val="num" w:pos="5760"/>
        </w:tabs>
        <w:ind w:left="5760" w:hanging="360"/>
      </w:pPr>
    </w:lvl>
    <w:lvl w:ilvl="8" w:tplc="8480CCE4">
      <w:start w:val="1"/>
      <w:numFmt w:val="decimal"/>
      <w:lvlText w:val="%9."/>
      <w:lvlJc w:val="left"/>
      <w:pPr>
        <w:tabs>
          <w:tab w:val="num" w:pos="6480"/>
        </w:tabs>
        <w:ind w:left="6480" w:hanging="360"/>
      </w:pPr>
    </w:lvl>
  </w:abstractNum>
  <w:abstractNum w:abstractNumId="28">
    <w:nsid w:val="0000001D"/>
    <w:multiLevelType w:val="hybridMultilevel"/>
    <w:tmpl w:val="B2E8E736"/>
    <w:lvl w:ilvl="0" w:tplc="C2D05658">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E5E0766">
      <w:start w:val="1"/>
      <w:numFmt w:val="bullet"/>
      <w:lvlText w:val="o"/>
      <w:lvlJc w:val="left"/>
      <w:pPr>
        <w:tabs>
          <w:tab w:val="num" w:pos="306"/>
        </w:tabs>
        <w:ind w:left="306" w:hanging="360"/>
      </w:pPr>
      <w:rPr>
        <w:rFonts w:ascii="Courier New" w:hAnsi="Courier New" w:cs="Times New Roman" w:hint="default"/>
      </w:rPr>
    </w:lvl>
    <w:lvl w:ilvl="2" w:tplc="476C7812">
      <w:numFmt w:val="bullet"/>
      <w:pStyle w:val="Level2Bullet-BarcRA301"/>
      <w:lvlText w:val="–"/>
      <w:lvlJc w:val="left"/>
      <w:pPr>
        <w:tabs>
          <w:tab w:val="num" w:pos="1401"/>
        </w:tabs>
        <w:ind w:left="1401" w:hanging="735"/>
      </w:pPr>
      <w:rPr>
        <w:rFonts w:ascii="Arial" w:eastAsia="Times New Roman" w:hAnsi="Arial" w:cs="Times New Roman" w:hint="default"/>
      </w:rPr>
    </w:lvl>
    <w:lvl w:ilvl="3" w:tplc="E00E2272">
      <w:start w:val="1"/>
      <w:numFmt w:val="decimal"/>
      <w:lvlText w:val="%4."/>
      <w:lvlJc w:val="left"/>
      <w:pPr>
        <w:tabs>
          <w:tab w:val="num" w:pos="2880"/>
        </w:tabs>
        <w:ind w:left="2880" w:hanging="360"/>
      </w:pPr>
    </w:lvl>
    <w:lvl w:ilvl="4" w:tplc="DA629952">
      <w:start w:val="1"/>
      <w:numFmt w:val="decimal"/>
      <w:lvlText w:val="%5."/>
      <w:lvlJc w:val="left"/>
      <w:pPr>
        <w:tabs>
          <w:tab w:val="num" w:pos="3600"/>
        </w:tabs>
        <w:ind w:left="3600" w:hanging="360"/>
      </w:pPr>
    </w:lvl>
    <w:lvl w:ilvl="5" w:tplc="58EA7656">
      <w:start w:val="1"/>
      <w:numFmt w:val="decimal"/>
      <w:lvlText w:val="%6."/>
      <w:lvlJc w:val="left"/>
      <w:pPr>
        <w:tabs>
          <w:tab w:val="num" w:pos="4320"/>
        </w:tabs>
        <w:ind w:left="4320" w:hanging="360"/>
      </w:pPr>
    </w:lvl>
    <w:lvl w:ilvl="6" w:tplc="279E3BD6">
      <w:start w:val="1"/>
      <w:numFmt w:val="decimal"/>
      <w:lvlText w:val="%7."/>
      <w:lvlJc w:val="left"/>
      <w:pPr>
        <w:tabs>
          <w:tab w:val="num" w:pos="5040"/>
        </w:tabs>
        <w:ind w:left="5040" w:hanging="360"/>
      </w:pPr>
    </w:lvl>
    <w:lvl w:ilvl="7" w:tplc="FD404C30">
      <w:start w:val="1"/>
      <w:numFmt w:val="decimal"/>
      <w:lvlText w:val="%8."/>
      <w:lvlJc w:val="left"/>
      <w:pPr>
        <w:tabs>
          <w:tab w:val="num" w:pos="5760"/>
        </w:tabs>
        <w:ind w:left="5760" w:hanging="360"/>
      </w:pPr>
    </w:lvl>
    <w:lvl w:ilvl="8" w:tplc="2F74C8E0">
      <w:start w:val="1"/>
      <w:numFmt w:val="decimal"/>
      <w:lvlText w:val="%9."/>
      <w:lvlJc w:val="left"/>
      <w:pPr>
        <w:tabs>
          <w:tab w:val="num" w:pos="6480"/>
        </w:tabs>
        <w:ind w:left="6480" w:hanging="360"/>
      </w:pPr>
    </w:lvl>
  </w:abstractNum>
  <w:abstractNum w:abstractNumId="29">
    <w:nsid w:val="0000001E"/>
    <w:multiLevelType w:val="hybridMultilevel"/>
    <w:tmpl w:val="B4DAA854"/>
    <w:lvl w:ilvl="0" w:tplc="C2DE5B52">
      <w:start w:val="1"/>
      <w:numFmt w:val="bullet"/>
      <w:pStyle w:val="Level1Bullet-BarcRA400"/>
      <w:lvlText w:val=""/>
      <w:lvlJc w:val="left"/>
      <w:pPr>
        <w:tabs>
          <w:tab w:val="num" w:pos="284"/>
        </w:tabs>
        <w:ind w:left="284" w:hanging="284"/>
      </w:pPr>
      <w:rPr>
        <w:rFonts w:ascii="Wingdings 2" w:hAnsi="Wingdings 2" w:hint="default"/>
        <w:b w:val="0"/>
        <w:i w:val="0"/>
        <w:color w:val="auto"/>
        <w:spacing w:val="0"/>
        <w:w w:val="100"/>
        <w:position w:val="0"/>
        <w:sz w:val="18"/>
      </w:rPr>
    </w:lvl>
    <w:lvl w:ilvl="1" w:tplc="CE3A1138">
      <w:start w:val="1"/>
      <w:numFmt w:val="bullet"/>
      <w:lvlText w:val="o"/>
      <w:lvlJc w:val="left"/>
      <w:pPr>
        <w:tabs>
          <w:tab w:val="num" w:pos="306"/>
        </w:tabs>
        <w:ind w:left="306" w:hanging="360"/>
      </w:pPr>
      <w:rPr>
        <w:rFonts w:ascii="Courier New" w:hAnsi="Courier New" w:cs="Times New Roman" w:hint="default"/>
      </w:rPr>
    </w:lvl>
    <w:lvl w:ilvl="2" w:tplc="D706978A">
      <w:numFmt w:val="bullet"/>
      <w:lvlText w:val="-"/>
      <w:lvlJc w:val="left"/>
      <w:pPr>
        <w:tabs>
          <w:tab w:val="num" w:pos="1401"/>
        </w:tabs>
        <w:ind w:left="1401" w:hanging="735"/>
      </w:pPr>
      <w:rPr>
        <w:rFonts w:ascii="Barclays Serif" w:eastAsia="Times New Roman" w:hAnsi="Barclays Serif" w:hint="default"/>
      </w:rPr>
    </w:lvl>
    <w:lvl w:ilvl="3" w:tplc="F3FEFBB0">
      <w:start w:val="1"/>
      <w:numFmt w:val="decimal"/>
      <w:lvlText w:val="%4."/>
      <w:lvlJc w:val="left"/>
      <w:pPr>
        <w:tabs>
          <w:tab w:val="num" w:pos="2880"/>
        </w:tabs>
        <w:ind w:left="2880" w:hanging="360"/>
      </w:pPr>
      <w:rPr>
        <w:rFonts w:cs="Times New Roman"/>
      </w:rPr>
    </w:lvl>
    <w:lvl w:ilvl="4" w:tplc="109818E0">
      <w:start w:val="1"/>
      <w:numFmt w:val="decimal"/>
      <w:lvlText w:val="%5."/>
      <w:lvlJc w:val="left"/>
      <w:pPr>
        <w:tabs>
          <w:tab w:val="num" w:pos="3600"/>
        </w:tabs>
        <w:ind w:left="3600" w:hanging="360"/>
      </w:pPr>
      <w:rPr>
        <w:rFonts w:cs="Times New Roman"/>
      </w:rPr>
    </w:lvl>
    <w:lvl w:ilvl="5" w:tplc="BDD2D2DE">
      <w:start w:val="1"/>
      <w:numFmt w:val="decimal"/>
      <w:lvlText w:val="%6."/>
      <w:lvlJc w:val="left"/>
      <w:pPr>
        <w:tabs>
          <w:tab w:val="num" w:pos="4320"/>
        </w:tabs>
        <w:ind w:left="4320" w:hanging="360"/>
      </w:pPr>
      <w:rPr>
        <w:rFonts w:cs="Times New Roman"/>
      </w:rPr>
    </w:lvl>
    <w:lvl w:ilvl="6" w:tplc="392A7A7C">
      <w:start w:val="1"/>
      <w:numFmt w:val="decimal"/>
      <w:lvlText w:val="%7."/>
      <w:lvlJc w:val="left"/>
      <w:pPr>
        <w:tabs>
          <w:tab w:val="num" w:pos="5040"/>
        </w:tabs>
        <w:ind w:left="5040" w:hanging="360"/>
      </w:pPr>
      <w:rPr>
        <w:rFonts w:cs="Times New Roman"/>
      </w:rPr>
    </w:lvl>
    <w:lvl w:ilvl="7" w:tplc="621EB908">
      <w:start w:val="1"/>
      <w:numFmt w:val="decimal"/>
      <w:lvlText w:val="%8."/>
      <w:lvlJc w:val="left"/>
      <w:pPr>
        <w:tabs>
          <w:tab w:val="num" w:pos="5760"/>
        </w:tabs>
        <w:ind w:left="5760" w:hanging="360"/>
      </w:pPr>
      <w:rPr>
        <w:rFonts w:cs="Times New Roman"/>
      </w:rPr>
    </w:lvl>
    <w:lvl w:ilvl="8" w:tplc="D8C24D2E">
      <w:start w:val="1"/>
      <w:numFmt w:val="decimal"/>
      <w:lvlText w:val="%9."/>
      <w:lvlJc w:val="left"/>
      <w:pPr>
        <w:tabs>
          <w:tab w:val="num" w:pos="6480"/>
        </w:tabs>
        <w:ind w:left="6480" w:hanging="360"/>
      </w:pPr>
      <w:rPr>
        <w:rFonts w:cs="Times New Roman"/>
      </w:rPr>
    </w:lvl>
  </w:abstractNum>
  <w:abstractNum w:abstractNumId="30">
    <w:nsid w:val="0000001F"/>
    <w:multiLevelType w:val="hybridMultilevel"/>
    <w:tmpl w:val="B4DAA854"/>
    <w:lvl w:ilvl="0" w:tplc="8E92EDDE">
      <w:start w:val="1"/>
      <w:numFmt w:val="bullet"/>
      <w:pStyle w:val="Level1Bullet-BarcRA4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07EE286">
      <w:start w:val="1"/>
      <w:numFmt w:val="bullet"/>
      <w:lvlText w:val="o"/>
      <w:lvlJc w:val="left"/>
      <w:pPr>
        <w:tabs>
          <w:tab w:val="num" w:pos="306"/>
        </w:tabs>
        <w:ind w:left="306" w:hanging="360"/>
      </w:pPr>
      <w:rPr>
        <w:rFonts w:ascii="Courier New" w:hAnsi="Courier New" w:cs="Times New Roman" w:hint="default"/>
      </w:rPr>
    </w:lvl>
    <w:lvl w:ilvl="2" w:tplc="C598D14E">
      <w:numFmt w:val="bullet"/>
      <w:lvlText w:val="-"/>
      <w:lvlJc w:val="left"/>
      <w:pPr>
        <w:tabs>
          <w:tab w:val="num" w:pos="1401"/>
        </w:tabs>
        <w:ind w:left="1401" w:hanging="735"/>
      </w:pPr>
      <w:rPr>
        <w:rFonts w:ascii="Barclays Serif" w:eastAsia="Times New Roman" w:hAnsi="Barclays Serif" w:cs="Times New Roman" w:hint="default"/>
      </w:rPr>
    </w:lvl>
    <w:lvl w:ilvl="3" w:tplc="25B2A680">
      <w:start w:val="1"/>
      <w:numFmt w:val="decimal"/>
      <w:lvlText w:val="%4."/>
      <w:lvlJc w:val="left"/>
      <w:pPr>
        <w:tabs>
          <w:tab w:val="num" w:pos="2880"/>
        </w:tabs>
        <w:ind w:left="2880" w:hanging="360"/>
      </w:pPr>
    </w:lvl>
    <w:lvl w:ilvl="4" w:tplc="1BDAE65C">
      <w:start w:val="1"/>
      <w:numFmt w:val="decimal"/>
      <w:lvlText w:val="%5."/>
      <w:lvlJc w:val="left"/>
      <w:pPr>
        <w:tabs>
          <w:tab w:val="num" w:pos="3600"/>
        </w:tabs>
        <w:ind w:left="3600" w:hanging="360"/>
      </w:pPr>
    </w:lvl>
    <w:lvl w:ilvl="5" w:tplc="E6B8B470">
      <w:start w:val="1"/>
      <w:numFmt w:val="decimal"/>
      <w:lvlText w:val="%6."/>
      <w:lvlJc w:val="left"/>
      <w:pPr>
        <w:tabs>
          <w:tab w:val="num" w:pos="4320"/>
        </w:tabs>
        <w:ind w:left="4320" w:hanging="360"/>
      </w:pPr>
    </w:lvl>
    <w:lvl w:ilvl="6" w:tplc="AB6A83D2">
      <w:start w:val="1"/>
      <w:numFmt w:val="decimal"/>
      <w:lvlText w:val="%7."/>
      <w:lvlJc w:val="left"/>
      <w:pPr>
        <w:tabs>
          <w:tab w:val="num" w:pos="5040"/>
        </w:tabs>
        <w:ind w:left="5040" w:hanging="360"/>
      </w:pPr>
    </w:lvl>
    <w:lvl w:ilvl="7" w:tplc="6F463D1A">
      <w:start w:val="1"/>
      <w:numFmt w:val="decimal"/>
      <w:lvlText w:val="%8."/>
      <w:lvlJc w:val="left"/>
      <w:pPr>
        <w:tabs>
          <w:tab w:val="num" w:pos="5760"/>
        </w:tabs>
        <w:ind w:left="5760" w:hanging="360"/>
      </w:pPr>
    </w:lvl>
    <w:lvl w:ilvl="8" w:tplc="709A66F0">
      <w:start w:val="1"/>
      <w:numFmt w:val="decimal"/>
      <w:lvlText w:val="%9."/>
      <w:lvlJc w:val="left"/>
      <w:pPr>
        <w:tabs>
          <w:tab w:val="num" w:pos="6480"/>
        </w:tabs>
        <w:ind w:left="6480" w:hanging="360"/>
      </w:pPr>
    </w:lvl>
  </w:abstractNum>
  <w:abstractNum w:abstractNumId="31">
    <w:nsid w:val="00000020"/>
    <w:multiLevelType w:val="hybridMultilevel"/>
    <w:tmpl w:val="B4DAA854"/>
    <w:lvl w:ilvl="0" w:tplc="03E83222">
      <w:start w:val="1"/>
      <w:numFmt w:val="bullet"/>
      <w:pStyle w:val="Level1Bullet-BarcRA300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CD5A9B76">
      <w:start w:val="1"/>
      <w:numFmt w:val="bullet"/>
      <w:lvlText w:val="o"/>
      <w:lvlJc w:val="left"/>
      <w:pPr>
        <w:tabs>
          <w:tab w:val="num" w:pos="306"/>
        </w:tabs>
        <w:ind w:left="306" w:hanging="360"/>
      </w:pPr>
      <w:rPr>
        <w:rFonts w:ascii="Courier New" w:hAnsi="Courier New" w:cs="Times New Roman" w:hint="default"/>
      </w:rPr>
    </w:lvl>
    <w:lvl w:ilvl="2" w:tplc="847E3DC4">
      <w:numFmt w:val="bullet"/>
      <w:lvlText w:val="-"/>
      <w:lvlJc w:val="left"/>
      <w:pPr>
        <w:tabs>
          <w:tab w:val="num" w:pos="1401"/>
        </w:tabs>
        <w:ind w:left="1401" w:hanging="735"/>
      </w:pPr>
      <w:rPr>
        <w:rFonts w:ascii="Barclays Serif" w:eastAsia="Times New Roman" w:hAnsi="Barclays Serif" w:cs="Times New Roman" w:hint="default"/>
      </w:rPr>
    </w:lvl>
    <w:lvl w:ilvl="3" w:tplc="FA46E9D8">
      <w:start w:val="1"/>
      <w:numFmt w:val="decimal"/>
      <w:lvlText w:val="%4."/>
      <w:lvlJc w:val="left"/>
      <w:pPr>
        <w:tabs>
          <w:tab w:val="num" w:pos="2880"/>
        </w:tabs>
        <w:ind w:left="2880" w:hanging="360"/>
      </w:pPr>
    </w:lvl>
    <w:lvl w:ilvl="4" w:tplc="ABF69320">
      <w:start w:val="1"/>
      <w:numFmt w:val="decimal"/>
      <w:lvlText w:val="%5."/>
      <w:lvlJc w:val="left"/>
      <w:pPr>
        <w:tabs>
          <w:tab w:val="num" w:pos="3600"/>
        </w:tabs>
        <w:ind w:left="3600" w:hanging="360"/>
      </w:pPr>
    </w:lvl>
    <w:lvl w:ilvl="5" w:tplc="AEF2FE32">
      <w:start w:val="1"/>
      <w:numFmt w:val="decimal"/>
      <w:lvlText w:val="%6."/>
      <w:lvlJc w:val="left"/>
      <w:pPr>
        <w:tabs>
          <w:tab w:val="num" w:pos="4320"/>
        </w:tabs>
        <w:ind w:left="4320" w:hanging="360"/>
      </w:pPr>
    </w:lvl>
    <w:lvl w:ilvl="6" w:tplc="58DECEC6">
      <w:start w:val="1"/>
      <w:numFmt w:val="decimal"/>
      <w:lvlText w:val="%7."/>
      <w:lvlJc w:val="left"/>
      <w:pPr>
        <w:tabs>
          <w:tab w:val="num" w:pos="5040"/>
        </w:tabs>
        <w:ind w:left="5040" w:hanging="360"/>
      </w:pPr>
    </w:lvl>
    <w:lvl w:ilvl="7" w:tplc="F880D5DE">
      <w:start w:val="1"/>
      <w:numFmt w:val="decimal"/>
      <w:lvlText w:val="%8."/>
      <w:lvlJc w:val="left"/>
      <w:pPr>
        <w:tabs>
          <w:tab w:val="num" w:pos="5760"/>
        </w:tabs>
        <w:ind w:left="5760" w:hanging="360"/>
      </w:pPr>
    </w:lvl>
    <w:lvl w:ilvl="8" w:tplc="671860A4">
      <w:start w:val="1"/>
      <w:numFmt w:val="decimal"/>
      <w:lvlText w:val="%9."/>
      <w:lvlJc w:val="left"/>
      <w:pPr>
        <w:tabs>
          <w:tab w:val="num" w:pos="6480"/>
        </w:tabs>
        <w:ind w:left="6480" w:hanging="360"/>
      </w:pPr>
    </w:lvl>
  </w:abstractNum>
  <w:abstractNum w:abstractNumId="32">
    <w:nsid w:val="00000021"/>
    <w:multiLevelType w:val="hybridMultilevel"/>
    <w:tmpl w:val="B4DAA854"/>
    <w:lvl w:ilvl="0" w:tplc="7AA456AA">
      <w:start w:val="1"/>
      <w:numFmt w:val="bullet"/>
      <w:pStyle w:val="Level1Bullet-BarcRA3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3FB68FB0">
      <w:start w:val="1"/>
      <w:numFmt w:val="bullet"/>
      <w:lvlText w:val="o"/>
      <w:lvlJc w:val="left"/>
      <w:pPr>
        <w:tabs>
          <w:tab w:val="num" w:pos="306"/>
        </w:tabs>
        <w:ind w:left="306" w:hanging="360"/>
      </w:pPr>
      <w:rPr>
        <w:rFonts w:ascii="Courier New" w:hAnsi="Courier New" w:cs="Times New Roman" w:hint="default"/>
      </w:rPr>
    </w:lvl>
    <w:lvl w:ilvl="2" w:tplc="FD9ABC6A">
      <w:numFmt w:val="bullet"/>
      <w:lvlText w:val="-"/>
      <w:lvlJc w:val="left"/>
      <w:pPr>
        <w:tabs>
          <w:tab w:val="num" w:pos="1401"/>
        </w:tabs>
        <w:ind w:left="1401" w:hanging="735"/>
      </w:pPr>
      <w:rPr>
        <w:rFonts w:ascii="Barclays Serif" w:eastAsia="Times New Roman" w:hAnsi="Barclays Serif" w:cs="Times New Roman" w:hint="default"/>
      </w:rPr>
    </w:lvl>
    <w:lvl w:ilvl="3" w:tplc="E4EA755C">
      <w:start w:val="1"/>
      <w:numFmt w:val="decimal"/>
      <w:lvlText w:val="%4."/>
      <w:lvlJc w:val="left"/>
      <w:pPr>
        <w:tabs>
          <w:tab w:val="num" w:pos="2880"/>
        </w:tabs>
        <w:ind w:left="2880" w:hanging="360"/>
      </w:pPr>
    </w:lvl>
    <w:lvl w:ilvl="4" w:tplc="D1F41078">
      <w:start w:val="1"/>
      <w:numFmt w:val="decimal"/>
      <w:lvlText w:val="%5."/>
      <w:lvlJc w:val="left"/>
      <w:pPr>
        <w:tabs>
          <w:tab w:val="num" w:pos="3600"/>
        </w:tabs>
        <w:ind w:left="3600" w:hanging="360"/>
      </w:pPr>
    </w:lvl>
    <w:lvl w:ilvl="5" w:tplc="2658602E">
      <w:start w:val="1"/>
      <w:numFmt w:val="decimal"/>
      <w:lvlText w:val="%6."/>
      <w:lvlJc w:val="left"/>
      <w:pPr>
        <w:tabs>
          <w:tab w:val="num" w:pos="4320"/>
        </w:tabs>
        <w:ind w:left="4320" w:hanging="360"/>
      </w:pPr>
    </w:lvl>
    <w:lvl w:ilvl="6" w:tplc="328C959A">
      <w:start w:val="1"/>
      <w:numFmt w:val="decimal"/>
      <w:lvlText w:val="%7."/>
      <w:lvlJc w:val="left"/>
      <w:pPr>
        <w:tabs>
          <w:tab w:val="num" w:pos="5040"/>
        </w:tabs>
        <w:ind w:left="5040" w:hanging="360"/>
      </w:pPr>
    </w:lvl>
    <w:lvl w:ilvl="7" w:tplc="E16A5C2E">
      <w:start w:val="1"/>
      <w:numFmt w:val="decimal"/>
      <w:lvlText w:val="%8."/>
      <w:lvlJc w:val="left"/>
      <w:pPr>
        <w:tabs>
          <w:tab w:val="num" w:pos="5760"/>
        </w:tabs>
        <w:ind w:left="5760" w:hanging="360"/>
      </w:pPr>
    </w:lvl>
    <w:lvl w:ilvl="8" w:tplc="E90CF4D6">
      <w:start w:val="1"/>
      <w:numFmt w:val="decimal"/>
      <w:lvlText w:val="%9."/>
      <w:lvlJc w:val="left"/>
      <w:pPr>
        <w:tabs>
          <w:tab w:val="num" w:pos="6480"/>
        </w:tabs>
        <w:ind w:left="6480" w:hanging="360"/>
      </w:pPr>
    </w:lvl>
  </w:abstractNum>
  <w:abstractNum w:abstractNumId="33">
    <w:nsid w:val="00000023"/>
    <w:multiLevelType w:val="hybridMultilevel"/>
    <w:tmpl w:val="2A94FDDA"/>
    <w:lvl w:ilvl="0" w:tplc="789C5BC2">
      <w:start w:val="1"/>
      <w:numFmt w:val="decimal"/>
      <w:lvlText w:val="%1"/>
      <w:lvlJc w:val="left"/>
      <w:pPr>
        <w:ind w:left="720" w:hanging="360"/>
      </w:pPr>
      <w:rPr>
        <w:rFonts w:hint="default"/>
        <w:sz w:val="14"/>
        <w:szCs w:val="14"/>
      </w:rPr>
    </w:lvl>
    <w:lvl w:ilvl="1" w:tplc="ADBC898A" w:tentative="1">
      <w:start w:val="1"/>
      <w:numFmt w:val="lowerLetter"/>
      <w:lvlText w:val="%2."/>
      <w:lvlJc w:val="left"/>
      <w:pPr>
        <w:ind w:left="1440" w:hanging="360"/>
      </w:pPr>
    </w:lvl>
    <w:lvl w:ilvl="2" w:tplc="0F2A0A96" w:tentative="1">
      <w:start w:val="1"/>
      <w:numFmt w:val="lowerRoman"/>
      <w:lvlText w:val="%3."/>
      <w:lvlJc w:val="right"/>
      <w:pPr>
        <w:ind w:left="2160" w:hanging="180"/>
      </w:pPr>
    </w:lvl>
    <w:lvl w:ilvl="3" w:tplc="7CEE5280" w:tentative="1">
      <w:start w:val="1"/>
      <w:numFmt w:val="decimal"/>
      <w:lvlText w:val="%4."/>
      <w:lvlJc w:val="left"/>
      <w:pPr>
        <w:ind w:left="2880" w:hanging="360"/>
      </w:pPr>
    </w:lvl>
    <w:lvl w:ilvl="4" w:tplc="4D5E92A4" w:tentative="1">
      <w:start w:val="1"/>
      <w:numFmt w:val="lowerLetter"/>
      <w:lvlText w:val="%5."/>
      <w:lvlJc w:val="left"/>
      <w:pPr>
        <w:ind w:left="3600" w:hanging="360"/>
      </w:pPr>
    </w:lvl>
    <w:lvl w:ilvl="5" w:tplc="18E6B026" w:tentative="1">
      <w:start w:val="1"/>
      <w:numFmt w:val="lowerRoman"/>
      <w:lvlText w:val="%6."/>
      <w:lvlJc w:val="right"/>
      <w:pPr>
        <w:ind w:left="4320" w:hanging="180"/>
      </w:pPr>
    </w:lvl>
    <w:lvl w:ilvl="6" w:tplc="40E601A8" w:tentative="1">
      <w:start w:val="1"/>
      <w:numFmt w:val="decimal"/>
      <w:lvlText w:val="%7."/>
      <w:lvlJc w:val="left"/>
      <w:pPr>
        <w:ind w:left="5040" w:hanging="360"/>
      </w:pPr>
    </w:lvl>
    <w:lvl w:ilvl="7" w:tplc="C10A2C72" w:tentative="1">
      <w:start w:val="1"/>
      <w:numFmt w:val="lowerLetter"/>
      <w:lvlText w:val="%8."/>
      <w:lvlJc w:val="left"/>
      <w:pPr>
        <w:ind w:left="5760" w:hanging="360"/>
      </w:pPr>
    </w:lvl>
    <w:lvl w:ilvl="8" w:tplc="77CAF71C" w:tentative="1">
      <w:start w:val="1"/>
      <w:numFmt w:val="lowerRoman"/>
      <w:lvlText w:val="%9."/>
      <w:lvlJc w:val="right"/>
      <w:pPr>
        <w:ind w:left="6480" w:hanging="180"/>
      </w:pPr>
    </w:lvl>
  </w:abstractNum>
  <w:abstractNum w:abstractNumId="34">
    <w:nsid w:val="00000024"/>
    <w:multiLevelType w:val="hybridMultilevel"/>
    <w:tmpl w:val="B4DAA854"/>
    <w:lvl w:ilvl="0" w:tplc="D2CEE8F0">
      <w:start w:val="1"/>
      <w:numFmt w:val="bullet"/>
      <w:pStyle w:val="Level1Bullet-BarcRA40001"/>
      <w:lvlText w:val=""/>
      <w:lvlJc w:val="left"/>
      <w:pPr>
        <w:tabs>
          <w:tab w:val="num" w:pos="284"/>
        </w:tabs>
        <w:ind w:left="284" w:hanging="284"/>
      </w:pPr>
      <w:rPr>
        <w:rFonts w:ascii="Wingdings 2" w:hAnsi="Wingdings 2" w:hint="default"/>
        <w:b w:val="0"/>
        <w:i w:val="0"/>
        <w:color w:val="auto"/>
        <w:spacing w:val="0"/>
        <w:w w:val="100"/>
        <w:position w:val="0"/>
        <w:sz w:val="18"/>
      </w:rPr>
    </w:lvl>
    <w:lvl w:ilvl="1" w:tplc="D1E4D7E4">
      <w:start w:val="1"/>
      <w:numFmt w:val="bullet"/>
      <w:lvlText w:val="o"/>
      <w:lvlJc w:val="left"/>
      <w:pPr>
        <w:tabs>
          <w:tab w:val="num" w:pos="306"/>
        </w:tabs>
        <w:ind w:left="306" w:hanging="360"/>
      </w:pPr>
      <w:rPr>
        <w:rFonts w:ascii="Courier New" w:hAnsi="Courier New" w:cs="Times New Roman" w:hint="default"/>
      </w:rPr>
    </w:lvl>
    <w:lvl w:ilvl="2" w:tplc="D50E1096">
      <w:numFmt w:val="bullet"/>
      <w:lvlText w:val="-"/>
      <w:lvlJc w:val="left"/>
      <w:pPr>
        <w:tabs>
          <w:tab w:val="num" w:pos="1401"/>
        </w:tabs>
        <w:ind w:left="1401" w:hanging="735"/>
      </w:pPr>
      <w:rPr>
        <w:rFonts w:ascii="Barclays Serif" w:eastAsia="Times New Roman" w:hAnsi="Barclays Serif" w:hint="default"/>
      </w:rPr>
    </w:lvl>
    <w:lvl w:ilvl="3" w:tplc="C6CE7442">
      <w:start w:val="1"/>
      <w:numFmt w:val="decimal"/>
      <w:lvlText w:val="%4."/>
      <w:lvlJc w:val="left"/>
      <w:pPr>
        <w:tabs>
          <w:tab w:val="num" w:pos="2880"/>
        </w:tabs>
        <w:ind w:left="2880" w:hanging="360"/>
      </w:pPr>
      <w:rPr>
        <w:rFonts w:cs="Times New Roman"/>
      </w:rPr>
    </w:lvl>
    <w:lvl w:ilvl="4" w:tplc="7160FDF2">
      <w:start w:val="1"/>
      <w:numFmt w:val="decimal"/>
      <w:lvlText w:val="%5."/>
      <w:lvlJc w:val="left"/>
      <w:pPr>
        <w:tabs>
          <w:tab w:val="num" w:pos="3600"/>
        </w:tabs>
        <w:ind w:left="3600" w:hanging="360"/>
      </w:pPr>
      <w:rPr>
        <w:rFonts w:cs="Times New Roman"/>
      </w:rPr>
    </w:lvl>
    <w:lvl w:ilvl="5" w:tplc="DF926ECE">
      <w:start w:val="1"/>
      <w:numFmt w:val="decimal"/>
      <w:lvlText w:val="%6."/>
      <w:lvlJc w:val="left"/>
      <w:pPr>
        <w:tabs>
          <w:tab w:val="num" w:pos="4320"/>
        </w:tabs>
        <w:ind w:left="4320" w:hanging="360"/>
      </w:pPr>
      <w:rPr>
        <w:rFonts w:cs="Times New Roman"/>
      </w:rPr>
    </w:lvl>
    <w:lvl w:ilvl="6" w:tplc="47948624">
      <w:start w:val="1"/>
      <w:numFmt w:val="decimal"/>
      <w:lvlText w:val="%7."/>
      <w:lvlJc w:val="left"/>
      <w:pPr>
        <w:tabs>
          <w:tab w:val="num" w:pos="5040"/>
        </w:tabs>
        <w:ind w:left="5040" w:hanging="360"/>
      </w:pPr>
      <w:rPr>
        <w:rFonts w:cs="Times New Roman"/>
      </w:rPr>
    </w:lvl>
    <w:lvl w:ilvl="7" w:tplc="BA3E8D6C">
      <w:start w:val="1"/>
      <w:numFmt w:val="decimal"/>
      <w:lvlText w:val="%8."/>
      <w:lvlJc w:val="left"/>
      <w:pPr>
        <w:tabs>
          <w:tab w:val="num" w:pos="5760"/>
        </w:tabs>
        <w:ind w:left="5760" w:hanging="360"/>
      </w:pPr>
      <w:rPr>
        <w:rFonts w:cs="Times New Roman"/>
      </w:rPr>
    </w:lvl>
    <w:lvl w:ilvl="8" w:tplc="EAC29CFC">
      <w:start w:val="1"/>
      <w:numFmt w:val="decimal"/>
      <w:lvlText w:val="%9."/>
      <w:lvlJc w:val="left"/>
      <w:pPr>
        <w:tabs>
          <w:tab w:val="num" w:pos="6480"/>
        </w:tabs>
        <w:ind w:left="6480" w:hanging="360"/>
      </w:pPr>
      <w:rPr>
        <w:rFonts w:cs="Times New Roman"/>
      </w:rPr>
    </w:lvl>
  </w:abstractNum>
  <w:abstractNum w:abstractNumId="35">
    <w:nsid w:val="00000025"/>
    <w:multiLevelType w:val="hybridMultilevel"/>
    <w:tmpl w:val="5C6AC46C"/>
    <w:lvl w:ilvl="0" w:tplc="3850B11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265624EE">
      <w:start w:val="1"/>
      <w:numFmt w:val="bullet"/>
      <w:lvlText w:val="o"/>
      <w:lvlJc w:val="left"/>
      <w:pPr>
        <w:tabs>
          <w:tab w:val="num" w:pos="306"/>
        </w:tabs>
        <w:ind w:left="306" w:hanging="360"/>
      </w:pPr>
      <w:rPr>
        <w:rFonts w:ascii="Courier New" w:hAnsi="Courier New" w:cs="Times New Roman" w:hint="default"/>
      </w:rPr>
    </w:lvl>
    <w:lvl w:ilvl="2" w:tplc="3D9C1220">
      <w:numFmt w:val="bullet"/>
      <w:pStyle w:val="Level2Bullet-BarcRA302"/>
      <w:lvlText w:val="–"/>
      <w:lvlJc w:val="left"/>
      <w:pPr>
        <w:tabs>
          <w:tab w:val="num" w:pos="1401"/>
        </w:tabs>
        <w:ind w:left="1401" w:hanging="735"/>
      </w:pPr>
      <w:rPr>
        <w:rFonts w:ascii="Arial" w:eastAsia="Times New Roman" w:hAnsi="Arial" w:cs="Times New Roman" w:hint="default"/>
      </w:rPr>
    </w:lvl>
    <w:lvl w:ilvl="3" w:tplc="D4EAA164">
      <w:start w:val="1"/>
      <w:numFmt w:val="decimal"/>
      <w:lvlText w:val="%4."/>
      <w:lvlJc w:val="left"/>
      <w:pPr>
        <w:tabs>
          <w:tab w:val="num" w:pos="2880"/>
        </w:tabs>
        <w:ind w:left="2880" w:hanging="360"/>
      </w:pPr>
    </w:lvl>
    <w:lvl w:ilvl="4" w:tplc="262A831C">
      <w:start w:val="1"/>
      <w:numFmt w:val="decimal"/>
      <w:lvlText w:val="%5."/>
      <w:lvlJc w:val="left"/>
      <w:pPr>
        <w:tabs>
          <w:tab w:val="num" w:pos="3600"/>
        </w:tabs>
        <w:ind w:left="3600" w:hanging="360"/>
      </w:pPr>
    </w:lvl>
    <w:lvl w:ilvl="5" w:tplc="274E6562">
      <w:start w:val="1"/>
      <w:numFmt w:val="decimal"/>
      <w:lvlText w:val="%6."/>
      <w:lvlJc w:val="left"/>
      <w:pPr>
        <w:tabs>
          <w:tab w:val="num" w:pos="4320"/>
        </w:tabs>
        <w:ind w:left="4320" w:hanging="360"/>
      </w:pPr>
    </w:lvl>
    <w:lvl w:ilvl="6" w:tplc="F4A05EB8">
      <w:start w:val="1"/>
      <w:numFmt w:val="decimal"/>
      <w:lvlText w:val="%7."/>
      <w:lvlJc w:val="left"/>
      <w:pPr>
        <w:tabs>
          <w:tab w:val="num" w:pos="5040"/>
        </w:tabs>
        <w:ind w:left="5040" w:hanging="360"/>
      </w:pPr>
    </w:lvl>
    <w:lvl w:ilvl="7" w:tplc="2EC0CB70">
      <w:start w:val="1"/>
      <w:numFmt w:val="decimal"/>
      <w:lvlText w:val="%8."/>
      <w:lvlJc w:val="left"/>
      <w:pPr>
        <w:tabs>
          <w:tab w:val="num" w:pos="5760"/>
        </w:tabs>
        <w:ind w:left="5760" w:hanging="360"/>
      </w:pPr>
    </w:lvl>
    <w:lvl w:ilvl="8" w:tplc="FDBA5808">
      <w:start w:val="1"/>
      <w:numFmt w:val="decimal"/>
      <w:lvlText w:val="%9."/>
      <w:lvlJc w:val="left"/>
      <w:pPr>
        <w:tabs>
          <w:tab w:val="num" w:pos="6480"/>
        </w:tabs>
        <w:ind w:left="6480" w:hanging="360"/>
      </w:pPr>
    </w:lvl>
  </w:abstractNum>
  <w:abstractNum w:abstractNumId="36">
    <w:nsid w:val="00000027"/>
    <w:multiLevelType w:val="hybridMultilevel"/>
    <w:tmpl w:val="B4DAA854"/>
    <w:lvl w:ilvl="0" w:tplc="262CBD60">
      <w:start w:val="1"/>
      <w:numFmt w:val="bullet"/>
      <w:pStyle w:val="Level1Bullet-BarcRA400000"/>
      <w:lvlText w:val=""/>
      <w:lvlJc w:val="left"/>
      <w:pPr>
        <w:tabs>
          <w:tab w:val="num" w:pos="284"/>
        </w:tabs>
        <w:ind w:left="284" w:hanging="284"/>
      </w:pPr>
      <w:rPr>
        <w:rFonts w:ascii="Wingdings 2" w:hAnsi="Wingdings 2" w:hint="default"/>
        <w:b w:val="0"/>
        <w:i w:val="0"/>
        <w:color w:val="auto"/>
        <w:spacing w:val="0"/>
        <w:w w:val="100"/>
        <w:position w:val="0"/>
        <w:sz w:val="18"/>
      </w:rPr>
    </w:lvl>
    <w:lvl w:ilvl="1" w:tplc="A998DA70">
      <w:start w:val="1"/>
      <w:numFmt w:val="bullet"/>
      <w:lvlText w:val="o"/>
      <w:lvlJc w:val="left"/>
      <w:pPr>
        <w:tabs>
          <w:tab w:val="num" w:pos="306"/>
        </w:tabs>
        <w:ind w:left="306" w:hanging="360"/>
      </w:pPr>
      <w:rPr>
        <w:rFonts w:ascii="Courier New" w:hAnsi="Courier New" w:cs="Times New Roman" w:hint="default"/>
      </w:rPr>
    </w:lvl>
    <w:lvl w:ilvl="2" w:tplc="9CF04C82">
      <w:numFmt w:val="bullet"/>
      <w:lvlText w:val="-"/>
      <w:lvlJc w:val="left"/>
      <w:pPr>
        <w:tabs>
          <w:tab w:val="num" w:pos="1401"/>
        </w:tabs>
        <w:ind w:left="1401" w:hanging="735"/>
      </w:pPr>
      <w:rPr>
        <w:rFonts w:ascii="Barclays Serif" w:eastAsia="Times New Roman" w:hAnsi="Barclays Serif" w:hint="default"/>
      </w:rPr>
    </w:lvl>
    <w:lvl w:ilvl="3" w:tplc="A8DEFB8C">
      <w:start w:val="1"/>
      <w:numFmt w:val="decimal"/>
      <w:lvlText w:val="%4."/>
      <w:lvlJc w:val="left"/>
      <w:pPr>
        <w:tabs>
          <w:tab w:val="num" w:pos="2880"/>
        </w:tabs>
        <w:ind w:left="2880" w:hanging="360"/>
      </w:pPr>
      <w:rPr>
        <w:rFonts w:cs="Times New Roman"/>
      </w:rPr>
    </w:lvl>
    <w:lvl w:ilvl="4" w:tplc="AF3AD94E">
      <w:start w:val="1"/>
      <w:numFmt w:val="decimal"/>
      <w:lvlText w:val="%5."/>
      <w:lvlJc w:val="left"/>
      <w:pPr>
        <w:tabs>
          <w:tab w:val="num" w:pos="3600"/>
        </w:tabs>
        <w:ind w:left="3600" w:hanging="360"/>
      </w:pPr>
      <w:rPr>
        <w:rFonts w:cs="Times New Roman"/>
      </w:rPr>
    </w:lvl>
    <w:lvl w:ilvl="5" w:tplc="006EBAF2">
      <w:start w:val="1"/>
      <w:numFmt w:val="decimal"/>
      <w:lvlText w:val="%6."/>
      <w:lvlJc w:val="left"/>
      <w:pPr>
        <w:tabs>
          <w:tab w:val="num" w:pos="4320"/>
        </w:tabs>
        <w:ind w:left="4320" w:hanging="360"/>
      </w:pPr>
      <w:rPr>
        <w:rFonts w:cs="Times New Roman"/>
      </w:rPr>
    </w:lvl>
    <w:lvl w:ilvl="6" w:tplc="6DBE9198">
      <w:start w:val="1"/>
      <w:numFmt w:val="decimal"/>
      <w:lvlText w:val="%7."/>
      <w:lvlJc w:val="left"/>
      <w:pPr>
        <w:tabs>
          <w:tab w:val="num" w:pos="5040"/>
        </w:tabs>
        <w:ind w:left="5040" w:hanging="360"/>
      </w:pPr>
      <w:rPr>
        <w:rFonts w:cs="Times New Roman"/>
      </w:rPr>
    </w:lvl>
    <w:lvl w:ilvl="7" w:tplc="03C4B344">
      <w:start w:val="1"/>
      <w:numFmt w:val="decimal"/>
      <w:lvlText w:val="%8."/>
      <w:lvlJc w:val="left"/>
      <w:pPr>
        <w:tabs>
          <w:tab w:val="num" w:pos="5760"/>
        </w:tabs>
        <w:ind w:left="5760" w:hanging="360"/>
      </w:pPr>
      <w:rPr>
        <w:rFonts w:cs="Times New Roman"/>
      </w:rPr>
    </w:lvl>
    <w:lvl w:ilvl="8" w:tplc="B3AC8468">
      <w:start w:val="1"/>
      <w:numFmt w:val="decimal"/>
      <w:lvlText w:val="%9."/>
      <w:lvlJc w:val="left"/>
      <w:pPr>
        <w:tabs>
          <w:tab w:val="num" w:pos="6480"/>
        </w:tabs>
        <w:ind w:left="6480" w:hanging="360"/>
      </w:pPr>
      <w:rPr>
        <w:rFonts w:cs="Times New Roman"/>
      </w:rPr>
    </w:lvl>
  </w:abstractNum>
  <w:abstractNum w:abstractNumId="37">
    <w:nsid w:val="00000028"/>
    <w:multiLevelType w:val="hybridMultilevel"/>
    <w:tmpl w:val="B2E8E736"/>
    <w:lvl w:ilvl="0" w:tplc="4A2E19A8">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8452DA9A">
      <w:start w:val="1"/>
      <w:numFmt w:val="bullet"/>
      <w:lvlText w:val="o"/>
      <w:lvlJc w:val="left"/>
      <w:pPr>
        <w:tabs>
          <w:tab w:val="num" w:pos="306"/>
        </w:tabs>
        <w:ind w:left="306" w:hanging="360"/>
      </w:pPr>
      <w:rPr>
        <w:rFonts w:ascii="Courier New" w:hAnsi="Courier New" w:cs="Times New Roman" w:hint="default"/>
      </w:rPr>
    </w:lvl>
    <w:lvl w:ilvl="2" w:tplc="DBE8D008">
      <w:numFmt w:val="bullet"/>
      <w:pStyle w:val="Level2Bullet-BarcRA3011"/>
      <w:lvlText w:val="–"/>
      <w:lvlJc w:val="left"/>
      <w:pPr>
        <w:tabs>
          <w:tab w:val="num" w:pos="1401"/>
        </w:tabs>
        <w:ind w:left="1401" w:hanging="735"/>
      </w:pPr>
      <w:rPr>
        <w:rFonts w:ascii="Arial" w:eastAsia="Times New Roman" w:hAnsi="Arial" w:cs="Times New Roman" w:hint="default"/>
      </w:rPr>
    </w:lvl>
    <w:lvl w:ilvl="3" w:tplc="5D9A59FA">
      <w:start w:val="1"/>
      <w:numFmt w:val="decimal"/>
      <w:lvlText w:val="%4."/>
      <w:lvlJc w:val="left"/>
      <w:pPr>
        <w:tabs>
          <w:tab w:val="num" w:pos="2880"/>
        </w:tabs>
        <w:ind w:left="2880" w:hanging="360"/>
      </w:pPr>
    </w:lvl>
    <w:lvl w:ilvl="4" w:tplc="1CE4B8A0">
      <w:start w:val="1"/>
      <w:numFmt w:val="decimal"/>
      <w:lvlText w:val="%5."/>
      <w:lvlJc w:val="left"/>
      <w:pPr>
        <w:tabs>
          <w:tab w:val="num" w:pos="3600"/>
        </w:tabs>
        <w:ind w:left="3600" w:hanging="360"/>
      </w:pPr>
    </w:lvl>
    <w:lvl w:ilvl="5" w:tplc="7AD6F36E">
      <w:start w:val="1"/>
      <w:numFmt w:val="decimal"/>
      <w:lvlText w:val="%6."/>
      <w:lvlJc w:val="left"/>
      <w:pPr>
        <w:tabs>
          <w:tab w:val="num" w:pos="4320"/>
        </w:tabs>
        <w:ind w:left="4320" w:hanging="360"/>
      </w:pPr>
    </w:lvl>
    <w:lvl w:ilvl="6" w:tplc="457E3E5E">
      <w:start w:val="1"/>
      <w:numFmt w:val="decimal"/>
      <w:lvlText w:val="%7."/>
      <w:lvlJc w:val="left"/>
      <w:pPr>
        <w:tabs>
          <w:tab w:val="num" w:pos="5040"/>
        </w:tabs>
        <w:ind w:left="5040" w:hanging="360"/>
      </w:pPr>
    </w:lvl>
    <w:lvl w:ilvl="7" w:tplc="2FA64052">
      <w:start w:val="1"/>
      <w:numFmt w:val="decimal"/>
      <w:lvlText w:val="%8."/>
      <w:lvlJc w:val="left"/>
      <w:pPr>
        <w:tabs>
          <w:tab w:val="num" w:pos="5760"/>
        </w:tabs>
        <w:ind w:left="5760" w:hanging="360"/>
      </w:pPr>
    </w:lvl>
    <w:lvl w:ilvl="8" w:tplc="E24879C2">
      <w:start w:val="1"/>
      <w:numFmt w:val="decimal"/>
      <w:lvlText w:val="%9."/>
      <w:lvlJc w:val="left"/>
      <w:pPr>
        <w:tabs>
          <w:tab w:val="num" w:pos="6480"/>
        </w:tabs>
        <w:ind w:left="6480" w:hanging="360"/>
      </w:pPr>
    </w:lvl>
  </w:abstractNum>
  <w:abstractNum w:abstractNumId="38">
    <w:nsid w:val="0000002A"/>
    <w:multiLevelType w:val="hybridMultilevel"/>
    <w:tmpl w:val="5C6AC46C"/>
    <w:lvl w:ilvl="0" w:tplc="C1DE12EC">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2724FEAA">
      <w:start w:val="1"/>
      <w:numFmt w:val="bullet"/>
      <w:lvlText w:val="o"/>
      <w:lvlJc w:val="left"/>
      <w:pPr>
        <w:tabs>
          <w:tab w:val="num" w:pos="306"/>
        </w:tabs>
        <w:ind w:left="306" w:hanging="360"/>
      </w:pPr>
      <w:rPr>
        <w:rFonts w:ascii="Courier New" w:hAnsi="Courier New" w:cs="Times New Roman" w:hint="default"/>
      </w:rPr>
    </w:lvl>
    <w:lvl w:ilvl="2" w:tplc="508447C4">
      <w:numFmt w:val="bullet"/>
      <w:pStyle w:val="Level2Bullet-BarcRA303"/>
      <w:lvlText w:val="–"/>
      <w:lvlJc w:val="left"/>
      <w:pPr>
        <w:tabs>
          <w:tab w:val="num" w:pos="1401"/>
        </w:tabs>
        <w:ind w:left="1401" w:hanging="735"/>
      </w:pPr>
      <w:rPr>
        <w:rFonts w:ascii="Arial" w:eastAsia="Times New Roman" w:hAnsi="Arial" w:cs="Times New Roman" w:hint="default"/>
      </w:rPr>
    </w:lvl>
    <w:lvl w:ilvl="3" w:tplc="B5DA1636">
      <w:start w:val="1"/>
      <w:numFmt w:val="decimal"/>
      <w:lvlText w:val="%4."/>
      <w:lvlJc w:val="left"/>
      <w:pPr>
        <w:tabs>
          <w:tab w:val="num" w:pos="2880"/>
        </w:tabs>
        <w:ind w:left="2880" w:hanging="360"/>
      </w:pPr>
    </w:lvl>
    <w:lvl w:ilvl="4" w:tplc="83D63F58">
      <w:start w:val="1"/>
      <w:numFmt w:val="decimal"/>
      <w:lvlText w:val="%5."/>
      <w:lvlJc w:val="left"/>
      <w:pPr>
        <w:tabs>
          <w:tab w:val="num" w:pos="3600"/>
        </w:tabs>
        <w:ind w:left="3600" w:hanging="360"/>
      </w:pPr>
    </w:lvl>
    <w:lvl w:ilvl="5" w:tplc="820A4322">
      <w:start w:val="1"/>
      <w:numFmt w:val="decimal"/>
      <w:lvlText w:val="%6."/>
      <w:lvlJc w:val="left"/>
      <w:pPr>
        <w:tabs>
          <w:tab w:val="num" w:pos="4320"/>
        </w:tabs>
        <w:ind w:left="4320" w:hanging="360"/>
      </w:pPr>
    </w:lvl>
    <w:lvl w:ilvl="6" w:tplc="D79C23A8">
      <w:start w:val="1"/>
      <w:numFmt w:val="decimal"/>
      <w:lvlText w:val="%7."/>
      <w:lvlJc w:val="left"/>
      <w:pPr>
        <w:tabs>
          <w:tab w:val="num" w:pos="5040"/>
        </w:tabs>
        <w:ind w:left="5040" w:hanging="360"/>
      </w:pPr>
    </w:lvl>
    <w:lvl w:ilvl="7" w:tplc="566E4A0C">
      <w:start w:val="1"/>
      <w:numFmt w:val="decimal"/>
      <w:lvlText w:val="%8."/>
      <w:lvlJc w:val="left"/>
      <w:pPr>
        <w:tabs>
          <w:tab w:val="num" w:pos="5760"/>
        </w:tabs>
        <w:ind w:left="5760" w:hanging="360"/>
      </w:pPr>
    </w:lvl>
    <w:lvl w:ilvl="8" w:tplc="13028A8E">
      <w:start w:val="1"/>
      <w:numFmt w:val="decimal"/>
      <w:lvlText w:val="%9."/>
      <w:lvlJc w:val="left"/>
      <w:pPr>
        <w:tabs>
          <w:tab w:val="num" w:pos="6480"/>
        </w:tabs>
        <w:ind w:left="6480" w:hanging="360"/>
      </w:pPr>
    </w:lvl>
  </w:abstractNum>
  <w:abstractNum w:abstractNumId="39">
    <w:nsid w:val="0000002B"/>
    <w:multiLevelType w:val="hybridMultilevel"/>
    <w:tmpl w:val="2A94FDDA"/>
    <w:lvl w:ilvl="0" w:tplc="AF085018">
      <w:start w:val="1"/>
      <w:numFmt w:val="decimal"/>
      <w:lvlText w:val="%1"/>
      <w:lvlJc w:val="left"/>
      <w:pPr>
        <w:ind w:left="720" w:hanging="360"/>
      </w:pPr>
      <w:rPr>
        <w:rFonts w:hint="default"/>
        <w:sz w:val="14"/>
        <w:szCs w:val="14"/>
      </w:rPr>
    </w:lvl>
    <w:lvl w:ilvl="1" w:tplc="04D0220A" w:tentative="1">
      <w:start w:val="1"/>
      <w:numFmt w:val="lowerLetter"/>
      <w:lvlText w:val="%2."/>
      <w:lvlJc w:val="left"/>
      <w:pPr>
        <w:ind w:left="1440" w:hanging="360"/>
      </w:pPr>
    </w:lvl>
    <w:lvl w:ilvl="2" w:tplc="4006AE76" w:tentative="1">
      <w:start w:val="1"/>
      <w:numFmt w:val="lowerRoman"/>
      <w:lvlText w:val="%3."/>
      <w:lvlJc w:val="right"/>
      <w:pPr>
        <w:ind w:left="2160" w:hanging="180"/>
      </w:pPr>
    </w:lvl>
    <w:lvl w:ilvl="3" w:tplc="8C46BB32" w:tentative="1">
      <w:start w:val="1"/>
      <w:numFmt w:val="decimal"/>
      <w:lvlText w:val="%4."/>
      <w:lvlJc w:val="left"/>
      <w:pPr>
        <w:ind w:left="2880" w:hanging="360"/>
      </w:pPr>
    </w:lvl>
    <w:lvl w:ilvl="4" w:tplc="0E52C534" w:tentative="1">
      <w:start w:val="1"/>
      <w:numFmt w:val="lowerLetter"/>
      <w:lvlText w:val="%5."/>
      <w:lvlJc w:val="left"/>
      <w:pPr>
        <w:ind w:left="3600" w:hanging="360"/>
      </w:pPr>
    </w:lvl>
    <w:lvl w:ilvl="5" w:tplc="D3F03450" w:tentative="1">
      <w:start w:val="1"/>
      <w:numFmt w:val="lowerRoman"/>
      <w:lvlText w:val="%6."/>
      <w:lvlJc w:val="right"/>
      <w:pPr>
        <w:ind w:left="4320" w:hanging="180"/>
      </w:pPr>
    </w:lvl>
    <w:lvl w:ilvl="6" w:tplc="4CF6E4B8" w:tentative="1">
      <w:start w:val="1"/>
      <w:numFmt w:val="decimal"/>
      <w:lvlText w:val="%7."/>
      <w:lvlJc w:val="left"/>
      <w:pPr>
        <w:ind w:left="5040" w:hanging="360"/>
      </w:pPr>
    </w:lvl>
    <w:lvl w:ilvl="7" w:tplc="0374BC7E" w:tentative="1">
      <w:start w:val="1"/>
      <w:numFmt w:val="lowerLetter"/>
      <w:lvlText w:val="%8."/>
      <w:lvlJc w:val="left"/>
      <w:pPr>
        <w:ind w:left="5760" w:hanging="360"/>
      </w:pPr>
    </w:lvl>
    <w:lvl w:ilvl="8" w:tplc="CFAC749E" w:tentative="1">
      <w:start w:val="1"/>
      <w:numFmt w:val="lowerRoman"/>
      <w:lvlText w:val="%9."/>
      <w:lvlJc w:val="right"/>
      <w:pPr>
        <w:ind w:left="6480" w:hanging="180"/>
      </w:pPr>
    </w:lvl>
  </w:abstractNum>
  <w:abstractNum w:abstractNumId="40">
    <w:nsid w:val="0000002C"/>
    <w:multiLevelType w:val="hybridMultilevel"/>
    <w:tmpl w:val="B4DAA854"/>
    <w:lvl w:ilvl="0" w:tplc="07021D7E">
      <w:start w:val="1"/>
      <w:numFmt w:val="bullet"/>
      <w:pStyle w:val="Level1Bullet-BarcRA2030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CF380CB6">
      <w:start w:val="1"/>
      <w:numFmt w:val="bullet"/>
      <w:lvlText w:val="o"/>
      <w:lvlJc w:val="left"/>
      <w:pPr>
        <w:tabs>
          <w:tab w:val="num" w:pos="306"/>
        </w:tabs>
        <w:ind w:left="306" w:hanging="360"/>
      </w:pPr>
      <w:rPr>
        <w:rFonts w:ascii="Courier New" w:hAnsi="Courier New" w:cs="Times New Roman" w:hint="default"/>
      </w:rPr>
    </w:lvl>
    <w:lvl w:ilvl="2" w:tplc="05222876">
      <w:numFmt w:val="bullet"/>
      <w:lvlText w:val="-"/>
      <w:lvlJc w:val="left"/>
      <w:pPr>
        <w:tabs>
          <w:tab w:val="num" w:pos="1401"/>
        </w:tabs>
        <w:ind w:left="1401" w:hanging="735"/>
      </w:pPr>
      <w:rPr>
        <w:rFonts w:ascii="Barclays Serif" w:eastAsia="Times New Roman" w:hAnsi="Barclays Serif" w:cs="Times New Roman" w:hint="default"/>
      </w:rPr>
    </w:lvl>
    <w:lvl w:ilvl="3" w:tplc="8CA89B5E">
      <w:start w:val="1"/>
      <w:numFmt w:val="decimal"/>
      <w:lvlText w:val="%4."/>
      <w:lvlJc w:val="left"/>
      <w:pPr>
        <w:tabs>
          <w:tab w:val="num" w:pos="2880"/>
        </w:tabs>
        <w:ind w:left="2880" w:hanging="360"/>
      </w:pPr>
    </w:lvl>
    <w:lvl w:ilvl="4" w:tplc="0D9ED162">
      <w:start w:val="1"/>
      <w:numFmt w:val="decimal"/>
      <w:lvlText w:val="%5."/>
      <w:lvlJc w:val="left"/>
      <w:pPr>
        <w:tabs>
          <w:tab w:val="num" w:pos="3600"/>
        </w:tabs>
        <w:ind w:left="3600" w:hanging="360"/>
      </w:pPr>
    </w:lvl>
    <w:lvl w:ilvl="5" w:tplc="1BCCA708">
      <w:start w:val="1"/>
      <w:numFmt w:val="decimal"/>
      <w:lvlText w:val="%6."/>
      <w:lvlJc w:val="left"/>
      <w:pPr>
        <w:tabs>
          <w:tab w:val="num" w:pos="4320"/>
        </w:tabs>
        <w:ind w:left="4320" w:hanging="360"/>
      </w:pPr>
    </w:lvl>
    <w:lvl w:ilvl="6" w:tplc="5E66F59C">
      <w:start w:val="1"/>
      <w:numFmt w:val="decimal"/>
      <w:lvlText w:val="%7."/>
      <w:lvlJc w:val="left"/>
      <w:pPr>
        <w:tabs>
          <w:tab w:val="num" w:pos="5040"/>
        </w:tabs>
        <w:ind w:left="5040" w:hanging="360"/>
      </w:pPr>
    </w:lvl>
    <w:lvl w:ilvl="7" w:tplc="1E12E508">
      <w:start w:val="1"/>
      <w:numFmt w:val="decimal"/>
      <w:lvlText w:val="%8."/>
      <w:lvlJc w:val="left"/>
      <w:pPr>
        <w:tabs>
          <w:tab w:val="num" w:pos="5760"/>
        </w:tabs>
        <w:ind w:left="5760" w:hanging="360"/>
      </w:pPr>
    </w:lvl>
    <w:lvl w:ilvl="8" w:tplc="29DE6D1A">
      <w:start w:val="1"/>
      <w:numFmt w:val="decimal"/>
      <w:lvlText w:val="%9."/>
      <w:lvlJc w:val="left"/>
      <w:pPr>
        <w:tabs>
          <w:tab w:val="num" w:pos="6480"/>
        </w:tabs>
        <w:ind w:left="6480" w:hanging="360"/>
      </w:pPr>
    </w:lvl>
  </w:abstractNum>
  <w:abstractNum w:abstractNumId="41">
    <w:nsid w:val="0000002D"/>
    <w:multiLevelType w:val="hybridMultilevel"/>
    <w:tmpl w:val="19A4091A"/>
    <w:lvl w:ilvl="0" w:tplc="6F56A60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B93A819C">
      <w:start w:val="1"/>
      <w:numFmt w:val="bullet"/>
      <w:lvlText w:val="o"/>
      <w:lvlJc w:val="left"/>
      <w:pPr>
        <w:tabs>
          <w:tab w:val="num" w:pos="306"/>
        </w:tabs>
        <w:ind w:left="306" w:hanging="360"/>
      </w:pPr>
      <w:rPr>
        <w:rFonts w:ascii="Courier New" w:hAnsi="Courier New" w:cs="Times New Roman" w:hint="default"/>
      </w:rPr>
    </w:lvl>
    <w:lvl w:ilvl="2" w:tplc="BBB6C512">
      <w:numFmt w:val="bullet"/>
      <w:pStyle w:val="Level2Bullet-BarcRA304"/>
      <w:lvlText w:val="–"/>
      <w:lvlJc w:val="left"/>
      <w:pPr>
        <w:tabs>
          <w:tab w:val="num" w:pos="1401"/>
        </w:tabs>
        <w:ind w:left="1401" w:hanging="735"/>
      </w:pPr>
      <w:rPr>
        <w:rFonts w:ascii="Arial" w:eastAsia="Times New Roman" w:hAnsi="Arial" w:cs="Times New Roman" w:hint="default"/>
      </w:rPr>
    </w:lvl>
    <w:lvl w:ilvl="3" w:tplc="00062926">
      <w:start w:val="1"/>
      <w:numFmt w:val="decimal"/>
      <w:lvlText w:val="%4."/>
      <w:lvlJc w:val="left"/>
      <w:pPr>
        <w:tabs>
          <w:tab w:val="num" w:pos="2880"/>
        </w:tabs>
        <w:ind w:left="2880" w:hanging="360"/>
      </w:pPr>
    </w:lvl>
    <w:lvl w:ilvl="4" w:tplc="E7FAFAD8">
      <w:start w:val="1"/>
      <w:numFmt w:val="decimal"/>
      <w:lvlText w:val="%5."/>
      <w:lvlJc w:val="left"/>
      <w:pPr>
        <w:tabs>
          <w:tab w:val="num" w:pos="3600"/>
        </w:tabs>
        <w:ind w:left="3600" w:hanging="360"/>
      </w:pPr>
    </w:lvl>
    <w:lvl w:ilvl="5" w:tplc="D9148A9E">
      <w:start w:val="1"/>
      <w:numFmt w:val="decimal"/>
      <w:lvlText w:val="%6."/>
      <w:lvlJc w:val="left"/>
      <w:pPr>
        <w:tabs>
          <w:tab w:val="num" w:pos="4320"/>
        </w:tabs>
        <w:ind w:left="4320" w:hanging="360"/>
      </w:pPr>
    </w:lvl>
    <w:lvl w:ilvl="6" w:tplc="6A5AA09A">
      <w:start w:val="1"/>
      <w:numFmt w:val="decimal"/>
      <w:lvlText w:val="%7."/>
      <w:lvlJc w:val="left"/>
      <w:pPr>
        <w:tabs>
          <w:tab w:val="num" w:pos="5040"/>
        </w:tabs>
        <w:ind w:left="5040" w:hanging="360"/>
      </w:pPr>
    </w:lvl>
    <w:lvl w:ilvl="7" w:tplc="A880D222">
      <w:start w:val="1"/>
      <w:numFmt w:val="decimal"/>
      <w:lvlText w:val="%8."/>
      <w:lvlJc w:val="left"/>
      <w:pPr>
        <w:tabs>
          <w:tab w:val="num" w:pos="5760"/>
        </w:tabs>
        <w:ind w:left="5760" w:hanging="360"/>
      </w:pPr>
    </w:lvl>
    <w:lvl w:ilvl="8" w:tplc="E308682C">
      <w:start w:val="1"/>
      <w:numFmt w:val="decimal"/>
      <w:lvlText w:val="%9."/>
      <w:lvlJc w:val="left"/>
      <w:pPr>
        <w:tabs>
          <w:tab w:val="num" w:pos="6480"/>
        </w:tabs>
        <w:ind w:left="6480" w:hanging="360"/>
      </w:pPr>
    </w:lvl>
  </w:abstractNum>
  <w:abstractNum w:abstractNumId="42">
    <w:nsid w:val="0000002E"/>
    <w:multiLevelType w:val="hybridMultilevel"/>
    <w:tmpl w:val="B4DAA854"/>
    <w:lvl w:ilvl="0" w:tplc="7FFA2A7A">
      <w:start w:val="1"/>
      <w:numFmt w:val="bullet"/>
      <w:pStyle w:val="Level1Bullet-BarcRA203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CF42C48">
      <w:start w:val="1"/>
      <w:numFmt w:val="bullet"/>
      <w:lvlText w:val="o"/>
      <w:lvlJc w:val="left"/>
      <w:pPr>
        <w:tabs>
          <w:tab w:val="num" w:pos="306"/>
        </w:tabs>
        <w:ind w:left="306" w:hanging="360"/>
      </w:pPr>
      <w:rPr>
        <w:rFonts w:ascii="Courier New" w:hAnsi="Courier New" w:cs="Times New Roman" w:hint="default"/>
      </w:rPr>
    </w:lvl>
    <w:lvl w:ilvl="2" w:tplc="12CEAC16">
      <w:numFmt w:val="bullet"/>
      <w:lvlText w:val="-"/>
      <w:lvlJc w:val="left"/>
      <w:pPr>
        <w:tabs>
          <w:tab w:val="num" w:pos="1401"/>
        </w:tabs>
        <w:ind w:left="1401" w:hanging="735"/>
      </w:pPr>
      <w:rPr>
        <w:rFonts w:ascii="Barclays Serif" w:eastAsia="Times New Roman" w:hAnsi="Barclays Serif" w:cs="Times New Roman" w:hint="default"/>
      </w:rPr>
    </w:lvl>
    <w:lvl w:ilvl="3" w:tplc="786A07C2">
      <w:start w:val="1"/>
      <w:numFmt w:val="decimal"/>
      <w:lvlText w:val="%4."/>
      <w:lvlJc w:val="left"/>
      <w:pPr>
        <w:tabs>
          <w:tab w:val="num" w:pos="2880"/>
        </w:tabs>
        <w:ind w:left="2880" w:hanging="360"/>
      </w:pPr>
    </w:lvl>
    <w:lvl w:ilvl="4" w:tplc="1FD0BB4E">
      <w:start w:val="1"/>
      <w:numFmt w:val="decimal"/>
      <w:lvlText w:val="%5."/>
      <w:lvlJc w:val="left"/>
      <w:pPr>
        <w:tabs>
          <w:tab w:val="num" w:pos="3600"/>
        </w:tabs>
        <w:ind w:left="3600" w:hanging="360"/>
      </w:pPr>
    </w:lvl>
    <w:lvl w:ilvl="5" w:tplc="15F84288">
      <w:start w:val="1"/>
      <w:numFmt w:val="decimal"/>
      <w:lvlText w:val="%6."/>
      <w:lvlJc w:val="left"/>
      <w:pPr>
        <w:tabs>
          <w:tab w:val="num" w:pos="4320"/>
        </w:tabs>
        <w:ind w:left="4320" w:hanging="360"/>
      </w:pPr>
    </w:lvl>
    <w:lvl w:ilvl="6" w:tplc="EB6401F8">
      <w:start w:val="1"/>
      <w:numFmt w:val="decimal"/>
      <w:lvlText w:val="%7."/>
      <w:lvlJc w:val="left"/>
      <w:pPr>
        <w:tabs>
          <w:tab w:val="num" w:pos="5040"/>
        </w:tabs>
        <w:ind w:left="5040" w:hanging="360"/>
      </w:pPr>
    </w:lvl>
    <w:lvl w:ilvl="7" w:tplc="0A4E8B9A">
      <w:start w:val="1"/>
      <w:numFmt w:val="decimal"/>
      <w:lvlText w:val="%8."/>
      <w:lvlJc w:val="left"/>
      <w:pPr>
        <w:tabs>
          <w:tab w:val="num" w:pos="5760"/>
        </w:tabs>
        <w:ind w:left="5760" w:hanging="360"/>
      </w:pPr>
    </w:lvl>
    <w:lvl w:ilvl="8" w:tplc="134CAD88">
      <w:start w:val="1"/>
      <w:numFmt w:val="decimal"/>
      <w:lvlText w:val="%9."/>
      <w:lvlJc w:val="left"/>
      <w:pPr>
        <w:tabs>
          <w:tab w:val="num" w:pos="6480"/>
        </w:tabs>
        <w:ind w:left="6480" w:hanging="360"/>
      </w:pPr>
    </w:lvl>
  </w:abstractNum>
  <w:abstractNum w:abstractNumId="43">
    <w:nsid w:val="0000002F"/>
    <w:multiLevelType w:val="hybridMultilevel"/>
    <w:tmpl w:val="B242450A"/>
    <w:lvl w:ilvl="0" w:tplc="E4B46948">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0C44B1A">
      <w:start w:val="1"/>
      <w:numFmt w:val="bullet"/>
      <w:lvlText w:val="o"/>
      <w:lvlJc w:val="left"/>
      <w:pPr>
        <w:tabs>
          <w:tab w:val="num" w:pos="306"/>
        </w:tabs>
        <w:ind w:left="306" w:hanging="360"/>
      </w:pPr>
      <w:rPr>
        <w:rFonts w:ascii="Courier New" w:hAnsi="Courier New" w:cs="Times New Roman" w:hint="default"/>
      </w:rPr>
    </w:lvl>
    <w:lvl w:ilvl="2" w:tplc="9FB0A2F4">
      <w:numFmt w:val="bullet"/>
      <w:pStyle w:val="Level2Bullet-BarcRA3000"/>
      <w:lvlText w:val="–"/>
      <w:lvlJc w:val="left"/>
      <w:pPr>
        <w:tabs>
          <w:tab w:val="num" w:pos="1401"/>
        </w:tabs>
        <w:ind w:left="1401" w:hanging="735"/>
      </w:pPr>
      <w:rPr>
        <w:rFonts w:ascii="Arial" w:eastAsia="Times New Roman" w:hAnsi="Arial" w:cs="Times New Roman" w:hint="default"/>
      </w:rPr>
    </w:lvl>
    <w:lvl w:ilvl="3" w:tplc="D1F412CC">
      <w:start w:val="1"/>
      <w:numFmt w:val="decimal"/>
      <w:lvlText w:val="%4."/>
      <w:lvlJc w:val="left"/>
      <w:pPr>
        <w:tabs>
          <w:tab w:val="num" w:pos="2880"/>
        </w:tabs>
        <w:ind w:left="2880" w:hanging="360"/>
      </w:pPr>
    </w:lvl>
    <w:lvl w:ilvl="4" w:tplc="998E5B68">
      <w:start w:val="1"/>
      <w:numFmt w:val="decimal"/>
      <w:lvlText w:val="%5."/>
      <w:lvlJc w:val="left"/>
      <w:pPr>
        <w:tabs>
          <w:tab w:val="num" w:pos="3600"/>
        </w:tabs>
        <w:ind w:left="3600" w:hanging="360"/>
      </w:pPr>
    </w:lvl>
    <w:lvl w:ilvl="5" w:tplc="FC76CA92">
      <w:start w:val="1"/>
      <w:numFmt w:val="decimal"/>
      <w:lvlText w:val="%6."/>
      <w:lvlJc w:val="left"/>
      <w:pPr>
        <w:tabs>
          <w:tab w:val="num" w:pos="4320"/>
        </w:tabs>
        <w:ind w:left="4320" w:hanging="360"/>
      </w:pPr>
    </w:lvl>
    <w:lvl w:ilvl="6" w:tplc="DA825EAA">
      <w:start w:val="1"/>
      <w:numFmt w:val="decimal"/>
      <w:lvlText w:val="%7."/>
      <w:lvlJc w:val="left"/>
      <w:pPr>
        <w:tabs>
          <w:tab w:val="num" w:pos="5040"/>
        </w:tabs>
        <w:ind w:left="5040" w:hanging="360"/>
      </w:pPr>
    </w:lvl>
    <w:lvl w:ilvl="7" w:tplc="366C18AC">
      <w:start w:val="1"/>
      <w:numFmt w:val="decimal"/>
      <w:lvlText w:val="%8."/>
      <w:lvlJc w:val="left"/>
      <w:pPr>
        <w:tabs>
          <w:tab w:val="num" w:pos="5760"/>
        </w:tabs>
        <w:ind w:left="5760" w:hanging="360"/>
      </w:pPr>
    </w:lvl>
    <w:lvl w:ilvl="8" w:tplc="F4502C66">
      <w:start w:val="1"/>
      <w:numFmt w:val="decimal"/>
      <w:lvlText w:val="%9."/>
      <w:lvlJc w:val="left"/>
      <w:pPr>
        <w:tabs>
          <w:tab w:val="num" w:pos="6480"/>
        </w:tabs>
        <w:ind w:left="6480" w:hanging="360"/>
      </w:pPr>
    </w:lvl>
  </w:abstractNum>
  <w:abstractNum w:abstractNumId="44">
    <w:nsid w:val="00000030"/>
    <w:multiLevelType w:val="hybridMultilevel"/>
    <w:tmpl w:val="2A94FDDA"/>
    <w:lvl w:ilvl="0" w:tplc="433492C2">
      <w:start w:val="1"/>
      <w:numFmt w:val="decimal"/>
      <w:lvlText w:val="%1"/>
      <w:lvlJc w:val="left"/>
      <w:pPr>
        <w:ind w:left="720" w:hanging="360"/>
      </w:pPr>
      <w:rPr>
        <w:rFonts w:hint="default"/>
        <w:sz w:val="14"/>
        <w:szCs w:val="14"/>
      </w:rPr>
    </w:lvl>
    <w:lvl w:ilvl="1" w:tplc="9AF898F8" w:tentative="1">
      <w:start w:val="1"/>
      <w:numFmt w:val="lowerLetter"/>
      <w:lvlText w:val="%2."/>
      <w:lvlJc w:val="left"/>
      <w:pPr>
        <w:ind w:left="1440" w:hanging="360"/>
      </w:pPr>
    </w:lvl>
    <w:lvl w:ilvl="2" w:tplc="E0EC7EB4" w:tentative="1">
      <w:start w:val="1"/>
      <w:numFmt w:val="lowerRoman"/>
      <w:lvlText w:val="%3."/>
      <w:lvlJc w:val="right"/>
      <w:pPr>
        <w:ind w:left="2160" w:hanging="180"/>
      </w:pPr>
    </w:lvl>
    <w:lvl w:ilvl="3" w:tplc="3E42DC3A" w:tentative="1">
      <w:start w:val="1"/>
      <w:numFmt w:val="decimal"/>
      <w:lvlText w:val="%4."/>
      <w:lvlJc w:val="left"/>
      <w:pPr>
        <w:ind w:left="2880" w:hanging="360"/>
      </w:pPr>
    </w:lvl>
    <w:lvl w:ilvl="4" w:tplc="6046E9E2" w:tentative="1">
      <w:start w:val="1"/>
      <w:numFmt w:val="lowerLetter"/>
      <w:lvlText w:val="%5."/>
      <w:lvlJc w:val="left"/>
      <w:pPr>
        <w:ind w:left="3600" w:hanging="360"/>
      </w:pPr>
    </w:lvl>
    <w:lvl w:ilvl="5" w:tplc="3D16F57C" w:tentative="1">
      <w:start w:val="1"/>
      <w:numFmt w:val="lowerRoman"/>
      <w:lvlText w:val="%6."/>
      <w:lvlJc w:val="right"/>
      <w:pPr>
        <w:ind w:left="4320" w:hanging="180"/>
      </w:pPr>
    </w:lvl>
    <w:lvl w:ilvl="6" w:tplc="55449C42" w:tentative="1">
      <w:start w:val="1"/>
      <w:numFmt w:val="decimal"/>
      <w:lvlText w:val="%7."/>
      <w:lvlJc w:val="left"/>
      <w:pPr>
        <w:ind w:left="5040" w:hanging="360"/>
      </w:pPr>
    </w:lvl>
    <w:lvl w:ilvl="7" w:tplc="0ABABC36" w:tentative="1">
      <w:start w:val="1"/>
      <w:numFmt w:val="lowerLetter"/>
      <w:lvlText w:val="%8."/>
      <w:lvlJc w:val="left"/>
      <w:pPr>
        <w:ind w:left="5760" w:hanging="360"/>
      </w:pPr>
    </w:lvl>
    <w:lvl w:ilvl="8" w:tplc="D83AB7A6" w:tentative="1">
      <w:start w:val="1"/>
      <w:numFmt w:val="lowerRoman"/>
      <w:lvlText w:val="%9."/>
      <w:lvlJc w:val="right"/>
      <w:pPr>
        <w:ind w:left="6480" w:hanging="180"/>
      </w:pPr>
    </w:lvl>
  </w:abstractNum>
  <w:abstractNum w:abstractNumId="45">
    <w:nsid w:val="00000031"/>
    <w:multiLevelType w:val="hybridMultilevel"/>
    <w:tmpl w:val="B4DAA854"/>
    <w:lvl w:ilvl="0" w:tplc="4C1E7F0A">
      <w:start w:val="1"/>
      <w:numFmt w:val="bullet"/>
      <w:pStyle w:val="Level1Bullet-BarcRA7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35FE989A">
      <w:start w:val="1"/>
      <w:numFmt w:val="bullet"/>
      <w:lvlText w:val="o"/>
      <w:lvlJc w:val="left"/>
      <w:pPr>
        <w:tabs>
          <w:tab w:val="num" w:pos="306"/>
        </w:tabs>
        <w:ind w:left="306" w:hanging="360"/>
      </w:pPr>
      <w:rPr>
        <w:rFonts w:ascii="Courier New" w:hAnsi="Courier New" w:cs="Times New Roman" w:hint="default"/>
      </w:rPr>
    </w:lvl>
    <w:lvl w:ilvl="2" w:tplc="B37659CA">
      <w:numFmt w:val="bullet"/>
      <w:lvlText w:val="-"/>
      <w:lvlJc w:val="left"/>
      <w:pPr>
        <w:tabs>
          <w:tab w:val="num" w:pos="1401"/>
        </w:tabs>
        <w:ind w:left="1401" w:hanging="735"/>
      </w:pPr>
      <w:rPr>
        <w:rFonts w:ascii="Barclays Serif" w:eastAsia="Times New Roman" w:hAnsi="Barclays Serif" w:cs="Times New Roman" w:hint="default"/>
      </w:rPr>
    </w:lvl>
    <w:lvl w:ilvl="3" w:tplc="FE46810E">
      <w:start w:val="1"/>
      <w:numFmt w:val="decimal"/>
      <w:lvlText w:val="%4."/>
      <w:lvlJc w:val="left"/>
      <w:pPr>
        <w:tabs>
          <w:tab w:val="num" w:pos="2880"/>
        </w:tabs>
        <w:ind w:left="2880" w:hanging="360"/>
      </w:pPr>
    </w:lvl>
    <w:lvl w:ilvl="4" w:tplc="5C907E12">
      <w:start w:val="1"/>
      <w:numFmt w:val="decimal"/>
      <w:lvlText w:val="%5."/>
      <w:lvlJc w:val="left"/>
      <w:pPr>
        <w:tabs>
          <w:tab w:val="num" w:pos="3600"/>
        </w:tabs>
        <w:ind w:left="3600" w:hanging="360"/>
      </w:pPr>
    </w:lvl>
    <w:lvl w:ilvl="5" w:tplc="191CB7DC">
      <w:start w:val="1"/>
      <w:numFmt w:val="decimal"/>
      <w:lvlText w:val="%6."/>
      <w:lvlJc w:val="left"/>
      <w:pPr>
        <w:tabs>
          <w:tab w:val="num" w:pos="4320"/>
        </w:tabs>
        <w:ind w:left="4320" w:hanging="360"/>
      </w:pPr>
    </w:lvl>
    <w:lvl w:ilvl="6" w:tplc="F06AD9D2">
      <w:start w:val="1"/>
      <w:numFmt w:val="decimal"/>
      <w:lvlText w:val="%7."/>
      <w:lvlJc w:val="left"/>
      <w:pPr>
        <w:tabs>
          <w:tab w:val="num" w:pos="5040"/>
        </w:tabs>
        <w:ind w:left="5040" w:hanging="360"/>
      </w:pPr>
    </w:lvl>
    <w:lvl w:ilvl="7" w:tplc="F2B25F36">
      <w:start w:val="1"/>
      <w:numFmt w:val="decimal"/>
      <w:lvlText w:val="%8."/>
      <w:lvlJc w:val="left"/>
      <w:pPr>
        <w:tabs>
          <w:tab w:val="num" w:pos="5760"/>
        </w:tabs>
        <w:ind w:left="5760" w:hanging="360"/>
      </w:pPr>
    </w:lvl>
    <w:lvl w:ilvl="8" w:tplc="224E6674">
      <w:start w:val="1"/>
      <w:numFmt w:val="decimal"/>
      <w:lvlText w:val="%9."/>
      <w:lvlJc w:val="left"/>
      <w:pPr>
        <w:tabs>
          <w:tab w:val="num" w:pos="6480"/>
        </w:tabs>
        <w:ind w:left="6480" w:hanging="360"/>
      </w:pPr>
    </w:lvl>
  </w:abstractNum>
  <w:abstractNum w:abstractNumId="46">
    <w:nsid w:val="00000032"/>
    <w:multiLevelType w:val="hybridMultilevel"/>
    <w:tmpl w:val="B2E8E736"/>
    <w:lvl w:ilvl="0" w:tplc="1C78B152">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4765D7C">
      <w:start w:val="1"/>
      <w:numFmt w:val="bullet"/>
      <w:lvlText w:val="o"/>
      <w:lvlJc w:val="left"/>
      <w:pPr>
        <w:tabs>
          <w:tab w:val="num" w:pos="306"/>
        </w:tabs>
        <w:ind w:left="306" w:hanging="360"/>
      </w:pPr>
      <w:rPr>
        <w:rFonts w:ascii="Courier New" w:hAnsi="Courier New" w:hint="default"/>
      </w:rPr>
    </w:lvl>
    <w:lvl w:ilvl="2" w:tplc="D7C64728">
      <w:numFmt w:val="bullet"/>
      <w:pStyle w:val="Level2Bullet-BarcRA3"/>
      <w:lvlText w:val="–"/>
      <w:lvlJc w:val="left"/>
      <w:pPr>
        <w:tabs>
          <w:tab w:val="num" w:pos="1401"/>
        </w:tabs>
        <w:ind w:left="1401" w:hanging="735"/>
      </w:pPr>
      <w:rPr>
        <w:rFonts w:ascii="Arial" w:eastAsia="Times New Roman" w:hAnsi="Arial" w:hint="default"/>
      </w:rPr>
    </w:lvl>
    <w:lvl w:ilvl="3" w:tplc="481CBF5C">
      <w:start w:val="1"/>
      <w:numFmt w:val="bullet"/>
      <w:lvlText w:val=""/>
      <w:lvlJc w:val="left"/>
      <w:pPr>
        <w:tabs>
          <w:tab w:val="num" w:pos="1746"/>
        </w:tabs>
        <w:ind w:left="1746" w:hanging="360"/>
      </w:pPr>
      <w:rPr>
        <w:rFonts w:ascii="Symbol" w:hAnsi="Symbol" w:hint="default"/>
      </w:rPr>
    </w:lvl>
    <w:lvl w:ilvl="4" w:tplc="D53601E2" w:tentative="1">
      <w:start w:val="1"/>
      <w:numFmt w:val="bullet"/>
      <w:lvlText w:val="o"/>
      <w:lvlJc w:val="left"/>
      <w:pPr>
        <w:tabs>
          <w:tab w:val="num" w:pos="2466"/>
        </w:tabs>
        <w:ind w:left="2466" w:hanging="360"/>
      </w:pPr>
      <w:rPr>
        <w:rFonts w:ascii="Courier New" w:hAnsi="Courier New" w:hint="default"/>
      </w:rPr>
    </w:lvl>
    <w:lvl w:ilvl="5" w:tplc="B4C45908" w:tentative="1">
      <w:start w:val="1"/>
      <w:numFmt w:val="bullet"/>
      <w:lvlText w:val=""/>
      <w:lvlJc w:val="left"/>
      <w:pPr>
        <w:tabs>
          <w:tab w:val="num" w:pos="3186"/>
        </w:tabs>
        <w:ind w:left="3186" w:hanging="360"/>
      </w:pPr>
      <w:rPr>
        <w:rFonts w:ascii="Wingdings" w:hAnsi="Wingdings" w:hint="default"/>
      </w:rPr>
    </w:lvl>
    <w:lvl w:ilvl="6" w:tplc="E8580ADE" w:tentative="1">
      <w:start w:val="1"/>
      <w:numFmt w:val="bullet"/>
      <w:lvlText w:val=""/>
      <w:lvlJc w:val="left"/>
      <w:pPr>
        <w:tabs>
          <w:tab w:val="num" w:pos="3906"/>
        </w:tabs>
        <w:ind w:left="3906" w:hanging="360"/>
      </w:pPr>
      <w:rPr>
        <w:rFonts w:ascii="Symbol" w:hAnsi="Symbol" w:hint="default"/>
      </w:rPr>
    </w:lvl>
    <w:lvl w:ilvl="7" w:tplc="41B4FF14" w:tentative="1">
      <w:start w:val="1"/>
      <w:numFmt w:val="bullet"/>
      <w:lvlText w:val="o"/>
      <w:lvlJc w:val="left"/>
      <w:pPr>
        <w:tabs>
          <w:tab w:val="num" w:pos="4626"/>
        </w:tabs>
        <w:ind w:left="4626" w:hanging="360"/>
      </w:pPr>
      <w:rPr>
        <w:rFonts w:ascii="Courier New" w:hAnsi="Courier New" w:hint="default"/>
      </w:rPr>
    </w:lvl>
    <w:lvl w:ilvl="8" w:tplc="3990CAB8" w:tentative="1">
      <w:start w:val="1"/>
      <w:numFmt w:val="bullet"/>
      <w:lvlText w:val=""/>
      <w:lvlJc w:val="left"/>
      <w:pPr>
        <w:tabs>
          <w:tab w:val="num" w:pos="5346"/>
        </w:tabs>
        <w:ind w:left="5346" w:hanging="360"/>
      </w:pPr>
      <w:rPr>
        <w:rFonts w:ascii="Wingdings" w:hAnsi="Wingdings" w:hint="default"/>
      </w:rPr>
    </w:lvl>
  </w:abstractNum>
  <w:abstractNum w:abstractNumId="47">
    <w:nsid w:val="00000033"/>
    <w:multiLevelType w:val="hybridMultilevel"/>
    <w:tmpl w:val="B4DAA854"/>
    <w:lvl w:ilvl="0" w:tplc="44142DB0">
      <w:start w:val="1"/>
      <w:numFmt w:val="bullet"/>
      <w:pStyle w:val="Level1Bullet-BarcRA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086AD5C">
      <w:start w:val="1"/>
      <w:numFmt w:val="bullet"/>
      <w:lvlText w:val="o"/>
      <w:lvlJc w:val="left"/>
      <w:pPr>
        <w:tabs>
          <w:tab w:val="num" w:pos="306"/>
        </w:tabs>
        <w:ind w:left="306" w:hanging="360"/>
      </w:pPr>
      <w:rPr>
        <w:rFonts w:ascii="Courier New" w:hAnsi="Courier New" w:hint="default"/>
      </w:rPr>
    </w:lvl>
    <w:lvl w:ilvl="2" w:tplc="181C2DDE">
      <w:numFmt w:val="bullet"/>
      <w:lvlText w:val="-"/>
      <w:lvlJc w:val="left"/>
      <w:pPr>
        <w:tabs>
          <w:tab w:val="num" w:pos="1401"/>
        </w:tabs>
        <w:ind w:left="1401" w:hanging="735"/>
      </w:pPr>
      <w:rPr>
        <w:rFonts w:ascii="Barclays Serif" w:eastAsia="Times New Roman" w:hAnsi="Barclays Serif" w:cs="Times New Roman" w:hint="default"/>
      </w:rPr>
    </w:lvl>
    <w:lvl w:ilvl="3" w:tplc="EB3AD44E" w:tentative="1">
      <w:start w:val="1"/>
      <w:numFmt w:val="bullet"/>
      <w:lvlText w:val=""/>
      <w:lvlJc w:val="left"/>
      <w:pPr>
        <w:tabs>
          <w:tab w:val="num" w:pos="1746"/>
        </w:tabs>
        <w:ind w:left="1746" w:hanging="360"/>
      </w:pPr>
      <w:rPr>
        <w:rFonts w:ascii="Symbol" w:hAnsi="Symbol" w:hint="default"/>
      </w:rPr>
    </w:lvl>
    <w:lvl w:ilvl="4" w:tplc="57B8A6D6" w:tentative="1">
      <w:start w:val="1"/>
      <w:numFmt w:val="bullet"/>
      <w:lvlText w:val="o"/>
      <w:lvlJc w:val="left"/>
      <w:pPr>
        <w:tabs>
          <w:tab w:val="num" w:pos="2466"/>
        </w:tabs>
        <w:ind w:left="2466" w:hanging="360"/>
      </w:pPr>
      <w:rPr>
        <w:rFonts w:ascii="Courier New" w:hAnsi="Courier New" w:hint="default"/>
      </w:rPr>
    </w:lvl>
    <w:lvl w:ilvl="5" w:tplc="ECF4FA22" w:tentative="1">
      <w:start w:val="1"/>
      <w:numFmt w:val="bullet"/>
      <w:lvlText w:val=""/>
      <w:lvlJc w:val="left"/>
      <w:pPr>
        <w:tabs>
          <w:tab w:val="num" w:pos="3186"/>
        </w:tabs>
        <w:ind w:left="3186" w:hanging="360"/>
      </w:pPr>
      <w:rPr>
        <w:rFonts w:ascii="Wingdings" w:hAnsi="Wingdings" w:hint="default"/>
      </w:rPr>
    </w:lvl>
    <w:lvl w:ilvl="6" w:tplc="7340CB3A" w:tentative="1">
      <w:start w:val="1"/>
      <w:numFmt w:val="bullet"/>
      <w:lvlText w:val=""/>
      <w:lvlJc w:val="left"/>
      <w:pPr>
        <w:tabs>
          <w:tab w:val="num" w:pos="3906"/>
        </w:tabs>
        <w:ind w:left="3906" w:hanging="360"/>
      </w:pPr>
      <w:rPr>
        <w:rFonts w:ascii="Symbol" w:hAnsi="Symbol" w:hint="default"/>
      </w:rPr>
    </w:lvl>
    <w:lvl w:ilvl="7" w:tplc="2EBEBD4E" w:tentative="1">
      <w:start w:val="1"/>
      <w:numFmt w:val="bullet"/>
      <w:lvlText w:val="o"/>
      <w:lvlJc w:val="left"/>
      <w:pPr>
        <w:tabs>
          <w:tab w:val="num" w:pos="4626"/>
        </w:tabs>
        <w:ind w:left="4626" w:hanging="360"/>
      </w:pPr>
      <w:rPr>
        <w:rFonts w:ascii="Courier New" w:hAnsi="Courier New" w:hint="default"/>
      </w:rPr>
    </w:lvl>
    <w:lvl w:ilvl="8" w:tplc="E620E462" w:tentative="1">
      <w:start w:val="1"/>
      <w:numFmt w:val="bullet"/>
      <w:lvlText w:val=""/>
      <w:lvlJc w:val="left"/>
      <w:pPr>
        <w:tabs>
          <w:tab w:val="num" w:pos="5346"/>
        </w:tabs>
        <w:ind w:left="5346" w:hanging="360"/>
      </w:pPr>
      <w:rPr>
        <w:rFonts w:ascii="Wingdings" w:hAnsi="Wingdings" w:hint="default"/>
      </w:rPr>
    </w:lvl>
  </w:abstractNum>
  <w:abstractNum w:abstractNumId="48">
    <w:nsid w:val="00000034"/>
    <w:multiLevelType w:val="hybridMultilevel"/>
    <w:tmpl w:val="D28CFBA0"/>
    <w:lvl w:ilvl="0" w:tplc="4AC49F8C">
      <w:start w:val="1"/>
      <w:numFmt w:val="decimal"/>
      <w:lvlText w:val="%1"/>
      <w:lvlJc w:val="left"/>
      <w:pPr>
        <w:ind w:left="720" w:hanging="360"/>
      </w:pPr>
    </w:lvl>
    <w:lvl w:ilvl="1" w:tplc="3686235C">
      <w:start w:val="1"/>
      <w:numFmt w:val="decimal"/>
      <w:lvlText w:val="%2."/>
      <w:lvlJc w:val="left"/>
      <w:pPr>
        <w:tabs>
          <w:tab w:val="num" w:pos="1440"/>
        </w:tabs>
        <w:ind w:left="1440" w:hanging="360"/>
      </w:pPr>
    </w:lvl>
    <w:lvl w:ilvl="2" w:tplc="EB723CFE">
      <w:start w:val="1"/>
      <w:numFmt w:val="lowerRoman"/>
      <w:lvlText w:val="%3."/>
      <w:lvlJc w:val="right"/>
      <w:pPr>
        <w:ind w:left="2160" w:hanging="180"/>
      </w:pPr>
    </w:lvl>
    <w:lvl w:ilvl="3" w:tplc="62F6EFC0">
      <w:start w:val="1"/>
      <w:numFmt w:val="decimal"/>
      <w:lvlText w:val="%4."/>
      <w:lvlJc w:val="left"/>
      <w:pPr>
        <w:tabs>
          <w:tab w:val="num" w:pos="2880"/>
        </w:tabs>
        <w:ind w:left="2880" w:hanging="360"/>
      </w:pPr>
    </w:lvl>
    <w:lvl w:ilvl="4" w:tplc="539296F8">
      <w:start w:val="1"/>
      <w:numFmt w:val="decimal"/>
      <w:lvlText w:val="%5."/>
      <w:lvlJc w:val="left"/>
      <w:pPr>
        <w:tabs>
          <w:tab w:val="num" w:pos="3600"/>
        </w:tabs>
        <w:ind w:left="3600" w:hanging="360"/>
      </w:pPr>
    </w:lvl>
    <w:lvl w:ilvl="5" w:tplc="4A16B9F0">
      <w:start w:val="1"/>
      <w:numFmt w:val="decimal"/>
      <w:lvlText w:val="%6."/>
      <w:lvlJc w:val="left"/>
      <w:pPr>
        <w:tabs>
          <w:tab w:val="num" w:pos="4320"/>
        </w:tabs>
        <w:ind w:left="4320" w:hanging="360"/>
      </w:pPr>
    </w:lvl>
    <w:lvl w:ilvl="6" w:tplc="A0881592">
      <w:start w:val="1"/>
      <w:numFmt w:val="decimal"/>
      <w:lvlText w:val="%7."/>
      <w:lvlJc w:val="left"/>
      <w:pPr>
        <w:tabs>
          <w:tab w:val="num" w:pos="5040"/>
        </w:tabs>
        <w:ind w:left="5040" w:hanging="360"/>
      </w:pPr>
    </w:lvl>
    <w:lvl w:ilvl="7" w:tplc="D44E36D2">
      <w:start w:val="1"/>
      <w:numFmt w:val="decimal"/>
      <w:lvlText w:val="%8."/>
      <w:lvlJc w:val="left"/>
      <w:pPr>
        <w:tabs>
          <w:tab w:val="num" w:pos="5760"/>
        </w:tabs>
        <w:ind w:left="5760" w:hanging="360"/>
      </w:pPr>
    </w:lvl>
    <w:lvl w:ilvl="8" w:tplc="63E6E052">
      <w:start w:val="1"/>
      <w:numFmt w:val="decimal"/>
      <w:lvlText w:val="%9."/>
      <w:lvlJc w:val="left"/>
      <w:pPr>
        <w:tabs>
          <w:tab w:val="num" w:pos="6480"/>
        </w:tabs>
        <w:ind w:left="6480" w:hanging="360"/>
      </w:pPr>
    </w:lvl>
  </w:abstractNum>
  <w:abstractNum w:abstractNumId="49">
    <w:nsid w:val="00000035"/>
    <w:multiLevelType w:val="hybridMultilevel"/>
    <w:tmpl w:val="B2E8E736"/>
    <w:lvl w:ilvl="0" w:tplc="10889CD6">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B5E7A44">
      <w:start w:val="1"/>
      <w:numFmt w:val="bullet"/>
      <w:lvlText w:val="o"/>
      <w:lvlJc w:val="left"/>
      <w:pPr>
        <w:tabs>
          <w:tab w:val="num" w:pos="306"/>
        </w:tabs>
        <w:ind w:left="306" w:hanging="360"/>
      </w:pPr>
      <w:rPr>
        <w:rFonts w:ascii="Courier New" w:hAnsi="Courier New" w:hint="default"/>
      </w:rPr>
    </w:lvl>
    <w:lvl w:ilvl="2" w:tplc="157A3752">
      <w:numFmt w:val="bullet"/>
      <w:pStyle w:val="Level2Bullet-BarcRA31"/>
      <w:lvlText w:val="–"/>
      <w:lvlJc w:val="left"/>
      <w:pPr>
        <w:tabs>
          <w:tab w:val="num" w:pos="1401"/>
        </w:tabs>
        <w:ind w:left="1401" w:hanging="735"/>
      </w:pPr>
      <w:rPr>
        <w:rFonts w:ascii="Arial" w:eastAsia="Times New Roman" w:hAnsi="Arial" w:hint="default"/>
      </w:rPr>
    </w:lvl>
    <w:lvl w:ilvl="3" w:tplc="9CEEEE8E" w:tentative="1">
      <w:start w:val="1"/>
      <w:numFmt w:val="bullet"/>
      <w:lvlText w:val=""/>
      <w:lvlJc w:val="left"/>
      <w:pPr>
        <w:tabs>
          <w:tab w:val="num" w:pos="1746"/>
        </w:tabs>
        <w:ind w:left="1746" w:hanging="360"/>
      </w:pPr>
      <w:rPr>
        <w:rFonts w:ascii="Symbol" w:hAnsi="Symbol" w:hint="default"/>
      </w:rPr>
    </w:lvl>
    <w:lvl w:ilvl="4" w:tplc="49C0A88E" w:tentative="1">
      <w:start w:val="1"/>
      <w:numFmt w:val="bullet"/>
      <w:lvlText w:val="o"/>
      <w:lvlJc w:val="left"/>
      <w:pPr>
        <w:tabs>
          <w:tab w:val="num" w:pos="2466"/>
        </w:tabs>
        <w:ind w:left="2466" w:hanging="360"/>
      </w:pPr>
      <w:rPr>
        <w:rFonts w:ascii="Courier New" w:hAnsi="Courier New" w:hint="default"/>
      </w:rPr>
    </w:lvl>
    <w:lvl w:ilvl="5" w:tplc="C1962E0A" w:tentative="1">
      <w:start w:val="1"/>
      <w:numFmt w:val="bullet"/>
      <w:lvlText w:val=""/>
      <w:lvlJc w:val="left"/>
      <w:pPr>
        <w:tabs>
          <w:tab w:val="num" w:pos="3186"/>
        </w:tabs>
        <w:ind w:left="3186" w:hanging="360"/>
      </w:pPr>
      <w:rPr>
        <w:rFonts w:ascii="Wingdings" w:hAnsi="Wingdings" w:hint="default"/>
      </w:rPr>
    </w:lvl>
    <w:lvl w:ilvl="6" w:tplc="87844866" w:tentative="1">
      <w:start w:val="1"/>
      <w:numFmt w:val="bullet"/>
      <w:lvlText w:val=""/>
      <w:lvlJc w:val="left"/>
      <w:pPr>
        <w:tabs>
          <w:tab w:val="num" w:pos="3906"/>
        </w:tabs>
        <w:ind w:left="3906" w:hanging="360"/>
      </w:pPr>
      <w:rPr>
        <w:rFonts w:ascii="Symbol" w:hAnsi="Symbol" w:hint="default"/>
      </w:rPr>
    </w:lvl>
    <w:lvl w:ilvl="7" w:tplc="C7A488AC" w:tentative="1">
      <w:start w:val="1"/>
      <w:numFmt w:val="bullet"/>
      <w:lvlText w:val="o"/>
      <w:lvlJc w:val="left"/>
      <w:pPr>
        <w:tabs>
          <w:tab w:val="num" w:pos="4626"/>
        </w:tabs>
        <w:ind w:left="4626" w:hanging="360"/>
      </w:pPr>
      <w:rPr>
        <w:rFonts w:ascii="Courier New" w:hAnsi="Courier New" w:hint="default"/>
      </w:rPr>
    </w:lvl>
    <w:lvl w:ilvl="8" w:tplc="ACB2A2E6" w:tentative="1">
      <w:start w:val="1"/>
      <w:numFmt w:val="bullet"/>
      <w:lvlText w:val=""/>
      <w:lvlJc w:val="left"/>
      <w:pPr>
        <w:tabs>
          <w:tab w:val="num" w:pos="5346"/>
        </w:tabs>
        <w:ind w:left="5346" w:hanging="360"/>
      </w:pPr>
      <w:rPr>
        <w:rFonts w:ascii="Wingdings" w:hAnsi="Wingdings" w:hint="default"/>
      </w:rPr>
    </w:lvl>
  </w:abstractNum>
  <w:abstractNum w:abstractNumId="50">
    <w:nsid w:val="00000036"/>
    <w:multiLevelType w:val="hybridMultilevel"/>
    <w:tmpl w:val="B4DAA854"/>
    <w:lvl w:ilvl="0" w:tplc="6CF69976">
      <w:start w:val="1"/>
      <w:numFmt w:val="bullet"/>
      <w:pStyle w:val="Level1Bullet-BarcRA7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6587168">
      <w:start w:val="1"/>
      <w:numFmt w:val="bullet"/>
      <w:lvlText w:val="o"/>
      <w:lvlJc w:val="left"/>
      <w:pPr>
        <w:tabs>
          <w:tab w:val="num" w:pos="306"/>
        </w:tabs>
        <w:ind w:left="306" w:hanging="360"/>
      </w:pPr>
      <w:rPr>
        <w:rFonts w:ascii="Courier New" w:hAnsi="Courier New" w:hint="default"/>
      </w:rPr>
    </w:lvl>
    <w:lvl w:ilvl="2" w:tplc="35489070">
      <w:numFmt w:val="bullet"/>
      <w:lvlText w:val="-"/>
      <w:lvlJc w:val="left"/>
      <w:pPr>
        <w:tabs>
          <w:tab w:val="num" w:pos="1401"/>
        </w:tabs>
        <w:ind w:left="1401" w:hanging="735"/>
      </w:pPr>
      <w:rPr>
        <w:rFonts w:ascii="Barclays Serif" w:eastAsia="Times New Roman" w:hAnsi="Barclays Serif" w:cs="Times New Roman" w:hint="default"/>
      </w:rPr>
    </w:lvl>
    <w:lvl w:ilvl="3" w:tplc="C0B472E2" w:tentative="1">
      <w:start w:val="1"/>
      <w:numFmt w:val="bullet"/>
      <w:lvlText w:val=""/>
      <w:lvlJc w:val="left"/>
      <w:pPr>
        <w:tabs>
          <w:tab w:val="num" w:pos="1746"/>
        </w:tabs>
        <w:ind w:left="1746" w:hanging="360"/>
      </w:pPr>
      <w:rPr>
        <w:rFonts w:ascii="Symbol" w:hAnsi="Symbol" w:hint="default"/>
      </w:rPr>
    </w:lvl>
    <w:lvl w:ilvl="4" w:tplc="B18E1ABC" w:tentative="1">
      <w:start w:val="1"/>
      <w:numFmt w:val="bullet"/>
      <w:lvlText w:val="o"/>
      <w:lvlJc w:val="left"/>
      <w:pPr>
        <w:tabs>
          <w:tab w:val="num" w:pos="2466"/>
        </w:tabs>
        <w:ind w:left="2466" w:hanging="360"/>
      </w:pPr>
      <w:rPr>
        <w:rFonts w:ascii="Courier New" w:hAnsi="Courier New" w:hint="default"/>
      </w:rPr>
    </w:lvl>
    <w:lvl w:ilvl="5" w:tplc="EEDAD1A2" w:tentative="1">
      <w:start w:val="1"/>
      <w:numFmt w:val="bullet"/>
      <w:lvlText w:val=""/>
      <w:lvlJc w:val="left"/>
      <w:pPr>
        <w:tabs>
          <w:tab w:val="num" w:pos="3186"/>
        </w:tabs>
        <w:ind w:left="3186" w:hanging="360"/>
      </w:pPr>
      <w:rPr>
        <w:rFonts w:ascii="Wingdings" w:hAnsi="Wingdings" w:hint="default"/>
      </w:rPr>
    </w:lvl>
    <w:lvl w:ilvl="6" w:tplc="AE466386" w:tentative="1">
      <w:start w:val="1"/>
      <w:numFmt w:val="bullet"/>
      <w:lvlText w:val=""/>
      <w:lvlJc w:val="left"/>
      <w:pPr>
        <w:tabs>
          <w:tab w:val="num" w:pos="3906"/>
        </w:tabs>
        <w:ind w:left="3906" w:hanging="360"/>
      </w:pPr>
      <w:rPr>
        <w:rFonts w:ascii="Symbol" w:hAnsi="Symbol" w:hint="default"/>
      </w:rPr>
    </w:lvl>
    <w:lvl w:ilvl="7" w:tplc="91864694" w:tentative="1">
      <w:start w:val="1"/>
      <w:numFmt w:val="bullet"/>
      <w:lvlText w:val="o"/>
      <w:lvlJc w:val="left"/>
      <w:pPr>
        <w:tabs>
          <w:tab w:val="num" w:pos="4626"/>
        </w:tabs>
        <w:ind w:left="4626" w:hanging="360"/>
      </w:pPr>
      <w:rPr>
        <w:rFonts w:ascii="Courier New" w:hAnsi="Courier New" w:hint="default"/>
      </w:rPr>
    </w:lvl>
    <w:lvl w:ilvl="8" w:tplc="ED2E7F58" w:tentative="1">
      <w:start w:val="1"/>
      <w:numFmt w:val="bullet"/>
      <w:lvlText w:val=""/>
      <w:lvlJc w:val="left"/>
      <w:pPr>
        <w:tabs>
          <w:tab w:val="num" w:pos="5346"/>
        </w:tabs>
        <w:ind w:left="5346" w:hanging="360"/>
      </w:pPr>
      <w:rPr>
        <w:rFonts w:ascii="Wingdings" w:hAnsi="Wingdings" w:hint="default"/>
      </w:rPr>
    </w:lvl>
  </w:abstractNum>
  <w:abstractNum w:abstractNumId="51">
    <w:nsid w:val="00000037"/>
    <w:multiLevelType w:val="hybridMultilevel"/>
    <w:tmpl w:val="0714C9E6"/>
    <w:lvl w:ilvl="0" w:tplc="2B8858AE">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25CBF2E" w:tentative="1">
      <w:start w:val="1"/>
      <w:numFmt w:val="bullet"/>
      <w:lvlText w:val="o"/>
      <w:lvlJc w:val="left"/>
      <w:pPr>
        <w:ind w:left="1440" w:hanging="360"/>
      </w:pPr>
      <w:rPr>
        <w:rFonts w:ascii="Courier New" w:hAnsi="Courier New" w:cs="Courier New" w:hint="default"/>
      </w:rPr>
    </w:lvl>
    <w:lvl w:ilvl="2" w:tplc="CEC86DC6" w:tentative="1">
      <w:start w:val="1"/>
      <w:numFmt w:val="bullet"/>
      <w:lvlText w:val=""/>
      <w:lvlJc w:val="left"/>
      <w:pPr>
        <w:ind w:left="2160" w:hanging="360"/>
      </w:pPr>
      <w:rPr>
        <w:rFonts w:ascii="Wingdings" w:hAnsi="Wingdings" w:hint="default"/>
      </w:rPr>
    </w:lvl>
    <w:lvl w:ilvl="3" w:tplc="CA6C43D4" w:tentative="1">
      <w:start w:val="1"/>
      <w:numFmt w:val="bullet"/>
      <w:lvlText w:val=""/>
      <w:lvlJc w:val="left"/>
      <w:pPr>
        <w:ind w:left="2880" w:hanging="360"/>
      </w:pPr>
      <w:rPr>
        <w:rFonts w:ascii="Symbol" w:hAnsi="Symbol" w:hint="default"/>
      </w:rPr>
    </w:lvl>
    <w:lvl w:ilvl="4" w:tplc="9EAA8B44" w:tentative="1">
      <w:start w:val="1"/>
      <w:numFmt w:val="bullet"/>
      <w:lvlText w:val="o"/>
      <w:lvlJc w:val="left"/>
      <w:pPr>
        <w:ind w:left="3600" w:hanging="360"/>
      </w:pPr>
      <w:rPr>
        <w:rFonts w:ascii="Courier New" w:hAnsi="Courier New" w:cs="Courier New" w:hint="default"/>
      </w:rPr>
    </w:lvl>
    <w:lvl w:ilvl="5" w:tplc="3F889DEE" w:tentative="1">
      <w:start w:val="1"/>
      <w:numFmt w:val="bullet"/>
      <w:lvlText w:val=""/>
      <w:lvlJc w:val="left"/>
      <w:pPr>
        <w:ind w:left="4320" w:hanging="360"/>
      </w:pPr>
      <w:rPr>
        <w:rFonts w:ascii="Wingdings" w:hAnsi="Wingdings" w:hint="default"/>
      </w:rPr>
    </w:lvl>
    <w:lvl w:ilvl="6" w:tplc="37066A54" w:tentative="1">
      <w:start w:val="1"/>
      <w:numFmt w:val="bullet"/>
      <w:lvlText w:val=""/>
      <w:lvlJc w:val="left"/>
      <w:pPr>
        <w:ind w:left="5040" w:hanging="360"/>
      </w:pPr>
      <w:rPr>
        <w:rFonts w:ascii="Symbol" w:hAnsi="Symbol" w:hint="default"/>
      </w:rPr>
    </w:lvl>
    <w:lvl w:ilvl="7" w:tplc="750E2032" w:tentative="1">
      <w:start w:val="1"/>
      <w:numFmt w:val="bullet"/>
      <w:lvlText w:val="o"/>
      <w:lvlJc w:val="left"/>
      <w:pPr>
        <w:ind w:left="5760" w:hanging="360"/>
      </w:pPr>
      <w:rPr>
        <w:rFonts w:ascii="Courier New" w:hAnsi="Courier New" w:cs="Courier New" w:hint="default"/>
      </w:rPr>
    </w:lvl>
    <w:lvl w:ilvl="8" w:tplc="875C5122" w:tentative="1">
      <w:start w:val="1"/>
      <w:numFmt w:val="bullet"/>
      <w:lvlText w:val=""/>
      <w:lvlJc w:val="left"/>
      <w:pPr>
        <w:ind w:left="6480" w:hanging="360"/>
      </w:pPr>
      <w:rPr>
        <w:rFonts w:ascii="Wingdings" w:hAnsi="Wingdings" w:hint="default"/>
      </w:rPr>
    </w:lvl>
  </w:abstractNum>
  <w:abstractNum w:abstractNumId="52">
    <w:nsid w:val="00000038"/>
    <w:multiLevelType w:val="hybridMultilevel"/>
    <w:tmpl w:val="D28CFBA0"/>
    <w:lvl w:ilvl="0" w:tplc="A58A2486">
      <w:start w:val="1"/>
      <w:numFmt w:val="decimal"/>
      <w:lvlText w:val="%1"/>
      <w:lvlJc w:val="left"/>
      <w:pPr>
        <w:ind w:left="720" w:hanging="360"/>
      </w:pPr>
      <w:rPr>
        <w:rFonts w:hint="default"/>
      </w:rPr>
    </w:lvl>
    <w:lvl w:ilvl="1" w:tplc="6EF642CE" w:tentative="1">
      <w:start w:val="1"/>
      <w:numFmt w:val="lowerLetter"/>
      <w:lvlText w:val="%2."/>
      <w:lvlJc w:val="left"/>
      <w:pPr>
        <w:ind w:left="1440" w:hanging="360"/>
      </w:pPr>
    </w:lvl>
    <w:lvl w:ilvl="2" w:tplc="381C0B9C" w:tentative="1">
      <w:start w:val="1"/>
      <w:numFmt w:val="lowerRoman"/>
      <w:lvlText w:val="%3."/>
      <w:lvlJc w:val="right"/>
      <w:pPr>
        <w:ind w:left="2160" w:hanging="180"/>
      </w:pPr>
    </w:lvl>
    <w:lvl w:ilvl="3" w:tplc="B6347DC4" w:tentative="1">
      <w:start w:val="1"/>
      <w:numFmt w:val="decimal"/>
      <w:lvlText w:val="%4."/>
      <w:lvlJc w:val="left"/>
      <w:pPr>
        <w:ind w:left="2880" w:hanging="360"/>
      </w:pPr>
    </w:lvl>
    <w:lvl w:ilvl="4" w:tplc="548E27EC" w:tentative="1">
      <w:start w:val="1"/>
      <w:numFmt w:val="lowerLetter"/>
      <w:lvlText w:val="%5."/>
      <w:lvlJc w:val="left"/>
      <w:pPr>
        <w:ind w:left="3600" w:hanging="360"/>
      </w:pPr>
    </w:lvl>
    <w:lvl w:ilvl="5" w:tplc="F9783848" w:tentative="1">
      <w:start w:val="1"/>
      <w:numFmt w:val="lowerRoman"/>
      <w:lvlText w:val="%6."/>
      <w:lvlJc w:val="right"/>
      <w:pPr>
        <w:ind w:left="4320" w:hanging="180"/>
      </w:pPr>
    </w:lvl>
    <w:lvl w:ilvl="6" w:tplc="7E120BD0" w:tentative="1">
      <w:start w:val="1"/>
      <w:numFmt w:val="decimal"/>
      <w:lvlText w:val="%7."/>
      <w:lvlJc w:val="left"/>
      <w:pPr>
        <w:ind w:left="5040" w:hanging="360"/>
      </w:pPr>
    </w:lvl>
    <w:lvl w:ilvl="7" w:tplc="6FF80D36" w:tentative="1">
      <w:start w:val="1"/>
      <w:numFmt w:val="lowerLetter"/>
      <w:lvlText w:val="%8."/>
      <w:lvlJc w:val="left"/>
      <w:pPr>
        <w:ind w:left="5760" w:hanging="360"/>
      </w:pPr>
    </w:lvl>
    <w:lvl w:ilvl="8" w:tplc="35C0641C" w:tentative="1">
      <w:start w:val="1"/>
      <w:numFmt w:val="lowerRoman"/>
      <w:lvlText w:val="%9."/>
      <w:lvlJc w:val="right"/>
      <w:pPr>
        <w:ind w:left="6480" w:hanging="180"/>
      </w:pPr>
    </w:lvl>
  </w:abstractNum>
  <w:abstractNum w:abstractNumId="53">
    <w:nsid w:val="00000039"/>
    <w:multiLevelType w:val="hybridMultilevel"/>
    <w:tmpl w:val="D28CFBA0"/>
    <w:lvl w:ilvl="0" w:tplc="8514F96C">
      <w:start w:val="1"/>
      <w:numFmt w:val="decimal"/>
      <w:lvlText w:val="%1"/>
      <w:lvlJc w:val="left"/>
      <w:pPr>
        <w:ind w:left="720" w:hanging="360"/>
      </w:pPr>
      <w:rPr>
        <w:rFonts w:hint="default"/>
      </w:rPr>
    </w:lvl>
    <w:lvl w:ilvl="1" w:tplc="60E6D8A8" w:tentative="1">
      <w:start w:val="1"/>
      <w:numFmt w:val="lowerLetter"/>
      <w:lvlText w:val="%2."/>
      <w:lvlJc w:val="left"/>
      <w:pPr>
        <w:ind w:left="1440" w:hanging="360"/>
      </w:pPr>
    </w:lvl>
    <w:lvl w:ilvl="2" w:tplc="5860DCF2" w:tentative="1">
      <w:start w:val="1"/>
      <w:numFmt w:val="lowerRoman"/>
      <w:lvlText w:val="%3."/>
      <w:lvlJc w:val="right"/>
      <w:pPr>
        <w:ind w:left="2160" w:hanging="180"/>
      </w:pPr>
    </w:lvl>
    <w:lvl w:ilvl="3" w:tplc="F3C6903E" w:tentative="1">
      <w:start w:val="1"/>
      <w:numFmt w:val="decimal"/>
      <w:lvlText w:val="%4."/>
      <w:lvlJc w:val="left"/>
      <w:pPr>
        <w:ind w:left="2880" w:hanging="360"/>
      </w:pPr>
    </w:lvl>
    <w:lvl w:ilvl="4" w:tplc="2F1C9728" w:tentative="1">
      <w:start w:val="1"/>
      <w:numFmt w:val="lowerLetter"/>
      <w:lvlText w:val="%5."/>
      <w:lvlJc w:val="left"/>
      <w:pPr>
        <w:ind w:left="3600" w:hanging="360"/>
      </w:pPr>
    </w:lvl>
    <w:lvl w:ilvl="5" w:tplc="7338CE66" w:tentative="1">
      <w:start w:val="1"/>
      <w:numFmt w:val="lowerRoman"/>
      <w:lvlText w:val="%6."/>
      <w:lvlJc w:val="right"/>
      <w:pPr>
        <w:ind w:left="4320" w:hanging="180"/>
      </w:pPr>
    </w:lvl>
    <w:lvl w:ilvl="6" w:tplc="AD587A64" w:tentative="1">
      <w:start w:val="1"/>
      <w:numFmt w:val="decimal"/>
      <w:lvlText w:val="%7."/>
      <w:lvlJc w:val="left"/>
      <w:pPr>
        <w:ind w:left="5040" w:hanging="360"/>
      </w:pPr>
    </w:lvl>
    <w:lvl w:ilvl="7" w:tplc="E3CCBAB8" w:tentative="1">
      <w:start w:val="1"/>
      <w:numFmt w:val="lowerLetter"/>
      <w:lvlText w:val="%8."/>
      <w:lvlJc w:val="left"/>
      <w:pPr>
        <w:ind w:left="5760" w:hanging="360"/>
      </w:pPr>
    </w:lvl>
    <w:lvl w:ilvl="8" w:tplc="C33EC19C" w:tentative="1">
      <w:start w:val="1"/>
      <w:numFmt w:val="lowerRoman"/>
      <w:lvlText w:val="%9."/>
      <w:lvlJc w:val="right"/>
      <w:pPr>
        <w:ind w:left="6480" w:hanging="180"/>
      </w:pPr>
    </w:lvl>
  </w:abstractNum>
  <w:abstractNum w:abstractNumId="54">
    <w:nsid w:val="0000003A"/>
    <w:multiLevelType w:val="hybridMultilevel"/>
    <w:tmpl w:val="B4DAA854"/>
    <w:lvl w:ilvl="0" w:tplc="95901AC2">
      <w:start w:val="1"/>
      <w:numFmt w:val="bullet"/>
      <w:pStyle w:val="Level1Bullet-BarcRA300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1B81200">
      <w:start w:val="1"/>
      <w:numFmt w:val="bullet"/>
      <w:lvlText w:val="o"/>
      <w:lvlJc w:val="left"/>
      <w:pPr>
        <w:tabs>
          <w:tab w:val="num" w:pos="306"/>
        </w:tabs>
        <w:ind w:left="306" w:hanging="360"/>
      </w:pPr>
      <w:rPr>
        <w:rFonts w:ascii="Courier New" w:hAnsi="Courier New" w:cs="Times New Roman" w:hint="default"/>
      </w:rPr>
    </w:lvl>
    <w:lvl w:ilvl="2" w:tplc="0AF4865A">
      <w:numFmt w:val="bullet"/>
      <w:lvlText w:val="-"/>
      <w:lvlJc w:val="left"/>
      <w:pPr>
        <w:tabs>
          <w:tab w:val="num" w:pos="1401"/>
        </w:tabs>
        <w:ind w:left="1401" w:hanging="735"/>
      </w:pPr>
      <w:rPr>
        <w:rFonts w:ascii="Barclays Serif" w:eastAsia="Times New Roman" w:hAnsi="Barclays Serif" w:cs="Times New Roman" w:hint="default"/>
      </w:rPr>
    </w:lvl>
    <w:lvl w:ilvl="3" w:tplc="9564A2A2">
      <w:start w:val="1"/>
      <w:numFmt w:val="decimal"/>
      <w:lvlText w:val="%4."/>
      <w:lvlJc w:val="left"/>
      <w:pPr>
        <w:tabs>
          <w:tab w:val="num" w:pos="2880"/>
        </w:tabs>
        <w:ind w:left="2880" w:hanging="360"/>
      </w:pPr>
    </w:lvl>
    <w:lvl w:ilvl="4" w:tplc="8B2A5A54">
      <w:start w:val="1"/>
      <w:numFmt w:val="decimal"/>
      <w:lvlText w:val="%5."/>
      <w:lvlJc w:val="left"/>
      <w:pPr>
        <w:tabs>
          <w:tab w:val="num" w:pos="3600"/>
        </w:tabs>
        <w:ind w:left="3600" w:hanging="360"/>
      </w:pPr>
    </w:lvl>
    <w:lvl w:ilvl="5" w:tplc="B9161F76">
      <w:start w:val="1"/>
      <w:numFmt w:val="decimal"/>
      <w:lvlText w:val="%6."/>
      <w:lvlJc w:val="left"/>
      <w:pPr>
        <w:tabs>
          <w:tab w:val="num" w:pos="4320"/>
        </w:tabs>
        <w:ind w:left="4320" w:hanging="360"/>
      </w:pPr>
    </w:lvl>
    <w:lvl w:ilvl="6" w:tplc="5B100C1C">
      <w:start w:val="1"/>
      <w:numFmt w:val="decimal"/>
      <w:lvlText w:val="%7."/>
      <w:lvlJc w:val="left"/>
      <w:pPr>
        <w:tabs>
          <w:tab w:val="num" w:pos="5040"/>
        </w:tabs>
        <w:ind w:left="5040" w:hanging="360"/>
      </w:pPr>
    </w:lvl>
    <w:lvl w:ilvl="7" w:tplc="0AA0D5DE">
      <w:start w:val="1"/>
      <w:numFmt w:val="decimal"/>
      <w:lvlText w:val="%8."/>
      <w:lvlJc w:val="left"/>
      <w:pPr>
        <w:tabs>
          <w:tab w:val="num" w:pos="5760"/>
        </w:tabs>
        <w:ind w:left="5760" w:hanging="360"/>
      </w:pPr>
    </w:lvl>
    <w:lvl w:ilvl="8" w:tplc="37460414">
      <w:start w:val="1"/>
      <w:numFmt w:val="decimal"/>
      <w:lvlText w:val="%9."/>
      <w:lvlJc w:val="left"/>
      <w:pPr>
        <w:tabs>
          <w:tab w:val="num" w:pos="6480"/>
        </w:tabs>
        <w:ind w:left="6480" w:hanging="360"/>
      </w:pPr>
    </w:lvl>
  </w:abstractNum>
  <w:abstractNum w:abstractNumId="55">
    <w:nsid w:val="0000003B"/>
    <w:multiLevelType w:val="hybridMultilevel"/>
    <w:tmpl w:val="B4DAA854"/>
    <w:lvl w:ilvl="0" w:tplc="9E360FCA">
      <w:start w:val="1"/>
      <w:numFmt w:val="bullet"/>
      <w:pStyle w:val="Level1Bullet-BarcRA3000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FB0137C">
      <w:start w:val="1"/>
      <w:numFmt w:val="bullet"/>
      <w:lvlText w:val="o"/>
      <w:lvlJc w:val="left"/>
      <w:pPr>
        <w:tabs>
          <w:tab w:val="num" w:pos="306"/>
        </w:tabs>
        <w:ind w:left="306" w:hanging="360"/>
      </w:pPr>
      <w:rPr>
        <w:rFonts w:ascii="Courier New" w:hAnsi="Courier New" w:cs="Times New Roman" w:hint="default"/>
      </w:rPr>
    </w:lvl>
    <w:lvl w:ilvl="2" w:tplc="BD7AA06A">
      <w:numFmt w:val="bullet"/>
      <w:lvlText w:val="-"/>
      <w:lvlJc w:val="left"/>
      <w:pPr>
        <w:tabs>
          <w:tab w:val="num" w:pos="1401"/>
        </w:tabs>
        <w:ind w:left="1401" w:hanging="735"/>
      </w:pPr>
      <w:rPr>
        <w:rFonts w:ascii="Barclays Serif" w:eastAsia="Times New Roman" w:hAnsi="Barclays Serif" w:cs="Times New Roman" w:hint="default"/>
      </w:rPr>
    </w:lvl>
    <w:lvl w:ilvl="3" w:tplc="94805CDC">
      <w:start w:val="1"/>
      <w:numFmt w:val="decimal"/>
      <w:lvlText w:val="%4."/>
      <w:lvlJc w:val="left"/>
      <w:pPr>
        <w:tabs>
          <w:tab w:val="num" w:pos="2880"/>
        </w:tabs>
        <w:ind w:left="2880" w:hanging="360"/>
      </w:pPr>
    </w:lvl>
    <w:lvl w:ilvl="4" w:tplc="E9108FB4">
      <w:start w:val="1"/>
      <w:numFmt w:val="decimal"/>
      <w:lvlText w:val="%5."/>
      <w:lvlJc w:val="left"/>
      <w:pPr>
        <w:tabs>
          <w:tab w:val="num" w:pos="3600"/>
        </w:tabs>
        <w:ind w:left="3600" w:hanging="360"/>
      </w:pPr>
    </w:lvl>
    <w:lvl w:ilvl="5" w:tplc="9168A56C">
      <w:start w:val="1"/>
      <w:numFmt w:val="decimal"/>
      <w:lvlText w:val="%6."/>
      <w:lvlJc w:val="left"/>
      <w:pPr>
        <w:tabs>
          <w:tab w:val="num" w:pos="4320"/>
        </w:tabs>
        <w:ind w:left="4320" w:hanging="360"/>
      </w:pPr>
    </w:lvl>
    <w:lvl w:ilvl="6" w:tplc="889C5B6A">
      <w:start w:val="1"/>
      <w:numFmt w:val="decimal"/>
      <w:lvlText w:val="%7."/>
      <w:lvlJc w:val="left"/>
      <w:pPr>
        <w:tabs>
          <w:tab w:val="num" w:pos="5040"/>
        </w:tabs>
        <w:ind w:left="5040" w:hanging="360"/>
      </w:pPr>
    </w:lvl>
    <w:lvl w:ilvl="7" w:tplc="4DE26EF6">
      <w:start w:val="1"/>
      <w:numFmt w:val="decimal"/>
      <w:lvlText w:val="%8."/>
      <w:lvlJc w:val="left"/>
      <w:pPr>
        <w:tabs>
          <w:tab w:val="num" w:pos="5760"/>
        </w:tabs>
        <w:ind w:left="5760" w:hanging="360"/>
      </w:pPr>
    </w:lvl>
    <w:lvl w:ilvl="8" w:tplc="6A54A91A">
      <w:start w:val="1"/>
      <w:numFmt w:val="decimal"/>
      <w:lvlText w:val="%9."/>
      <w:lvlJc w:val="left"/>
      <w:pPr>
        <w:tabs>
          <w:tab w:val="num" w:pos="6480"/>
        </w:tabs>
        <w:ind w:left="6480" w:hanging="360"/>
      </w:pPr>
    </w:lvl>
  </w:abstractNum>
  <w:abstractNum w:abstractNumId="56">
    <w:nsid w:val="0000003C"/>
    <w:multiLevelType w:val="hybridMultilevel"/>
    <w:tmpl w:val="8F04F040"/>
    <w:lvl w:ilvl="0" w:tplc="130E6D82">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C067B56">
      <w:start w:val="1"/>
      <w:numFmt w:val="bullet"/>
      <w:lvlText w:val="o"/>
      <w:lvlJc w:val="left"/>
      <w:pPr>
        <w:tabs>
          <w:tab w:val="num" w:pos="306"/>
        </w:tabs>
        <w:ind w:left="306" w:hanging="360"/>
      </w:pPr>
      <w:rPr>
        <w:rFonts w:ascii="Courier New" w:hAnsi="Courier New" w:cs="Times New Roman" w:hint="default"/>
      </w:rPr>
    </w:lvl>
    <w:lvl w:ilvl="2" w:tplc="1D3A8636">
      <w:numFmt w:val="bullet"/>
      <w:pStyle w:val="Level2Bullet-BarcRA00"/>
      <w:lvlText w:val="–"/>
      <w:lvlJc w:val="left"/>
      <w:pPr>
        <w:tabs>
          <w:tab w:val="num" w:pos="1401"/>
        </w:tabs>
        <w:ind w:left="1401" w:hanging="735"/>
      </w:pPr>
      <w:rPr>
        <w:rFonts w:ascii="Arial" w:eastAsia="Times New Roman" w:hAnsi="Arial" w:cs="Times New Roman" w:hint="default"/>
      </w:rPr>
    </w:lvl>
    <w:lvl w:ilvl="3" w:tplc="69428B18">
      <w:start w:val="1"/>
      <w:numFmt w:val="bullet"/>
      <w:lvlText w:val=""/>
      <w:lvlJc w:val="left"/>
      <w:pPr>
        <w:tabs>
          <w:tab w:val="num" w:pos="1746"/>
        </w:tabs>
        <w:ind w:left="1746" w:hanging="360"/>
      </w:pPr>
      <w:rPr>
        <w:rFonts w:ascii="Symbol" w:hAnsi="Symbol" w:hint="default"/>
      </w:rPr>
    </w:lvl>
    <w:lvl w:ilvl="4" w:tplc="853E22B0">
      <w:start w:val="1"/>
      <w:numFmt w:val="decimal"/>
      <w:lvlText w:val="%5."/>
      <w:lvlJc w:val="left"/>
      <w:pPr>
        <w:tabs>
          <w:tab w:val="num" w:pos="3600"/>
        </w:tabs>
        <w:ind w:left="3600" w:hanging="360"/>
      </w:pPr>
    </w:lvl>
    <w:lvl w:ilvl="5" w:tplc="093EEB7A">
      <w:start w:val="1"/>
      <w:numFmt w:val="decimal"/>
      <w:lvlText w:val="%6."/>
      <w:lvlJc w:val="left"/>
      <w:pPr>
        <w:tabs>
          <w:tab w:val="num" w:pos="4320"/>
        </w:tabs>
        <w:ind w:left="4320" w:hanging="360"/>
      </w:pPr>
    </w:lvl>
    <w:lvl w:ilvl="6" w:tplc="3982C3D6">
      <w:start w:val="1"/>
      <w:numFmt w:val="decimal"/>
      <w:lvlText w:val="%7."/>
      <w:lvlJc w:val="left"/>
      <w:pPr>
        <w:tabs>
          <w:tab w:val="num" w:pos="5040"/>
        </w:tabs>
        <w:ind w:left="5040" w:hanging="360"/>
      </w:pPr>
    </w:lvl>
    <w:lvl w:ilvl="7" w:tplc="8E4A4FC0">
      <w:start w:val="1"/>
      <w:numFmt w:val="decimal"/>
      <w:lvlText w:val="%8."/>
      <w:lvlJc w:val="left"/>
      <w:pPr>
        <w:tabs>
          <w:tab w:val="num" w:pos="5760"/>
        </w:tabs>
        <w:ind w:left="5760" w:hanging="360"/>
      </w:pPr>
    </w:lvl>
    <w:lvl w:ilvl="8" w:tplc="0C489248">
      <w:start w:val="1"/>
      <w:numFmt w:val="decimal"/>
      <w:lvlText w:val="%9."/>
      <w:lvlJc w:val="left"/>
      <w:pPr>
        <w:tabs>
          <w:tab w:val="num" w:pos="6480"/>
        </w:tabs>
        <w:ind w:left="6480" w:hanging="360"/>
      </w:pPr>
    </w:lvl>
  </w:abstractNum>
  <w:abstractNum w:abstractNumId="57">
    <w:nsid w:val="0000003D"/>
    <w:multiLevelType w:val="hybridMultilevel"/>
    <w:tmpl w:val="B4DAA854"/>
    <w:lvl w:ilvl="0" w:tplc="0C92B2D4">
      <w:start w:val="1"/>
      <w:numFmt w:val="bullet"/>
      <w:pStyle w:val="Level1Bullet-BarcRA2030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208C1F64">
      <w:start w:val="1"/>
      <w:numFmt w:val="bullet"/>
      <w:lvlText w:val="o"/>
      <w:lvlJc w:val="left"/>
      <w:pPr>
        <w:tabs>
          <w:tab w:val="num" w:pos="306"/>
        </w:tabs>
        <w:ind w:left="306" w:hanging="360"/>
      </w:pPr>
      <w:rPr>
        <w:rFonts w:ascii="Courier New" w:hAnsi="Courier New" w:cs="Times New Roman" w:hint="default"/>
      </w:rPr>
    </w:lvl>
    <w:lvl w:ilvl="2" w:tplc="C01C6E88">
      <w:numFmt w:val="bullet"/>
      <w:lvlText w:val="-"/>
      <w:lvlJc w:val="left"/>
      <w:pPr>
        <w:tabs>
          <w:tab w:val="num" w:pos="1401"/>
        </w:tabs>
        <w:ind w:left="1401" w:hanging="735"/>
      </w:pPr>
      <w:rPr>
        <w:rFonts w:ascii="Barclays Serif" w:eastAsia="Times New Roman" w:hAnsi="Barclays Serif" w:cs="Times New Roman" w:hint="default"/>
      </w:rPr>
    </w:lvl>
    <w:lvl w:ilvl="3" w:tplc="E346B532">
      <w:start w:val="1"/>
      <w:numFmt w:val="decimal"/>
      <w:lvlText w:val="%4."/>
      <w:lvlJc w:val="left"/>
      <w:pPr>
        <w:tabs>
          <w:tab w:val="num" w:pos="2880"/>
        </w:tabs>
        <w:ind w:left="2880" w:hanging="360"/>
      </w:pPr>
    </w:lvl>
    <w:lvl w:ilvl="4" w:tplc="CCDCCC92">
      <w:start w:val="1"/>
      <w:numFmt w:val="decimal"/>
      <w:lvlText w:val="%5."/>
      <w:lvlJc w:val="left"/>
      <w:pPr>
        <w:tabs>
          <w:tab w:val="num" w:pos="3600"/>
        </w:tabs>
        <w:ind w:left="3600" w:hanging="360"/>
      </w:pPr>
    </w:lvl>
    <w:lvl w:ilvl="5" w:tplc="84F6688C">
      <w:start w:val="1"/>
      <w:numFmt w:val="decimal"/>
      <w:lvlText w:val="%6."/>
      <w:lvlJc w:val="left"/>
      <w:pPr>
        <w:tabs>
          <w:tab w:val="num" w:pos="4320"/>
        </w:tabs>
        <w:ind w:left="4320" w:hanging="360"/>
      </w:pPr>
    </w:lvl>
    <w:lvl w:ilvl="6" w:tplc="4BD0F95C">
      <w:start w:val="1"/>
      <w:numFmt w:val="decimal"/>
      <w:lvlText w:val="%7."/>
      <w:lvlJc w:val="left"/>
      <w:pPr>
        <w:tabs>
          <w:tab w:val="num" w:pos="5040"/>
        </w:tabs>
        <w:ind w:left="5040" w:hanging="360"/>
      </w:pPr>
    </w:lvl>
    <w:lvl w:ilvl="7" w:tplc="CF98B3D4">
      <w:start w:val="1"/>
      <w:numFmt w:val="decimal"/>
      <w:lvlText w:val="%8."/>
      <w:lvlJc w:val="left"/>
      <w:pPr>
        <w:tabs>
          <w:tab w:val="num" w:pos="5760"/>
        </w:tabs>
        <w:ind w:left="5760" w:hanging="360"/>
      </w:pPr>
    </w:lvl>
    <w:lvl w:ilvl="8" w:tplc="6046D218">
      <w:start w:val="1"/>
      <w:numFmt w:val="decimal"/>
      <w:lvlText w:val="%9."/>
      <w:lvlJc w:val="left"/>
      <w:pPr>
        <w:tabs>
          <w:tab w:val="num" w:pos="6480"/>
        </w:tabs>
        <w:ind w:left="6480" w:hanging="360"/>
      </w:pPr>
    </w:lvl>
  </w:abstractNum>
  <w:abstractNum w:abstractNumId="58">
    <w:nsid w:val="0000003E"/>
    <w:multiLevelType w:val="hybridMultilevel"/>
    <w:tmpl w:val="8048DD68"/>
    <w:lvl w:ilvl="0" w:tplc="F4F64368">
      <w:start w:val="1"/>
      <w:numFmt w:val="bullet"/>
      <w:pStyle w:val="Level1Bullet-BarcRA9"/>
      <w:lvlText w:val=""/>
      <w:lvlJc w:val="left"/>
      <w:pPr>
        <w:tabs>
          <w:tab w:val="num" w:pos="284"/>
        </w:tabs>
        <w:ind w:left="284" w:hanging="284"/>
      </w:pPr>
      <w:rPr>
        <w:rFonts w:ascii="Wingdings 2" w:hAnsi="Wingdings 2" w:hint="default"/>
        <w:b w:val="0"/>
        <w:i w:val="0"/>
        <w:color w:val="auto"/>
        <w:spacing w:val="0"/>
        <w:w w:val="100"/>
        <w:position w:val="0"/>
        <w:sz w:val="18"/>
      </w:rPr>
    </w:lvl>
    <w:lvl w:ilvl="1" w:tplc="3E862DDA">
      <w:start w:val="1"/>
      <w:numFmt w:val="decimal"/>
      <w:suff w:val="nothing"/>
      <w:lvlText w:val=""/>
      <w:lvlJc w:val="left"/>
      <w:pPr>
        <w:ind w:left="0" w:firstLine="0"/>
      </w:pPr>
    </w:lvl>
    <w:lvl w:ilvl="2" w:tplc="6FD24E3A">
      <w:numFmt w:val="decimal"/>
      <w:lvlText w:val=""/>
      <w:lvlJc w:val="left"/>
      <w:pPr>
        <w:ind w:left="0" w:firstLine="0"/>
      </w:pPr>
    </w:lvl>
    <w:lvl w:ilvl="3" w:tplc="6A78DE42">
      <w:numFmt w:val="decimal"/>
      <w:lvlText w:val=""/>
      <w:lvlJc w:val="left"/>
      <w:pPr>
        <w:ind w:left="0" w:firstLine="0"/>
      </w:pPr>
    </w:lvl>
    <w:lvl w:ilvl="4" w:tplc="39A25AAE">
      <w:numFmt w:val="decimal"/>
      <w:lvlText w:val=""/>
      <w:lvlJc w:val="left"/>
      <w:pPr>
        <w:ind w:left="0" w:firstLine="0"/>
      </w:pPr>
    </w:lvl>
    <w:lvl w:ilvl="5" w:tplc="431AB662">
      <w:numFmt w:val="decimal"/>
      <w:lvlText w:val=""/>
      <w:lvlJc w:val="left"/>
      <w:pPr>
        <w:ind w:left="0" w:firstLine="0"/>
      </w:pPr>
    </w:lvl>
    <w:lvl w:ilvl="6" w:tplc="538CB7CC">
      <w:numFmt w:val="decimal"/>
      <w:lvlText w:val=""/>
      <w:lvlJc w:val="left"/>
      <w:pPr>
        <w:ind w:left="0" w:firstLine="0"/>
      </w:pPr>
    </w:lvl>
    <w:lvl w:ilvl="7" w:tplc="C28AA82E">
      <w:numFmt w:val="decimal"/>
      <w:lvlText w:val=""/>
      <w:lvlJc w:val="left"/>
      <w:pPr>
        <w:ind w:left="0" w:firstLine="0"/>
      </w:pPr>
    </w:lvl>
    <w:lvl w:ilvl="8" w:tplc="86C0D580">
      <w:numFmt w:val="decimal"/>
      <w:lvlText w:val=""/>
      <w:lvlJc w:val="left"/>
      <w:pPr>
        <w:ind w:left="0" w:firstLine="0"/>
      </w:pPr>
    </w:lvl>
  </w:abstractNum>
  <w:abstractNum w:abstractNumId="59">
    <w:nsid w:val="0000003F"/>
    <w:multiLevelType w:val="hybridMultilevel"/>
    <w:tmpl w:val="8F04F040"/>
    <w:lvl w:ilvl="0" w:tplc="0682F01E">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1DEE8D6">
      <w:start w:val="1"/>
      <w:numFmt w:val="bullet"/>
      <w:lvlText w:val="o"/>
      <w:lvlJc w:val="left"/>
      <w:pPr>
        <w:tabs>
          <w:tab w:val="num" w:pos="306"/>
        </w:tabs>
        <w:ind w:left="306" w:hanging="360"/>
      </w:pPr>
      <w:rPr>
        <w:rFonts w:ascii="Courier New" w:hAnsi="Courier New" w:cs="Times New Roman" w:hint="default"/>
      </w:rPr>
    </w:lvl>
    <w:lvl w:ilvl="2" w:tplc="0DB416C0">
      <w:numFmt w:val="bullet"/>
      <w:pStyle w:val="Level2Bullet-BarcRA4"/>
      <w:lvlText w:val="–"/>
      <w:lvlJc w:val="left"/>
      <w:pPr>
        <w:tabs>
          <w:tab w:val="num" w:pos="1401"/>
        </w:tabs>
        <w:ind w:left="1401" w:hanging="735"/>
      </w:pPr>
      <w:rPr>
        <w:rFonts w:ascii="Arial" w:eastAsia="Times New Roman" w:hAnsi="Arial" w:cs="Times New Roman" w:hint="default"/>
      </w:rPr>
    </w:lvl>
    <w:lvl w:ilvl="3" w:tplc="2CB0D350">
      <w:start w:val="1"/>
      <w:numFmt w:val="bullet"/>
      <w:lvlText w:val=""/>
      <w:lvlJc w:val="left"/>
      <w:pPr>
        <w:tabs>
          <w:tab w:val="num" w:pos="1746"/>
        </w:tabs>
        <w:ind w:left="1746" w:hanging="360"/>
      </w:pPr>
      <w:rPr>
        <w:rFonts w:ascii="Symbol" w:hAnsi="Symbol" w:hint="default"/>
      </w:rPr>
    </w:lvl>
    <w:lvl w:ilvl="4" w:tplc="5DF4C600">
      <w:start w:val="1"/>
      <w:numFmt w:val="decimal"/>
      <w:lvlText w:val="%5."/>
      <w:lvlJc w:val="left"/>
      <w:pPr>
        <w:tabs>
          <w:tab w:val="num" w:pos="3600"/>
        </w:tabs>
        <w:ind w:left="3600" w:hanging="360"/>
      </w:pPr>
    </w:lvl>
    <w:lvl w:ilvl="5" w:tplc="6D28EEC4">
      <w:start w:val="1"/>
      <w:numFmt w:val="decimal"/>
      <w:lvlText w:val="%6."/>
      <w:lvlJc w:val="left"/>
      <w:pPr>
        <w:tabs>
          <w:tab w:val="num" w:pos="4320"/>
        </w:tabs>
        <w:ind w:left="4320" w:hanging="360"/>
      </w:pPr>
    </w:lvl>
    <w:lvl w:ilvl="6" w:tplc="6826EF6E">
      <w:start w:val="1"/>
      <w:numFmt w:val="decimal"/>
      <w:lvlText w:val="%7."/>
      <w:lvlJc w:val="left"/>
      <w:pPr>
        <w:tabs>
          <w:tab w:val="num" w:pos="5040"/>
        </w:tabs>
        <w:ind w:left="5040" w:hanging="360"/>
      </w:pPr>
    </w:lvl>
    <w:lvl w:ilvl="7" w:tplc="EB20C088">
      <w:start w:val="1"/>
      <w:numFmt w:val="decimal"/>
      <w:lvlText w:val="%8."/>
      <w:lvlJc w:val="left"/>
      <w:pPr>
        <w:tabs>
          <w:tab w:val="num" w:pos="5760"/>
        </w:tabs>
        <w:ind w:left="5760" w:hanging="360"/>
      </w:pPr>
    </w:lvl>
    <w:lvl w:ilvl="8" w:tplc="D86AF6D8">
      <w:start w:val="1"/>
      <w:numFmt w:val="decimal"/>
      <w:lvlText w:val="%9."/>
      <w:lvlJc w:val="left"/>
      <w:pPr>
        <w:tabs>
          <w:tab w:val="num" w:pos="6480"/>
        </w:tabs>
        <w:ind w:left="6480" w:hanging="360"/>
      </w:pPr>
    </w:lvl>
  </w:abstractNum>
  <w:abstractNum w:abstractNumId="60">
    <w:nsid w:val="00000040"/>
    <w:multiLevelType w:val="hybridMultilevel"/>
    <w:tmpl w:val="2A94FDDA"/>
    <w:lvl w:ilvl="0" w:tplc="BDBC6FB8">
      <w:start w:val="1"/>
      <w:numFmt w:val="decimal"/>
      <w:lvlText w:val="%1"/>
      <w:lvlJc w:val="left"/>
      <w:pPr>
        <w:ind w:left="720" w:hanging="360"/>
      </w:pPr>
      <w:rPr>
        <w:rFonts w:hint="default"/>
        <w:sz w:val="14"/>
        <w:szCs w:val="14"/>
      </w:rPr>
    </w:lvl>
    <w:lvl w:ilvl="1" w:tplc="68D2CCE4" w:tentative="1">
      <w:start w:val="1"/>
      <w:numFmt w:val="lowerLetter"/>
      <w:lvlText w:val="%2."/>
      <w:lvlJc w:val="left"/>
      <w:pPr>
        <w:ind w:left="1440" w:hanging="360"/>
      </w:pPr>
    </w:lvl>
    <w:lvl w:ilvl="2" w:tplc="DCAA2146" w:tentative="1">
      <w:start w:val="1"/>
      <w:numFmt w:val="lowerRoman"/>
      <w:lvlText w:val="%3."/>
      <w:lvlJc w:val="right"/>
      <w:pPr>
        <w:ind w:left="2160" w:hanging="180"/>
      </w:pPr>
    </w:lvl>
    <w:lvl w:ilvl="3" w:tplc="CE728A78" w:tentative="1">
      <w:start w:val="1"/>
      <w:numFmt w:val="decimal"/>
      <w:lvlText w:val="%4."/>
      <w:lvlJc w:val="left"/>
      <w:pPr>
        <w:ind w:left="2880" w:hanging="360"/>
      </w:pPr>
    </w:lvl>
    <w:lvl w:ilvl="4" w:tplc="AD2023FC" w:tentative="1">
      <w:start w:val="1"/>
      <w:numFmt w:val="lowerLetter"/>
      <w:lvlText w:val="%5."/>
      <w:lvlJc w:val="left"/>
      <w:pPr>
        <w:ind w:left="3600" w:hanging="360"/>
      </w:pPr>
    </w:lvl>
    <w:lvl w:ilvl="5" w:tplc="FD16D370" w:tentative="1">
      <w:start w:val="1"/>
      <w:numFmt w:val="lowerRoman"/>
      <w:lvlText w:val="%6."/>
      <w:lvlJc w:val="right"/>
      <w:pPr>
        <w:ind w:left="4320" w:hanging="180"/>
      </w:pPr>
    </w:lvl>
    <w:lvl w:ilvl="6" w:tplc="0F744248" w:tentative="1">
      <w:start w:val="1"/>
      <w:numFmt w:val="decimal"/>
      <w:lvlText w:val="%7."/>
      <w:lvlJc w:val="left"/>
      <w:pPr>
        <w:ind w:left="5040" w:hanging="360"/>
      </w:pPr>
    </w:lvl>
    <w:lvl w:ilvl="7" w:tplc="105CD778" w:tentative="1">
      <w:start w:val="1"/>
      <w:numFmt w:val="lowerLetter"/>
      <w:lvlText w:val="%8."/>
      <w:lvlJc w:val="left"/>
      <w:pPr>
        <w:ind w:left="5760" w:hanging="360"/>
      </w:pPr>
    </w:lvl>
    <w:lvl w:ilvl="8" w:tplc="B3BE1C58" w:tentative="1">
      <w:start w:val="1"/>
      <w:numFmt w:val="lowerRoman"/>
      <w:lvlText w:val="%9."/>
      <w:lvlJc w:val="right"/>
      <w:pPr>
        <w:ind w:left="6480" w:hanging="180"/>
      </w:pPr>
    </w:lvl>
  </w:abstractNum>
  <w:abstractNum w:abstractNumId="61">
    <w:nsid w:val="00000041"/>
    <w:multiLevelType w:val="hybridMultilevel"/>
    <w:tmpl w:val="B4DAA854"/>
    <w:lvl w:ilvl="0" w:tplc="C5E2F3E4">
      <w:start w:val="1"/>
      <w:numFmt w:val="bullet"/>
      <w:pStyle w:val="Level1Bullet-BarcRA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2F2DCE0">
      <w:start w:val="1"/>
      <w:numFmt w:val="bullet"/>
      <w:lvlText w:val="o"/>
      <w:lvlJc w:val="left"/>
      <w:pPr>
        <w:tabs>
          <w:tab w:val="num" w:pos="306"/>
        </w:tabs>
        <w:ind w:left="306" w:hanging="360"/>
      </w:pPr>
      <w:rPr>
        <w:rFonts w:ascii="Courier New" w:hAnsi="Courier New" w:hint="default"/>
      </w:rPr>
    </w:lvl>
    <w:lvl w:ilvl="2" w:tplc="F78A0D48">
      <w:numFmt w:val="bullet"/>
      <w:lvlText w:val="-"/>
      <w:lvlJc w:val="left"/>
      <w:pPr>
        <w:tabs>
          <w:tab w:val="num" w:pos="1401"/>
        </w:tabs>
        <w:ind w:left="1401" w:hanging="735"/>
      </w:pPr>
      <w:rPr>
        <w:rFonts w:ascii="Barclays Serif" w:eastAsia="Times New Roman" w:hAnsi="Barclays Serif" w:cs="Times New Roman" w:hint="default"/>
      </w:rPr>
    </w:lvl>
    <w:lvl w:ilvl="3" w:tplc="CDB07180" w:tentative="1">
      <w:start w:val="1"/>
      <w:numFmt w:val="bullet"/>
      <w:lvlText w:val=""/>
      <w:lvlJc w:val="left"/>
      <w:pPr>
        <w:tabs>
          <w:tab w:val="num" w:pos="1746"/>
        </w:tabs>
        <w:ind w:left="1746" w:hanging="360"/>
      </w:pPr>
      <w:rPr>
        <w:rFonts w:ascii="Symbol" w:hAnsi="Symbol" w:hint="default"/>
      </w:rPr>
    </w:lvl>
    <w:lvl w:ilvl="4" w:tplc="B83086F4" w:tentative="1">
      <w:start w:val="1"/>
      <w:numFmt w:val="bullet"/>
      <w:lvlText w:val="o"/>
      <w:lvlJc w:val="left"/>
      <w:pPr>
        <w:tabs>
          <w:tab w:val="num" w:pos="2466"/>
        </w:tabs>
        <w:ind w:left="2466" w:hanging="360"/>
      </w:pPr>
      <w:rPr>
        <w:rFonts w:ascii="Courier New" w:hAnsi="Courier New" w:hint="default"/>
      </w:rPr>
    </w:lvl>
    <w:lvl w:ilvl="5" w:tplc="DF44CB1A" w:tentative="1">
      <w:start w:val="1"/>
      <w:numFmt w:val="bullet"/>
      <w:lvlText w:val=""/>
      <w:lvlJc w:val="left"/>
      <w:pPr>
        <w:tabs>
          <w:tab w:val="num" w:pos="3186"/>
        </w:tabs>
        <w:ind w:left="3186" w:hanging="360"/>
      </w:pPr>
      <w:rPr>
        <w:rFonts w:ascii="Wingdings" w:hAnsi="Wingdings" w:hint="default"/>
      </w:rPr>
    </w:lvl>
    <w:lvl w:ilvl="6" w:tplc="2592AEE2" w:tentative="1">
      <w:start w:val="1"/>
      <w:numFmt w:val="bullet"/>
      <w:lvlText w:val=""/>
      <w:lvlJc w:val="left"/>
      <w:pPr>
        <w:tabs>
          <w:tab w:val="num" w:pos="3906"/>
        </w:tabs>
        <w:ind w:left="3906" w:hanging="360"/>
      </w:pPr>
      <w:rPr>
        <w:rFonts w:ascii="Symbol" w:hAnsi="Symbol" w:hint="default"/>
      </w:rPr>
    </w:lvl>
    <w:lvl w:ilvl="7" w:tplc="978C6EB4" w:tentative="1">
      <w:start w:val="1"/>
      <w:numFmt w:val="bullet"/>
      <w:lvlText w:val="o"/>
      <w:lvlJc w:val="left"/>
      <w:pPr>
        <w:tabs>
          <w:tab w:val="num" w:pos="4626"/>
        </w:tabs>
        <w:ind w:left="4626" w:hanging="360"/>
      </w:pPr>
      <w:rPr>
        <w:rFonts w:ascii="Courier New" w:hAnsi="Courier New" w:hint="default"/>
      </w:rPr>
    </w:lvl>
    <w:lvl w:ilvl="8" w:tplc="61F0A59C" w:tentative="1">
      <w:start w:val="1"/>
      <w:numFmt w:val="bullet"/>
      <w:lvlText w:val=""/>
      <w:lvlJc w:val="left"/>
      <w:pPr>
        <w:tabs>
          <w:tab w:val="num" w:pos="5346"/>
        </w:tabs>
        <w:ind w:left="5346" w:hanging="360"/>
      </w:pPr>
      <w:rPr>
        <w:rFonts w:ascii="Wingdings" w:hAnsi="Wingdings" w:hint="default"/>
      </w:rPr>
    </w:lvl>
  </w:abstractNum>
  <w:abstractNum w:abstractNumId="62">
    <w:nsid w:val="00000042"/>
    <w:multiLevelType w:val="hybridMultilevel"/>
    <w:tmpl w:val="B2E8E736"/>
    <w:lvl w:ilvl="0" w:tplc="2C1EC85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5D5E5D44">
      <w:start w:val="1"/>
      <w:numFmt w:val="bullet"/>
      <w:lvlText w:val="o"/>
      <w:lvlJc w:val="left"/>
      <w:pPr>
        <w:tabs>
          <w:tab w:val="num" w:pos="306"/>
        </w:tabs>
        <w:ind w:left="306" w:hanging="360"/>
      </w:pPr>
      <w:rPr>
        <w:rFonts w:ascii="Courier New" w:hAnsi="Courier New" w:cs="Times New Roman" w:hint="default"/>
      </w:rPr>
    </w:lvl>
    <w:lvl w:ilvl="2" w:tplc="93E68898">
      <w:numFmt w:val="bullet"/>
      <w:pStyle w:val="Level2Bullet-BarcRA40"/>
      <w:lvlText w:val="–"/>
      <w:lvlJc w:val="left"/>
      <w:pPr>
        <w:tabs>
          <w:tab w:val="num" w:pos="1401"/>
        </w:tabs>
        <w:ind w:left="1401" w:hanging="735"/>
      </w:pPr>
      <w:rPr>
        <w:rFonts w:ascii="Arial" w:eastAsia="Times New Roman" w:hAnsi="Arial" w:cs="Times New Roman" w:hint="default"/>
      </w:rPr>
    </w:lvl>
    <w:lvl w:ilvl="3" w:tplc="B614ABA2">
      <w:start w:val="1"/>
      <w:numFmt w:val="decimal"/>
      <w:lvlText w:val="%4."/>
      <w:lvlJc w:val="left"/>
      <w:pPr>
        <w:tabs>
          <w:tab w:val="num" w:pos="2880"/>
        </w:tabs>
        <w:ind w:left="2880" w:hanging="360"/>
      </w:pPr>
    </w:lvl>
    <w:lvl w:ilvl="4" w:tplc="FCE43A92">
      <w:start w:val="1"/>
      <w:numFmt w:val="decimal"/>
      <w:lvlText w:val="%5."/>
      <w:lvlJc w:val="left"/>
      <w:pPr>
        <w:tabs>
          <w:tab w:val="num" w:pos="3600"/>
        </w:tabs>
        <w:ind w:left="3600" w:hanging="360"/>
      </w:pPr>
    </w:lvl>
    <w:lvl w:ilvl="5" w:tplc="60180032">
      <w:start w:val="1"/>
      <w:numFmt w:val="decimal"/>
      <w:lvlText w:val="%6."/>
      <w:lvlJc w:val="left"/>
      <w:pPr>
        <w:tabs>
          <w:tab w:val="num" w:pos="4320"/>
        </w:tabs>
        <w:ind w:left="4320" w:hanging="360"/>
      </w:pPr>
    </w:lvl>
    <w:lvl w:ilvl="6" w:tplc="E4AE9E4E">
      <w:start w:val="1"/>
      <w:numFmt w:val="decimal"/>
      <w:lvlText w:val="%7."/>
      <w:lvlJc w:val="left"/>
      <w:pPr>
        <w:tabs>
          <w:tab w:val="num" w:pos="5040"/>
        </w:tabs>
        <w:ind w:left="5040" w:hanging="360"/>
      </w:pPr>
    </w:lvl>
    <w:lvl w:ilvl="7" w:tplc="96B4F750">
      <w:start w:val="1"/>
      <w:numFmt w:val="decimal"/>
      <w:lvlText w:val="%8."/>
      <w:lvlJc w:val="left"/>
      <w:pPr>
        <w:tabs>
          <w:tab w:val="num" w:pos="5760"/>
        </w:tabs>
        <w:ind w:left="5760" w:hanging="360"/>
      </w:pPr>
    </w:lvl>
    <w:lvl w:ilvl="8" w:tplc="6C08C992">
      <w:start w:val="1"/>
      <w:numFmt w:val="decimal"/>
      <w:lvlText w:val="%9."/>
      <w:lvlJc w:val="left"/>
      <w:pPr>
        <w:tabs>
          <w:tab w:val="num" w:pos="6480"/>
        </w:tabs>
        <w:ind w:left="6480" w:hanging="360"/>
      </w:pPr>
    </w:lvl>
  </w:abstractNum>
  <w:abstractNum w:abstractNumId="63">
    <w:nsid w:val="00000043"/>
    <w:multiLevelType w:val="hybridMultilevel"/>
    <w:tmpl w:val="B4DAA854"/>
    <w:lvl w:ilvl="0" w:tplc="F65CBDF0">
      <w:start w:val="1"/>
      <w:numFmt w:val="bullet"/>
      <w:pStyle w:val="Level1Bullet-BarcRA3000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1DE0633C">
      <w:start w:val="1"/>
      <w:numFmt w:val="bullet"/>
      <w:lvlText w:val="o"/>
      <w:lvlJc w:val="left"/>
      <w:pPr>
        <w:tabs>
          <w:tab w:val="num" w:pos="306"/>
        </w:tabs>
        <w:ind w:left="306" w:hanging="360"/>
      </w:pPr>
      <w:rPr>
        <w:rFonts w:ascii="Courier New" w:hAnsi="Courier New" w:cs="Times New Roman" w:hint="default"/>
      </w:rPr>
    </w:lvl>
    <w:lvl w:ilvl="2" w:tplc="82CA2092">
      <w:numFmt w:val="bullet"/>
      <w:lvlText w:val="-"/>
      <w:lvlJc w:val="left"/>
      <w:pPr>
        <w:tabs>
          <w:tab w:val="num" w:pos="1401"/>
        </w:tabs>
        <w:ind w:left="1401" w:hanging="735"/>
      </w:pPr>
      <w:rPr>
        <w:rFonts w:ascii="Barclays Serif" w:eastAsia="Times New Roman" w:hAnsi="Barclays Serif" w:cs="Times New Roman" w:hint="default"/>
      </w:rPr>
    </w:lvl>
    <w:lvl w:ilvl="3" w:tplc="F12CDE9C">
      <w:start w:val="1"/>
      <w:numFmt w:val="decimal"/>
      <w:lvlText w:val="%4."/>
      <w:lvlJc w:val="left"/>
      <w:pPr>
        <w:tabs>
          <w:tab w:val="num" w:pos="2880"/>
        </w:tabs>
        <w:ind w:left="2880" w:hanging="360"/>
      </w:pPr>
    </w:lvl>
    <w:lvl w:ilvl="4" w:tplc="C00621A4">
      <w:start w:val="1"/>
      <w:numFmt w:val="decimal"/>
      <w:lvlText w:val="%5."/>
      <w:lvlJc w:val="left"/>
      <w:pPr>
        <w:tabs>
          <w:tab w:val="num" w:pos="3600"/>
        </w:tabs>
        <w:ind w:left="3600" w:hanging="360"/>
      </w:pPr>
    </w:lvl>
    <w:lvl w:ilvl="5" w:tplc="06789C68">
      <w:start w:val="1"/>
      <w:numFmt w:val="decimal"/>
      <w:lvlText w:val="%6."/>
      <w:lvlJc w:val="left"/>
      <w:pPr>
        <w:tabs>
          <w:tab w:val="num" w:pos="4320"/>
        </w:tabs>
        <w:ind w:left="4320" w:hanging="360"/>
      </w:pPr>
    </w:lvl>
    <w:lvl w:ilvl="6" w:tplc="CDD2AB56">
      <w:start w:val="1"/>
      <w:numFmt w:val="decimal"/>
      <w:lvlText w:val="%7."/>
      <w:lvlJc w:val="left"/>
      <w:pPr>
        <w:tabs>
          <w:tab w:val="num" w:pos="5040"/>
        </w:tabs>
        <w:ind w:left="5040" w:hanging="360"/>
      </w:pPr>
    </w:lvl>
    <w:lvl w:ilvl="7" w:tplc="9168E43C">
      <w:start w:val="1"/>
      <w:numFmt w:val="decimal"/>
      <w:lvlText w:val="%8."/>
      <w:lvlJc w:val="left"/>
      <w:pPr>
        <w:tabs>
          <w:tab w:val="num" w:pos="5760"/>
        </w:tabs>
        <w:ind w:left="5760" w:hanging="360"/>
      </w:pPr>
    </w:lvl>
    <w:lvl w:ilvl="8" w:tplc="5C62864C">
      <w:start w:val="1"/>
      <w:numFmt w:val="decimal"/>
      <w:lvlText w:val="%9."/>
      <w:lvlJc w:val="left"/>
      <w:pPr>
        <w:tabs>
          <w:tab w:val="num" w:pos="6480"/>
        </w:tabs>
        <w:ind w:left="6480" w:hanging="360"/>
      </w:pPr>
    </w:lvl>
  </w:abstractNum>
  <w:abstractNum w:abstractNumId="64">
    <w:nsid w:val="00000044"/>
    <w:multiLevelType w:val="hybridMultilevel"/>
    <w:tmpl w:val="8F04F040"/>
    <w:lvl w:ilvl="0" w:tplc="ECF864DE">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FA6D1E0">
      <w:start w:val="1"/>
      <w:numFmt w:val="bullet"/>
      <w:lvlText w:val="o"/>
      <w:lvlJc w:val="left"/>
      <w:pPr>
        <w:tabs>
          <w:tab w:val="num" w:pos="306"/>
        </w:tabs>
        <w:ind w:left="306" w:hanging="360"/>
      </w:pPr>
      <w:rPr>
        <w:rFonts w:ascii="Courier New" w:hAnsi="Courier New" w:cs="Times New Roman" w:hint="default"/>
      </w:rPr>
    </w:lvl>
    <w:lvl w:ilvl="2" w:tplc="32402388">
      <w:numFmt w:val="bullet"/>
      <w:pStyle w:val="Level2Bullet-BarcRA01"/>
      <w:lvlText w:val="–"/>
      <w:lvlJc w:val="left"/>
      <w:pPr>
        <w:tabs>
          <w:tab w:val="num" w:pos="1401"/>
        </w:tabs>
        <w:ind w:left="1401" w:hanging="735"/>
      </w:pPr>
      <w:rPr>
        <w:rFonts w:ascii="Arial" w:eastAsia="Times New Roman" w:hAnsi="Arial" w:cs="Times New Roman" w:hint="default"/>
      </w:rPr>
    </w:lvl>
    <w:lvl w:ilvl="3" w:tplc="A09E5ABE">
      <w:start w:val="1"/>
      <w:numFmt w:val="bullet"/>
      <w:lvlText w:val=""/>
      <w:lvlJc w:val="left"/>
      <w:pPr>
        <w:tabs>
          <w:tab w:val="num" w:pos="1746"/>
        </w:tabs>
        <w:ind w:left="1746" w:hanging="360"/>
      </w:pPr>
      <w:rPr>
        <w:rFonts w:ascii="Symbol" w:hAnsi="Symbol" w:hint="default"/>
      </w:rPr>
    </w:lvl>
    <w:lvl w:ilvl="4" w:tplc="82D6E4C8">
      <w:start w:val="1"/>
      <w:numFmt w:val="decimal"/>
      <w:lvlText w:val="%5."/>
      <w:lvlJc w:val="left"/>
      <w:pPr>
        <w:tabs>
          <w:tab w:val="num" w:pos="3600"/>
        </w:tabs>
        <w:ind w:left="3600" w:hanging="360"/>
      </w:pPr>
    </w:lvl>
    <w:lvl w:ilvl="5" w:tplc="7354B632">
      <w:start w:val="1"/>
      <w:numFmt w:val="decimal"/>
      <w:lvlText w:val="%6."/>
      <w:lvlJc w:val="left"/>
      <w:pPr>
        <w:tabs>
          <w:tab w:val="num" w:pos="4320"/>
        </w:tabs>
        <w:ind w:left="4320" w:hanging="360"/>
      </w:pPr>
    </w:lvl>
    <w:lvl w:ilvl="6" w:tplc="42F0666C">
      <w:start w:val="1"/>
      <w:numFmt w:val="decimal"/>
      <w:lvlText w:val="%7."/>
      <w:lvlJc w:val="left"/>
      <w:pPr>
        <w:tabs>
          <w:tab w:val="num" w:pos="5040"/>
        </w:tabs>
        <w:ind w:left="5040" w:hanging="360"/>
      </w:pPr>
    </w:lvl>
    <w:lvl w:ilvl="7" w:tplc="9AB457E4">
      <w:start w:val="1"/>
      <w:numFmt w:val="decimal"/>
      <w:lvlText w:val="%8."/>
      <w:lvlJc w:val="left"/>
      <w:pPr>
        <w:tabs>
          <w:tab w:val="num" w:pos="5760"/>
        </w:tabs>
        <w:ind w:left="5760" w:hanging="360"/>
      </w:pPr>
    </w:lvl>
    <w:lvl w:ilvl="8" w:tplc="20466218">
      <w:start w:val="1"/>
      <w:numFmt w:val="decimal"/>
      <w:lvlText w:val="%9."/>
      <w:lvlJc w:val="left"/>
      <w:pPr>
        <w:tabs>
          <w:tab w:val="num" w:pos="6480"/>
        </w:tabs>
        <w:ind w:left="6480" w:hanging="360"/>
      </w:pPr>
    </w:lvl>
  </w:abstractNum>
  <w:abstractNum w:abstractNumId="65">
    <w:nsid w:val="00000046"/>
    <w:multiLevelType w:val="hybridMultilevel"/>
    <w:tmpl w:val="B4DAA854"/>
    <w:lvl w:ilvl="0" w:tplc="2C3C7516">
      <w:start w:val="1"/>
      <w:numFmt w:val="bullet"/>
      <w:pStyle w:val="Level1Bullet-BarcRA20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05A1E8C">
      <w:start w:val="1"/>
      <w:numFmt w:val="bullet"/>
      <w:lvlText w:val="o"/>
      <w:lvlJc w:val="left"/>
      <w:pPr>
        <w:tabs>
          <w:tab w:val="num" w:pos="306"/>
        </w:tabs>
        <w:ind w:left="306" w:hanging="360"/>
      </w:pPr>
      <w:rPr>
        <w:rFonts w:ascii="Courier New" w:hAnsi="Courier New" w:cs="Times New Roman" w:hint="default"/>
      </w:rPr>
    </w:lvl>
    <w:lvl w:ilvl="2" w:tplc="3B5A5910">
      <w:numFmt w:val="bullet"/>
      <w:lvlText w:val="-"/>
      <w:lvlJc w:val="left"/>
      <w:pPr>
        <w:tabs>
          <w:tab w:val="num" w:pos="1401"/>
        </w:tabs>
        <w:ind w:left="1401" w:hanging="735"/>
      </w:pPr>
      <w:rPr>
        <w:rFonts w:ascii="Barclays Serif" w:eastAsia="Times New Roman" w:hAnsi="Barclays Serif" w:cs="Times New Roman" w:hint="default"/>
      </w:rPr>
    </w:lvl>
    <w:lvl w:ilvl="3" w:tplc="2EEED228">
      <w:start w:val="1"/>
      <w:numFmt w:val="decimal"/>
      <w:lvlText w:val="%4."/>
      <w:lvlJc w:val="left"/>
      <w:pPr>
        <w:tabs>
          <w:tab w:val="num" w:pos="2880"/>
        </w:tabs>
        <w:ind w:left="2880" w:hanging="360"/>
      </w:pPr>
    </w:lvl>
    <w:lvl w:ilvl="4" w:tplc="DA687CEC">
      <w:start w:val="1"/>
      <w:numFmt w:val="decimal"/>
      <w:lvlText w:val="%5."/>
      <w:lvlJc w:val="left"/>
      <w:pPr>
        <w:tabs>
          <w:tab w:val="num" w:pos="3600"/>
        </w:tabs>
        <w:ind w:left="3600" w:hanging="360"/>
      </w:pPr>
    </w:lvl>
    <w:lvl w:ilvl="5" w:tplc="F538EAA6">
      <w:start w:val="1"/>
      <w:numFmt w:val="decimal"/>
      <w:lvlText w:val="%6."/>
      <w:lvlJc w:val="left"/>
      <w:pPr>
        <w:tabs>
          <w:tab w:val="num" w:pos="4320"/>
        </w:tabs>
        <w:ind w:left="4320" w:hanging="360"/>
      </w:pPr>
    </w:lvl>
    <w:lvl w:ilvl="6" w:tplc="9926EC3A">
      <w:start w:val="1"/>
      <w:numFmt w:val="decimal"/>
      <w:lvlText w:val="%7."/>
      <w:lvlJc w:val="left"/>
      <w:pPr>
        <w:tabs>
          <w:tab w:val="num" w:pos="5040"/>
        </w:tabs>
        <w:ind w:left="5040" w:hanging="360"/>
      </w:pPr>
    </w:lvl>
    <w:lvl w:ilvl="7" w:tplc="1108DDAC">
      <w:start w:val="1"/>
      <w:numFmt w:val="decimal"/>
      <w:lvlText w:val="%8."/>
      <w:lvlJc w:val="left"/>
      <w:pPr>
        <w:tabs>
          <w:tab w:val="num" w:pos="5760"/>
        </w:tabs>
        <w:ind w:left="5760" w:hanging="360"/>
      </w:pPr>
    </w:lvl>
    <w:lvl w:ilvl="8" w:tplc="A01E2358">
      <w:start w:val="1"/>
      <w:numFmt w:val="decimal"/>
      <w:lvlText w:val="%9."/>
      <w:lvlJc w:val="left"/>
      <w:pPr>
        <w:tabs>
          <w:tab w:val="num" w:pos="6480"/>
        </w:tabs>
        <w:ind w:left="6480" w:hanging="360"/>
      </w:pPr>
    </w:lvl>
  </w:abstractNum>
  <w:abstractNum w:abstractNumId="66">
    <w:nsid w:val="00000047"/>
    <w:multiLevelType w:val="hybridMultilevel"/>
    <w:tmpl w:val="B4DAA854"/>
    <w:lvl w:ilvl="0" w:tplc="4248486A">
      <w:start w:val="1"/>
      <w:numFmt w:val="bullet"/>
      <w:pStyle w:val="Level1Bullet-BarcRA8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0DC1172">
      <w:start w:val="1"/>
      <w:numFmt w:val="bullet"/>
      <w:lvlText w:val="o"/>
      <w:lvlJc w:val="left"/>
      <w:pPr>
        <w:tabs>
          <w:tab w:val="num" w:pos="306"/>
        </w:tabs>
        <w:ind w:left="306" w:hanging="360"/>
      </w:pPr>
      <w:rPr>
        <w:rFonts w:ascii="Courier New" w:hAnsi="Courier New" w:cs="Times New Roman" w:hint="default"/>
      </w:rPr>
    </w:lvl>
    <w:lvl w:ilvl="2" w:tplc="9222BB0E">
      <w:numFmt w:val="bullet"/>
      <w:lvlText w:val="-"/>
      <w:lvlJc w:val="left"/>
      <w:pPr>
        <w:tabs>
          <w:tab w:val="num" w:pos="1401"/>
        </w:tabs>
        <w:ind w:left="1401" w:hanging="735"/>
      </w:pPr>
      <w:rPr>
        <w:rFonts w:ascii="Barclays Serif" w:eastAsia="Times New Roman" w:hAnsi="Barclays Serif" w:cs="Times New Roman" w:hint="default"/>
      </w:rPr>
    </w:lvl>
    <w:lvl w:ilvl="3" w:tplc="9CA03866">
      <w:start w:val="1"/>
      <w:numFmt w:val="decimal"/>
      <w:lvlText w:val="%4."/>
      <w:lvlJc w:val="left"/>
      <w:pPr>
        <w:tabs>
          <w:tab w:val="num" w:pos="2880"/>
        </w:tabs>
        <w:ind w:left="2880" w:hanging="360"/>
      </w:pPr>
    </w:lvl>
    <w:lvl w:ilvl="4" w:tplc="17100114">
      <w:start w:val="1"/>
      <w:numFmt w:val="decimal"/>
      <w:lvlText w:val="%5."/>
      <w:lvlJc w:val="left"/>
      <w:pPr>
        <w:tabs>
          <w:tab w:val="num" w:pos="3600"/>
        </w:tabs>
        <w:ind w:left="3600" w:hanging="360"/>
      </w:pPr>
    </w:lvl>
    <w:lvl w:ilvl="5" w:tplc="C1BCCE34">
      <w:start w:val="1"/>
      <w:numFmt w:val="decimal"/>
      <w:lvlText w:val="%6."/>
      <w:lvlJc w:val="left"/>
      <w:pPr>
        <w:tabs>
          <w:tab w:val="num" w:pos="4320"/>
        </w:tabs>
        <w:ind w:left="4320" w:hanging="360"/>
      </w:pPr>
    </w:lvl>
    <w:lvl w:ilvl="6" w:tplc="5DA88D10">
      <w:start w:val="1"/>
      <w:numFmt w:val="decimal"/>
      <w:lvlText w:val="%7."/>
      <w:lvlJc w:val="left"/>
      <w:pPr>
        <w:tabs>
          <w:tab w:val="num" w:pos="5040"/>
        </w:tabs>
        <w:ind w:left="5040" w:hanging="360"/>
      </w:pPr>
    </w:lvl>
    <w:lvl w:ilvl="7" w:tplc="0AB2C648">
      <w:start w:val="1"/>
      <w:numFmt w:val="decimal"/>
      <w:lvlText w:val="%8."/>
      <w:lvlJc w:val="left"/>
      <w:pPr>
        <w:tabs>
          <w:tab w:val="num" w:pos="5760"/>
        </w:tabs>
        <w:ind w:left="5760" w:hanging="360"/>
      </w:pPr>
    </w:lvl>
    <w:lvl w:ilvl="8" w:tplc="58AE72F4">
      <w:start w:val="1"/>
      <w:numFmt w:val="decimal"/>
      <w:lvlText w:val="%9."/>
      <w:lvlJc w:val="left"/>
      <w:pPr>
        <w:tabs>
          <w:tab w:val="num" w:pos="6480"/>
        </w:tabs>
        <w:ind w:left="6480" w:hanging="360"/>
      </w:pPr>
    </w:lvl>
  </w:abstractNum>
  <w:abstractNum w:abstractNumId="67">
    <w:nsid w:val="00000048"/>
    <w:multiLevelType w:val="hybridMultilevel"/>
    <w:tmpl w:val="04BE5B3E"/>
    <w:lvl w:ilvl="0" w:tplc="48D8F4B8">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0D89894">
      <w:start w:val="1"/>
      <w:numFmt w:val="bullet"/>
      <w:lvlText w:val="o"/>
      <w:lvlJc w:val="left"/>
      <w:pPr>
        <w:tabs>
          <w:tab w:val="num" w:pos="306"/>
        </w:tabs>
        <w:ind w:left="306" w:hanging="360"/>
      </w:pPr>
      <w:rPr>
        <w:rFonts w:ascii="Courier New" w:hAnsi="Courier New" w:cs="Times New Roman" w:hint="default"/>
      </w:rPr>
    </w:lvl>
    <w:lvl w:ilvl="2" w:tplc="D1AA1776">
      <w:numFmt w:val="bullet"/>
      <w:pStyle w:val="Level2Bullet-BarcRA100"/>
      <w:lvlText w:val="–"/>
      <w:lvlJc w:val="left"/>
      <w:pPr>
        <w:tabs>
          <w:tab w:val="num" w:pos="1401"/>
        </w:tabs>
        <w:ind w:left="1401" w:hanging="735"/>
      </w:pPr>
      <w:rPr>
        <w:rFonts w:ascii="Arial" w:eastAsia="Times New Roman" w:hAnsi="Arial" w:cs="Times New Roman" w:hint="default"/>
      </w:rPr>
    </w:lvl>
    <w:lvl w:ilvl="3" w:tplc="7B808512">
      <w:start w:val="1"/>
      <w:numFmt w:val="decimal"/>
      <w:lvlText w:val="%4."/>
      <w:lvlJc w:val="left"/>
      <w:pPr>
        <w:tabs>
          <w:tab w:val="num" w:pos="2880"/>
        </w:tabs>
        <w:ind w:left="2880" w:hanging="360"/>
      </w:pPr>
    </w:lvl>
    <w:lvl w:ilvl="4" w:tplc="7AEC2250">
      <w:start w:val="1"/>
      <w:numFmt w:val="decimal"/>
      <w:lvlText w:val="%5."/>
      <w:lvlJc w:val="left"/>
      <w:pPr>
        <w:tabs>
          <w:tab w:val="num" w:pos="3600"/>
        </w:tabs>
        <w:ind w:left="3600" w:hanging="360"/>
      </w:pPr>
    </w:lvl>
    <w:lvl w:ilvl="5" w:tplc="B07C38D8">
      <w:start w:val="1"/>
      <w:numFmt w:val="decimal"/>
      <w:lvlText w:val="%6."/>
      <w:lvlJc w:val="left"/>
      <w:pPr>
        <w:tabs>
          <w:tab w:val="num" w:pos="4320"/>
        </w:tabs>
        <w:ind w:left="4320" w:hanging="360"/>
      </w:pPr>
    </w:lvl>
    <w:lvl w:ilvl="6" w:tplc="3454FA40">
      <w:start w:val="1"/>
      <w:numFmt w:val="decimal"/>
      <w:lvlText w:val="%7."/>
      <w:lvlJc w:val="left"/>
      <w:pPr>
        <w:tabs>
          <w:tab w:val="num" w:pos="5040"/>
        </w:tabs>
        <w:ind w:left="5040" w:hanging="360"/>
      </w:pPr>
    </w:lvl>
    <w:lvl w:ilvl="7" w:tplc="2A8C8446">
      <w:start w:val="1"/>
      <w:numFmt w:val="decimal"/>
      <w:lvlText w:val="%8."/>
      <w:lvlJc w:val="left"/>
      <w:pPr>
        <w:tabs>
          <w:tab w:val="num" w:pos="5760"/>
        </w:tabs>
        <w:ind w:left="5760" w:hanging="360"/>
      </w:pPr>
    </w:lvl>
    <w:lvl w:ilvl="8" w:tplc="F74CA268">
      <w:start w:val="1"/>
      <w:numFmt w:val="decimal"/>
      <w:lvlText w:val="%9."/>
      <w:lvlJc w:val="left"/>
      <w:pPr>
        <w:tabs>
          <w:tab w:val="num" w:pos="6480"/>
        </w:tabs>
        <w:ind w:left="6480" w:hanging="360"/>
      </w:pPr>
    </w:lvl>
  </w:abstractNum>
  <w:abstractNum w:abstractNumId="68">
    <w:nsid w:val="00000049"/>
    <w:multiLevelType w:val="hybridMultilevel"/>
    <w:tmpl w:val="B4DAA854"/>
    <w:lvl w:ilvl="0" w:tplc="5C02320C">
      <w:start w:val="1"/>
      <w:numFmt w:val="bullet"/>
      <w:pStyle w:val="Level1Bullet-BarcRA8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B287C40">
      <w:start w:val="1"/>
      <w:numFmt w:val="bullet"/>
      <w:lvlText w:val="o"/>
      <w:lvlJc w:val="left"/>
      <w:pPr>
        <w:tabs>
          <w:tab w:val="num" w:pos="306"/>
        </w:tabs>
        <w:ind w:left="306" w:hanging="360"/>
      </w:pPr>
      <w:rPr>
        <w:rFonts w:ascii="Courier New" w:hAnsi="Courier New" w:hint="default"/>
      </w:rPr>
    </w:lvl>
    <w:lvl w:ilvl="2" w:tplc="1E2A9830">
      <w:numFmt w:val="bullet"/>
      <w:lvlText w:val="-"/>
      <w:lvlJc w:val="left"/>
      <w:pPr>
        <w:tabs>
          <w:tab w:val="num" w:pos="1401"/>
        </w:tabs>
        <w:ind w:left="1401" w:hanging="735"/>
      </w:pPr>
      <w:rPr>
        <w:rFonts w:ascii="Barclays Serif" w:eastAsia="Times New Roman" w:hAnsi="Barclays Serif" w:cs="Times New Roman" w:hint="default"/>
      </w:rPr>
    </w:lvl>
    <w:lvl w:ilvl="3" w:tplc="0E984E4E" w:tentative="1">
      <w:start w:val="1"/>
      <w:numFmt w:val="bullet"/>
      <w:lvlText w:val=""/>
      <w:lvlJc w:val="left"/>
      <w:pPr>
        <w:tabs>
          <w:tab w:val="num" w:pos="1746"/>
        </w:tabs>
        <w:ind w:left="1746" w:hanging="360"/>
      </w:pPr>
      <w:rPr>
        <w:rFonts w:ascii="Symbol" w:hAnsi="Symbol" w:hint="default"/>
      </w:rPr>
    </w:lvl>
    <w:lvl w:ilvl="4" w:tplc="63C0598E" w:tentative="1">
      <w:start w:val="1"/>
      <w:numFmt w:val="bullet"/>
      <w:lvlText w:val="o"/>
      <w:lvlJc w:val="left"/>
      <w:pPr>
        <w:tabs>
          <w:tab w:val="num" w:pos="2466"/>
        </w:tabs>
        <w:ind w:left="2466" w:hanging="360"/>
      </w:pPr>
      <w:rPr>
        <w:rFonts w:ascii="Courier New" w:hAnsi="Courier New" w:hint="default"/>
      </w:rPr>
    </w:lvl>
    <w:lvl w:ilvl="5" w:tplc="269ED15C" w:tentative="1">
      <w:start w:val="1"/>
      <w:numFmt w:val="bullet"/>
      <w:lvlText w:val=""/>
      <w:lvlJc w:val="left"/>
      <w:pPr>
        <w:tabs>
          <w:tab w:val="num" w:pos="3186"/>
        </w:tabs>
        <w:ind w:left="3186" w:hanging="360"/>
      </w:pPr>
      <w:rPr>
        <w:rFonts w:ascii="Wingdings" w:hAnsi="Wingdings" w:hint="default"/>
      </w:rPr>
    </w:lvl>
    <w:lvl w:ilvl="6" w:tplc="4E98AD48" w:tentative="1">
      <w:start w:val="1"/>
      <w:numFmt w:val="bullet"/>
      <w:lvlText w:val=""/>
      <w:lvlJc w:val="left"/>
      <w:pPr>
        <w:tabs>
          <w:tab w:val="num" w:pos="3906"/>
        </w:tabs>
        <w:ind w:left="3906" w:hanging="360"/>
      </w:pPr>
      <w:rPr>
        <w:rFonts w:ascii="Symbol" w:hAnsi="Symbol" w:hint="default"/>
      </w:rPr>
    </w:lvl>
    <w:lvl w:ilvl="7" w:tplc="595CA2C6" w:tentative="1">
      <w:start w:val="1"/>
      <w:numFmt w:val="bullet"/>
      <w:lvlText w:val="o"/>
      <w:lvlJc w:val="left"/>
      <w:pPr>
        <w:tabs>
          <w:tab w:val="num" w:pos="4626"/>
        </w:tabs>
        <w:ind w:left="4626" w:hanging="360"/>
      </w:pPr>
      <w:rPr>
        <w:rFonts w:ascii="Courier New" w:hAnsi="Courier New" w:hint="default"/>
      </w:rPr>
    </w:lvl>
    <w:lvl w:ilvl="8" w:tplc="057A63DE" w:tentative="1">
      <w:start w:val="1"/>
      <w:numFmt w:val="bullet"/>
      <w:lvlText w:val=""/>
      <w:lvlJc w:val="left"/>
      <w:pPr>
        <w:tabs>
          <w:tab w:val="num" w:pos="5346"/>
        </w:tabs>
        <w:ind w:left="5346" w:hanging="360"/>
      </w:pPr>
      <w:rPr>
        <w:rFonts w:ascii="Wingdings" w:hAnsi="Wingdings" w:hint="default"/>
      </w:rPr>
    </w:lvl>
  </w:abstractNum>
  <w:abstractNum w:abstractNumId="69">
    <w:nsid w:val="0000004A"/>
    <w:multiLevelType w:val="hybridMultilevel"/>
    <w:tmpl w:val="04BE5B3E"/>
    <w:lvl w:ilvl="0" w:tplc="A7A61854">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00CDE90">
      <w:start w:val="1"/>
      <w:numFmt w:val="bullet"/>
      <w:lvlText w:val="o"/>
      <w:lvlJc w:val="left"/>
      <w:pPr>
        <w:tabs>
          <w:tab w:val="num" w:pos="306"/>
        </w:tabs>
        <w:ind w:left="306" w:hanging="360"/>
      </w:pPr>
      <w:rPr>
        <w:rFonts w:ascii="Courier New" w:hAnsi="Courier New" w:cs="Times New Roman" w:hint="default"/>
      </w:rPr>
    </w:lvl>
    <w:lvl w:ilvl="2" w:tplc="E6A26D62">
      <w:numFmt w:val="bullet"/>
      <w:pStyle w:val="Level2Bullet-BarcRA20"/>
      <w:lvlText w:val="–"/>
      <w:lvlJc w:val="left"/>
      <w:pPr>
        <w:tabs>
          <w:tab w:val="num" w:pos="1401"/>
        </w:tabs>
        <w:ind w:left="1401" w:hanging="735"/>
      </w:pPr>
      <w:rPr>
        <w:rFonts w:ascii="Arial" w:eastAsia="Times New Roman" w:hAnsi="Arial" w:cs="Times New Roman" w:hint="default"/>
      </w:rPr>
    </w:lvl>
    <w:lvl w:ilvl="3" w:tplc="A60463A6">
      <w:start w:val="1"/>
      <w:numFmt w:val="decimal"/>
      <w:lvlText w:val="%4."/>
      <w:lvlJc w:val="left"/>
      <w:pPr>
        <w:tabs>
          <w:tab w:val="num" w:pos="2880"/>
        </w:tabs>
        <w:ind w:left="2880" w:hanging="360"/>
      </w:pPr>
    </w:lvl>
    <w:lvl w:ilvl="4" w:tplc="7340D302">
      <w:start w:val="1"/>
      <w:numFmt w:val="decimal"/>
      <w:lvlText w:val="%5."/>
      <w:lvlJc w:val="left"/>
      <w:pPr>
        <w:tabs>
          <w:tab w:val="num" w:pos="3600"/>
        </w:tabs>
        <w:ind w:left="3600" w:hanging="360"/>
      </w:pPr>
    </w:lvl>
    <w:lvl w:ilvl="5" w:tplc="9392AE36">
      <w:start w:val="1"/>
      <w:numFmt w:val="decimal"/>
      <w:lvlText w:val="%6."/>
      <w:lvlJc w:val="left"/>
      <w:pPr>
        <w:tabs>
          <w:tab w:val="num" w:pos="4320"/>
        </w:tabs>
        <w:ind w:left="4320" w:hanging="360"/>
      </w:pPr>
    </w:lvl>
    <w:lvl w:ilvl="6" w:tplc="DE9C9488">
      <w:start w:val="1"/>
      <w:numFmt w:val="decimal"/>
      <w:lvlText w:val="%7."/>
      <w:lvlJc w:val="left"/>
      <w:pPr>
        <w:tabs>
          <w:tab w:val="num" w:pos="5040"/>
        </w:tabs>
        <w:ind w:left="5040" w:hanging="360"/>
      </w:pPr>
    </w:lvl>
    <w:lvl w:ilvl="7" w:tplc="B46E59BA">
      <w:start w:val="1"/>
      <w:numFmt w:val="decimal"/>
      <w:lvlText w:val="%8."/>
      <w:lvlJc w:val="left"/>
      <w:pPr>
        <w:tabs>
          <w:tab w:val="num" w:pos="5760"/>
        </w:tabs>
        <w:ind w:left="5760" w:hanging="360"/>
      </w:pPr>
    </w:lvl>
    <w:lvl w:ilvl="8" w:tplc="CF50E314">
      <w:start w:val="1"/>
      <w:numFmt w:val="decimal"/>
      <w:lvlText w:val="%9."/>
      <w:lvlJc w:val="left"/>
      <w:pPr>
        <w:tabs>
          <w:tab w:val="num" w:pos="6480"/>
        </w:tabs>
        <w:ind w:left="6480" w:hanging="360"/>
      </w:pPr>
    </w:lvl>
  </w:abstractNum>
  <w:abstractNum w:abstractNumId="70">
    <w:nsid w:val="0000004C"/>
    <w:multiLevelType w:val="hybridMultilevel"/>
    <w:tmpl w:val="3F46D7DE"/>
    <w:lvl w:ilvl="0" w:tplc="B930DCC0">
      <w:start w:val="1"/>
      <w:numFmt w:val="decimal"/>
      <w:pStyle w:val="NoteandSourceText-BarcRA0"/>
      <w:lvlText w:val="%1"/>
      <w:lvlJc w:val="left"/>
      <w:pPr>
        <w:ind w:left="360" w:hanging="360"/>
      </w:pPr>
      <w:rPr>
        <w:rFonts w:hint="default"/>
      </w:rPr>
    </w:lvl>
    <w:lvl w:ilvl="1" w:tplc="56CA129C" w:tentative="1">
      <w:start w:val="1"/>
      <w:numFmt w:val="lowerLetter"/>
      <w:lvlText w:val="%2."/>
      <w:lvlJc w:val="left"/>
      <w:pPr>
        <w:ind w:left="1080" w:hanging="360"/>
      </w:pPr>
    </w:lvl>
    <w:lvl w:ilvl="2" w:tplc="28720FCA" w:tentative="1">
      <w:start w:val="1"/>
      <w:numFmt w:val="lowerRoman"/>
      <w:lvlText w:val="%3."/>
      <w:lvlJc w:val="right"/>
      <w:pPr>
        <w:ind w:left="1800" w:hanging="180"/>
      </w:pPr>
    </w:lvl>
    <w:lvl w:ilvl="3" w:tplc="115A2E66" w:tentative="1">
      <w:start w:val="1"/>
      <w:numFmt w:val="decimal"/>
      <w:lvlText w:val="%4."/>
      <w:lvlJc w:val="left"/>
      <w:pPr>
        <w:ind w:left="2520" w:hanging="360"/>
      </w:pPr>
    </w:lvl>
    <w:lvl w:ilvl="4" w:tplc="6360F652" w:tentative="1">
      <w:start w:val="1"/>
      <w:numFmt w:val="lowerLetter"/>
      <w:lvlText w:val="%5."/>
      <w:lvlJc w:val="left"/>
      <w:pPr>
        <w:ind w:left="3240" w:hanging="360"/>
      </w:pPr>
    </w:lvl>
    <w:lvl w:ilvl="5" w:tplc="73469E1A" w:tentative="1">
      <w:start w:val="1"/>
      <w:numFmt w:val="lowerRoman"/>
      <w:lvlText w:val="%6."/>
      <w:lvlJc w:val="right"/>
      <w:pPr>
        <w:ind w:left="3960" w:hanging="180"/>
      </w:pPr>
    </w:lvl>
    <w:lvl w:ilvl="6" w:tplc="EF56475A" w:tentative="1">
      <w:start w:val="1"/>
      <w:numFmt w:val="decimal"/>
      <w:lvlText w:val="%7."/>
      <w:lvlJc w:val="left"/>
      <w:pPr>
        <w:ind w:left="4680" w:hanging="360"/>
      </w:pPr>
    </w:lvl>
    <w:lvl w:ilvl="7" w:tplc="DFDCA6FC" w:tentative="1">
      <w:start w:val="1"/>
      <w:numFmt w:val="lowerLetter"/>
      <w:lvlText w:val="%8."/>
      <w:lvlJc w:val="left"/>
      <w:pPr>
        <w:ind w:left="5400" w:hanging="360"/>
      </w:pPr>
    </w:lvl>
    <w:lvl w:ilvl="8" w:tplc="95963F64" w:tentative="1">
      <w:start w:val="1"/>
      <w:numFmt w:val="lowerRoman"/>
      <w:lvlText w:val="%9."/>
      <w:lvlJc w:val="right"/>
      <w:pPr>
        <w:ind w:left="6120" w:hanging="180"/>
      </w:pPr>
    </w:lvl>
  </w:abstractNum>
  <w:abstractNum w:abstractNumId="71">
    <w:nsid w:val="0000004D"/>
    <w:multiLevelType w:val="hybridMultilevel"/>
    <w:tmpl w:val="8820C71E"/>
    <w:lvl w:ilvl="0" w:tplc="37F4F3A8">
      <w:start w:val="1"/>
      <w:numFmt w:val="bullet"/>
      <w:lvlText w:val=""/>
      <w:lvlJc w:val="left"/>
      <w:pPr>
        <w:ind w:left="720" w:hanging="360"/>
      </w:pPr>
      <w:rPr>
        <w:rFonts w:ascii="Symbol" w:hAnsi="Symbol" w:hint="default"/>
      </w:rPr>
    </w:lvl>
    <w:lvl w:ilvl="1" w:tplc="06E60CE8">
      <w:start w:val="1"/>
      <w:numFmt w:val="decimal"/>
      <w:lvlText w:val="%2."/>
      <w:lvlJc w:val="left"/>
      <w:pPr>
        <w:tabs>
          <w:tab w:val="num" w:pos="1440"/>
        </w:tabs>
        <w:ind w:left="1440" w:hanging="360"/>
      </w:pPr>
    </w:lvl>
    <w:lvl w:ilvl="2" w:tplc="62D27AE8">
      <w:start w:val="1"/>
      <w:numFmt w:val="decimal"/>
      <w:lvlText w:val="%3."/>
      <w:lvlJc w:val="left"/>
      <w:pPr>
        <w:tabs>
          <w:tab w:val="num" w:pos="2160"/>
        </w:tabs>
        <w:ind w:left="2160" w:hanging="360"/>
      </w:pPr>
    </w:lvl>
    <w:lvl w:ilvl="3" w:tplc="B168569A">
      <w:start w:val="1"/>
      <w:numFmt w:val="decimal"/>
      <w:lvlText w:val="%4."/>
      <w:lvlJc w:val="left"/>
      <w:pPr>
        <w:tabs>
          <w:tab w:val="num" w:pos="2880"/>
        </w:tabs>
        <w:ind w:left="2880" w:hanging="360"/>
      </w:pPr>
    </w:lvl>
    <w:lvl w:ilvl="4" w:tplc="C1E2A058">
      <w:start w:val="1"/>
      <w:numFmt w:val="decimal"/>
      <w:lvlText w:val="%5."/>
      <w:lvlJc w:val="left"/>
      <w:pPr>
        <w:tabs>
          <w:tab w:val="num" w:pos="3600"/>
        </w:tabs>
        <w:ind w:left="3600" w:hanging="360"/>
      </w:pPr>
    </w:lvl>
    <w:lvl w:ilvl="5" w:tplc="BB543A9C">
      <w:start w:val="1"/>
      <w:numFmt w:val="decimal"/>
      <w:lvlText w:val="%6."/>
      <w:lvlJc w:val="left"/>
      <w:pPr>
        <w:tabs>
          <w:tab w:val="num" w:pos="4320"/>
        </w:tabs>
        <w:ind w:left="4320" w:hanging="360"/>
      </w:pPr>
    </w:lvl>
    <w:lvl w:ilvl="6" w:tplc="D0BC71BE">
      <w:start w:val="1"/>
      <w:numFmt w:val="decimal"/>
      <w:lvlText w:val="%7."/>
      <w:lvlJc w:val="left"/>
      <w:pPr>
        <w:tabs>
          <w:tab w:val="num" w:pos="5040"/>
        </w:tabs>
        <w:ind w:left="5040" w:hanging="360"/>
      </w:pPr>
    </w:lvl>
    <w:lvl w:ilvl="7" w:tplc="01B82B98">
      <w:start w:val="1"/>
      <w:numFmt w:val="decimal"/>
      <w:lvlText w:val="%8."/>
      <w:lvlJc w:val="left"/>
      <w:pPr>
        <w:tabs>
          <w:tab w:val="num" w:pos="5760"/>
        </w:tabs>
        <w:ind w:left="5760" w:hanging="360"/>
      </w:pPr>
    </w:lvl>
    <w:lvl w:ilvl="8" w:tplc="D198388E">
      <w:start w:val="1"/>
      <w:numFmt w:val="decimal"/>
      <w:lvlText w:val="%9."/>
      <w:lvlJc w:val="left"/>
      <w:pPr>
        <w:tabs>
          <w:tab w:val="num" w:pos="6480"/>
        </w:tabs>
        <w:ind w:left="6480" w:hanging="360"/>
      </w:pPr>
    </w:lvl>
  </w:abstractNum>
  <w:abstractNum w:abstractNumId="72">
    <w:nsid w:val="00000050"/>
    <w:multiLevelType w:val="hybridMultilevel"/>
    <w:tmpl w:val="3F46D7DE"/>
    <w:lvl w:ilvl="0" w:tplc="38E6279A">
      <w:start w:val="1"/>
      <w:numFmt w:val="decimal"/>
      <w:pStyle w:val="NoteandSourceText-BarcRA1"/>
      <w:lvlText w:val="%1"/>
      <w:lvlJc w:val="left"/>
      <w:pPr>
        <w:ind w:left="720" w:hanging="360"/>
      </w:pPr>
    </w:lvl>
    <w:lvl w:ilvl="1" w:tplc="8B6E939C">
      <w:start w:val="1"/>
      <w:numFmt w:val="decimal"/>
      <w:lvlText w:val="%2."/>
      <w:lvlJc w:val="left"/>
      <w:pPr>
        <w:tabs>
          <w:tab w:val="num" w:pos="1440"/>
        </w:tabs>
        <w:ind w:left="1440" w:hanging="360"/>
      </w:pPr>
    </w:lvl>
    <w:lvl w:ilvl="2" w:tplc="577A7A76">
      <w:start w:val="1"/>
      <w:numFmt w:val="decimal"/>
      <w:lvlText w:val="%3."/>
      <w:lvlJc w:val="left"/>
      <w:pPr>
        <w:tabs>
          <w:tab w:val="num" w:pos="2160"/>
        </w:tabs>
        <w:ind w:left="2160" w:hanging="360"/>
      </w:pPr>
    </w:lvl>
    <w:lvl w:ilvl="3" w:tplc="87A43B1C">
      <w:start w:val="1"/>
      <w:numFmt w:val="decimal"/>
      <w:lvlText w:val="%4."/>
      <w:lvlJc w:val="left"/>
      <w:pPr>
        <w:tabs>
          <w:tab w:val="num" w:pos="2880"/>
        </w:tabs>
        <w:ind w:left="2880" w:hanging="360"/>
      </w:pPr>
    </w:lvl>
    <w:lvl w:ilvl="4" w:tplc="1EB2E41E">
      <w:start w:val="1"/>
      <w:numFmt w:val="decimal"/>
      <w:lvlText w:val="%5."/>
      <w:lvlJc w:val="left"/>
      <w:pPr>
        <w:tabs>
          <w:tab w:val="num" w:pos="3600"/>
        </w:tabs>
        <w:ind w:left="3600" w:hanging="360"/>
      </w:pPr>
    </w:lvl>
    <w:lvl w:ilvl="5" w:tplc="D1C02D42">
      <w:start w:val="1"/>
      <w:numFmt w:val="decimal"/>
      <w:lvlText w:val="%6."/>
      <w:lvlJc w:val="left"/>
      <w:pPr>
        <w:tabs>
          <w:tab w:val="num" w:pos="4320"/>
        </w:tabs>
        <w:ind w:left="4320" w:hanging="360"/>
      </w:pPr>
    </w:lvl>
    <w:lvl w:ilvl="6" w:tplc="8E609CF6">
      <w:start w:val="1"/>
      <w:numFmt w:val="decimal"/>
      <w:lvlText w:val="%7."/>
      <w:lvlJc w:val="left"/>
      <w:pPr>
        <w:tabs>
          <w:tab w:val="num" w:pos="5040"/>
        </w:tabs>
        <w:ind w:left="5040" w:hanging="360"/>
      </w:pPr>
    </w:lvl>
    <w:lvl w:ilvl="7" w:tplc="29CCDFC0">
      <w:start w:val="1"/>
      <w:numFmt w:val="decimal"/>
      <w:lvlText w:val="%8."/>
      <w:lvlJc w:val="left"/>
      <w:pPr>
        <w:tabs>
          <w:tab w:val="num" w:pos="5760"/>
        </w:tabs>
        <w:ind w:left="5760" w:hanging="360"/>
      </w:pPr>
    </w:lvl>
    <w:lvl w:ilvl="8" w:tplc="62F0F8F8">
      <w:start w:val="1"/>
      <w:numFmt w:val="decimal"/>
      <w:lvlText w:val="%9."/>
      <w:lvlJc w:val="left"/>
      <w:pPr>
        <w:tabs>
          <w:tab w:val="num" w:pos="6480"/>
        </w:tabs>
        <w:ind w:left="6480" w:hanging="360"/>
      </w:pPr>
    </w:lvl>
  </w:abstractNum>
  <w:abstractNum w:abstractNumId="73">
    <w:nsid w:val="00000052"/>
    <w:multiLevelType w:val="hybridMultilevel"/>
    <w:tmpl w:val="B4DAA854"/>
    <w:lvl w:ilvl="0" w:tplc="25242314">
      <w:start w:val="1"/>
      <w:numFmt w:val="bullet"/>
      <w:pStyle w:val="Level1Bullet-BarcRA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134814EA">
      <w:start w:val="1"/>
      <w:numFmt w:val="bullet"/>
      <w:lvlText w:val="o"/>
      <w:lvlJc w:val="left"/>
      <w:pPr>
        <w:tabs>
          <w:tab w:val="num" w:pos="306"/>
        </w:tabs>
        <w:ind w:left="306" w:hanging="360"/>
      </w:pPr>
      <w:rPr>
        <w:rFonts w:ascii="Courier New" w:hAnsi="Courier New" w:hint="default"/>
      </w:rPr>
    </w:lvl>
    <w:lvl w:ilvl="2" w:tplc="C6CC0708">
      <w:numFmt w:val="bullet"/>
      <w:lvlText w:val="-"/>
      <w:lvlJc w:val="left"/>
      <w:pPr>
        <w:tabs>
          <w:tab w:val="num" w:pos="1401"/>
        </w:tabs>
        <w:ind w:left="1401" w:hanging="735"/>
      </w:pPr>
      <w:rPr>
        <w:rFonts w:ascii="Barclays Serif" w:eastAsia="Times New Roman" w:hAnsi="Barclays Serif" w:cs="Times New Roman" w:hint="default"/>
      </w:rPr>
    </w:lvl>
    <w:lvl w:ilvl="3" w:tplc="0C36EE82" w:tentative="1">
      <w:start w:val="1"/>
      <w:numFmt w:val="bullet"/>
      <w:lvlText w:val=""/>
      <w:lvlJc w:val="left"/>
      <w:pPr>
        <w:tabs>
          <w:tab w:val="num" w:pos="1746"/>
        </w:tabs>
        <w:ind w:left="1746" w:hanging="360"/>
      </w:pPr>
      <w:rPr>
        <w:rFonts w:ascii="Symbol" w:hAnsi="Symbol" w:hint="default"/>
      </w:rPr>
    </w:lvl>
    <w:lvl w:ilvl="4" w:tplc="B1F0CF20" w:tentative="1">
      <w:start w:val="1"/>
      <w:numFmt w:val="bullet"/>
      <w:lvlText w:val="o"/>
      <w:lvlJc w:val="left"/>
      <w:pPr>
        <w:tabs>
          <w:tab w:val="num" w:pos="2466"/>
        </w:tabs>
        <w:ind w:left="2466" w:hanging="360"/>
      </w:pPr>
      <w:rPr>
        <w:rFonts w:ascii="Courier New" w:hAnsi="Courier New" w:hint="default"/>
      </w:rPr>
    </w:lvl>
    <w:lvl w:ilvl="5" w:tplc="B8C04B82" w:tentative="1">
      <w:start w:val="1"/>
      <w:numFmt w:val="bullet"/>
      <w:lvlText w:val=""/>
      <w:lvlJc w:val="left"/>
      <w:pPr>
        <w:tabs>
          <w:tab w:val="num" w:pos="3186"/>
        </w:tabs>
        <w:ind w:left="3186" w:hanging="360"/>
      </w:pPr>
      <w:rPr>
        <w:rFonts w:ascii="Wingdings" w:hAnsi="Wingdings" w:hint="default"/>
      </w:rPr>
    </w:lvl>
    <w:lvl w:ilvl="6" w:tplc="12F23CC6" w:tentative="1">
      <w:start w:val="1"/>
      <w:numFmt w:val="bullet"/>
      <w:lvlText w:val=""/>
      <w:lvlJc w:val="left"/>
      <w:pPr>
        <w:tabs>
          <w:tab w:val="num" w:pos="3906"/>
        </w:tabs>
        <w:ind w:left="3906" w:hanging="360"/>
      </w:pPr>
      <w:rPr>
        <w:rFonts w:ascii="Symbol" w:hAnsi="Symbol" w:hint="default"/>
      </w:rPr>
    </w:lvl>
    <w:lvl w:ilvl="7" w:tplc="C7049C90" w:tentative="1">
      <w:start w:val="1"/>
      <w:numFmt w:val="bullet"/>
      <w:lvlText w:val="o"/>
      <w:lvlJc w:val="left"/>
      <w:pPr>
        <w:tabs>
          <w:tab w:val="num" w:pos="4626"/>
        </w:tabs>
        <w:ind w:left="4626" w:hanging="360"/>
      </w:pPr>
      <w:rPr>
        <w:rFonts w:ascii="Courier New" w:hAnsi="Courier New" w:hint="default"/>
      </w:rPr>
    </w:lvl>
    <w:lvl w:ilvl="8" w:tplc="EFA2B75A" w:tentative="1">
      <w:start w:val="1"/>
      <w:numFmt w:val="bullet"/>
      <w:lvlText w:val=""/>
      <w:lvlJc w:val="left"/>
      <w:pPr>
        <w:tabs>
          <w:tab w:val="num" w:pos="5346"/>
        </w:tabs>
        <w:ind w:left="5346" w:hanging="360"/>
      </w:pPr>
      <w:rPr>
        <w:rFonts w:ascii="Wingdings" w:hAnsi="Wingdings" w:hint="default"/>
      </w:rPr>
    </w:lvl>
  </w:abstractNum>
  <w:abstractNum w:abstractNumId="74">
    <w:nsid w:val="00000053"/>
    <w:multiLevelType w:val="hybridMultilevel"/>
    <w:tmpl w:val="B4DAA854"/>
    <w:lvl w:ilvl="0" w:tplc="6EB6B078">
      <w:start w:val="1"/>
      <w:numFmt w:val="bullet"/>
      <w:pStyle w:val="Level1Bullet-BarcRA1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706BDE4">
      <w:start w:val="1"/>
      <w:numFmt w:val="bullet"/>
      <w:lvlText w:val="o"/>
      <w:lvlJc w:val="left"/>
      <w:pPr>
        <w:tabs>
          <w:tab w:val="num" w:pos="306"/>
        </w:tabs>
        <w:ind w:left="306" w:hanging="360"/>
      </w:pPr>
      <w:rPr>
        <w:rFonts w:ascii="Courier New" w:hAnsi="Courier New" w:cs="Times New Roman" w:hint="default"/>
      </w:rPr>
    </w:lvl>
    <w:lvl w:ilvl="2" w:tplc="7BC0F41A">
      <w:numFmt w:val="bullet"/>
      <w:lvlText w:val="-"/>
      <w:lvlJc w:val="left"/>
      <w:pPr>
        <w:tabs>
          <w:tab w:val="num" w:pos="1401"/>
        </w:tabs>
        <w:ind w:left="1401" w:hanging="735"/>
      </w:pPr>
      <w:rPr>
        <w:rFonts w:ascii="Barclays Serif" w:eastAsia="Times New Roman" w:hAnsi="Barclays Serif" w:cs="Times New Roman" w:hint="default"/>
      </w:rPr>
    </w:lvl>
    <w:lvl w:ilvl="3" w:tplc="1AC8C75E">
      <w:start w:val="1"/>
      <w:numFmt w:val="decimal"/>
      <w:lvlText w:val="%4."/>
      <w:lvlJc w:val="left"/>
      <w:pPr>
        <w:tabs>
          <w:tab w:val="num" w:pos="2880"/>
        </w:tabs>
        <w:ind w:left="2880" w:hanging="360"/>
      </w:pPr>
    </w:lvl>
    <w:lvl w:ilvl="4" w:tplc="0FCA1754">
      <w:start w:val="1"/>
      <w:numFmt w:val="decimal"/>
      <w:lvlText w:val="%5."/>
      <w:lvlJc w:val="left"/>
      <w:pPr>
        <w:tabs>
          <w:tab w:val="num" w:pos="3600"/>
        </w:tabs>
        <w:ind w:left="3600" w:hanging="360"/>
      </w:pPr>
    </w:lvl>
    <w:lvl w:ilvl="5" w:tplc="492A34BE">
      <w:start w:val="1"/>
      <w:numFmt w:val="decimal"/>
      <w:lvlText w:val="%6."/>
      <w:lvlJc w:val="left"/>
      <w:pPr>
        <w:tabs>
          <w:tab w:val="num" w:pos="4320"/>
        </w:tabs>
        <w:ind w:left="4320" w:hanging="360"/>
      </w:pPr>
    </w:lvl>
    <w:lvl w:ilvl="6" w:tplc="E16804FA">
      <w:start w:val="1"/>
      <w:numFmt w:val="decimal"/>
      <w:lvlText w:val="%7."/>
      <w:lvlJc w:val="left"/>
      <w:pPr>
        <w:tabs>
          <w:tab w:val="num" w:pos="5040"/>
        </w:tabs>
        <w:ind w:left="5040" w:hanging="360"/>
      </w:pPr>
    </w:lvl>
    <w:lvl w:ilvl="7" w:tplc="6B948D98">
      <w:start w:val="1"/>
      <w:numFmt w:val="decimal"/>
      <w:lvlText w:val="%8."/>
      <w:lvlJc w:val="left"/>
      <w:pPr>
        <w:tabs>
          <w:tab w:val="num" w:pos="5760"/>
        </w:tabs>
        <w:ind w:left="5760" w:hanging="360"/>
      </w:pPr>
    </w:lvl>
    <w:lvl w:ilvl="8" w:tplc="62188B2C">
      <w:start w:val="1"/>
      <w:numFmt w:val="decimal"/>
      <w:lvlText w:val="%9."/>
      <w:lvlJc w:val="left"/>
      <w:pPr>
        <w:tabs>
          <w:tab w:val="num" w:pos="6480"/>
        </w:tabs>
        <w:ind w:left="6480" w:hanging="360"/>
      </w:pPr>
    </w:lvl>
  </w:abstractNum>
  <w:abstractNum w:abstractNumId="75">
    <w:nsid w:val="00000054"/>
    <w:multiLevelType w:val="hybridMultilevel"/>
    <w:tmpl w:val="32AAFE60"/>
    <w:lvl w:ilvl="0" w:tplc="36B2CCFA">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nsid w:val="00000055"/>
    <w:multiLevelType w:val="hybridMultilevel"/>
    <w:tmpl w:val="00088B38"/>
    <w:lvl w:ilvl="0" w:tplc="6D746C96">
      <w:start w:val="1"/>
      <w:numFmt w:val="bullet"/>
      <w:lvlText w:val=""/>
      <w:lvlJc w:val="left"/>
      <w:pPr>
        <w:tabs>
          <w:tab w:val="num" w:pos="720"/>
        </w:tabs>
        <w:ind w:left="720" w:hanging="360"/>
      </w:pPr>
      <w:rPr>
        <w:rFonts w:ascii="Symbol" w:hAnsi="Symbol" w:hint="default"/>
        <w:sz w:val="20"/>
      </w:rPr>
    </w:lvl>
    <w:lvl w:ilvl="1" w:tplc="3AC60C7C">
      <w:start w:val="1"/>
      <w:numFmt w:val="decimal"/>
      <w:lvlText w:val="%2."/>
      <w:lvlJc w:val="left"/>
      <w:pPr>
        <w:tabs>
          <w:tab w:val="num" w:pos="1440"/>
        </w:tabs>
        <w:ind w:left="1440" w:hanging="360"/>
      </w:pPr>
    </w:lvl>
    <w:lvl w:ilvl="2" w:tplc="3C7248E0">
      <w:start w:val="1"/>
      <w:numFmt w:val="decimal"/>
      <w:lvlText w:val="%3."/>
      <w:lvlJc w:val="left"/>
      <w:pPr>
        <w:tabs>
          <w:tab w:val="num" w:pos="2160"/>
        </w:tabs>
        <w:ind w:left="2160" w:hanging="360"/>
      </w:pPr>
    </w:lvl>
    <w:lvl w:ilvl="3" w:tplc="112C2C4A">
      <w:start w:val="1"/>
      <w:numFmt w:val="decimal"/>
      <w:lvlText w:val="%4."/>
      <w:lvlJc w:val="left"/>
      <w:pPr>
        <w:tabs>
          <w:tab w:val="num" w:pos="2880"/>
        </w:tabs>
        <w:ind w:left="2880" w:hanging="360"/>
      </w:pPr>
    </w:lvl>
    <w:lvl w:ilvl="4" w:tplc="98A0AB90">
      <w:start w:val="1"/>
      <w:numFmt w:val="decimal"/>
      <w:lvlText w:val="%5."/>
      <w:lvlJc w:val="left"/>
      <w:pPr>
        <w:tabs>
          <w:tab w:val="num" w:pos="3600"/>
        </w:tabs>
        <w:ind w:left="3600" w:hanging="360"/>
      </w:pPr>
    </w:lvl>
    <w:lvl w:ilvl="5" w:tplc="26ECAE96">
      <w:start w:val="1"/>
      <w:numFmt w:val="decimal"/>
      <w:lvlText w:val="%6."/>
      <w:lvlJc w:val="left"/>
      <w:pPr>
        <w:tabs>
          <w:tab w:val="num" w:pos="4320"/>
        </w:tabs>
        <w:ind w:left="4320" w:hanging="360"/>
      </w:pPr>
    </w:lvl>
    <w:lvl w:ilvl="6" w:tplc="5016D9F4">
      <w:start w:val="1"/>
      <w:numFmt w:val="decimal"/>
      <w:lvlText w:val="%7."/>
      <w:lvlJc w:val="left"/>
      <w:pPr>
        <w:tabs>
          <w:tab w:val="num" w:pos="5040"/>
        </w:tabs>
        <w:ind w:left="5040" w:hanging="360"/>
      </w:pPr>
    </w:lvl>
    <w:lvl w:ilvl="7" w:tplc="DF5E9CDA">
      <w:start w:val="1"/>
      <w:numFmt w:val="decimal"/>
      <w:lvlText w:val="%8."/>
      <w:lvlJc w:val="left"/>
      <w:pPr>
        <w:tabs>
          <w:tab w:val="num" w:pos="5760"/>
        </w:tabs>
        <w:ind w:left="5760" w:hanging="360"/>
      </w:pPr>
    </w:lvl>
    <w:lvl w:ilvl="8" w:tplc="F8D80370">
      <w:start w:val="1"/>
      <w:numFmt w:val="decimal"/>
      <w:lvlText w:val="%9."/>
      <w:lvlJc w:val="left"/>
      <w:pPr>
        <w:tabs>
          <w:tab w:val="num" w:pos="6480"/>
        </w:tabs>
        <w:ind w:left="6480" w:hanging="360"/>
      </w:pPr>
    </w:lvl>
  </w:abstractNum>
  <w:abstractNum w:abstractNumId="77">
    <w:nsid w:val="00000056"/>
    <w:multiLevelType w:val="hybridMultilevel"/>
    <w:tmpl w:val="00088B38"/>
    <w:lvl w:ilvl="0" w:tplc="F6861F92">
      <w:start w:val="1"/>
      <w:numFmt w:val="bullet"/>
      <w:lvlText w:val=""/>
      <w:lvlJc w:val="left"/>
      <w:pPr>
        <w:tabs>
          <w:tab w:val="num" w:pos="720"/>
        </w:tabs>
        <w:ind w:left="720" w:hanging="360"/>
      </w:pPr>
      <w:rPr>
        <w:rFonts w:ascii="Symbol" w:hAnsi="Symbol" w:hint="default"/>
        <w:sz w:val="20"/>
      </w:rPr>
    </w:lvl>
    <w:lvl w:ilvl="1" w:tplc="7100A9E6" w:tentative="1">
      <w:start w:val="1"/>
      <w:numFmt w:val="bullet"/>
      <w:lvlText w:val="o"/>
      <w:lvlJc w:val="left"/>
      <w:pPr>
        <w:tabs>
          <w:tab w:val="num" w:pos="1440"/>
        </w:tabs>
        <w:ind w:left="1440" w:hanging="360"/>
      </w:pPr>
      <w:rPr>
        <w:rFonts w:ascii="Courier New" w:hAnsi="Courier New" w:cs="Courier New" w:hint="default"/>
      </w:rPr>
    </w:lvl>
    <w:lvl w:ilvl="2" w:tplc="88A49FF0" w:tentative="1">
      <w:start w:val="1"/>
      <w:numFmt w:val="bullet"/>
      <w:lvlText w:val=""/>
      <w:lvlJc w:val="left"/>
      <w:pPr>
        <w:tabs>
          <w:tab w:val="num" w:pos="2160"/>
        </w:tabs>
        <w:ind w:left="2160" w:hanging="360"/>
      </w:pPr>
      <w:rPr>
        <w:rFonts w:ascii="Wingdings" w:hAnsi="Wingdings" w:hint="default"/>
      </w:rPr>
    </w:lvl>
    <w:lvl w:ilvl="3" w:tplc="5BC891FA" w:tentative="1">
      <w:start w:val="1"/>
      <w:numFmt w:val="bullet"/>
      <w:lvlText w:val=""/>
      <w:lvlJc w:val="left"/>
      <w:pPr>
        <w:tabs>
          <w:tab w:val="num" w:pos="2880"/>
        </w:tabs>
        <w:ind w:left="2880" w:hanging="360"/>
      </w:pPr>
      <w:rPr>
        <w:rFonts w:ascii="Symbol" w:hAnsi="Symbol" w:hint="default"/>
      </w:rPr>
    </w:lvl>
    <w:lvl w:ilvl="4" w:tplc="935C9D76" w:tentative="1">
      <w:start w:val="1"/>
      <w:numFmt w:val="bullet"/>
      <w:lvlText w:val="o"/>
      <w:lvlJc w:val="left"/>
      <w:pPr>
        <w:tabs>
          <w:tab w:val="num" w:pos="3600"/>
        </w:tabs>
        <w:ind w:left="3600" w:hanging="360"/>
      </w:pPr>
      <w:rPr>
        <w:rFonts w:ascii="Courier New" w:hAnsi="Courier New" w:cs="Courier New" w:hint="default"/>
      </w:rPr>
    </w:lvl>
    <w:lvl w:ilvl="5" w:tplc="696E24A8" w:tentative="1">
      <w:start w:val="1"/>
      <w:numFmt w:val="bullet"/>
      <w:lvlText w:val=""/>
      <w:lvlJc w:val="left"/>
      <w:pPr>
        <w:tabs>
          <w:tab w:val="num" w:pos="4320"/>
        </w:tabs>
        <w:ind w:left="4320" w:hanging="360"/>
      </w:pPr>
      <w:rPr>
        <w:rFonts w:ascii="Wingdings" w:hAnsi="Wingdings" w:hint="default"/>
      </w:rPr>
    </w:lvl>
    <w:lvl w:ilvl="6" w:tplc="9AAC565E" w:tentative="1">
      <w:start w:val="1"/>
      <w:numFmt w:val="bullet"/>
      <w:lvlText w:val=""/>
      <w:lvlJc w:val="left"/>
      <w:pPr>
        <w:tabs>
          <w:tab w:val="num" w:pos="5040"/>
        </w:tabs>
        <w:ind w:left="5040" w:hanging="360"/>
      </w:pPr>
      <w:rPr>
        <w:rFonts w:ascii="Symbol" w:hAnsi="Symbol" w:hint="default"/>
      </w:rPr>
    </w:lvl>
    <w:lvl w:ilvl="7" w:tplc="D5141776" w:tentative="1">
      <w:start w:val="1"/>
      <w:numFmt w:val="bullet"/>
      <w:lvlText w:val="o"/>
      <w:lvlJc w:val="left"/>
      <w:pPr>
        <w:tabs>
          <w:tab w:val="num" w:pos="5760"/>
        </w:tabs>
        <w:ind w:left="5760" w:hanging="360"/>
      </w:pPr>
      <w:rPr>
        <w:rFonts w:ascii="Courier New" w:hAnsi="Courier New" w:cs="Courier New" w:hint="default"/>
      </w:rPr>
    </w:lvl>
    <w:lvl w:ilvl="8" w:tplc="499C4F82" w:tentative="1">
      <w:start w:val="1"/>
      <w:numFmt w:val="bullet"/>
      <w:lvlText w:val=""/>
      <w:lvlJc w:val="left"/>
      <w:pPr>
        <w:tabs>
          <w:tab w:val="num" w:pos="6480"/>
        </w:tabs>
        <w:ind w:left="6480" w:hanging="360"/>
      </w:pPr>
      <w:rPr>
        <w:rFonts w:ascii="Wingdings" w:hAnsi="Wingdings" w:hint="default"/>
      </w:rPr>
    </w:lvl>
  </w:abstractNum>
  <w:abstractNum w:abstractNumId="78">
    <w:nsid w:val="00000057"/>
    <w:multiLevelType w:val="hybridMultilevel"/>
    <w:tmpl w:val="00088B38"/>
    <w:lvl w:ilvl="0" w:tplc="FF4A7DD4">
      <w:start w:val="1"/>
      <w:numFmt w:val="bullet"/>
      <w:lvlText w:val=""/>
      <w:lvlJc w:val="left"/>
      <w:pPr>
        <w:tabs>
          <w:tab w:val="num" w:pos="720"/>
        </w:tabs>
        <w:ind w:left="720" w:hanging="360"/>
      </w:pPr>
      <w:rPr>
        <w:rFonts w:ascii="Symbol" w:hAnsi="Symbol" w:hint="default"/>
        <w:sz w:val="20"/>
      </w:rPr>
    </w:lvl>
    <w:lvl w:ilvl="1" w:tplc="CD06DEB0">
      <w:start w:val="1"/>
      <w:numFmt w:val="decimal"/>
      <w:lvlText w:val="%2."/>
      <w:lvlJc w:val="left"/>
      <w:pPr>
        <w:tabs>
          <w:tab w:val="num" w:pos="1440"/>
        </w:tabs>
        <w:ind w:left="1440" w:hanging="360"/>
      </w:pPr>
    </w:lvl>
    <w:lvl w:ilvl="2" w:tplc="9F7C04F6">
      <w:start w:val="1"/>
      <w:numFmt w:val="decimal"/>
      <w:lvlText w:val="%3."/>
      <w:lvlJc w:val="left"/>
      <w:pPr>
        <w:tabs>
          <w:tab w:val="num" w:pos="2160"/>
        </w:tabs>
        <w:ind w:left="2160" w:hanging="360"/>
      </w:pPr>
    </w:lvl>
    <w:lvl w:ilvl="3" w:tplc="AD842926">
      <w:start w:val="1"/>
      <w:numFmt w:val="decimal"/>
      <w:lvlText w:val="%4."/>
      <w:lvlJc w:val="left"/>
      <w:pPr>
        <w:tabs>
          <w:tab w:val="num" w:pos="2880"/>
        </w:tabs>
        <w:ind w:left="2880" w:hanging="360"/>
      </w:pPr>
    </w:lvl>
    <w:lvl w:ilvl="4" w:tplc="1CFE7D4A">
      <w:start w:val="1"/>
      <w:numFmt w:val="decimal"/>
      <w:lvlText w:val="%5."/>
      <w:lvlJc w:val="left"/>
      <w:pPr>
        <w:tabs>
          <w:tab w:val="num" w:pos="3600"/>
        </w:tabs>
        <w:ind w:left="3600" w:hanging="360"/>
      </w:pPr>
    </w:lvl>
    <w:lvl w:ilvl="5" w:tplc="2466CFA4">
      <w:start w:val="1"/>
      <w:numFmt w:val="decimal"/>
      <w:lvlText w:val="%6."/>
      <w:lvlJc w:val="left"/>
      <w:pPr>
        <w:tabs>
          <w:tab w:val="num" w:pos="4320"/>
        </w:tabs>
        <w:ind w:left="4320" w:hanging="360"/>
      </w:pPr>
    </w:lvl>
    <w:lvl w:ilvl="6" w:tplc="83BAD66A">
      <w:start w:val="1"/>
      <w:numFmt w:val="decimal"/>
      <w:lvlText w:val="%7."/>
      <w:lvlJc w:val="left"/>
      <w:pPr>
        <w:tabs>
          <w:tab w:val="num" w:pos="5040"/>
        </w:tabs>
        <w:ind w:left="5040" w:hanging="360"/>
      </w:pPr>
    </w:lvl>
    <w:lvl w:ilvl="7" w:tplc="19425518">
      <w:start w:val="1"/>
      <w:numFmt w:val="decimal"/>
      <w:lvlText w:val="%8."/>
      <w:lvlJc w:val="left"/>
      <w:pPr>
        <w:tabs>
          <w:tab w:val="num" w:pos="5760"/>
        </w:tabs>
        <w:ind w:left="5760" w:hanging="360"/>
      </w:pPr>
    </w:lvl>
    <w:lvl w:ilvl="8" w:tplc="EC90FD8E">
      <w:start w:val="1"/>
      <w:numFmt w:val="decimal"/>
      <w:lvlText w:val="%9."/>
      <w:lvlJc w:val="left"/>
      <w:pPr>
        <w:tabs>
          <w:tab w:val="num" w:pos="6480"/>
        </w:tabs>
        <w:ind w:left="6480" w:hanging="360"/>
      </w:pPr>
    </w:lvl>
  </w:abstractNum>
  <w:abstractNum w:abstractNumId="79">
    <w:nsid w:val="00000058"/>
    <w:multiLevelType w:val="hybridMultilevel"/>
    <w:tmpl w:val="00088B38"/>
    <w:lvl w:ilvl="0" w:tplc="D0D657BC">
      <w:start w:val="1"/>
      <w:numFmt w:val="bullet"/>
      <w:lvlText w:val=""/>
      <w:lvlJc w:val="left"/>
      <w:pPr>
        <w:tabs>
          <w:tab w:val="num" w:pos="720"/>
        </w:tabs>
        <w:ind w:left="720" w:hanging="360"/>
      </w:pPr>
      <w:rPr>
        <w:rFonts w:ascii="Symbol" w:hAnsi="Symbol" w:hint="default"/>
        <w:sz w:val="20"/>
      </w:rPr>
    </w:lvl>
    <w:lvl w:ilvl="1" w:tplc="614872C6">
      <w:start w:val="1"/>
      <w:numFmt w:val="decimal"/>
      <w:lvlText w:val="%2."/>
      <w:lvlJc w:val="left"/>
      <w:pPr>
        <w:tabs>
          <w:tab w:val="num" w:pos="1440"/>
        </w:tabs>
        <w:ind w:left="1440" w:hanging="360"/>
      </w:pPr>
    </w:lvl>
    <w:lvl w:ilvl="2" w:tplc="76E6E822">
      <w:start w:val="1"/>
      <w:numFmt w:val="decimal"/>
      <w:lvlText w:val="%3."/>
      <w:lvlJc w:val="left"/>
      <w:pPr>
        <w:tabs>
          <w:tab w:val="num" w:pos="2160"/>
        </w:tabs>
        <w:ind w:left="2160" w:hanging="360"/>
      </w:pPr>
    </w:lvl>
    <w:lvl w:ilvl="3" w:tplc="1C6A60D2">
      <w:start w:val="1"/>
      <w:numFmt w:val="decimal"/>
      <w:lvlText w:val="%4."/>
      <w:lvlJc w:val="left"/>
      <w:pPr>
        <w:tabs>
          <w:tab w:val="num" w:pos="2880"/>
        </w:tabs>
        <w:ind w:left="2880" w:hanging="360"/>
      </w:pPr>
    </w:lvl>
    <w:lvl w:ilvl="4" w:tplc="CE94B496">
      <w:start w:val="1"/>
      <w:numFmt w:val="decimal"/>
      <w:lvlText w:val="%5."/>
      <w:lvlJc w:val="left"/>
      <w:pPr>
        <w:tabs>
          <w:tab w:val="num" w:pos="3600"/>
        </w:tabs>
        <w:ind w:left="3600" w:hanging="360"/>
      </w:pPr>
    </w:lvl>
    <w:lvl w:ilvl="5" w:tplc="96FA9DA2">
      <w:start w:val="1"/>
      <w:numFmt w:val="decimal"/>
      <w:lvlText w:val="%6."/>
      <w:lvlJc w:val="left"/>
      <w:pPr>
        <w:tabs>
          <w:tab w:val="num" w:pos="4320"/>
        </w:tabs>
        <w:ind w:left="4320" w:hanging="360"/>
      </w:pPr>
    </w:lvl>
    <w:lvl w:ilvl="6" w:tplc="E77E5984">
      <w:start w:val="1"/>
      <w:numFmt w:val="decimal"/>
      <w:lvlText w:val="%7."/>
      <w:lvlJc w:val="left"/>
      <w:pPr>
        <w:tabs>
          <w:tab w:val="num" w:pos="5040"/>
        </w:tabs>
        <w:ind w:left="5040" w:hanging="360"/>
      </w:pPr>
    </w:lvl>
    <w:lvl w:ilvl="7" w:tplc="8B9C79B8">
      <w:start w:val="1"/>
      <w:numFmt w:val="decimal"/>
      <w:lvlText w:val="%8."/>
      <w:lvlJc w:val="left"/>
      <w:pPr>
        <w:tabs>
          <w:tab w:val="num" w:pos="5760"/>
        </w:tabs>
        <w:ind w:left="5760" w:hanging="360"/>
      </w:pPr>
    </w:lvl>
    <w:lvl w:ilvl="8" w:tplc="EE9C6B84">
      <w:start w:val="1"/>
      <w:numFmt w:val="decimal"/>
      <w:lvlText w:val="%9."/>
      <w:lvlJc w:val="left"/>
      <w:pPr>
        <w:tabs>
          <w:tab w:val="num" w:pos="6480"/>
        </w:tabs>
        <w:ind w:left="6480" w:hanging="360"/>
      </w:pPr>
    </w:lvl>
  </w:abstractNum>
  <w:abstractNum w:abstractNumId="80">
    <w:nsid w:val="00000059"/>
    <w:multiLevelType w:val="hybridMultilevel"/>
    <w:tmpl w:val="80407E98"/>
    <w:lvl w:ilvl="0" w:tplc="1B06272E">
      <w:start w:val="1"/>
      <w:numFmt w:val="bullet"/>
      <w:lvlText w:val="o"/>
      <w:lvlJc w:val="left"/>
      <w:pPr>
        <w:ind w:left="720" w:hanging="360"/>
      </w:pPr>
      <w:rPr>
        <w:rFonts w:ascii="Courier New" w:hAnsi="Courier New" w:cs="Courier New" w:hint="default"/>
      </w:rPr>
    </w:lvl>
    <w:lvl w:ilvl="1" w:tplc="6954336C">
      <w:start w:val="1"/>
      <w:numFmt w:val="bullet"/>
      <w:lvlText w:val="o"/>
      <w:lvlJc w:val="left"/>
      <w:pPr>
        <w:ind w:left="1440" w:hanging="360"/>
      </w:pPr>
      <w:rPr>
        <w:rFonts w:ascii="Courier New" w:hAnsi="Courier New" w:cs="Courier New" w:hint="default"/>
      </w:rPr>
    </w:lvl>
    <w:lvl w:ilvl="2" w:tplc="1CE263A8" w:tentative="1">
      <w:start w:val="1"/>
      <w:numFmt w:val="bullet"/>
      <w:lvlText w:val=""/>
      <w:lvlJc w:val="left"/>
      <w:pPr>
        <w:ind w:left="2160" w:hanging="360"/>
      </w:pPr>
      <w:rPr>
        <w:rFonts w:ascii="Wingdings" w:hAnsi="Wingdings" w:hint="default"/>
      </w:rPr>
    </w:lvl>
    <w:lvl w:ilvl="3" w:tplc="AEEE5ABA" w:tentative="1">
      <w:start w:val="1"/>
      <w:numFmt w:val="bullet"/>
      <w:lvlText w:val=""/>
      <w:lvlJc w:val="left"/>
      <w:pPr>
        <w:ind w:left="2880" w:hanging="360"/>
      </w:pPr>
      <w:rPr>
        <w:rFonts w:ascii="Symbol" w:hAnsi="Symbol" w:hint="default"/>
      </w:rPr>
    </w:lvl>
    <w:lvl w:ilvl="4" w:tplc="EE20BFBC" w:tentative="1">
      <w:start w:val="1"/>
      <w:numFmt w:val="bullet"/>
      <w:lvlText w:val="o"/>
      <w:lvlJc w:val="left"/>
      <w:pPr>
        <w:ind w:left="3600" w:hanging="360"/>
      </w:pPr>
      <w:rPr>
        <w:rFonts w:ascii="Courier New" w:hAnsi="Courier New" w:cs="Courier New" w:hint="default"/>
      </w:rPr>
    </w:lvl>
    <w:lvl w:ilvl="5" w:tplc="00668200" w:tentative="1">
      <w:start w:val="1"/>
      <w:numFmt w:val="bullet"/>
      <w:lvlText w:val=""/>
      <w:lvlJc w:val="left"/>
      <w:pPr>
        <w:ind w:left="4320" w:hanging="360"/>
      </w:pPr>
      <w:rPr>
        <w:rFonts w:ascii="Wingdings" w:hAnsi="Wingdings" w:hint="default"/>
      </w:rPr>
    </w:lvl>
    <w:lvl w:ilvl="6" w:tplc="9CC47898" w:tentative="1">
      <w:start w:val="1"/>
      <w:numFmt w:val="bullet"/>
      <w:lvlText w:val=""/>
      <w:lvlJc w:val="left"/>
      <w:pPr>
        <w:ind w:left="5040" w:hanging="360"/>
      </w:pPr>
      <w:rPr>
        <w:rFonts w:ascii="Symbol" w:hAnsi="Symbol" w:hint="default"/>
      </w:rPr>
    </w:lvl>
    <w:lvl w:ilvl="7" w:tplc="017E964A" w:tentative="1">
      <w:start w:val="1"/>
      <w:numFmt w:val="bullet"/>
      <w:lvlText w:val="o"/>
      <w:lvlJc w:val="left"/>
      <w:pPr>
        <w:ind w:left="5760" w:hanging="360"/>
      </w:pPr>
      <w:rPr>
        <w:rFonts w:ascii="Courier New" w:hAnsi="Courier New" w:cs="Courier New" w:hint="default"/>
      </w:rPr>
    </w:lvl>
    <w:lvl w:ilvl="8" w:tplc="162AB62E" w:tentative="1">
      <w:start w:val="1"/>
      <w:numFmt w:val="bullet"/>
      <w:lvlText w:val=""/>
      <w:lvlJc w:val="left"/>
      <w:pPr>
        <w:ind w:left="6480" w:hanging="360"/>
      </w:pPr>
      <w:rPr>
        <w:rFonts w:ascii="Wingdings" w:hAnsi="Wingdings" w:hint="default"/>
      </w:rPr>
    </w:lvl>
  </w:abstractNum>
  <w:abstractNum w:abstractNumId="81">
    <w:nsid w:val="0000005A"/>
    <w:multiLevelType w:val="hybridMultilevel"/>
    <w:tmpl w:val="E93AD94C"/>
    <w:lvl w:ilvl="0" w:tplc="3A6A6528">
      <w:start w:val="1"/>
      <w:numFmt w:val="bullet"/>
      <w:pStyle w:val="Level1Bullet-BarcRA6"/>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505657A6">
      <w:start w:val="1"/>
      <w:numFmt w:val="bullet"/>
      <w:lvlText w:val="o"/>
      <w:lvlJc w:val="left"/>
      <w:pPr>
        <w:tabs>
          <w:tab w:val="num" w:pos="306"/>
        </w:tabs>
        <w:ind w:left="306" w:hanging="360"/>
      </w:pPr>
      <w:rPr>
        <w:rFonts w:ascii="Courier New" w:hAnsi="Courier New" w:hint="default"/>
      </w:rPr>
    </w:lvl>
    <w:lvl w:ilvl="2" w:tplc="DBC245BA">
      <w:numFmt w:val="bullet"/>
      <w:lvlText w:val="-"/>
      <w:lvlJc w:val="left"/>
      <w:pPr>
        <w:tabs>
          <w:tab w:val="num" w:pos="1401"/>
        </w:tabs>
        <w:ind w:left="1401" w:hanging="735"/>
      </w:pPr>
      <w:rPr>
        <w:rFonts w:ascii="Barclays Serif" w:eastAsia="Times New Roman" w:hAnsi="Barclays Serif" w:cs="Times New Roman" w:hint="default"/>
      </w:rPr>
    </w:lvl>
    <w:lvl w:ilvl="3" w:tplc="6AE66AC0" w:tentative="1">
      <w:start w:val="1"/>
      <w:numFmt w:val="bullet"/>
      <w:lvlText w:val=""/>
      <w:lvlJc w:val="left"/>
      <w:pPr>
        <w:tabs>
          <w:tab w:val="num" w:pos="1746"/>
        </w:tabs>
        <w:ind w:left="1746" w:hanging="360"/>
      </w:pPr>
      <w:rPr>
        <w:rFonts w:ascii="Symbol" w:hAnsi="Symbol" w:hint="default"/>
      </w:rPr>
    </w:lvl>
    <w:lvl w:ilvl="4" w:tplc="D75224B8" w:tentative="1">
      <w:start w:val="1"/>
      <w:numFmt w:val="bullet"/>
      <w:lvlText w:val="o"/>
      <w:lvlJc w:val="left"/>
      <w:pPr>
        <w:tabs>
          <w:tab w:val="num" w:pos="2466"/>
        </w:tabs>
        <w:ind w:left="2466" w:hanging="360"/>
      </w:pPr>
      <w:rPr>
        <w:rFonts w:ascii="Courier New" w:hAnsi="Courier New" w:hint="default"/>
      </w:rPr>
    </w:lvl>
    <w:lvl w:ilvl="5" w:tplc="E9842522" w:tentative="1">
      <w:start w:val="1"/>
      <w:numFmt w:val="bullet"/>
      <w:lvlText w:val=""/>
      <w:lvlJc w:val="left"/>
      <w:pPr>
        <w:tabs>
          <w:tab w:val="num" w:pos="3186"/>
        </w:tabs>
        <w:ind w:left="3186" w:hanging="360"/>
      </w:pPr>
      <w:rPr>
        <w:rFonts w:ascii="Wingdings" w:hAnsi="Wingdings" w:hint="default"/>
      </w:rPr>
    </w:lvl>
    <w:lvl w:ilvl="6" w:tplc="10CA5222" w:tentative="1">
      <w:start w:val="1"/>
      <w:numFmt w:val="bullet"/>
      <w:lvlText w:val=""/>
      <w:lvlJc w:val="left"/>
      <w:pPr>
        <w:tabs>
          <w:tab w:val="num" w:pos="3906"/>
        </w:tabs>
        <w:ind w:left="3906" w:hanging="360"/>
      </w:pPr>
      <w:rPr>
        <w:rFonts w:ascii="Symbol" w:hAnsi="Symbol" w:hint="default"/>
      </w:rPr>
    </w:lvl>
    <w:lvl w:ilvl="7" w:tplc="6ED66218" w:tentative="1">
      <w:start w:val="1"/>
      <w:numFmt w:val="bullet"/>
      <w:lvlText w:val="o"/>
      <w:lvlJc w:val="left"/>
      <w:pPr>
        <w:tabs>
          <w:tab w:val="num" w:pos="4626"/>
        </w:tabs>
        <w:ind w:left="4626" w:hanging="360"/>
      </w:pPr>
      <w:rPr>
        <w:rFonts w:ascii="Courier New" w:hAnsi="Courier New" w:hint="default"/>
      </w:rPr>
    </w:lvl>
    <w:lvl w:ilvl="8" w:tplc="C630B6E6" w:tentative="1">
      <w:start w:val="1"/>
      <w:numFmt w:val="bullet"/>
      <w:lvlText w:val=""/>
      <w:lvlJc w:val="left"/>
      <w:pPr>
        <w:tabs>
          <w:tab w:val="num" w:pos="5346"/>
        </w:tabs>
        <w:ind w:left="5346" w:hanging="360"/>
      </w:pPr>
      <w:rPr>
        <w:rFonts w:ascii="Wingdings" w:hAnsi="Wingdings" w:hint="default"/>
      </w:rPr>
    </w:lvl>
  </w:abstractNum>
  <w:abstractNum w:abstractNumId="82">
    <w:nsid w:val="0000005B"/>
    <w:multiLevelType w:val="hybridMultilevel"/>
    <w:tmpl w:val="B2E8E736"/>
    <w:lvl w:ilvl="0" w:tplc="3354868A">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18A76AA">
      <w:start w:val="1"/>
      <w:numFmt w:val="bullet"/>
      <w:lvlText w:val="o"/>
      <w:lvlJc w:val="left"/>
      <w:pPr>
        <w:tabs>
          <w:tab w:val="num" w:pos="306"/>
        </w:tabs>
        <w:ind w:left="306" w:hanging="360"/>
      </w:pPr>
      <w:rPr>
        <w:rFonts w:ascii="Courier New" w:hAnsi="Courier New" w:hint="default"/>
      </w:rPr>
    </w:lvl>
    <w:lvl w:ilvl="2" w:tplc="D354DAA6">
      <w:numFmt w:val="bullet"/>
      <w:pStyle w:val="Level2Bullet-BarcRA1"/>
      <w:lvlText w:val="–"/>
      <w:lvlJc w:val="left"/>
      <w:pPr>
        <w:tabs>
          <w:tab w:val="num" w:pos="1401"/>
        </w:tabs>
        <w:ind w:left="1401" w:hanging="735"/>
      </w:pPr>
      <w:rPr>
        <w:rFonts w:ascii="Arial" w:eastAsia="Times New Roman" w:hAnsi="Arial" w:hint="default"/>
      </w:rPr>
    </w:lvl>
    <w:lvl w:ilvl="3" w:tplc="AB54355C" w:tentative="1">
      <w:start w:val="1"/>
      <w:numFmt w:val="bullet"/>
      <w:lvlText w:val=""/>
      <w:lvlJc w:val="left"/>
      <w:pPr>
        <w:tabs>
          <w:tab w:val="num" w:pos="1746"/>
        </w:tabs>
        <w:ind w:left="1746" w:hanging="360"/>
      </w:pPr>
      <w:rPr>
        <w:rFonts w:ascii="Symbol" w:hAnsi="Symbol" w:hint="default"/>
      </w:rPr>
    </w:lvl>
    <w:lvl w:ilvl="4" w:tplc="8F4CC02E" w:tentative="1">
      <w:start w:val="1"/>
      <w:numFmt w:val="bullet"/>
      <w:lvlText w:val="o"/>
      <w:lvlJc w:val="left"/>
      <w:pPr>
        <w:tabs>
          <w:tab w:val="num" w:pos="2466"/>
        </w:tabs>
        <w:ind w:left="2466" w:hanging="360"/>
      </w:pPr>
      <w:rPr>
        <w:rFonts w:ascii="Courier New" w:hAnsi="Courier New" w:hint="default"/>
      </w:rPr>
    </w:lvl>
    <w:lvl w:ilvl="5" w:tplc="43DA699A" w:tentative="1">
      <w:start w:val="1"/>
      <w:numFmt w:val="bullet"/>
      <w:lvlText w:val=""/>
      <w:lvlJc w:val="left"/>
      <w:pPr>
        <w:tabs>
          <w:tab w:val="num" w:pos="3186"/>
        </w:tabs>
        <w:ind w:left="3186" w:hanging="360"/>
      </w:pPr>
      <w:rPr>
        <w:rFonts w:ascii="Wingdings" w:hAnsi="Wingdings" w:hint="default"/>
      </w:rPr>
    </w:lvl>
    <w:lvl w:ilvl="6" w:tplc="D8445110" w:tentative="1">
      <w:start w:val="1"/>
      <w:numFmt w:val="bullet"/>
      <w:lvlText w:val=""/>
      <w:lvlJc w:val="left"/>
      <w:pPr>
        <w:tabs>
          <w:tab w:val="num" w:pos="3906"/>
        </w:tabs>
        <w:ind w:left="3906" w:hanging="360"/>
      </w:pPr>
      <w:rPr>
        <w:rFonts w:ascii="Symbol" w:hAnsi="Symbol" w:hint="default"/>
      </w:rPr>
    </w:lvl>
    <w:lvl w:ilvl="7" w:tplc="52C260DC" w:tentative="1">
      <w:start w:val="1"/>
      <w:numFmt w:val="bullet"/>
      <w:lvlText w:val="o"/>
      <w:lvlJc w:val="left"/>
      <w:pPr>
        <w:tabs>
          <w:tab w:val="num" w:pos="4626"/>
        </w:tabs>
        <w:ind w:left="4626" w:hanging="360"/>
      </w:pPr>
      <w:rPr>
        <w:rFonts w:ascii="Courier New" w:hAnsi="Courier New" w:hint="default"/>
      </w:rPr>
    </w:lvl>
    <w:lvl w:ilvl="8" w:tplc="5A4815EE" w:tentative="1">
      <w:start w:val="1"/>
      <w:numFmt w:val="bullet"/>
      <w:lvlText w:val=""/>
      <w:lvlJc w:val="left"/>
      <w:pPr>
        <w:tabs>
          <w:tab w:val="num" w:pos="5346"/>
        </w:tabs>
        <w:ind w:left="5346" w:hanging="360"/>
      </w:pPr>
      <w:rPr>
        <w:rFonts w:ascii="Wingdings" w:hAnsi="Wingdings" w:hint="default"/>
      </w:rPr>
    </w:lvl>
  </w:abstractNum>
  <w:abstractNum w:abstractNumId="83">
    <w:nsid w:val="0000005C"/>
    <w:multiLevelType w:val="hybridMultilevel"/>
    <w:tmpl w:val="3F46D7DE"/>
    <w:lvl w:ilvl="0" w:tplc="E66086B0">
      <w:start w:val="1"/>
      <w:numFmt w:val="decimal"/>
      <w:pStyle w:val="NoteandSourceText-BarcRA2"/>
      <w:lvlText w:val="%1"/>
      <w:lvlJc w:val="left"/>
      <w:pPr>
        <w:ind w:left="360" w:hanging="360"/>
      </w:pPr>
      <w:rPr>
        <w:rFonts w:hint="default"/>
      </w:rPr>
    </w:lvl>
    <w:lvl w:ilvl="1" w:tplc="A92C8CCC" w:tentative="1">
      <w:start w:val="1"/>
      <w:numFmt w:val="lowerLetter"/>
      <w:lvlText w:val="%2."/>
      <w:lvlJc w:val="left"/>
      <w:pPr>
        <w:ind w:left="1080" w:hanging="360"/>
      </w:pPr>
    </w:lvl>
    <w:lvl w:ilvl="2" w:tplc="F7784D68" w:tentative="1">
      <w:start w:val="1"/>
      <w:numFmt w:val="lowerRoman"/>
      <w:lvlText w:val="%3."/>
      <w:lvlJc w:val="right"/>
      <w:pPr>
        <w:ind w:left="1800" w:hanging="180"/>
      </w:pPr>
    </w:lvl>
    <w:lvl w:ilvl="3" w:tplc="FED0FB2C" w:tentative="1">
      <w:start w:val="1"/>
      <w:numFmt w:val="decimal"/>
      <w:lvlText w:val="%4."/>
      <w:lvlJc w:val="left"/>
      <w:pPr>
        <w:ind w:left="2520" w:hanging="360"/>
      </w:pPr>
    </w:lvl>
    <w:lvl w:ilvl="4" w:tplc="6E8C4F04" w:tentative="1">
      <w:start w:val="1"/>
      <w:numFmt w:val="lowerLetter"/>
      <w:lvlText w:val="%5."/>
      <w:lvlJc w:val="left"/>
      <w:pPr>
        <w:ind w:left="3240" w:hanging="360"/>
      </w:pPr>
    </w:lvl>
    <w:lvl w:ilvl="5" w:tplc="AF3401BA" w:tentative="1">
      <w:start w:val="1"/>
      <w:numFmt w:val="lowerRoman"/>
      <w:lvlText w:val="%6."/>
      <w:lvlJc w:val="right"/>
      <w:pPr>
        <w:ind w:left="3960" w:hanging="180"/>
      </w:pPr>
    </w:lvl>
    <w:lvl w:ilvl="6" w:tplc="A8D68E4C" w:tentative="1">
      <w:start w:val="1"/>
      <w:numFmt w:val="decimal"/>
      <w:lvlText w:val="%7."/>
      <w:lvlJc w:val="left"/>
      <w:pPr>
        <w:ind w:left="4680" w:hanging="360"/>
      </w:pPr>
    </w:lvl>
    <w:lvl w:ilvl="7" w:tplc="902A3B52" w:tentative="1">
      <w:start w:val="1"/>
      <w:numFmt w:val="lowerLetter"/>
      <w:lvlText w:val="%8."/>
      <w:lvlJc w:val="left"/>
      <w:pPr>
        <w:ind w:left="5400" w:hanging="360"/>
      </w:pPr>
    </w:lvl>
    <w:lvl w:ilvl="8" w:tplc="4296DECC" w:tentative="1">
      <w:start w:val="1"/>
      <w:numFmt w:val="lowerRoman"/>
      <w:lvlText w:val="%9."/>
      <w:lvlJc w:val="right"/>
      <w:pPr>
        <w:ind w:left="6120" w:hanging="180"/>
      </w:pPr>
    </w:lvl>
  </w:abstractNum>
  <w:abstractNum w:abstractNumId="84">
    <w:nsid w:val="0000005D"/>
    <w:multiLevelType w:val="hybridMultilevel"/>
    <w:tmpl w:val="8CB2EFD6"/>
    <w:lvl w:ilvl="0" w:tplc="821E3FEE">
      <w:start w:val="1"/>
      <w:numFmt w:val="bullet"/>
      <w:lvlText w:val=""/>
      <w:lvlJc w:val="left"/>
      <w:pPr>
        <w:ind w:left="360" w:hanging="360"/>
      </w:pPr>
      <w:rPr>
        <w:rFonts w:ascii="Symbol" w:hAnsi="Symbol" w:hint="default"/>
      </w:rPr>
    </w:lvl>
    <w:lvl w:ilvl="1" w:tplc="0434AA8E">
      <w:start w:val="1"/>
      <w:numFmt w:val="decimal"/>
      <w:lvlText w:val="%2."/>
      <w:lvlJc w:val="left"/>
      <w:pPr>
        <w:tabs>
          <w:tab w:val="num" w:pos="1440"/>
        </w:tabs>
        <w:ind w:left="1440" w:hanging="360"/>
      </w:pPr>
    </w:lvl>
    <w:lvl w:ilvl="2" w:tplc="7AF69D82">
      <w:start w:val="1"/>
      <w:numFmt w:val="decimal"/>
      <w:lvlText w:val="%3."/>
      <w:lvlJc w:val="left"/>
      <w:pPr>
        <w:tabs>
          <w:tab w:val="num" w:pos="2160"/>
        </w:tabs>
        <w:ind w:left="2160" w:hanging="360"/>
      </w:pPr>
    </w:lvl>
    <w:lvl w:ilvl="3" w:tplc="1F405F38">
      <w:start w:val="1"/>
      <w:numFmt w:val="decimal"/>
      <w:lvlText w:val="%4."/>
      <w:lvlJc w:val="left"/>
      <w:pPr>
        <w:tabs>
          <w:tab w:val="num" w:pos="2880"/>
        </w:tabs>
        <w:ind w:left="2880" w:hanging="360"/>
      </w:pPr>
    </w:lvl>
    <w:lvl w:ilvl="4" w:tplc="81A414DA">
      <w:start w:val="1"/>
      <w:numFmt w:val="decimal"/>
      <w:lvlText w:val="%5."/>
      <w:lvlJc w:val="left"/>
      <w:pPr>
        <w:tabs>
          <w:tab w:val="num" w:pos="3600"/>
        </w:tabs>
        <w:ind w:left="3600" w:hanging="360"/>
      </w:pPr>
    </w:lvl>
    <w:lvl w:ilvl="5" w:tplc="68004154">
      <w:start w:val="1"/>
      <w:numFmt w:val="decimal"/>
      <w:lvlText w:val="%6."/>
      <w:lvlJc w:val="left"/>
      <w:pPr>
        <w:tabs>
          <w:tab w:val="num" w:pos="4320"/>
        </w:tabs>
        <w:ind w:left="4320" w:hanging="360"/>
      </w:pPr>
    </w:lvl>
    <w:lvl w:ilvl="6" w:tplc="B0C4EAC2">
      <w:start w:val="1"/>
      <w:numFmt w:val="decimal"/>
      <w:lvlText w:val="%7."/>
      <w:lvlJc w:val="left"/>
      <w:pPr>
        <w:tabs>
          <w:tab w:val="num" w:pos="5040"/>
        </w:tabs>
        <w:ind w:left="5040" w:hanging="360"/>
      </w:pPr>
    </w:lvl>
    <w:lvl w:ilvl="7" w:tplc="D5E8A484">
      <w:start w:val="1"/>
      <w:numFmt w:val="decimal"/>
      <w:lvlText w:val="%8."/>
      <w:lvlJc w:val="left"/>
      <w:pPr>
        <w:tabs>
          <w:tab w:val="num" w:pos="5760"/>
        </w:tabs>
        <w:ind w:left="5760" w:hanging="360"/>
      </w:pPr>
    </w:lvl>
    <w:lvl w:ilvl="8" w:tplc="00B2E90E">
      <w:start w:val="1"/>
      <w:numFmt w:val="decimal"/>
      <w:lvlText w:val="%9."/>
      <w:lvlJc w:val="left"/>
      <w:pPr>
        <w:tabs>
          <w:tab w:val="num" w:pos="6480"/>
        </w:tabs>
        <w:ind w:left="6480" w:hanging="360"/>
      </w:pPr>
    </w:lvl>
  </w:abstractNum>
  <w:abstractNum w:abstractNumId="85">
    <w:nsid w:val="0000005E"/>
    <w:multiLevelType w:val="hybridMultilevel"/>
    <w:tmpl w:val="D9AEA2BA"/>
    <w:lvl w:ilvl="0" w:tplc="D4A2FD9E">
      <w:start w:val="1"/>
      <w:numFmt w:val="bullet"/>
      <w:lvlText w:val=""/>
      <w:lvlJc w:val="left"/>
      <w:pPr>
        <w:ind w:left="360" w:hanging="360"/>
      </w:pPr>
      <w:rPr>
        <w:rFonts w:ascii="Symbol" w:hAnsi="Symbol" w:hint="default"/>
      </w:rPr>
    </w:lvl>
    <w:lvl w:ilvl="1" w:tplc="229E616C">
      <w:start w:val="1"/>
      <w:numFmt w:val="decimal"/>
      <w:lvlText w:val="%2."/>
      <w:lvlJc w:val="left"/>
      <w:pPr>
        <w:tabs>
          <w:tab w:val="num" w:pos="1440"/>
        </w:tabs>
        <w:ind w:left="1440" w:hanging="360"/>
      </w:pPr>
    </w:lvl>
    <w:lvl w:ilvl="2" w:tplc="04D6D098">
      <w:start w:val="1"/>
      <w:numFmt w:val="decimal"/>
      <w:lvlText w:val="%3."/>
      <w:lvlJc w:val="left"/>
      <w:pPr>
        <w:tabs>
          <w:tab w:val="num" w:pos="2160"/>
        </w:tabs>
        <w:ind w:left="2160" w:hanging="360"/>
      </w:pPr>
    </w:lvl>
    <w:lvl w:ilvl="3" w:tplc="FA681DA4">
      <w:start w:val="1"/>
      <w:numFmt w:val="decimal"/>
      <w:lvlText w:val="%4."/>
      <w:lvlJc w:val="left"/>
      <w:pPr>
        <w:tabs>
          <w:tab w:val="num" w:pos="2880"/>
        </w:tabs>
        <w:ind w:left="2880" w:hanging="360"/>
      </w:pPr>
    </w:lvl>
    <w:lvl w:ilvl="4" w:tplc="5CBC32F4">
      <w:start w:val="1"/>
      <w:numFmt w:val="decimal"/>
      <w:lvlText w:val="%5."/>
      <w:lvlJc w:val="left"/>
      <w:pPr>
        <w:tabs>
          <w:tab w:val="num" w:pos="3600"/>
        </w:tabs>
        <w:ind w:left="3600" w:hanging="360"/>
      </w:pPr>
    </w:lvl>
    <w:lvl w:ilvl="5" w:tplc="3D0ED6F4">
      <w:start w:val="1"/>
      <w:numFmt w:val="decimal"/>
      <w:lvlText w:val="%6."/>
      <w:lvlJc w:val="left"/>
      <w:pPr>
        <w:tabs>
          <w:tab w:val="num" w:pos="4320"/>
        </w:tabs>
        <w:ind w:left="4320" w:hanging="360"/>
      </w:pPr>
    </w:lvl>
    <w:lvl w:ilvl="6" w:tplc="07D4BD06">
      <w:start w:val="1"/>
      <w:numFmt w:val="decimal"/>
      <w:lvlText w:val="%7."/>
      <w:lvlJc w:val="left"/>
      <w:pPr>
        <w:tabs>
          <w:tab w:val="num" w:pos="5040"/>
        </w:tabs>
        <w:ind w:left="5040" w:hanging="360"/>
      </w:pPr>
    </w:lvl>
    <w:lvl w:ilvl="7" w:tplc="30E07C50">
      <w:start w:val="1"/>
      <w:numFmt w:val="decimal"/>
      <w:lvlText w:val="%8."/>
      <w:lvlJc w:val="left"/>
      <w:pPr>
        <w:tabs>
          <w:tab w:val="num" w:pos="5760"/>
        </w:tabs>
        <w:ind w:left="5760" w:hanging="360"/>
      </w:pPr>
    </w:lvl>
    <w:lvl w:ilvl="8" w:tplc="A17E00C0">
      <w:start w:val="1"/>
      <w:numFmt w:val="decimal"/>
      <w:lvlText w:val="%9."/>
      <w:lvlJc w:val="left"/>
      <w:pPr>
        <w:tabs>
          <w:tab w:val="num" w:pos="6480"/>
        </w:tabs>
        <w:ind w:left="6480" w:hanging="360"/>
      </w:pPr>
    </w:lvl>
  </w:abstractNum>
  <w:abstractNum w:abstractNumId="86">
    <w:nsid w:val="0000005F"/>
    <w:multiLevelType w:val="hybridMultilevel"/>
    <w:tmpl w:val="B4DAA854"/>
    <w:lvl w:ilvl="0" w:tplc="3AE4C304">
      <w:start w:val="1"/>
      <w:numFmt w:val="bullet"/>
      <w:pStyle w:val="Level1Bullet-BarcRA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36E777E">
      <w:start w:val="1"/>
      <w:numFmt w:val="bullet"/>
      <w:lvlText w:val="o"/>
      <w:lvlJc w:val="left"/>
      <w:pPr>
        <w:tabs>
          <w:tab w:val="num" w:pos="306"/>
        </w:tabs>
        <w:ind w:left="306" w:hanging="360"/>
      </w:pPr>
      <w:rPr>
        <w:rFonts w:ascii="Courier New" w:hAnsi="Courier New" w:cs="Times New Roman" w:hint="default"/>
      </w:rPr>
    </w:lvl>
    <w:lvl w:ilvl="2" w:tplc="9760E1B6">
      <w:numFmt w:val="bullet"/>
      <w:lvlText w:val="-"/>
      <w:lvlJc w:val="left"/>
      <w:pPr>
        <w:tabs>
          <w:tab w:val="num" w:pos="1401"/>
        </w:tabs>
        <w:ind w:left="1401" w:hanging="735"/>
      </w:pPr>
      <w:rPr>
        <w:rFonts w:ascii="Barclays Serif" w:eastAsia="Times New Roman" w:hAnsi="Barclays Serif" w:cs="Times New Roman" w:hint="default"/>
      </w:rPr>
    </w:lvl>
    <w:lvl w:ilvl="3" w:tplc="8EEEE80E">
      <w:start w:val="1"/>
      <w:numFmt w:val="decimal"/>
      <w:lvlText w:val="%4."/>
      <w:lvlJc w:val="left"/>
      <w:pPr>
        <w:tabs>
          <w:tab w:val="num" w:pos="2880"/>
        </w:tabs>
        <w:ind w:left="2880" w:hanging="360"/>
      </w:pPr>
    </w:lvl>
    <w:lvl w:ilvl="4" w:tplc="03C616A8">
      <w:start w:val="1"/>
      <w:numFmt w:val="decimal"/>
      <w:lvlText w:val="%5."/>
      <w:lvlJc w:val="left"/>
      <w:pPr>
        <w:tabs>
          <w:tab w:val="num" w:pos="3600"/>
        </w:tabs>
        <w:ind w:left="3600" w:hanging="360"/>
      </w:pPr>
    </w:lvl>
    <w:lvl w:ilvl="5" w:tplc="97CA9C38">
      <w:start w:val="1"/>
      <w:numFmt w:val="decimal"/>
      <w:lvlText w:val="%6."/>
      <w:lvlJc w:val="left"/>
      <w:pPr>
        <w:tabs>
          <w:tab w:val="num" w:pos="4320"/>
        </w:tabs>
        <w:ind w:left="4320" w:hanging="360"/>
      </w:pPr>
    </w:lvl>
    <w:lvl w:ilvl="6" w:tplc="A22CE7CE">
      <w:start w:val="1"/>
      <w:numFmt w:val="decimal"/>
      <w:lvlText w:val="%7."/>
      <w:lvlJc w:val="left"/>
      <w:pPr>
        <w:tabs>
          <w:tab w:val="num" w:pos="5040"/>
        </w:tabs>
        <w:ind w:left="5040" w:hanging="360"/>
      </w:pPr>
    </w:lvl>
    <w:lvl w:ilvl="7" w:tplc="879878F6">
      <w:start w:val="1"/>
      <w:numFmt w:val="decimal"/>
      <w:lvlText w:val="%8."/>
      <w:lvlJc w:val="left"/>
      <w:pPr>
        <w:tabs>
          <w:tab w:val="num" w:pos="5760"/>
        </w:tabs>
        <w:ind w:left="5760" w:hanging="360"/>
      </w:pPr>
    </w:lvl>
    <w:lvl w:ilvl="8" w:tplc="036CC7CE">
      <w:start w:val="1"/>
      <w:numFmt w:val="decimal"/>
      <w:lvlText w:val="%9."/>
      <w:lvlJc w:val="left"/>
      <w:pPr>
        <w:tabs>
          <w:tab w:val="num" w:pos="6480"/>
        </w:tabs>
        <w:ind w:left="6480" w:hanging="360"/>
      </w:pPr>
    </w:lvl>
  </w:abstractNum>
  <w:abstractNum w:abstractNumId="87">
    <w:nsid w:val="00000060"/>
    <w:multiLevelType w:val="hybridMultilevel"/>
    <w:tmpl w:val="B4DAA854"/>
    <w:lvl w:ilvl="0" w:tplc="F8C0959A">
      <w:start w:val="1"/>
      <w:numFmt w:val="bullet"/>
      <w:pStyle w:val="Level1Bullet-BarcRA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68A148C">
      <w:start w:val="1"/>
      <w:numFmt w:val="bullet"/>
      <w:lvlText w:val="o"/>
      <w:lvlJc w:val="left"/>
      <w:pPr>
        <w:tabs>
          <w:tab w:val="num" w:pos="306"/>
        </w:tabs>
        <w:ind w:left="306" w:hanging="360"/>
      </w:pPr>
      <w:rPr>
        <w:rFonts w:ascii="Courier New" w:hAnsi="Courier New" w:cs="Times New Roman" w:hint="default"/>
      </w:rPr>
    </w:lvl>
    <w:lvl w:ilvl="2" w:tplc="A0D21A36">
      <w:numFmt w:val="bullet"/>
      <w:lvlText w:val="-"/>
      <w:lvlJc w:val="left"/>
      <w:pPr>
        <w:tabs>
          <w:tab w:val="num" w:pos="1401"/>
        </w:tabs>
        <w:ind w:left="1401" w:hanging="735"/>
      </w:pPr>
      <w:rPr>
        <w:rFonts w:ascii="Barclays Serif" w:eastAsia="Times New Roman" w:hAnsi="Barclays Serif" w:cs="Times New Roman" w:hint="default"/>
      </w:rPr>
    </w:lvl>
    <w:lvl w:ilvl="3" w:tplc="CCB83E00">
      <w:start w:val="1"/>
      <w:numFmt w:val="decimal"/>
      <w:lvlText w:val="%4."/>
      <w:lvlJc w:val="left"/>
      <w:pPr>
        <w:tabs>
          <w:tab w:val="num" w:pos="2880"/>
        </w:tabs>
        <w:ind w:left="2880" w:hanging="360"/>
      </w:pPr>
    </w:lvl>
    <w:lvl w:ilvl="4" w:tplc="D35E33FC">
      <w:start w:val="1"/>
      <w:numFmt w:val="decimal"/>
      <w:lvlText w:val="%5."/>
      <w:lvlJc w:val="left"/>
      <w:pPr>
        <w:tabs>
          <w:tab w:val="num" w:pos="3600"/>
        </w:tabs>
        <w:ind w:left="3600" w:hanging="360"/>
      </w:pPr>
    </w:lvl>
    <w:lvl w:ilvl="5" w:tplc="B1F0C970">
      <w:start w:val="1"/>
      <w:numFmt w:val="decimal"/>
      <w:lvlText w:val="%6."/>
      <w:lvlJc w:val="left"/>
      <w:pPr>
        <w:tabs>
          <w:tab w:val="num" w:pos="4320"/>
        </w:tabs>
        <w:ind w:left="4320" w:hanging="360"/>
      </w:pPr>
    </w:lvl>
    <w:lvl w:ilvl="6" w:tplc="8C2C1284">
      <w:start w:val="1"/>
      <w:numFmt w:val="decimal"/>
      <w:lvlText w:val="%7."/>
      <w:lvlJc w:val="left"/>
      <w:pPr>
        <w:tabs>
          <w:tab w:val="num" w:pos="5040"/>
        </w:tabs>
        <w:ind w:left="5040" w:hanging="360"/>
      </w:pPr>
    </w:lvl>
    <w:lvl w:ilvl="7" w:tplc="B346FE82">
      <w:start w:val="1"/>
      <w:numFmt w:val="decimal"/>
      <w:lvlText w:val="%8."/>
      <w:lvlJc w:val="left"/>
      <w:pPr>
        <w:tabs>
          <w:tab w:val="num" w:pos="5760"/>
        </w:tabs>
        <w:ind w:left="5760" w:hanging="360"/>
      </w:pPr>
    </w:lvl>
    <w:lvl w:ilvl="8" w:tplc="742EA214">
      <w:start w:val="1"/>
      <w:numFmt w:val="decimal"/>
      <w:lvlText w:val="%9."/>
      <w:lvlJc w:val="left"/>
      <w:pPr>
        <w:tabs>
          <w:tab w:val="num" w:pos="6480"/>
        </w:tabs>
        <w:ind w:left="6480" w:hanging="360"/>
      </w:pPr>
    </w:lvl>
  </w:abstractNum>
  <w:abstractNum w:abstractNumId="88">
    <w:nsid w:val="00000061"/>
    <w:multiLevelType w:val="hybridMultilevel"/>
    <w:tmpl w:val="903CB69E"/>
    <w:lvl w:ilvl="0" w:tplc="DF404B1A">
      <w:start w:val="1"/>
      <w:numFmt w:val="bullet"/>
      <w:pStyle w:val="Level1Bullet-BarcRA2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F5211EE">
      <w:start w:val="1"/>
      <w:numFmt w:val="decimal"/>
      <w:lvlText w:val="%2."/>
      <w:lvlJc w:val="left"/>
      <w:pPr>
        <w:tabs>
          <w:tab w:val="num" w:pos="1440"/>
        </w:tabs>
        <w:ind w:left="1440" w:hanging="360"/>
      </w:pPr>
    </w:lvl>
    <w:lvl w:ilvl="2" w:tplc="4F26F644">
      <w:start w:val="1"/>
      <w:numFmt w:val="decimal"/>
      <w:lvlText w:val="%3."/>
      <w:lvlJc w:val="left"/>
      <w:pPr>
        <w:tabs>
          <w:tab w:val="num" w:pos="2160"/>
        </w:tabs>
        <w:ind w:left="2160" w:hanging="360"/>
      </w:pPr>
    </w:lvl>
    <w:lvl w:ilvl="3" w:tplc="3DC87C5C">
      <w:start w:val="1"/>
      <w:numFmt w:val="decimal"/>
      <w:lvlText w:val="%4."/>
      <w:lvlJc w:val="left"/>
      <w:pPr>
        <w:tabs>
          <w:tab w:val="num" w:pos="2880"/>
        </w:tabs>
        <w:ind w:left="2880" w:hanging="360"/>
      </w:pPr>
    </w:lvl>
    <w:lvl w:ilvl="4" w:tplc="6B96E8DE">
      <w:start w:val="1"/>
      <w:numFmt w:val="decimal"/>
      <w:lvlText w:val="%5."/>
      <w:lvlJc w:val="left"/>
      <w:pPr>
        <w:tabs>
          <w:tab w:val="num" w:pos="3600"/>
        </w:tabs>
        <w:ind w:left="3600" w:hanging="360"/>
      </w:pPr>
    </w:lvl>
    <w:lvl w:ilvl="5" w:tplc="2D78D874">
      <w:start w:val="1"/>
      <w:numFmt w:val="decimal"/>
      <w:lvlText w:val="%6."/>
      <w:lvlJc w:val="left"/>
      <w:pPr>
        <w:tabs>
          <w:tab w:val="num" w:pos="4320"/>
        </w:tabs>
        <w:ind w:left="4320" w:hanging="360"/>
      </w:pPr>
    </w:lvl>
    <w:lvl w:ilvl="6" w:tplc="67E43068">
      <w:start w:val="1"/>
      <w:numFmt w:val="decimal"/>
      <w:lvlText w:val="%7."/>
      <w:lvlJc w:val="left"/>
      <w:pPr>
        <w:tabs>
          <w:tab w:val="num" w:pos="5040"/>
        </w:tabs>
        <w:ind w:left="5040" w:hanging="360"/>
      </w:pPr>
    </w:lvl>
    <w:lvl w:ilvl="7" w:tplc="650E32E2">
      <w:start w:val="1"/>
      <w:numFmt w:val="decimal"/>
      <w:lvlText w:val="%8."/>
      <w:lvlJc w:val="left"/>
      <w:pPr>
        <w:tabs>
          <w:tab w:val="num" w:pos="5760"/>
        </w:tabs>
        <w:ind w:left="5760" w:hanging="360"/>
      </w:pPr>
    </w:lvl>
    <w:lvl w:ilvl="8" w:tplc="92BE2A78">
      <w:start w:val="1"/>
      <w:numFmt w:val="decimal"/>
      <w:lvlText w:val="%9."/>
      <w:lvlJc w:val="left"/>
      <w:pPr>
        <w:tabs>
          <w:tab w:val="num" w:pos="6480"/>
        </w:tabs>
        <w:ind w:left="6480" w:hanging="360"/>
      </w:pPr>
    </w:lvl>
  </w:abstractNum>
  <w:abstractNum w:abstractNumId="89">
    <w:nsid w:val="00000062"/>
    <w:multiLevelType w:val="hybridMultilevel"/>
    <w:tmpl w:val="3F46D7DE"/>
    <w:lvl w:ilvl="0" w:tplc="254649CA">
      <w:start w:val="1"/>
      <w:numFmt w:val="decimal"/>
      <w:pStyle w:val="NoteandSourceText-BarcRA3"/>
      <w:lvlText w:val="%1"/>
      <w:lvlJc w:val="left"/>
      <w:pPr>
        <w:ind w:left="720" w:hanging="360"/>
      </w:pPr>
      <w:rPr>
        <w:rFonts w:hint="default"/>
      </w:rPr>
    </w:lvl>
    <w:lvl w:ilvl="1" w:tplc="261C5C3A" w:tentative="1">
      <w:start w:val="1"/>
      <w:numFmt w:val="lowerLetter"/>
      <w:lvlText w:val="%2."/>
      <w:lvlJc w:val="left"/>
      <w:pPr>
        <w:ind w:left="1440" w:hanging="360"/>
      </w:pPr>
    </w:lvl>
    <w:lvl w:ilvl="2" w:tplc="9F2A7F48" w:tentative="1">
      <w:start w:val="1"/>
      <w:numFmt w:val="lowerRoman"/>
      <w:lvlText w:val="%3."/>
      <w:lvlJc w:val="right"/>
      <w:pPr>
        <w:ind w:left="2160" w:hanging="180"/>
      </w:pPr>
    </w:lvl>
    <w:lvl w:ilvl="3" w:tplc="68C017B2" w:tentative="1">
      <w:start w:val="1"/>
      <w:numFmt w:val="decimal"/>
      <w:lvlText w:val="%4."/>
      <w:lvlJc w:val="left"/>
      <w:pPr>
        <w:ind w:left="2880" w:hanging="360"/>
      </w:pPr>
    </w:lvl>
    <w:lvl w:ilvl="4" w:tplc="473A1378" w:tentative="1">
      <w:start w:val="1"/>
      <w:numFmt w:val="lowerLetter"/>
      <w:lvlText w:val="%5."/>
      <w:lvlJc w:val="left"/>
      <w:pPr>
        <w:ind w:left="3600" w:hanging="360"/>
      </w:pPr>
    </w:lvl>
    <w:lvl w:ilvl="5" w:tplc="21CE5414" w:tentative="1">
      <w:start w:val="1"/>
      <w:numFmt w:val="lowerRoman"/>
      <w:lvlText w:val="%6."/>
      <w:lvlJc w:val="right"/>
      <w:pPr>
        <w:ind w:left="4320" w:hanging="180"/>
      </w:pPr>
    </w:lvl>
    <w:lvl w:ilvl="6" w:tplc="18724C36" w:tentative="1">
      <w:start w:val="1"/>
      <w:numFmt w:val="decimal"/>
      <w:lvlText w:val="%7."/>
      <w:lvlJc w:val="left"/>
      <w:pPr>
        <w:ind w:left="5040" w:hanging="360"/>
      </w:pPr>
    </w:lvl>
    <w:lvl w:ilvl="7" w:tplc="35A0BF62" w:tentative="1">
      <w:start w:val="1"/>
      <w:numFmt w:val="lowerLetter"/>
      <w:lvlText w:val="%8."/>
      <w:lvlJc w:val="left"/>
      <w:pPr>
        <w:ind w:left="5760" w:hanging="360"/>
      </w:pPr>
    </w:lvl>
    <w:lvl w:ilvl="8" w:tplc="A5761C7A" w:tentative="1">
      <w:start w:val="1"/>
      <w:numFmt w:val="lowerRoman"/>
      <w:lvlText w:val="%9."/>
      <w:lvlJc w:val="right"/>
      <w:pPr>
        <w:ind w:left="6480" w:hanging="180"/>
      </w:pPr>
    </w:lvl>
  </w:abstractNum>
  <w:abstractNum w:abstractNumId="90">
    <w:nsid w:val="00000063"/>
    <w:multiLevelType w:val="hybridMultilevel"/>
    <w:tmpl w:val="B4DAA854"/>
    <w:lvl w:ilvl="0" w:tplc="EFAC2BEE">
      <w:start w:val="1"/>
      <w:numFmt w:val="bullet"/>
      <w:pStyle w:val="Level1Bullet-BarcRA1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A8205188">
      <w:start w:val="1"/>
      <w:numFmt w:val="bullet"/>
      <w:lvlText w:val="o"/>
      <w:lvlJc w:val="left"/>
      <w:pPr>
        <w:tabs>
          <w:tab w:val="num" w:pos="306"/>
        </w:tabs>
        <w:ind w:left="306" w:hanging="360"/>
      </w:pPr>
      <w:rPr>
        <w:rFonts w:ascii="Courier New" w:hAnsi="Courier New" w:hint="default"/>
      </w:rPr>
    </w:lvl>
    <w:lvl w:ilvl="2" w:tplc="34D4079E">
      <w:numFmt w:val="bullet"/>
      <w:lvlText w:val="-"/>
      <w:lvlJc w:val="left"/>
      <w:pPr>
        <w:tabs>
          <w:tab w:val="num" w:pos="1401"/>
        </w:tabs>
        <w:ind w:left="1401" w:hanging="735"/>
      </w:pPr>
      <w:rPr>
        <w:rFonts w:ascii="Barclays Serif" w:eastAsia="Times New Roman" w:hAnsi="Barclays Serif" w:cs="Times New Roman" w:hint="default"/>
      </w:rPr>
    </w:lvl>
    <w:lvl w:ilvl="3" w:tplc="7B980348" w:tentative="1">
      <w:start w:val="1"/>
      <w:numFmt w:val="bullet"/>
      <w:lvlText w:val=""/>
      <w:lvlJc w:val="left"/>
      <w:pPr>
        <w:tabs>
          <w:tab w:val="num" w:pos="1746"/>
        </w:tabs>
        <w:ind w:left="1746" w:hanging="360"/>
      </w:pPr>
      <w:rPr>
        <w:rFonts w:ascii="Symbol" w:hAnsi="Symbol" w:hint="default"/>
      </w:rPr>
    </w:lvl>
    <w:lvl w:ilvl="4" w:tplc="350EDDF2" w:tentative="1">
      <w:start w:val="1"/>
      <w:numFmt w:val="bullet"/>
      <w:lvlText w:val="o"/>
      <w:lvlJc w:val="left"/>
      <w:pPr>
        <w:tabs>
          <w:tab w:val="num" w:pos="2466"/>
        </w:tabs>
        <w:ind w:left="2466" w:hanging="360"/>
      </w:pPr>
      <w:rPr>
        <w:rFonts w:ascii="Courier New" w:hAnsi="Courier New" w:hint="default"/>
      </w:rPr>
    </w:lvl>
    <w:lvl w:ilvl="5" w:tplc="1C94C48A" w:tentative="1">
      <w:start w:val="1"/>
      <w:numFmt w:val="bullet"/>
      <w:lvlText w:val=""/>
      <w:lvlJc w:val="left"/>
      <w:pPr>
        <w:tabs>
          <w:tab w:val="num" w:pos="3186"/>
        </w:tabs>
        <w:ind w:left="3186" w:hanging="360"/>
      </w:pPr>
      <w:rPr>
        <w:rFonts w:ascii="Wingdings" w:hAnsi="Wingdings" w:hint="default"/>
      </w:rPr>
    </w:lvl>
    <w:lvl w:ilvl="6" w:tplc="5F9ECDCC" w:tentative="1">
      <w:start w:val="1"/>
      <w:numFmt w:val="bullet"/>
      <w:lvlText w:val=""/>
      <w:lvlJc w:val="left"/>
      <w:pPr>
        <w:tabs>
          <w:tab w:val="num" w:pos="3906"/>
        </w:tabs>
        <w:ind w:left="3906" w:hanging="360"/>
      </w:pPr>
      <w:rPr>
        <w:rFonts w:ascii="Symbol" w:hAnsi="Symbol" w:hint="default"/>
      </w:rPr>
    </w:lvl>
    <w:lvl w:ilvl="7" w:tplc="B3E29B8E" w:tentative="1">
      <w:start w:val="1"/>
      <w:numFmt w:val="bullet"/>
      <w:lvlText w:val="o"/>
      <w:lvlJc w:val="left"/>
      <w:pPr>
        <w:tabs>
          <w:tab w:val="num" w:pos="4626"/>
        </w:tabs>
        <w:ind w:left="4626" w:hanging="360"/>
      </w:pPr>
      <w:rPr>
        <w:rFonts w:ascii="Courier New" w:hAnsi="Courier New" w:hint="default"/>
      </w:rPr>
    </w:lvl>
    <w:lvl w:ilvl="8" w:tplc="14E6FA32" w:tentative="1">
      <w:start w:val="1"/>
      <w:numFmt w:val="bullet"/>
      <w:lvlText w:val=""/>
      <w:lvlJc w:val="left"/>
      <w:pPr>
        <w:tabs>
          <w:tab w:val="num" w:pos="5346"/>
        </w:tabs>
        <w:ind w:left="5346" w:hanging="360"/>
      </w:pPr>
      <w:rPr>
        <w:rFonts w:ascii="Wingdings" w:hAnsi="Wingdings" w:hint="default"/>
      </w:rPr>
    </w:lvl>
  </w:abstractNum>
  <w:abstractNum w:abstractNumId="91">
    <w:nsid w:val="00000064"/>
    <w:multiLevelType w:val="hybridMultilevel"/>
    <w:tmpl w:val="B4DAA854"/>
    <w:lvl w:ilvl="0" w:tplc="752C85E6">
      <w:start w:val="1"/>
      <w:numFmt w:val="bullet"/>
      <w:pStyle w:val="Level1Bullet-BarcRA1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3F18E7E8">
      <w:start w:val="1"/>
      <w:numFmt w:val="bullet"/>
      <w:lvlText w:val="o"/>
      <w:lvlJc w:val="left"/>
      <w:pPr>
        <w:tabs>
          <w:tab w:val="num" w:pos="306"/>
        </w:tabs>
        <w:ind w:left="306" w:hanging="360"/>
      </w:pPr>
      <w:rPr>
        <w:rFonts w:ascii="Courier New" w:hAnsi="Courier New" w:hint="default"/>
      </w:rPr>
    </w:lvl>
    <w:lvl w:ilvl="2" w:tplc="62F241DE">
      <w:numFmt w:val="bullet"/>
      <w:lvlText w:val="-"/>
      <w:lvlJc w:val="left"/>
      <w:pPr>
        <w:tabs>
          <w:tab w:val="num" w:pos="1401"/>
        </w:tabs>
        <w:ind w:left="1401" w:hanging="735"/>
      </w:pPr>
      <w:rPr>
        <w:rFonts w:ascii="Barclays Serif" w:eastAsia="Times New Roman" w:hAnsi="Barclays Serif" w:cs="Times New Roman" w:hint="default"/>
      </w:rPr>
    </w:lvl>
    <w:lvl w:ilvl="3" w:tplc="35486DE8" w:tentative="1">
      <w:start w:val="1"/>
      <w:numFmt w:val="bullet"/>
      <w:lvlText w:val=""/>
      <w:lvlJc w:val="left"/>
      <w:pPr>
        <w:tabs>
          <w:tab w:val="num" w:pos="1746"/>
        </w:tabs>
        <w:ind w:left="1746" w:hanging="360"/>
      </w:pPr>
      <w:rPr>
        <w:rFonts w:ascii="Symbol" w:hAnsi="Symbol" w:hint="default"/>
      </w:rPr>
    </w:lvl>
    <w:lvl w:ilvl="4" w:tplc="B7861178" w:tentative="1">
      <w:start w:val="1"/>
      <w:numFmt w:val="bullet"/>
      <w:lvlText w:val="o"/>
      <w:lvlJc w:val="left"/>
      <w:pPr>
        <w:tabs>
          <w:tab w:val="num" w:pos="2466"/>
        </w:tabs>
        <w:ind w:left="2466" w:hanging="360"/>
      </w:pPr>
      <w:rPr>
        <w:rFonts w:ascii="Courier New" w:hAnsi="Courier New" w:hint="default"/>
      </w:rPr>
    </w:lvl>
    <w:lvl w:ilvl="5" w:tplc="7814FB54" w:tentative="1">
      <w:start w:val="1"/>
      <w:numFmt w:val="bullet"/>
      <w:lvlText w:val=""/>
      <w:lvlJc w:val="left"/>
      <w:pPr>
        <w:tabs>
          <w:tab w:val="num" w:pos="3186"/>
        </w:tabs>
        <w:ind w:left="3186" w:hanging="360"/>
      </w:pPr>
      <w:rPr>
        <w:rFonts w:ascii="Wingdings" w:hAnsi="Wingdings" w:hint="default"/>
      </w:rPr>
    </w:lvl>
    <w:lvl w:ilvl="6" w:tplc="6A7A40C0" w:tentative="1">
      <w:start w:val="1"/>
      <w:numFmt w:val="bullet"/>
      <w:lvlText w:val=""/>
      <w:lvlJc w:val="left"/>
      <w:pPr>
        <w:tabs>
          <w:tab w:val="num" w:pos="3906"/>
        </w:tabs>
        <w:ind w:left="3906" w:hanging="360"/>
      </w:pPr>
      <w:rPr>
        <w:rFonts w:ascii="Symbol" w:hAnsi="Symbol" w:hint="default"/>
      </w:rPr>
    </w:lvl>
    <w:lvl w:ilvl="7" w:tplc="6F0811A0" w:tentative="1">
      <w:start w:val="1"/>
      <w:numFmt w:val="bullet"/>
      <w:lvlText w:val="o"/>
      <w:lvlJc w:val="left"/>
      <w:pPr>
        <w:tabs>
          <w:tab w:val="num" w:pos="4626"/>
        </w:tabs>
        <w:ind w:left="4626" w:hanging="360"/>
      </w:pPr>
      <w:rPr>
        <w:rFonts w:ascii="Courier New" w:hAnsi="Courier New" w:hint="default"/>
      </w:rPr>
    </w:lvl>
    <w:lvl w:ilvl="8" w:tplc="9BDCDE8A" w:tentative="1">
      <w:start w:val="1"/>
      <w:numFmt w:val="bullet"/>
      <w:lvlText w:val=""/>
      <w:lvlJc w:val="left"/>
      <w:pPr>
        <w:tabs>
          <w:tab w:val="num" w:pos="5346"/>
        </w:tabs>
        <w:ind w:left="5346" w:hanging="360"/>
      </w:pPr>
      <w:rPr>
        <w:rFonts w:ascii="Wingdings" w:hAnsi="Wingdings" w:hint="default"/>
      </w:rPr>
    </w:lvl>
  </w:abstractNum>
  <w:abstractNum w:abstractNumId="92">
    <w:nsid w:val="00000065"/>
    <w:multiLevelType w:val="hybridMultilevel"/>
    <w:tmpl w:val="3F46D7DE"/>
    <w:lvl w:ilvl="0" w:tplc="F7AC43A0">
      <w:start w:val="1"/>
      <w:numFmt w:val="decimal"/>
      <w:pStyle w:val="NoteandSourceText-BarcRA4"/>
      <w:lvlText w:val="%1"/>
      <w:lvlJc w:val="left"/>
      <w:pPr>
        <w:ind w:left="720" w:hanging="360"/>
      </w:pPr>
      <w:rPr>
        <w:rFonts w:hint="default"/>
      </w:rPr>
    </w:lvl>
    <w:lvl w:ilvl="1" w:tplc="D85826C4" w:tentative="1">
      <w:start w:val="1"/>
      <w:numFmt w:val="lowerLetter"/>
      <w:lvlText w:val="%2."/>
      <w:lvlJc w:val="left"/>
      <w:pPr>
        <w:ind w:left="1440" w:hanging="360"/>
      </w:pPr>
    </w:lvl>
    <w:lvl w:ilvl="2" w:tplc="8738CF2E" w:tentative="1">
      <w:start w:val="1"/>
      <w:numFmt w:val="lowerRoman"/>
      <w:lvlText w:val="%3."/>
      <w:lvlJc w:val="right"/>
      <w:pPr>
        <w:ind w:left="2160" w:hanging="180"/>
      </w:pPr>
    </w:lvl>
    <w:lvl w:ilvl="3" w:tplc="AF827FA2" w:tentative="1">
      <w:start w:val="1"/>
      <w:numFmt w:val="decimal"/>
      <w:lvlText w:val="%4."/>
      <w:lvlJc w:val="left"/>
      <w:pPr>
        <w:ind w:left="2880" w:hanging="360"/>
      </w:pPr>
    </w:lvl>
    <w:lvl w:ilvl="4" w:tplc="0FC090CA" w:tentative="1">
      <w:start w:val="1"/>
      <w:numFmt w:val="lowerLetter"/>
      <w:lvlText w:val="%5."/>
      <w:lvlJc w:val="left"/>
      <w:pPr>
        <w:ind w:left="3600" w:hanging="360"/>
      </w:pPr>
    </w:lvl>
    <w:lvl w:ilvl="5" w:tplc="338A9EE4" w:tentative="1">
      <w:start w:val="1"/>
      <w:numFmt w:val="lowerRoman"/>
      <w:lvlText w:val="%6."/>
      <w:lvlJc w:val="right"/>
      <w:pPr>
        <w:ind w:left="4320" w:hanging="180"/>
      </w:pPr>
    </w:lvl>
    <w:lvl w:ilvl="6" w:tplc="20A0DEBA" w:tentative="1">
      <w:start w:val="1"/>
      <w:numFmt w:val="decimal"/>
      <w:lvlText w:val="%7."/>
      <w:lvlJc w:val="left"/>
      <w:pPr>
        <w:ind w:left="5040" w:hanging="360"/>
      </w:pPr>
    </w:lvl>
    <w:lvl w:ilvl="7" w:tplc="12B2ACA8" w:tentative="1">
      <w:start w:val="1"/>
      <w:numFmt w:val="lowerLetter"/>
      <w:lvlText w:val="%8."/>
      <w:lvlJc w:val="left"/>
      <w:pPr>
        <w:ind w:left="5760" w:hanging="360"/>
      </w:pPr>
    </w:lvl>
    <w:lvl w:ilvl="8" w:tplc="30C2F8C6" w:tentative="1">
      <w:start w:val="1"/>
      <w:numFmt w:val="lowerRoman"/>
      <w:lvlText w:val="%9."/>
      <w:lvlJc w:val="right"/>
      <w:pPr>
        <w:ind w:left="6480" w:hanging="180"/>
      </w:pPr>
    </w:lvl>
  </w:abstractNum>
  <w:abstractNum w:abstractNumId="93">
    <w:nsid w:val="00000066"/>
    <w:multiLevelType w:val="hybridMultilevel"/>
    <w:tmpl w:val="DE922312"/>
    <w:lvl w:ilvl="0" w:tplc="863E9DFC">
      <w:start w:val="1"/>
      <w:numFmt w:val="decimal"/>
      <w:lvlText w:val="%1"/>
      <w:lvlJc w:val="left"/>
      <w:pPr>
        <w:ind w:left="360" w:hanging="360"/>
      </w:pPr>
      <w:rPr>
        <w:rFonts w:hint="default"/>
      </w:rPr>
    </w:lvl>
    <w:lvl w:ilvl="1" w:tplc="4AF05448" w:tentative="1">
      <w:start w:val="1"/>
      <w:numFmt w:val="lowerLetter"/>
      <w:lvlText w:val="%2."/>
      <w:lvlJc w:val="left"/>
      <w:pPr>
        <w:ind w:left="1080" w:hanging="360"/>
      </w:pPr>
    </w:lvl>
    <w:lvl w:ilvl="2" w:tplc="E812853E" w:tentative="1">
      <w:start w:val="1"/>
      <w:numFmt w:val="lowerRoman"/>
      <w:lvlText w:val="%3."/>
      <w:lvlJc w:val="right"/>
      <w:pPr>
        <w:ind w:left="1800" w:hanging="180"/>
      </w:pPr>
    </w:lvl>
    <w:lvl w:ilvl="3" w:tplc="1FC2C91E" w:tentative="1">
      <w:start w:val="1"/>
      <w:numFmt w:val="decimal"/>
      <w:lvlText w:val="%4."/>
      <w:lvlJc w:val="left"/>
      <w:pPr>
        <w:ind w:left="2520" w:hanging="360"/>
      </w:pPr>
    </w:lvl>
    <w:lvl w:ilvl="4" w:tplc="F7505CE6" w:tentative="1">
      <w:start w:val="1"/>
      <w:numFmt w:val="lowerLetter"/>
      <w:lvlText w:val="%5."/>
      <w:lvlJc w:val="left"/>
      <w:pPr>
        <w:ind w:left="3240" w:hanging="360"/>
      </w:pPr>
    </w:lvl>
    <w:lvl w:ilvl="5" w:tplc="40D242C2" w:tentative="1">
      <w:start w:val="1"/>
      <w:numFmt w:val="lowerRoman"/>
      <w:lvlText w:val="%6."/>
      <w:lvlJc w:val="right"/>
      <w:pPr>
        <w:ind w:left="3960" w:hanging="180"/>
      </w:pPr>
    </w:lvl>
    <w:lvl w:ilvl="6" w:tplc="7FFA3632" w:tentative="1">
      <w:start w:val="1"/>
      <w:numFmt w:val="decimal"/>
      <w:lvlText w:val="%7."/>
      <w:lvlJc w:val="left"/>
      <w:pPr>
        <w:ind w:left="4680" w:hanging="360"/>
      </w:pPr>
    </w:lvl>
    <w:lvl w:ilvl="7" w:tplc="9C4A37BC" w:tentative="1">
      <w:start w:val="1"/>
      <w:numFmt w:val="lowerLetter"/>
      <w:lvlText w:val="%8."/>
      <w:lvlJc w:val="left"/>
      <w:pPr>
        <w:ind w:left="5400" w:hanging="360"/>
      </w:pPr>
    </w:lvl>
    <w:lvl w:ilvl="8" w:tplc="7BBEC684" w:tentative="1">
      <w:start w:val="1"/>
      <w:numFmt w:val="lowerRoman"/>
      <w:lvlText w:val="%9."/>
      <w:lvlJc w:val="right"/>
      <w:pPr>
        <w:ind w:left="6120" w:hanging="180"/>
      </w:pPr>
    </w:lvl>
  </w:abstractNum>
  <w:abstractNum w:abstractNumId="94">
    <w:nsid w:val="00000067"/>
    <w:multiLevelType w:val="hybridMultilevel"/>
    <w:tmpl w:val="DE922312"/>
    <w:lvl w:ilvl="0" w:tplc="EF3A3FDA">
      <w:start w:val="1"/>
      <w:numFmt w:val="decimal"/>
      <w:lvlText w:val="%1"/>
      <w:lvlJc w:val="left"/>
      <w:pPr>
        <w:ind w:left="360" w:hanging="360"/>
      </w:pPr>
      <w:rPr>
        <w:rFonts w:hint="default"/>
      </w:rPr>
    </w:lvl>
    <w:lvl w:ilvl="1" w:tplc="EC6C7422" w:tentative="1">
      <w:start w:val="1"/>
      <w:numFmt w:val="lowerLetter"/>
      <w:lvlText w:val="%2."/>
      <w:lvlJc w:val="left"/>
      <w:pPr>
        <w:ind w:left="1080" w:hanging="360"/>
      </w:pPr>
    </w:lvl>
    <w:lvl w:ilvl="2" w:tplc="C21AFCFA" w:tentative="1">
      <w:start w:val="1"/>
      <w:numFmt w:val="lowerRoman"/>
      <w:lvlText w:val="%3."/>
      <w:lvlJc w:val="right"/>
      <w:pPr>
        <w:ind w:left="1800" w:hanging="180"/>
      </w:pPr>
    </w:lvl>
    <w:lvl w:ilvl="3" w:tplc="99E0B13A" w:tentative="1">
      <w:start w:val="1"/>
      <w:numFmt w:val="decimal"/>
      <w:lvlText w:val="%4."/>
      <w:lvlJc w:val="left"/>
      <w:pPr>
        <w:ind w:left="2520" w:hanging="360"/>
      </w:pPr>
    </w:lvl>
    <w:lvl w:ilvl="4" w:tplc="9C18E85A" w:tentative="1">
      <w:start w:val="1"/>
      <w:numFmt w:val="lowerLetter"/>
      <w:lvlText w:val="%5."/>
      <w:lvlJc w:val="left"/>
      <w:pPr>
        <w:ind w:left="3240" w:hanging="360"/>
      </w:pPr>
    </w:lvl>
    <w:lvl w:ilvl="5" w:tplc="61244038" w:tentative="1">
      <w:start w:val="1"/>
      <w:numFmt w:val="lowerRoman"/>
      <w:lvlText w:val="%6."/>
      <w:lvlJc w:val="right"/>
      <w:pPr>
        <w:ind w:left="3960" w:hanging="180"/>
      </w:pPr>
    </w:lvl>
    <w:lvl w:ilvl="6" w:tplc="1C5EC8D0" w:tentative="1">
      <w:start w:val="1"/>
      <w:numFmt w:val="decimal"/>
      <w:lvlText w:val="%7."/>
      <w:lvlJc w:val="left"/>
      <w:pPr>
        <w:ind w:left="4680" w:hanging="360"/>
      </w:pPr>
    </w:lvl>
    <w:lvl w:ilvl="7" w:tplc="7AF819C8" w:tentative="1">
      <w:start w:val="1"/>
      <w:numFmt w:val="lowerLetter"/>
      <w:lvlText w:val="%8."/>
      <w:lvlJc w:val="left"/>
      <w:pPr>
        <w:ind w:left="5400" w:hanging="360"/>
      </w:pPr>
    </w:lvl>
    <w:lvl w:ilvl="8" w:tplc="6DC23D56" w:tentative="1">
      <w:start w:val="1"/>
      <w:numFmt w:val="lowerRoman"/>
      <w:lvlText w:val="%9."/>
      <w:lvlJc w:val="right"/>
      <w:pPr>
        <w:ind w:left="6120" w:hanging="180"/>
      </w:pPr>
    </w:lvl>
  </w:abstractNum>
  <w:abstractNum w:abstractNumId="95">
    <w:nsid w:val="00000068"/>
    <w:multiLevelType w:val="hybridMultilevel"/>
    <w:tmpl w:val="AA3AECAC"/>
    <w:lvl w:ilvl="0" w:tplc="B4DCF60E">
      <w:start w:val="1"/>
      <w:numFmt w:val="decimal"/>
      <w:pStyle w:val="NoteandSourceText-BarcRA5"/>
      <w:lvlText w:val="%1"/>
      <w:lvlJc w:val="left"/>
      <w:pPr>
        <w:ind w:left="720" w:hanging="360"/>
      </w:pPr>
      <w:rPr>
        <w:rFonts w:ascii="Expert Sans Regular" w:eastAsia="Times New Roman" w:hAnsi="Expert Sans Regular" w:cs="Times New Roman"/>
      </w:rPr>
    </w:lvl>
    <w:lvl w:ilvl="1" w:tplc="21C61FF2">
      <w:start w:val="1"/>
      <w:numFmt w:val="decimal"/>
      <w:lvlText w:val="%2."/>
      <w:lvlJc w:val="left"/>
      <w:pPr>
        <w:tabs>
          <w:tab w:val="num" w:pos="1440"/>
        </w:tabs>
        <w:ind w:left="1440" w:hanging="360"/>
      </w:pPr>
    </w:lvl>
    <w:lvl w:ilvl="2" w:tplc="D0328840">
      <w:start w:val="1"/>
      <w:numFmt w:val="decimal"/>
      <w:lvlText w:val="%3."/>
      <w:lvlJc w:val="left"/>
      <w:pPr>
        <w:tabs>
          <w:tab w:val="num" w:pos="2160"/>
        </w:tabs>
        <w:ind w:left="2160" w:hanging="360"/>
      </w:pPr>
    </w:lvl>
    <w:lvl w:ilvl="3" w:tplc="9FFAD7B6">
      <w:start w:val="1"/>
      <w:numFmt w:val="decimal"/>
      <w:lvlText w:val="%4."/>
      <w:lvlJc w:val="left"/>
      <w:pPr>
        <w:tabs>
          <w:tab w:val="num" w:pos="2880"/>
        </w:tabs>
        <w:ind w:left="2880" w:hanging="360"/>
      </w:pPr>
    </w:lvl>
    <w:lvl w:ilvl="4" w:tplc="F89034E6">
      <w:start w:val="1"/>
      <w:numFmt w:val="decimal"/>
      <w:lvlText w:val="%5."/>
      <w:lvlJc w:val="left"/>
      <w:pPr>
        <w:tabs>
          <w:tab w:val="num" w:pos="3600"/>
        </w:tabs>
        <w:ind w:left="3600" w:hanging="360"/>
      </w:pPr>
    </w:lvl>
    <w:lvl w:ilvl="5" w:tplc="DCEC0EA2">
      <w:start w:val="1"/>
      <w:numFmt w:val="decimal"/>
      <w:lvlText w:val="%6."/>
      <w:lvlJc w:val="left"/>
      <w:pPr>
        <w:tabs>
          <w:tab w:val="num" w:pos="4320"/>
        </w:tabs>
        <w:ind w:left="4320" w:hanging="360"/>
      </w:pPr>
    </w:lvl>
    <w:lvl w:ilvl="6" w:tplc="C5B64EC0">
      <w:start w:val="1"/>
      <w:numFmt w:val="decimal"/>
      <w:lvlText w:val="%7."/>
      <w:lvlJc w:val="left"/>
      <w:pPr>
        <w:tabs>
          <w:tab w:val="num" w:pos="5040"/>
        </w:tabs>
        <w:ind w:left="5040" w:hanging="360"/>
      </w:pPr>
    </w:lvl>
    <w:lvl w:ilvl="7" w:tplc="6C7A0662">
      <w:start w:val="1"/>
      <w:numFmt w:val="decimal"/>
      <w:lvlText w:val="%8."/>
      <w:lvlJc w:val="left"/>
      <w:pPr>
        <w:tabs>
          <w:tab w:val="num" w:pos="5760"/>
        </w:tabs>
        <w:ind w:left="5760" w:hanging="360"/>
      </w:pPr>
    </w:lvl>
    <w:lvl w:ilvl="8" w:tplc="3726FCD4">
      <w:start w:val="1"/>
      <w:numFmt w:val="decimal"/>
      <w:lvlText w:val="%9."/>
      <w:lvlJc w:val="left"/>
      <w:pPr>
        <w:tabs>
          <w:tab w:val="num" w:pos="6480"/>
        </w:tabs>
        <w:ind w:left="6480" w:hanging="360"/>
      </w:pPr>
    </w:lvl>
  </w:abstractNum>
  <w:abstractNum w:abstractNumId="96">
    <w:nsid w:val="00000069"/>
    <w:multiLevelType w:val="hybridMultilevel"/>
    <w:tmpl w:val="AA3AECAC"/>
    <w:lvl w:ilvl="0" w:tplc="BCEE7F10">
      <w:start w:val="1"/>
      <w:numFmt w:val="decimal"/>
      <w:pStyle w:val="NoteandSourceText-BarcRA6"/>
      <w:lvlText w:val="%1"/>
      <w:lvlJc w:val="left"/>
      <w:pPr>
        <w:ind w:left="720" w:hanging="360"/>
      </w:pPr>
      <w:rPr>
        <w:rFonts w:ascii="Expert Sans Regular" w:eastAsia="Times New Roman" w:hAnsi="Expert Sans Regular" w:cs="Times New Roman"/>
      </w:rPr>
    </w:lvl>
    <w:lvl w:ilvl="1" w:tplc="1866778A" w:tentative="1">
      <w:start w:val="1"/>
      <w:numFmt w:val="lowerLetter"/>
      <w:lvlText w:val="%2."/>
      <w:lvlJc w:val="left"/>
      <w:pPr>
        <w:ind w:left="1440" w:hanging="360"/>
      </w:pPr>
    </w:lvl>
    <w:lvl w:ilvl="2" w:tplc="6B1EB8B2" w:tentative="1">
      <w:start w:val="1"/>
      <w:numFmt w:val="lowerRoman"/>
      <w:lvlText w:val="%3."/>
      <w:lvlJc w:val="right"/>
      <w:pPr>
        <w:ind w:left="2160" w:hanging="180"/>
      </w:pPr>
    </w:lvl>
    <w:lvl w:ilvl="3" w:tplc="20049C70" w:tentative="1">
      <w:start w:val="1"/>
      <w:numFmt w:val="decimal"/>
      <w:lvlText w:val="%4."/>
      <w:lvlJc w:val="left"/>
      <w:pPr>
        <w:ind w:left="2880" w:hanging="360"/>
      </w:pPr>
    </w:lvl>
    <w:lvl w:ilvl="4" w:tplc="23E80190" w:tentative="1">
      <w:start w:val="1"/>
      <w:numFmt w:val="lowerLetter"/>
      <w:lvlText w:val="%5."/>
      <w:lvlJc w:val="left"/>
      <w:pPr>
        <w:ind w:left="3600" w:hanging="360"/>
      </w:pPr>
    </w:lvl>
    <w:lvl w:ilvl="5" w:tplc="40A2026C" w:tentative="1">
      <w:start w:val="1"/>
      <w:numFmt w:val="lowerRoman"/>
      <w:lvlText w:val="%6."/>
      <w:lvlJc w:val="right"/>
      <w:pPr>
        <w:ind w:left="4320" w:hanging="180"/>
      </w:pPr>
    </w:lvl>
    <w:lvl w:ilvl="6" w:tplc="6550336E" w:tentative="1">
      <w:start w:val="1"/>
      <w:numFmt w:val="decimal"/>
      <w:lvlText w:val="%7."/>
      <w:lvlJc w:val="left"/>
      <w:pPr>
        <w:ind w:left="5040" w:hanging="360"/>
      </w:pPr>
    </w:lvl>
    <w:lvl w:ilvl="7" w:tplc="6180F6E8" w:tentative="1">
      <w:start w:val="1"/>
      <w:numFmt w:val="lowerLetter"/>
      <w:lvlText w:val="%8."/>
      <w:lvlJc w:val="left"/>
      <w:pPr>
        <w:ind w:left="5760" w:hanging="360"/>
      </w:pPr>
    </w:lvl>
    <w:lvl w:ilvl="8" w:tplc="ED5C9E48" w:tentative="1">
      <w:start w:val="1"/>
      <w:numFmt w:val="lowerRoman"/>
      <w:lvlText w:val="%9."/>
      <w:lvlJc w:val="right"/>
      <w:pPr>
        <w:ind w:left="6480" w:hanging="180"/>
      </w:pPr>
    </w:lvl>
  </w:abstractNum>
  <w:abstractNum w:abstractNumId="97">
    <w:nsid w:val="0000006A"/>
    <w:multiLevelType w:val="hybridMultilevel"/>
    <w:tmpl w:val="B4DAA854"/>
    <w:lvl w:ilvl="0" w:tplc="D92AAC5E">
      <w:start w:val="1"/>
      <w:numFmt w:val="bullet"/>
      <w:pStyle w:val="Level1Bullet-BarcRA1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1E84F2A2">
      <w:start w:val="1"/>
      <w:numFmt w:val="bullet"/>
      <w:lvlText w:val="o"/>
      <w:lvlJc w:val="left"/>
      <w:pPr>
        <w:tabs>
          <w:tab w:val="num" w:pos="306"/>
        </w:tabs>
        <w:ind w:left="306" w:hanging="360"/>
      </w:pPr>
      <w:rPr>
        <w:rFonts w:ascii="Courier New" w:hAnsi="Courier New" w:hint="default"/>
      </w:rPr>
    </w:lvl>
    <w:lvl w:ilvl="2" w:tplc="CE182808">
      <w:numFmt w:val="bullet"/>
      <w:lvlText w:val="-"/>
      <w:lvlJc w:val="left"/>
      <w:pPr>
        <w:tabs>
          <w:tab w:val="num" w:pos="1401"/>
        </w:tabs>
        <w:ind w:left="1401" w:hanging="735"/>
      </w:pPr>
      <w:rPr>
        <w:rFonts w:ascii="Barclays Serif" w:eastAsia="Times New Roman" w:hAnsi="Barclays Serif" w:cs="Times New Roman" w:hint="default"/>
      </w:rPr>
    </w:lvl>
    <w:lvl w:ilvl="3" w:tplc="09A8DF22" w:tentative="1">
      <w:start w:val="1"/>
      <w:numFmt w:val="bullet"/>
      <w:lvlText w:val=""/>
      <w:lvlJc w:val="left"/>
      <w:pPr>
        <w:tabs>
          <w:tab w:val="num" w:pos="1746"/>
        </w:tabs>
        <w:ind w:left="1746" w:hanging="360"/>
      </w:pPr>
      <w:rPr>
        <w:rFonts w:ascii="Symbol" w:hAnsi="Symbol" w:hint="default"/>
      </w:rPr>
    </w:lvl>
    <w:lvl w:ilvl="4" w:tplc="B038D528" w:tentative="1">
      <w:start w:val="1"/>
      <w:numFmt w:val="bullet"/>
      <w:lvlText w:val="o"/>
      <w:lvlJc w:val="left"/>
      <w:pPr>
        <w:tabs>
          <w:tab w:val="num" w:pos="2466"/>
        </w:tabs>
        <w:ind w:left="2466" w:hanging="360"/>
      </w:pPr>
      <w:rPr>
        <w:rFonts w:ascii="Courier New" w:hAnsi="Courier New" w:hint="default"/>
      </w:rPr>
    </w:lvl>
    <w:lvl w:ilvl="5" w:tplc="1AB29BD2" w:tentative="1">
      <w:start w:val="1"/>
      <w:numFmt w:val="bullet"/>
      <w:lvlText w:val=""/>
      <w:lvlJc w:val="left"/>
      <w:pPr>
        <w:tabs>
          <w:tab w:val="num" w:pos="3186"/>
        </w:tabs>
        <w:ind w:left="3186" w:hanging="360"/>
      </w:pPr>
      <w:rPr>
        <w:rFonts w:ascii="Wingdings" w:hAnsi="Wingdings" w:hint="default"/>
      </w:rPr>
    </w:lvl>
    <w:lvl w:ilvl="6" w:tplc="6F7A1416" w:tentative="1">
      <w:start w:val="1"/>
      <w:numFmt w:val="bullet"/>
      <w:lvlText w:val=""/>
      <w:lvlJc w:val="left"/>
      <w:pPr>
        <w:tabs>
          <w:tab w:val="num" w:pos="3906"/>
        </w:tabs>
        <w:ind w:left="3906" w:hanging="360"/>
      </w:pPr>
      <w:rPr>
        <w:rFonts w:ascii="Symbol" w:hAnsi="Symbol" w:hint="default"/>
      </w:rPr>
    </w:lvl>
    <w:lvl w:ilvl="7" w:tplc="01D24CB0" w:tentative="1">
      <w:start w:val="1"/>
      <w:numFmt w:val="bullet"/>
      <w:lvlText w:val="o"/>
      <w:lvlJc w:val="left"/>
      <w:pPr>
        <w:tabs>
          <w:tab w:val="num" w:pos="4626"/>
        </w:tabs>
        <w:ind w:left="4626" w:hanging="360"/>
      </w:pPr>
      <w:rPr>
        <w:rFonts w:ascii="Courier New" w:hAnsi="Courier New" w:hint="default"/>
      </w:rPr>
    </w:lvl>
    <w:lvl w:ilvl="8" w:tplc="816A5250" w:tentative="1">
      <w:start w:val="1"/>
      <w:numFmt w:val="bullet"/>
      <w:lvlText w:val=""/>
      <w:lvlJc w:val="left"/>
      <w:pPr>
        <w:tabs>
          <w:tab w:val="num" w:pos="5346"/>
        </w:tabs>
        <w:ind w:left="5346" w:hanging="360"/>
      </w:pPr>
      <w:rPr>
        <w:rFonts w:ascii="Wingdings" w:hAnsi="Wingdings" w:hint="default"/>
      </w:rPr>
    </w:lvl>
  </w:abstractNum>
  <w:abstractNum w:abstractNumId="98">
    <w:nsid w:val="0000006B"/>
    <w:multiLevelType w:val="hybridMultilevel"/>
    <w:tmpl w:val="3F46D7DE"/>
    <w:lvl w:ilvl="0" w:tplc="2F7C2AB4">
      <w:start w:val="1"/>
      <w:numFmt w:val="decimal"/>
      <w:pStyle w:val="NoteandSourceText-BarcRA20"/>
      <w:lvlText w:val="%1"/>
      <w:lvlJc w:val="left"/>
      <w:pPr>
        <w:ind w:left="796" w:hanging="360"/>
      </w:pPr>
      <w:rPr>
        <w:rFonts w:cs="Times New Roman"/>
      </w:rPr>
    </w:lvl>
    <w:lvl w:ilvl="1" w:tplc="90349590">
      <w:start w:val="1"/>
      <w:numFmt w:val="decimal"/>
      <w:lvlText w:val="%2."/>
      <w:lvlJc w:val="left"/>
      <w:pPr>
        <w:tabs>
          <w:tab w:val="num" w:pos="1516"/>
        </w:tabs>
        <w:ind w:left="1516" w:hanging="360"/>
      </w:pPr>
    </w:lvl>
    <w:lvl w:ilvl="2" w:tplc="2960C3A2">
      <w:start w:val="1"/>
      <w:numFmt w:val="decimal"/>
      <w:lvlText w:val="%3."/>
      <w:lvlJc w:val="left"/>
      <w:pPr>
        <w:tabs>
          <w:tab w:val="num" w:pos="2236"/>
        </w:tabs>
        <w:ind w:left="2236" w:hanging="360"/>
      </w:pPr>
    </w:lvl>
    <w:lvl w:ilvl="3" w:tplc="CB02B1DC">
      <w:start w:val="1"/>
      <w:numFmt w:val="decimal"/>
      <w:lvlText w:val="%4."/>
      <w:lvlJc w:val="left"/>
      <w:pPr>
        <w:tabs>
          <w:tab w:val="num" w:pos="2956"/>
        </w:tabs>
        <w:ind w:left="2956" w:hanging="360"/>
      </w:pPr>
    </w:lvl>
    <w:lvl w:ilvl="4" w:tplc="B67AD626">
      <w:start w:val="1"/>
      <w:numFmt w:val="decimal"/>
      <w:lvlText w:val="%5."/>
      <w:lvlJc w:val="left"/>
      <w:pPr>
        <w:tabs>
          <w:tab w:val="num" w:pos="3676"/>
        </w:tabs>
        <w:ind w:left="3676" w:hanging="360"/>
      </w:pPr>
    </w:lvl>
    <w:lvl w:ilvl="5" w:tplc="0E9CF020">
      <w:start w:val="1"/>
      <w:numFmt w:val="decimal"/>
      <w:lvlText w:val="%6."/>
      <w:lvlJc w:val="left"/>
      <w:pPr>
        <w:tabs>
          <w:tab w:val="num" w:pos="4396"/>
        </w:tabs>
        <w:ind w:left="4396" w:hanging="360"/>
      </w:pPr>
    </w:lvl>
    <w:lvl w:ilvl="6" w:tplc="C6180734">
      <w:start w:val="1"/>
      <w:numFmt w:val="decimal"/>
      <w:lvlText w:val="%7."/>
      <w:lvlJc w:val="left"/>
      <w:pPr>
        <w:tabs>
          <w:tab w:val="num" w:pos="5116"/>
        </w:tabs>
        <w:ind w:left="5116" w:hanging="360"/>
      </w:pPr>
    </w:lvl>
    <w:lvl w:ilvl="7" w:tplc="C0C6FFEE">
      <w:start w:val="1"/>
      <w:numFmt w:val="decimal"/>
      <w:lvlText w:val="%8."/>
      <w:lvlJc w:val="left"/>
      <w:pPr>
        <w:tabs>
          <w:tab w:val="num" w:pos="5836"/>
        </w:tabs>
        <w:ind w:left="5836" w:hanging="360"/>
      </w:pPr>
    </w:lvl>
    <w:lvl w:ilvl="8" w:tplc="E760EDD2">
      <w:start w:val="1"/>
      <w:numFmt w:val="decimal"/>
      <w:lvlText w:val="%9."/>
      <w:lvlJc w:val="left"/>
      <w:pPr>
        <w:tabs>
          <w:tab w:val="num" w:pos="6556"/>
        </w:tabs>
        <w:ind w:left="6556" w:hanging="360"/>
      </w:pPr>
    </w:lvl>
  </w:abstractNum>
  <w:abstractNum w:abstractNumId="99">
    <w:nsid w:val="0000006C"/>
    <w:multiLevelType w:val="hybridMultilevel"/>
    <w:tmpl w:val="3F46D7DE"/>
    <w:lvl w:ilvl="0" w:tplc="C4BCF06E">
      <w:start w:val="1"/>
      <w:numFmt w:val="decimal"/>
      <w:pStyle w:val="NoteandSourceText-BarcRA60"/>
      <w:lvlText w:val="%1"/>
      <w:lvlJc w:val="left"/>
      <w:pPr>
        <w:ind w:left="720" w:hanging="360"/>
      </w:pPr>
    </w:lvl>
    <w:lvl w:ilvl="1" w:tplc="3B661338">
      <w:start w:val="1"/>
      <w:numFmt w:val="decimal"/>
      <w:lvlText w:val="%2."/>
      <w:lvlJc w:val="left"/>
      <w:pPr>
        <w:tabs>
          <w:tab w:val="num" w:pos="1440"/>
        </w:tabs>
        <w:ind w:left="1440" w:hanging="360"/>
      </w:pPr>
    </w:lvl>
    <w:lvl w:ilvl="2" w:tplc="C64E1CB4">
      <w:start w:val="1"/>
      <w:numFmt w:val="decimal"/>
      <w:lvlText w:val="%3."/>
      <w:lvlJc w:val="left"/>
      <w:pPr>
        <w:tabs>
          <w:tab w:val="num" w:pos="2160"/>
        </w:tabs>
        <w:ind w:left="2160" w:hanging="360"/>
      </w:pPr>
    </w:lvl>
    <w:lvl w:ilvl="3" w:tplc="90626CA8">
      <w:start w:val="1"/>
      <w:numFmt w:val="decimal"/>
      <w:lvlText w:val="%4."/>
      <w:lvlJc w:val="left"/>
      <w:pPr>
        <w:tabs>
          <w:tab w:val="num" w:pos="2880"/>
        </w:tabs>
        <w:ind w:left="2880" w:hanging="360"/>
      </w:pPr>
    </w:lvl>
    <w:lvl w:ilvl="4" w:tplc="D9B0C2D6">
      <w:start w:val="1"/>
      <w:numFmt w:val="decimal"/>
      <w:lvlText w:val="%5."/>
      <w:lvlJc w:val="left"/>
      <w:pPr>
        <w:tabs>
          <w:tab w:val="num" w:pos="3600"/>
        </w:tabs>
        <w:ind w:left="3600" w:hanging="360"/>
      </w:pPr>
    </w:lvl>
    <w:lvl w:ilvl="5" w:tplc="2F622B9C">
      <w:start w:val="1"/>
      <w:numFmt w:val="decimal"/>
      <w:lvlText w:val="%6."/>
      <w:lvlJc w:val="left"/>
      <w:pPr>
        <w:tabs>
          <w:tab w:val="num" w:pos="4320"/>
        </w:tabs>
        <w:ind w:left="4320" w:hanging="360"/>
      </w:pPr>
    </w:lvl>
    <w:lvl w:ilvl="6" w:tplc="855A32C2">
      <w:start w:val="1"/>
      <w:numFmt w:val="decimal"/>
      <w:lvlText w:val="%7."/>
      <w:lvlJc w:val="left"/>
      <w:pPr>
        <w:tabs>
          <w:tab w:val="num" w:pos="5040"/>
        </w:tabs>
        <w:ind w:left="5040" w:hanging="360"/>
      </w:pPr>
    </w:lvl>
    <w:lvl w:ilvl="7" w:tplc="C48479EA">
      <w:start w:val="1"/>
      <w:numFmt w:val="decimal"/>
      <w:lvlText w:val="%8."/>
      <w:lvlJc w:val="left"/>
      <w:pPr>
        <w:tabs>
          <w:tab w:val="num" w:pos="5760"/>
        </w:tabs>
        <w:ind w:left="5760" w:hanging="360"/>
      </w:pPr>
    </w:lvl>
    <w:lvl w:ilvl="8" w:tplc="8964478C">
      <w:start w:val="1"/>
      <w:numFmt w:val="decimal"/>
      <w:lvlText w:val="%9."/>
      <w:lvlJc w:val="left"/>
      <w:pPr>
        <w:tabs>
          <w:tab w:val="num" w:pos="6480"/>
        </w:tabs>
        <w:ind w:left="6480" w:hanging="360"/>
      </w:pPr>
    </w:lvl>
  </w:abstractNum>
  <w:abstractNum w:abstractNumId="100">
    <w:nsid w:val="0000006D"/>
    <w:multiLevelType w:val="hybridMultilevel"/>
    <w:tmpl w:val="B4DAA854"/>
    <w:lvl w:ilvl="0" w:tplc="44526866">
      <w:start w:val="1"/>
      <w:numFmt w:val="bullet"/>
      <w:pStyle w:val="Level1Bullet-BarcRA7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8A56700C">
      <w:start w:val="1"/>
      <w:numFmt w:val="bullet"/>
      <w:lvlText w:val="o"/>
      <w:lvlJc w:val="left"/>
      <w:pPr>
        <w:tabs>
          <w:tab w:val="num" w:pos="306"/>
        </w:tabs>
        <w:ind w:left="306" w:hanging="360"/>
      </w:pPr>
      <w:rPr>
        <w:rFonts w:ascii="Courier New" w:hAnsi="Courier New" w:cs="Times New Roman" w:hint="default"/>
      </w:rPr>
    </w:lvl>
    <w:lvl w:ilvl="2" w:tplc="0FF0D5A6">
      <w:numFmt w:val="bullet"/>
      <w:lvlText w:val="-"/>
      <w:lvlJc w:val="left"/>
      <w:pPr>
        <w:tabs>
          <w:tab w:val="num" w:pos="1401"/>
        </w:tabs>
        <w:ind w:left="1401" w:hanging="735"/>
      </w:pPr>
      <w:rPr>
        <w:rFonts w:ascii="Barclays Serif" w:eastAsia="Times New Roman" w:hAnsi="Barclays Serif" w:cs="Times New Roman" w:hint="default"/>
      </w:rPr>
    </w:lvl>
    <w:lvl w:ilvl="3" w:tplc="D79050F2">
      <w:start w:val="1"/>
      <w:numFmt w:val="decimal"/>
      <w:lvlText w:val="%4."/>
      <w:lvlJc w:val="left"/>
      <w:pPr>
        <w:tabs>
          <w:tab w:val="num" w:pos="2880"/>
        </w:tabs>
        <w:ind w:left="2880" w:hanging="360"/>
      </w:pPr>
    </w:lvl>
    <w:lvl w:ilvl="4" w:tplc="C5029534">
      <w:start w:val="1"/>
      <w:numFmt w:val="decimal"/>
      <w:lvlText w:val="%5."/>
      <w:lvlJc w:val="left"/>
      <w:pPr>
        <w:tabs>
          <w:tab w:val="num" w:pos="3600"/>
        </w:tabs>
        <w:ind w:left="3600" w:hanging="360"/>
      </w:pPr>
    </w:lvl>
    <w:lvl w:ilvl="5" w:tplc="7EF4E60C">
      <w:start w:val="1"/>
      <w:numFmt w:val="decimal"/>
      <w:lvlText w:val="%6."/>
      <w:lvlJc w:val="left"/>
      <w:pPr>
        <w:tabs>
          <w:tab w:val="num" w:pos="4320"/>
        </w:tabs>
        <w:ind w:left="4320" w:hanging="360"/>
      </w:pPr>
    </w:lvl>
    <w:lvl w:ilvl="6" w:tplc="EF3EC6F0">
      <w:start w:val="1"/>
      <w:numFmt w:val="decimal"/>
      <w:lvlText w:val="%7."/>
      <w:lvlJc w:val="left"/>
      <w:pPr>
        <w:tabs>
          <w:tab w:val="num" w:pos="5040"/>
        </w:tabs>
        <w:ind w:left="5040" w:hanging="360"/>
      </w:pPr>
    </w:lvl>
    <w:lvl w:ilvl="7" w:tplc="7AB63014">
      <w:start w:val="1"/>
      <w:numFmt w:val="decimal"/>
      <w:lvlText w:val="%8."/>
      <w:lvlJc w:val="left"/>
      <w:pPr>
        <w:tabs>
          <w:tab w:val="num" w:pos="5760"/>
        </w:tabs>
        <w:ind w:left="5760" w:hanging="360"/>
      </w:pPr>
    </w:lvl>
    <w:lvl w:ilvl="8" w:tplc="FA1A61B8">
      <w:start w:val="1"/>
      <w:numFmt w:val="decimal"/>
      <w:lvlText w:val="%9."/>
      <w:lvlJc w:val="left"/>
      <w:pPr>
        <w:tabs>
          <w:tab w:val="num" w:pos="6480"/>
        </w:tabs>
        <w:ind w:left="6480" w:hanging="360"/>
      </w:pPr>
    </w:lvl>
  </w:abstractNum>
  <w:abstractNum w:abstractNumId="101">
    <w:nsid w:val="0000006E"/>
    <w:multiLevelType w:val="hybridMultilevel"/>
    <w:tmpl w:val="B4DAA854"/>
    <w:lvl w:ilvl="0" w:tplc="E10667D0">
      <w:start w:val="1"/>
      <w:numFmt w:val="bullet"/>
      <w:pStyle w:val="Level1Bullet-BarcRA1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12A23F00">
      <w:start w:val="1"/>
      <w:numFmt w:val="bullet"/>
      <w:lvlText w:val="o"/>
      <w:lvlJc w:val="left"/>
      <w:pPr>
        <w:tabs>
          <w:tab w:val="num" w:pos="306"/>
        </w:tabs>
        <w:ind w:left="306" w:hanging="360"/>
      </w:pPr>
      <w:rPr>
        <w:rFonts w:ascii="Courier New" w:hAnsi="Courier New" w:hint="default"/>
      </w:rPr>
    </w:lvl>
    <w:lvl w:ilvl="2" w:tplc="4634C9BA">
      <w:numFmt w:val="bullet"/>
      <w:lvlText w:val="-"/>
      <w:lvlJc w:val="left"/>
      <w:pPr>
        <w:tabs>
          <w:tab w:val="num" w:pos="1401"/>
        </w:tabs>
        <w:ind w:left="1401" w:hanging="735"/>
      </w:pPr>
      <w:rPr>
        <w:rFonts w:ascii="Barclays Serif" w:eastAsia="Times New Roman" w:hAnsi="Barclays Serif" w:cs="Times New Roman" w:hint="default"/>
      </w:rPr>
    </w:lvl>
    <w:lvl w:ilvl="3" w:tplc="862004F6" w:tentative="1">
      <w:start w:val="1"/>
      <w:numFmt w:val="bullet"/>
      <w:lvlText w:val=""/>
      <w:lvlJc w:val="left"/>
      <w:pPr>
        <w:tabs>
          <w:tab w:val="num" w:pos="1746"/>
        </w:tabs>
        <w:ind w:left="1746" w:hanging="360"/>
      </w:pPr>
      <w:rPr>
        <w:rFonts w:ascii="Symbol" w:hAnsi="Symbol" w:hint="default"/>
      </w:rPr>
    </w:lvl>
    <w:lvl w:ilvl="4" w:tplc="8F96FF5C" w:tentative="1">
      <w:start w:val="1"/>
      <w:numFmt w:val="bullet"/>
      <w:lvlText w:val="o"/>
      <w:lvlJc w:val="left"/>
      <w:pPr>
        <w:tabs>
          <w:tab w:val="num" w:pos="2466"/>
        </w:tabs>
        <w:ind w:left="2466" w:hanging="360"/>
      </w:pPr>
      <w:rPr>
        <w:rFonts w:ascii="Courier New" w:hAnsi="Courier New" w:hint="default"/>
      </w:rPr>
    </w:lvl>
    <w:lvl w:ilvl="5" w:tplc="27F65454" w:tentative="1">
      <w:start w:val="1"/>
      <w:numFmt w:val="bullet"/>
      <w:lvlText w:val=""/>
      <w:lvlJc w:val="left"/>
      <w:pPr>
        <w:tabs>
          <w:tab w:val="num" w:pos="3186"/>
        </w:tabs>
        <w:ind w:left="3186" w:hanging="360"/>
      </w:pPr>
      <w:rPr>
        <w:rFonts w:ascii="Wingdings" w:hAnsi="Wingdings" w:hint="default"/>
      </w:rPr>
    </w:lvl>
    <w:lvl w:ilvl="6" w:tplc="9D069CE2" w:tentative="1">
      <w:start w:val="1"/>
      <w:numFmt w:val="bullet"/>
      <w:lvlText w:val=""/>
      <w:lvlJc w:val="left"/>
      <w:pPr>
        <w:tabs>
          <w:tab w:val="num" w:pos="3906"/>
        </w:tabs>
        <w:ind w:left="3906" w:hanging="360"/>
      </w:pPr>
      <w:rPr>
        <w:rFonts w:ascii="Symbol" w:hAnsi="Symbol" w:hint="default"/>
      </w:rPr>
    </w:lvl>
    <w:lvl w:ilvl="7" w:tplc="24F0814E" w:tentative="1">
      <w:start w:val="1"/>
      <w:numFmt w:val="bullet"/>
      <w:lvlText w:val="o"/>
      <w:lvlJc w:val="left"/>
      <w:pPr>
        <w:tabs>
          <w:tab w:val="num" w:pos="4626"/>
        </w:tabs>
        <w:ind w:left="4626" w:hanging="360"/>
      </w:pPr>
      <w:rPr>
        <w:rFonts w:ascii="Courier New" w:hAnsi="Courier New" w:hint="default"/>
      </w:rPr>
    </w:lvl>
    <w:lvl w:ilvl="8" w:tplc="EEB65888" w:tentative="1">
      <w:start w:val="1"/>
      <w:numFmt w:val="bullet"/>
      <w:lvlText w:val=""/>
      <w:lvlJc w:val="left"/>
      <w:pPr>
        <w:tabs>
          <w:tab w:val="num" w:pos="5346"/>
        </w:tabs>
        <w:ind w:left="5346" w:hanging="360"/>
      </w:pPr>
      <w:rPr>
        <w:rFonts w:ascii="Wingdings" w:hAnsi="Wingdings" w:hint="default"/>
      </w:rPr>
    </w:lvl>
  </w:abstractNum>
  <w:abstractNum w:abstractNumId="102">
    <w:nsid w:val="0000006F"/>
    <w:multiLevelType w:val="hybridMultilevel"/>
    <w:tmpl w:val="B4DAA854"/>
    <w:lvl w:ilvl="0" w:tplc="AFD869CE">
      <w:start w:val="1"/>
      <w:numFmt w:val="bullet"/>
      <w:pStyle w:val="Level1Bullet-BarcRA00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D802258">
      <w:start w:val="1"/>
      <w:numFmt w:val="bullet"/>
      <w:lvlText w:val="o"/>
      <w:lvlJc w:val="left"/>
      <w:pPr>
        <w:tabs>
          <w:tab w:val="num" w:pos="306"/>
        </w:tabs>
        <w:ind w:left="306" w:hanging="360"/>
      </w:pPr>
      <w:rPr>
        <w:rFonts w:ascii="Courier New" w:hAnsi="Courier New" w:cs="Times New Roman" w:hint="default"/>
      </w:rPr>
    </w:lvl>
    <w:lvl w:ilvl="2" w:tplc="06F43990">
      <w:numFmt w:val="bullet"/>
      <w:lvlText w:val="-"/>
      <w:lvlJc w:val="left"/>
      <w:pPr>
        <w:tabs>
          <w:tab w:val="num" w:pos="1401"/>
        </w:tabs>
        <w:ind w:left="1401" w:hanging="735"/>
      </w:pPr>
      <w:rPr>
        <w:rFonts w:ascii="Barclays Serif" w:eastAsia="Times New Roman" w:hAnsi="Barclays Serif" w:cs="Times New Roman" w:hint="default"/>
      </w:rPr>
    </w:lvl>
    <w:lvl w:ilvl="3" w:tplc="A48E5D38">
      <w:start w:val="1"/>
      <w:numFmt w:val="decimal"/>
      <w:lvlText w:val="%4."/>
      <w:lvlJc w:val="left"/>
      <w:pPr>
        <w:tabs>
          <w:tab w:val="num" w:pos="2880"/>
        </w:tabs>
        <w:ind w:left="2880" w:hanging="360"/>
      </w:pPr>
    </w:lvl>
    <w:lvl w:ilvl="4" w:tplc="95D8F36C">
      <w:start w:val="1"/>
      <w:numFmt w:val="decimal"/>
      <w:lvlText w:val="%5."/>
      <w:lvlJc w:val="left"/>
      <w:pPr>
        <w:tabs>
          <w:tab w:val="num" w:pos="3600"/>
        </w:tabs>
        <w:ind w:left="3600" w:hanging="360"/>
      </w:pPr>
    </w:lvl>
    <w:lvl w:ilvl="5" w:tplc="2ECCC8DC">
      <w:start w:val="1"/>
      <w:numFmt w:val="decimal"/>
      <w:lvlText w:val="%6."/>
      <w:lvlJc w:val="left"/>
      <w:pPr>
        <w:tabs>
          <w:tab w:val="num" w:pos="4320"/>
        </w:tabs>
        <w:ind w:left="4320" w:hanging="360"/>
      </w:pPr>
    </w:lvl>
    <w:lvl w:ilvl="6" w:tplc="2F46D764">
      <w:start w:val="1"/>
      <w:numFmt w:val="decimal"/>
      <w:lvlText w:val="%7."/>
      <w:lvlJc w:val="left"/>
      <w:pPr>
        <w:tabs>
          <w:tab w:val="num" w:pos="5040"/>
        </w:tabs>
        <w:ind w:left="5040" w:hanging="360"/>
      </w:pPr>
    </w:lvl>
    <w:lvl w:ilvl="7" w:tplc="C74085A2">
      <w:start w:val="1"/>
      <w:numFmt w:val="decimal"/>
      <w:lvlText w:val="%8."/>
      <w:lvlJc w:val="left"/>
      <w:pPr>
        <w:tabs>
          <w:tab w:val="num" w:pos="5760"/>
        </w:tabs>
        <w:ind w:left="5760" w:hanging="360"/>
      </w:pPr>
    </w:lvl>
    <w:lvl w:ilvl="8" w:tplc="FACAB77A">
      <w:start w:val="1"/>
      <w:numFmt w:val="decimal"/>
      <w:lvlText w:val="%9."/>
      <w:lvlJc w:val="left"/>
      <w:pPr>
        <w:tabs>
          <w:tab w:val="num" w:pos="6480"/>
        </w:tabs>
        <w:ind w:left="6480" w:hanging="360"/>
      </w:pPr>
    </w:lvl>
  </w:abstractNum>
  <w:abstractNum w:abstractNumId="103">
    <w:nsid w:val="00000070"/>
    <w:multiLevelType w:val="hybridMultilevel"/>
    <w:tmpl w:val="AA3AECAC"/>
    <w:lvl w:ilvl="0" w:tplc="90D6D4DE">
      <w:start w:val="1"/>
      <w:numFmt w:val="decimal"/>
      <w:pStyle w:val="NoteandSourceText-BarcRA7"/>
      <w:lvlText w:val="%1"/>
      <w:lvlJc w:val="left"/>
      <w:pPr>
        <w:ind w:left="720" w:hanging="360"/>
      </w:pPr>
      <w:rPr>
        <w:rFonts w:ascii="Expert Sans Regular" w:eastAsia="Times New Roman" w:hAnsi="Expert Sans Regular" w:cs="Times New Roman"/>
      </w:rPr>
    </w:lvl>
    <w:lvl w:ilvl="1" w:tplc="FEC0BD48" w:tentative="1">
      <w:start w:val="1"/>
      <w:numFmt w:val="lowerLetter"/>
      <w:lvlText w:val="%2."/>
      <w:lvlJc w:val="left"/>
      <w:pPr>
        <w:ind w:left="1440" w:hanging="360"/>
      </w:pPr>
    </w:lvl>
    <w:lvl w:ilvl="2" w:tplc="ECAE762A" w:tentative="1">
      <w:start w:val="1"/>
      <w:numFmt w:val="lowerRoman"/>
      <w:lvlText w:val="%3."/>
      <w:lvlJc w:val="right"/>
      <w:pPr>
        <w:ind w:left="2160" w:hanging="180"/>
      </w:pPr>
    </w:lvl>
    <w:lvl w:ilvl="3" w:tplc="BE101D18" w:tentative="1">
      <w:start w:val="1"/>
      <w:numFmt w:val="decimal"/>
      <w:lvlText w:val="%4."/>
      <w:lvlJc w:val="left"/>
      <w:pPr>
        <w:ind w:left="2880" w:hanging="360"/>
      </w:pPr>
    </w:lvl>
    <w:lvl w:ilvl="4" w:tplc="70E0BCFA" w:tentative="1">
      <w:start w:val="1"/>
      <w:numFmt w:val="lowerLetter"/>
      <w:lvlText w:val="%5."/>
      <w:lvlJc w:val="left"/>
      <w:pPr>
        <w:ind w:left="3600" w:hanging="360"/>
      </w:pPr>
    </w:lvl>
    <w:lvl w:ilvl="5" w:tplc="6E7AB89E" w:tentative="1">
      <w:start w:val="1"/>
      <w:numFmt w:val="lowerRoman"/>
      <w:lvlText w:val="%6."/>
      <w:lvlJc w:val="right"/>
      <w:pPr>
        <w:ind w:left="4320" w:hanging="180"/>
      </w:pPr>
    </w:lvl>
    <w:lvl w:ilvl="6" w:tplc="30A8175A" w:tentative="1">
      <w:start w:val="1"/>
      <w:numFmt w:val="decimal"/>
      <w:lvlText w:val="%7."/>
      <w:lvlJc w:val="left"/>
      <w:pPr>
        <w:ind w:left="5040" w:hanging="360"/>
      </w:pPr>
    </w:lvl>
    <w:lvl w:ilvl="7" w:tplc="2500D330" w:tentative="1">
      <w:start w:val="1"/>
      <w:numFmt w:val="lowerLetter"/>
      <w:lvlText w:val="%8."/>
      <w:lvlJc w:val="left"/>
      <w:pPr>
        <w:ind w:left="5760" w:hanging="360"/>
      </w:pPr>
    </w:lvl>
    <w:lvl w:ilvl="8" w:tplc="7B167E26" w:tentative="1">
      <w:start w:val="1"/>
      <w:numFmt w:val="lowerRoman"/>
      <w:lvlText w:val="%9."/>
      <w:lvlJc w:val="right"/>
      <w:pPr>
        <w:ind w:left="6480" w:hanging="180"/>
      </w:pPr>
    </w:lvl>
  </w:abstractNum>
  <w:abstractNum w:abstractNumId="104">
    <w:nsid w:val="00000071"/>
    <w:multiLevelType w:val="hybridMultilevel"/>
    <w:tmpl w:val="00D8A5D0"/>
    <w:lvl w:ilvl="0" w:tplc="019C344A">
      <w:start w:val="1"/>
      <w:numFmt w:val="decimal"/>
      <w:lvlText w:val="%1"/>
      <w:lvlJc w:val="left"/>
      <w:pPr>
        <w:ind w:left="1080" w:hanging="360"/>
      </w:pPr>
      <w:rPr>
        <w:rFonts w:hint="default"/>
      </w:rPr>
    </w:lvl>
    <w:lvl w:ilvl="1" w:tplc="65FA997C" w:tentative="1">
      <w:start w:val="1"/>
      <w:numFmt w:val="lowerLetter"/>
      <w:lvlText w:val="%2."/>
      <w:lvlJc w:val="left"/>
      <w:pPr>
        <w:ind w:left="1800" w:hanging="360"/>
      </w:pPr>
    </w:lvl>
    <w:lvl w:ilvl="2" w:tplc="915E55AC" w:tentative="1">
      <w:start w:val="1"/>
      <w:numFmt w:val="lowerRoman"/>
      <w:lvlText w:val="%3."/>
      <w:lvlJc w:val="right"/>
      <w:pPr>
        <w:ind w:left="2520" w:hanging="180"/>
      </w:pPr>
    </w:lvl>
    <w:lvl w:ilvl="3" w:tplc="434C4ADE" w:tentative="1">
      <w:start w:val="1"/>
      <w:numFmt w:val="decimal"/>
      <w:lvlText w:val="%4."/>
      <w:lvlJc w:val="left"/>
      <w:pPr>
        <w:ind w:left="3240" w:hanging="360"/>
      </w:pPr>
    </w:lvl>
    <w:lvl w:ilvl="4" w:tplc="77BAA882" w:tentative="1">
      <w:start w:val="1"/>
      <w:numFmt w:val="lowerLetter"/>
      <w:lvlText w:val="%5."/>
      <w:lvlJc w:val="left"/>
      <w:pPr>
        <w:ind w:left="3960" w:hanging="360"/>
      </w:pPr>
    </w:lvl>
    <w:lvl w:ilvl="5" w:tplc="07F80650" w:tentative="1">
      <w:start w:val="1"/>
      <w:numFmt w:val="lowerRoman"/>
      <w:lvlText w:val="%6."/>
      <w:lvlJc w:val="right"/>
      <w:pPr>
        <w:ind w:left="4680" w:hanging="180"/>
      </w:pPr>
    </w:lvl>
    <w:lvl w:ilvl="6" w:tplc="6B703068" w:tentative="1">
      <w:start w:val="1"/>
      <w:numFmt w:val="decimal"/>
      <w:lvlText w:val="%7."/>
      <w:lvlJc w:val="left"/>
      <w:pPr>
        <w:ind w:left="5400" w:hanging="360"/>
      </w:pPr>
    </w:lvl>
    <w:lvl w:ilvl="7" w:tplc="7AD26128" w:tentative="1">
      <w:start w:val="1"/>
      <w:numFmt w:val="lowerLetter"/>
      <w:lvlText w:val="%8."/>
      <w:lvlJc w:val="left"/>
      <w:pPr>
        <w:ind w:left="6120" w:hanging="360"/>
      </w:pPr>
    </w:lvl>
    <w:lvl w:ilvl="8" w:tplc="B9F44CE6" w:tentative="1">
      <w:start w:val="1"/>
      <w:numFmt w:val="lowerRoman"/>
      <w:lvlText w:val="%9."/>
      <w:lvlJc w:val="right"/>
      <w:pPr>
        <w:ind w:left="6840" w:hanging="180"/>
      </w:pPr>
    </w:lvl>
  </w:abstractNum>
  <w:abstractNum w:abstractNumId="105">
    <w:nsid w:val="00000072"/>
    <w:multiLevelType w:val="hybridMultilevel"/>
    <w:tmpl w:val="1D26A2E4"/>
    <w:lvl w:ilvl="0" w:tplc="DCDEEF66">
      <w:numFmt w:val="bullet"/>
      <w:lvlText w:val=""/>
      <w:lvlJc w:val="left"/>
      <w:pPr>
        <w:ind w:left="720" w:hanging="360"/>
      </w:pPr>
      <w:rPr>
        <w:rFonts w:ascii="Symbol" w:eastAsia="Times New Roman" w:hAnsi="Symbol" w:cs="Times New Roman" w:hint="default"/>
      </w:rPr>
    </w:lvl>
    <w:lvl w:ilvl="1" w:tplc="B0B000FA" w:tentative="1">
      <w:start w:val="1"/>
      <w:numFmt w:val="bullet"/>
      <w:lvlText w:val="o"/>
      <w:lvlJc w:val="left"/>
      <w:pPr>
        <w:ind w:left="1440" w:hanging="360"/>
      </w:pPr>
      <w:rPr>
        <w:rFonts w:ascii="Courier New" w:hAnsi="Courier New" w:cs="Courier New" w:hint="default"/>
      </w:rPr>
    </w:lvl>
    <w:lvl w:ilvl="2" w:tplc="C442B3C4" w:tentative="1">
      <w:start w:val="1"/>
      <w:numFmt w:val="bullet"/>
      <w:lvlText w:val=""/>
      <w:lvlJc w:val="left"/>
      <w:pPr>
        <w:ind w:left="2160" w:hanging="360"/>
      </w:pPr>
      <w:rPr>
        <w:rFonts w:ascii="Wingdings" w:hAnsi="Wingdings" w:hint="default"/>
      </w:rPr>
    </w:lvl>
    <w:lvl w:ilvl="3" w:tplc="E18444CE" w:tentative="1">
      <w:start w:val="1"/>
      <w:numFmt w:val="bullet"/>
      <w:lvlText w:val=""/>
      <w:lvlJc w:val="left"/>
      <w:pPr>
        <w:ind w:left="2880" w:hanging="360"/>
      </w:pPr>
      <w:rPr>
        <w:rFonts w:ascii="Symbol" w:hAnsi="Symbol" w:hint="default"/>
      </w:rPr>
    </w:lvl>
    <w:lvl w:ilvl="4" w:tplc="FC74770E" w:tentative="1">
      <w:start w:val="1"/>
      <w:numFmt w:val="bullet"/>
      <w:lvlText w:val="o"/>
      <w:lvlJc w:val="left"/>
      <w:pPr>
        <w:ind w:left="3600" w:hanging="360"/>
      </w:pPr>
      <w:rPr>
        <w:rFonts w:ascii="Courier New" w:hAnsi="Courier New" w:cs="Courier New" w:hint="default"/>
      </w:rPr>
    </w:lvl>
    <w:lvl w:ilvl="5" w:tplc="D9B80944" w:tentative="1">
      <w:start w:val="1"/>
      <w:numFmt w:val="bullet"/>
      <w:lvlText w:val=""/>
      <w:lvlJc w:val="left"/>
      <w:pPr>
        <w:ind w:left="4320" w:hanging="360"/>
      </w:pPr>
      <w:rPr>
        <w:rFonts w:ascii="Wingdings" w:hAnsi="Wingdings" w:hint="default"/>
      </w:rPr>
    </w:lvl>
    <w:lvl w:ilvl="6" w:tplc="D73EFC8E" w:tentative="1">
      <w:start w:val="1"/>
      <w:numFmt w:val="bullet"/>
      <w:lvlText w:val=""/>
      <w:lvlJc w:val="left"/>
      <w:pPr>
        <w:ind w:left="5040" w:hanging="360"/>
      </w:pPr>
      <w:rPr>
        <w:rFonts w:ascii="Symbol" w:hAnsi="Symbol" w:hint="default"/>
      </w:rPr>
    </w:lvl>
    <w:lvl w:ilvl="7" w:tplc="74F67C9C" w:tentative="1">
      <w:start w:val="1"/>
      <w:numFmt w:val="bullet"/>
      <w:lvlText w:val="o"/>
      <w:lvlJc w:val="left"/>
      <w:pPr>
        <w:ind w:left="5760" w:hanging="360"/>
      </w:pPr>
      <w:rPr>
        <w:rFonts w:ascii="Courier New" w:hAnsi="Courier New" w:cs="Courier New" w:hint="default"/>
      </w:rPr>
    </w:lvl>
    <w:lvl w:ilvl="8" w:tplc="0F686DB8" w:tentative="1">
      <w:start w:val="1"/>
      <w:numFmt w:val="bullet"/>
      <w:lvlText w:val=""/>
      <w:lvlJc w:val="left"/>
      <w:pPr>
        <w:ind w:left="6480" w:hanging="360"/>
      </w:pPr>
      <w:rPr>
        <w:rFonts w:ascii="Wingdings" w:hAnsi="Wingdings" w:hint="default"/>
      </w:rPr>
    </w:lvl>
  </w:abstractNum>
  <w:abstractNum w:abstractNumId="106">
    <w:nsid w:val="00000073"/>
    <w:multiLevelType w:val="hybridMultilevel"/>
    <w:tmpl w:val="1BA03060"/>
    <w:lvl w:ilvl="0" w:tplc="A502E622">
      <w:start w:val="1"/>
      <w:numFmt w:val="bullet"/>
      <w:pStyle w:val="Level1Bullet-BarcRA3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574EE610">
      <w:start w:val="1"/>
      <w:numFmt w:val="bullet"/>
      <w:lvlText w:val="o"/>
      <w:lvlJc w:val="left"/>
      <w:pPr>
        <w:tabs>
          <w:tab w:val="num" w:pos="306"/>
        </w:tabs>
        <w:ind w:left="306" w:hanging="360"/>
      </w:pPr>
      <w:rPr>
        <w:rFonts w:ascii="Courier New" w:hAnsi="Courier New" w:cs="Times New Roman" w:hint="default"/>
      </w:rPr>
    </w:lvl>
    <w:lvl w:ilvl="2" w:tplc="85DA69EA">
      <w:numFmt w:val="bullet"/>
      <w:lvlText w:val="-"/>
      <w:lvlJc w:val="left"/>
      <w:pPr>
        <w:tabs>
          <w:tab w:val="num" w:pos="1401"/>
        </w:tabs>
        <w:ind w:left="1401" w:hanging="735"/>
      </w:pPr>
      <w:rPr>
        <w:rFonts w:ascii="Barclays Serif" w:eastAsia="Times New Roman" w:hAnsi="Barclays Serif" w:cs="Times New Roman" w:hint="default"/>
      </w:rPr>
    </w:lvl>
    <w:lvl w:ilvl="3" w:tplc="9080FC36">
      <w:start w:val="1"/>
      <w:numFmt w:val="decimal"/>
      <w:lvlText w:val="%4."/>
      <w:lvlJc w:val="left"/>
      <w:pPr>
        <w:tabs>
          <w:tab w:val="num" w:pos="2880"/>
        </w:tabs>
        <w:ind w:left="2880" w:hanging="360"/>
      </w:pPr>
    </w:lvl>
    <w:lvl w:ilvl="4" w:tplc="483EEDEE">
      <w:start w:val="1"/>
      <w:numFmt w:val="decimal"/>
      <w:lvlText w:val="%5."/>
      <w:lvlJc w:val="left"/>
      <w:pPr>
        <w:tabs>
          <w:tab w:val="num" w:pos="3600"/>
        </w:tabs>
        <w:ind w:left="3600" w:hanging="360"/>
      </w:pPr>
    </w:lvl>
    <w:lvl w:ilvl="5" w:tplc="5B38FEB6">
      <w:start w:val="1"/>
      <w:numFmt w:val="decimal"/>
      <w:lvlText w:val="%6."/>
      <w:lvlJc w:val="left"/>
      <w:pPr>
        <w:tabs>
          <w:tab w:val="num" w:pos="4320"/>
        </w:tabs>
        <w:ind w:left="4320" w:hanging="360"/>
      </w:pPr>
    </w:lvl>
    <w:lvl w:ilvl="6" w:tplc="2C004302">
      <w:start w:val="1"/>
      <w:numFmt w:val="decimal"/>
      <w:lvlText w:val="%7."/>
      <w:lvlJc w:val="left"/>
      <w:pPr>
        <w:tabs>
          <w:tab w:val="num" w:pos="5040"/>
        </w:tabs>
        <w:ind w:left="5040" w:hanging="360"/>
      </w:pPr>
    </w:lvl>
    <w:lvl w:ilvl="7" w:tplc="F716CEE8">
      <w:start w:val="1"/>
      <w:numFmt w:val="decimal"/>
      <w:lvlText w:val="%8."/>
      <w:lvlJc w:val="left"/>
      <w:pPr>
        <w:tabs>
          <w:tab w:val="num" w:pos="5760"/>
        </w:tabs>
        <w:ind w:left="5760" w:hanging="360"/>
      </w:pPr>
    </w:lvl>
    <w:lvl w:ilvl="8" w:tplc="252C63D8">
      <w:start w:val="1"/>
      <w:numFmt w:val="decimal"/>
      <w:lvlText w:val="%9."/>
      <w:lvlJc w:val="left"/>
      <w:pPr>
        <w:tabs>
          <w:tab w:val="num" w:pos="6480"/>
        </w:tabs>
        <w:ind w:left="6480" w:hanging="360"/>
      </w:pPr>
    </w:lvl>
  </w:abstractNum>
  <w:abstractNum w:abstractNumId="107">
    <w:nsid w:val="00000074"/>
    <w:multiLevelType w:val="hybridMultilevel"/>
    <w:tmpl w:val="00D8A5D0"/>
    <w:lvl w:ilvl="0" w:tplc="F43E8470">
      <w:start w:val="1"/>
      <w:numFmt w:val="decimal"/>
      <w:lvlText w:val="%1"/>
      <w:lvlJc w:val="left"/>
      <w:pPr>
        <w:ind w:left="1080" w:hanging="360"/>
      </w:pPr>
      <w:rPr>
        <w:rFonts w:hint="default"/>
      </w:rPr>
    </w:lvl>
    <w:lvl w:ilvl="1" w:tplc="55E82A28" w:tentative="1">
      <w:start w:val="1"/>
      <w:numFmt w:val="lowerLetter"/>
      <w:lvlText w:val="%2."/>
      <w:lvlJc w:val="left"/>
      <w:pPr>
        <w:ind w:left="1800" w:hanging="360"/>
      </w:pPr>
    </w:lvl>
    <w:lvl w:ilvl="2" w:tplc="BAC486C4" w:tentative="1">
      <w:start w:val="1"/>
      <w:numFmt w:val="lowerRoman"/>
      <w:lvlText w:val="%3."/>
      <w:lvlJc w:val="right"/>
      <w:pPr>
        <w:ind w:left="2520" w:hanging="180"/>
      </w:pPr>
    </w:lvl>
    <w:lvl w:ilvl="3" w:tplc="6E483642" w:tentative="1">
      <w:start w:val="1"/>
      <w:numFmt w:val="decimal"/>
      <w:lvlText w:val="%4."/>
      <w:lvlJc w:val="left"/>
      <w:pPr>
        <w:ind w:left="3240" w:hanging="360"/>
      </w:pPr>
    </w:lvl>
    <w:lvl w:ilvl="4" w:tplc="EF86AE88" w:tentative="1">
      <w:start w:val="1"/>
      <w:numFmt w:val="lowerLetter"/>
      <w:lvlText w:val="%5."/>
      <w:lvlJc w:val="left"/>
      <w:pPr>
        <w:ind w:left="3960" w:hanging="360"/>
      </w:pPr>
    </w:lvl>
    <w:lvl w:ilvl="5" w:tplc="17C2BCA6" w:tentative="1">
      <w:start w:val="1"/>
      <w:numFmt w:val="lowerRoman"/>
      <w:lvlText w:val="%6."/>
      <w:lvlJc w:val="right"/>
      <w:pPr>
        <w:ind w:left="4680" w:hanging="180"/>
      </w:pPr>
    </w:lvl>
    <w:lvl w:ilvl="6" w:tplc="E4005EC2" w:tentative="1">
      <w:start w:val="1"/>
      <w:numFmt w:val="decimal"/>
      <w:lvlText w:val="%7."/>
      <w:lvlJc w:val="left"/>
      <w:pPr>
        <w:ind w:left="5400" w:hanging="360"/>
      </w:pPr>
    </w:lvl>
    <w:lvl w:ilvl="7" w:tplc="C6A680CA" w:tentative="1">
      <w:start w:val="1"/>
      <w:numFmt w:val="lowerLetter"/>
      <w:lvlText w:val="%8."/>
      <w:lvlJc w:val="left"/>
      <w:pPr>
        <w:ind w:left="6120" w:hanging="360"/>
      </w:pPr>
    </w:lvl>
    <w:lvl w:ilvl="8" w:tplc="2EDABE7C" w:tentative="1">
      <w:start w:val="1"/>
      <w:numFmt w:val="lowerRoman"/>
      <w:lvlText w:val="%9."/>
      <w:lvlJc w:val="right"/>
      <w:pPr>
        <w:ind w:left="6840" w:hanging="180"/>
      </w:pPr>
    </w:lvl>
  </w:abstractNum>
  <w:abstractNum w:abstractNumId="108">
    <w:nsid w:val="00000075"/>
    <w:multiLevelType w:val="hybridMultilevel"/>
    <w:tmpl w:val="3F46D7DE"/>
    <w:lvl w:ilvl="0" w:tplc="928444F4">
      <w:start w:val="1"/>
      <w:numFmt w:val="decimal"/>
      <w:pStyle w:val="NoteandSourceText-BarcRA40"/>
      <w:lvlText w:val="%1"/>
      <w:lvlJc w:val="left"/>
      <w:pPr>
        <w:ind w:left="720" w:hanging="360"/>
      </w:pPr>
    </w:lvl>
    <w:lvl w:ilvl="1" w:tplc="9E640F86">
      <w:start w:val="1"/>
      <w:numFmt w:val="decimal"/>
      <w:lvlText w:val="%2."/>
      <w:lvlJc w:val="left"/>
      <w:pPr>
        <w:tabs>
          <w:tab w:val="num" w:pos="1440"/>
        </w:tabs>
        <w:ind w:left="1440" w:hanging="360"/>
      </w:pPr>
    </w:lvl>
    <w:lvl w:ilvl="2" w:tplc="CE6E1170">
      <w:start w:val="1"/>
      <w:numFmt w:val="decimal"/>
      <w:lvlText w:val="%3."/>
      <w:lvlJc w:val="left"/>
      <w:pPr>
        <w:tabs>
          <w:tab w:val="num" w:pos="2160"/>
        </w:tabs>
        <w:ind w:left="2160" w:hanging="360"/>
      </w:pPr>
    </w:lvl>
    <w:lvl w:ilvl="3" w:tplc="3954BD92">
      <w:start w:val="1"/>
      <w:numFmt w:val="decimal"/>
      <w:lvlText w:val="%4."/>
      <w:lvlJc w:val="left"/>
      <w:pPr>
        <w:tabs>
          <w:tab w:val="num" w:pos="2880"/>
        </w:tabs>
        <w:ind w:left="2880" w:hanging="360"/>
      </w:pPr>
    </w:lvl>
    <w:lvl w:ilvl="4" w:tplc="3BFA4EDC">
      <w:start w:val="1"/>
      <w:numFmt w:val="decimal"/>
      <w:lvlText w:val="%5."/>
      <w:lvlJc w:val="left"/>
      <w:pPr>
        <w:tabs>
          <w:tab w:val="num" w:pos="3600"/>
        </w:tabs>
        <w:ind w:left="3600" w:hanging="360"/>
      </w:pPr>
    </w:lvl>
    <w:lvl w:ilvl="5" w:tplc="CE10D828">
      <w:start w:val="1"/>
      <w:numFmt w:val="decimal"/>
      <w:lvlText w:val="%6."/>
      <w:lvlJc w:val="left"/>
      <w:pPr>
        <w:tabs>
          <w:tab w:val="num" w:pos="4320"/>
        </w:tabs>
        <w:ind w:left="4320" w:hanging="360"/>
      </w:pPr>
    </w:lvl>
    <w:lvl w:ilvl="6" w:tplc="FD94B1D6">
      <w:start w:val="1"/>
      <w:numFmt w:val="decimal"/>
      <w:lvlText w:val="%7."/>
      <w:lvlJc w:val="left"/>
      <w:pPr>
        <w:tabs>
          <w:tab w:val="num" w:pos="5040"/>
        </w:tabs>
        <w:ind w:left="5040" w:hanging="360"/>
      </w:pPr>
    </w:lvl>
    <w:lvl w:ilvl="7" w:tplc="E5B85C2A">
      <w:start w:val="1"/>
      <w:numFmt w:val="decimal"/>
      <w:lvlText w:val="%8."/>
      <w:lvlJc w:val="left"/>
      <w:pPr>
        <w:tabs>
          <w:tab w:val="num" w:pos="5760"/>
        </w:tabs>
        <w:ind w:left="5760" w:hanging="360"/>
      </w:pPr>
    </w:lvl>
    <w:lvl w:ilvl="8" w:tplc="1F36C2D4">
      <w:start w:val="1"/>
      <w:numFmt w:val="decimal"/>
      <w:lvlText w:val="%9."/>
      <w:lvlJc w:val="left"/>
      <w:pPr>
        <w:tabs>
          <w:tab w:val="num" w:pos="6480"/>
        </w:tabs>
        <w:ind w:left="6480" w:hanging="360"/>
      </w:pPr>
    </w:lvl>
  </w:abstractNum>
  <w:abstractNum w:abstractNumId="109">
    <w:nsid w:val="00000076"/>
    <w:multiLevelType w:val="hybridMultilevel"/>
    <w:tmpl w:val="3F46D7DE"/>
    <w:lvl w:ilvl="0" w:tplc="33ACD38C">
      <w:start w:val="1"/>
      <w:numFmt w:val="decimal"/>
      <w:pStyle w:val="NoteandSourceText-BarcRA8"/>
      <w:lvlText w:val="%1"/>
      <w:lvlJc w:val="left"/>
      <w:pPr>
        <w:ind w:left="720" w:hanging="360"/>
      </w:pPr>
      <w:rPr>
        <w:rFonts w:hint="default"/>
      </w:rPr>
    </w:lvl>
    <w:lvl w:ilvl="1" w:tplc="3B9ADA5C" w:tentative="1">
      <w:start w:val="1"/>
      <w:numFmt w:val="lowerLetter"/>
      <w:lvlText w:val="%2."/>
      <w:lvlJc w:val="left"/>
      <w:pPr>
        <w:ind w:left="1440" w:hanging="360"/>
      </w:pPr>
    </w:lvl>
    <w:lvl w:ilvl="2" w:tplc="92E276B4" w:tentative="1">
      <w:start w:val="1"/>
      <w:numFmt w:val="lowerRoman"/>
      <w:lvlText w:val="%3."/>
      <w:lvlJc w:val="right"/>
      <w:pPr>
        <w:ind w:left="2160" w:hanging="180"/>
      </w:pPr>
    </w:lvl>
    <w:lvl w:ilvl="3" w:tplc="48741D2E" w:tentative="1">
      <w:start w:val="1"/>
      <w:numFmt w:val="decimal"/>
      <w:lvlText w:val="%4."/>
      <w:lvlJc w:val="left"/>
      <w:pPr>
        <w:ind w:left="2880" w:hanging="360"/>
      </w:pPr>
    </w:lvl>
    <w:lvl w:ilvl="4" w:tplc="F52AD62A" w:tentative="1">
      <w:start w:val="1"/>
      <w:numFmt w:val="lowerLetter"/>
      <w:lvlText w:val="%5."/>
      <w:lvlJc w:val="left"/>
      <w:pPr>
        <w:ind w:left="3600" w:hanging="360"/>
      </w:pPr>
    </w:lvl>
    <w:lvl w:ilvl="5" w:tplc="A41C5044" w:tentative="1">
      <w:start w:val="1"/>
      <w:numFmt w:val="lowerRoman"/>
      <w:lvlText w:val="%6."/>
      <w:lvlJc w:val="right"/>
      <w:pPr>
        <w:ind w:left="4320" w:hanging="180"/>
      </w:pPr>
    </w:lvl>
    <w:lvl w:ilvl="6" w:tplc="D99CEF4C" w:tentative="1">
      <w:start w:val="1"/>
      <w:numFmt w:val="decimal"/>
      <w:lvlText w:val="%7."/>
      <w:lvlJc w:val="left"/>
      <w:pPr>
        <w:ind w:left="5040" w:hanging="360"/>
      </w:pPr>
    </w:lvl>
    <w:lvl w:ilvl="7" w:tplc="C25A6A96" w:tentative="1">
      <w:start w:val="1"/>
      <w:numFmt w:val="lowerLetter"/>
      <w:lvlText w:val="%8."/>
      <w:lvlJc w:val="left"/>
      <w:pPr>
        <w:ind w:left="5760" w:hanging="360"/>
      </w:pPr>
    </w:lvl>
    <w:lvl w:ilvl="8" w:tplc="6194E696" w:tentative="1">
      <w:start w:val="1"/>
      <w:numFmt w:val="lowerRoman"/>
      <w:lvlText w:val="%9."/>
      <w:lvlJc w:val="right"/>
      <w:pPr>
        <w:ind w:left="6480" w:hanging="180"/>
      </w:pPr>
    </w:lvl>
  </w:abstractNum>
  <w:abstractNum w:abstractNumId="110">
    <w:nsid w:val="00000078"/>
    <w:multiLevelType w:val="hybridMultilevel"/>
    <w:tmpl w:val="18AAB8D8"/>
    <w:lvl w:ilvl="0" w:tplc="45D6B63C">
      <w:start w:val="1"/>
      <w:numFmt w:val="decimal"/>
      <w:lvlText w:val="%1"/>
      <w:lvlJc w:val="left"/>
      <w:pPr>
        <w:tabs>
          <w:tab w:val="num" w:pos="284"/>
        </w:tabs>
        <w:ind w:left="284" w:hanging="284"/>
      </w:pPr>
      <w:rPr>
        <w:rFonts w:hint="default"/>
        <w:b w:val="0"/>
        <w:bCs w:val="0"/>
        <w:i w:val="0"/>
        <w:iCs w:val="0"/>
        <w:color w:val="auto"/>
        <w:spacing w:val="0"/>
        <w:w w:val="100"/>
        <w:position w:val="0"/>
        <w:sz w:val="14"/>
        <w:szCs w:val="18"/>
      </w:rPr>
    </w:lvl>
    <w:lvl w:ilvl="1" w:tplc="FFFFFFFF">
      <w:start w:val="1"/>
      <w:numFmt w:val="bullet"/>
      <w:lvlText w:val="o"/>
      <w:lvlJc w:val="left"/>
      <w:pPr>
        <w:tabs>
          <w:tab w:val="num" w:pos="306"/>
        </w:tabs>
        <w:ind w:left="306" w:hanging="360"/>
      </w:pPr>
      <w:rPr>
        <w:rFonts w:ascii="Courier New" w:hAnsi="Courier New" w:cs="Times New Roman" w:hint="default"/>
      </w:rPr>
    </w:lvl>
    <w:lvl w:ilvl="2" w:tplc="FFFFFFFF">
      <w:numFmt w:val="bullet"/>
      <w:lvlText w:val="-"/>
      <w:lvlJc w:val="left"/>
      <w:pPr>
        <w:tabs>
          <w:tab w:val="num" w:pos="1401"/>
        </w:tabs>
        <w:ind w:left="1401" w:hanging="735"/>
      </w:pPr>
      <w:rPr>
        <w:rFonts w:ascii="Barclays Serif" w:eastAsia="Times New Roman" w:hAnsi="Barclays Serif"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1">
    <w:nsid w:val="0000007B"/>
    <w:multiLevelType w:val="hybridMultilevel"/>
    <w:tmpl w:val="B4DAA854"/>
    <w:lvl w:ilvl="0" w:tplc="98F470E4">
      <w:start w:val="1"/>
      <w:numFmt w:val="bullet"/>
      <w:pStyle w:val="Level1Bullet-BarcRA2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B6616C2">
      <w:start w:val="1"/>
      <w:numFmt w:val="bullet"/>
      <w:lvlText w:val="o"/>
      <w:lvlJc w:val="left"/>
      <w:pPr>
        <w:tabs>
          <w:tab w:val="num" w:pos="306"/>
        </w:tabs>
        <w:ind w:left="306" w:hanging="360"/>
      </w:pPr>
      <w:rPr>
        <w:rFonts w:ascii="Courier New" w:hAnsi="Courier New" w:hint="default"/>
      </w:rPr>
    </w:lvl>
    <w:lvl w:ilvl="2" w:tplc="81B45124">
      <w:numFmt w:val="bullet"/>
      <w:lvlText w:val="-"/>
      <w:lvlJc w:val="left"/>
      <w:pPr>
        <w:tabs>
          <w:tab w:val="num" w:pos="1401"/>
        </w:tabs>
        <w:ind w:left="1401" w:hanging="735"/>
      </w:pPr>
      <w:rPr>
        <w:rFonts w:ascii="Barclays Serif" w:eastAsia="Times New Roman" w:hAnsi="Barclays Serif" w:cs="Times New Roman" w:hint="default"/>
      </w:rPr>
    </w:lvl>
    <w:lvl w:ilvl="3" w:tplc="53D2F916" w:tentative="1">
      <w:start w:val="1"/>
      <w:numFmt w:val="bullet"/>
      <w:lvlText w:val=""/>
      <w:lvlJc w:val="left"/>
      <w:pPr>
        <w:tabs>
          <w:tab w:val="num" w:pos="1746"/>
        </w:tabs>
        <w:ind w:left="1746" w:hanging="360"/>
      </w:pPr>
      <w:rPr>
        <w:rFonts w:ascii="Symbol" w:hAnsi="Symbol" w:hint="default"/>
      </w:rPr>
    </w:lvl>
    <w:lvl w:ilvl="4" w:tplc="7B480AAC" w:tentative="1">
      <w:start w:val="1"/>
      <w:numFmt w:val="bullet"/>
      <w:lvlText w:val="o"/>
      <w:lvlJc w:val="left"/>
      <w:pPr>
        <w:tabs>
          <w:tab w:val="num" w:pos="2466"/>
        </w:tabs>
        <w:ind w:left="2466" w:hanging="360"/>
      </w:pPr>
      <w:rPr>
        <w:rFonts w:ascii="Courier New" w:hAnsi="Courier New" w:hint="default"/>
      </w:rPr>
    </w:lvl>
    <w:lvl w:ilvl="5" w:tplc="C254A1B8" w:tentative="1">
      <w:start w:val="1"/>
      <w:numFmt w:val="bullet"/>
      <w:lvlText w:val=""/>
      <w:lvlJc w:val="left"/>
      <w:pPr>
        <w:tabs>
          <w:tab w:val="num" w:pos="3186"/>
        </w:tabs>
        <w:ind w:left="3186" w:hanging="360"/>
      </w:pPr>
      <w:rPr>
        <w:rFonts w:ascii="Wingdings" w:hAnsi="Wingdings" w:hint="default"/>
      </w:rPr>
    </w:lvl>
    <w:lvl w:ilvl="6" w:tplc="936ACF4A" w:tentative="1">
      <w:start w:val="1"/>
      <w:numFmt w:val="bullet"/>
      <w:lvlText w:val=""/>
      <w:lvlJc w:val="left"/>
      <w:pPr>
        <w:tabs>
          <w:tab w:val="num" w:pos="3906"/>
        </w:tabs>
        <w:ind w:left="3906" w:hanging="360"/>
      </w:pPr>
      <w:rPr>
        <w:rFonts w:ascii="Symbol" w:hAnsi="Symbol" w:hint="default"/>
      </w:rPr>
    </w:lvl>
    <w:lvl w:ilvl="7" w:tplc="F132ABE2" w:tentative="1">
      <w:start w:val="1"/>
      <w:numFmt w:val="bullet"/>
      <w:lvlText w:val="o"/>
      <w:lvlJc w:val="left"/>
      <w:pPr>
        <w:tabs>
          <w:tab w:val="num" w:pos="4626"/>
        </w:tabs>
        <w:ind w:left="4626" w:hanging="360"/>
      </w:pPr>
      <w:rPr>
        <w:rFonts w:ascii="Courier New" w:hAnsi="Courier New" w:hint="default"/>
      </w:rPr>
    </w:lvl>
    <w:lvl w:ilvl="8" w:tplc="8E96B1F0" w:tentative="1">
      <w:start w:val="1"/>
      <w:numFmt w:val="bullet"/>
      <w:lvlText w:val=""/>
      <w:lvlJc w:val="left"/>
      <w:pPr>
        <w:tabs>
          <w:tab w:val="num" w:pos="5346"/>
        </w:tabs>
        <w:ind w:left="5346" w:hanging="360"/>
      </w:pPr>
      <w:rPr>
        <w:rFonts w:ascii="Wingdings" w:hAnsi="Wingdings" w:hint="default"/>
      </w:rPr>
    </w:lvl>
  </w:abstractNum>
  <w:abstractNum w:abstractNumId="112">
    <w:nsid w:val="0000007C"/>
    <w:multiLevelType w:val="hybridMultilevel"/>
    <w:tmpl w:val="3F46D7DE"/>
    <w:lvl w:ilvl="0" w:tplc="4F803D30">
      <w:start w:val="1"/>
      <w:numFmt w:val="decimal"/>
      <w:pStyle w:val="NoteandSourceText-BarcRA9"/>
      <w:lvlText w:val="%1"/>
      <w:lvlJc w:val="left"/>
      <w:pPr>
        <w:ind w:left="720" w:hanging="360"/>
      </w:pPr>
      <w:rPr>
        <w:rFonts w:hint="default"/>
      </w:rPr>
    </w:lvl>
    <w:lvl w:ilvl="1" w:tplc="D7E29842" w:tentative="1">
      <w:start w:val="1"/>
      <w:numFmt w:val="lowerLetter"/>
      <w:lvlText w:val="%2."/>
      <w:lvlJc w:val="left"/>
      <w:pPr>
        <w:ind w:left="1440" w:hanging="360"/>
      </w:pPr>
    </w:lvl>
    <w:lvl w:ilvl="2" w:tplc="8892BCBC" w:tentative="1">
      <w:start w:val="1"/>
      <w:numFmt w:val="lowerRoman"/>
      <w:lvlText w:val="%3."/>
      <w:lvlJc w:val="right"/>
      <w:pPr>
        <w:ind w:left="2160" w:hanging="180"/>
      </w:pPr>
    </w:lvl>
    <w:lvl w:ilvl="3" w:tplc="1A8E40D4" w:tentative="1">
      <w:start w:val="1"/>
      <w:numFmt w:val="decimal"/>
      <w:lvlText w:val="%4."/>
      <w:lvlJc w:val="left"/>
      <w:pPr>
        <w:ind w:left="2880" w:hanging="360"/>
      </w:pPr>
    </w:lvl>
    <w:lvl w:ilvl="4" w:tplc="7CF684AC" w:tentative="1">
      <w:start w:val="1"/>
      <w:numFmt w:val="lowerLetter"/>
      <w:lvlText w:val="%5."/>
      <w:lvlJc w:val="left"/>
      <w:pPr>
        <w:ind w:left="3600" w:hanging="360"/>
      </w:pPr>
    </w:lvl>
    <w:lvl w:ilvl="5" w:tplc="48A0B55A" w:tentative="1">
      <w:start w:val="1"/>
      <w:numFmt w:val="lowerRoman"/>
      <w:lvlText w:val="%6."/>
      <w:lvlJc w:val="right"/>
      <w:pPr>
        <w:ind w:left="4320" w:hanging="180"/>
      </w:pPr>
    </w:lvl>
    <w:lvl w:ilvl="6" w:tplc="E8EADAFA" w:tentative="1">
      <w:start w:val="1"/>
      <w:numFmt w:val="decimal"/>
      <w:lvlText w:val="%7."/>
      <w:lvlJc w:val="left"/>
      <w:pPr>
        <w:ind w:left="5040" w:hanging="360"/>
      </w:pPr>
    </w:lvl>
    <w:lvl w:ilvl="7" w:tplc="52CA6B2E" w:tentative="1">
      <w:start w:val="1"/>
      <w:numFmt w:val="lowerLetter"/>
      <w:lvlText w:val="%8."/>
      <w:lvlJc w:val="left"/>
      <w:pPr>
        <w:ind w:left="5760" w:hanging="360"/>
      </w:pPr>
    </w:lvl>
    <w:lvl w:ilvl="8" w:tplc="48B836C8" w:tentative="1">
      <w:start w:val="1"/>
      <w:numFmt w:val="lowerRoman"/>
      <w:lvlText w:val="%9."/>
      <w:lvlJc w:val="right"/>
      <w:pPr>
        <w:ind w:left="6480" w:hanging="180"/>
      </w:pPr>
    </w:lvl>
  </w:abstractNum>
  <w:abstractNum w:abstractNumId="113">
    <w:nsid w:val="0000007D"/>
    <w:multiLevelType w:val="hybridMultilevel"/>
    <w:tmpl w:val="B4DAA854"/>
    <w:lvl w:ilvl="0" w:tplc="EFCE42C6">
      <w:start w:val="1"/>
      <w:numFmt w:val="bullet"/>
      <w:pStyle w:val="Level1Bullet-BarcRA190"/>
      <w:lvlText w:val=""/>
      <w:lvlJc w:val="left"/>
      <w:pPr>
        <w:tabs>
          <w:tab w:val="num" w:pos="284"/>
        </w:tabs>
        <w:ind w:left="284" w:hanging="284"/>
      </w:pPr>
      <w:rPr>
        <w:rFonts w:ascii="Wingdings 2" w:hAnsi="Wingdings 2" w:hint="default"/>
        <w:b w:val="0"/>
        <w:i w:val="0"/>
        <w:color w:val="auto"/>
        <w:spacing w:val="0"/>
        <w:w w:val="100"/>
        <w:position w:val="0"/>
        <w:sz w:val="18"/>
      </w:rPr>
    </w:lvl>
    <w:lvl w:ilvl="1" w:tplc="0F824F1A">
      <w:start w:val="1"/>
      <w:numFmt w:val="bullet"/>
      <w:lvlText w:val="o"/>
      <w:lvlJc w:val="left"/>
      <w:pPr>
        <w:tabs>
          <w:tab w:val="num" w:pos="306"/>
        </w:tabs>
        <w:ind w:left="306" w:hanging="360"/>
      </w:pPr>
      <w:rPr>
        <w:rFonts w:ascii="Courier New" w:hAnsi="Courier New" w:cs="Times New Roman" w:hint="default"/>
      </w:rPr>
    </w:lvl>
    <w:lvl w:ilvl="2" w:tplc="0D420CD4">
      <w:numFmt w:val="bullet"/>
      <w:lvlText w:val="-"/>
      <w:lvlJc w:val="left"/>
      <w:pPr>
        <w:tabs>
          <w:tab w:val="num" w:pos="1401"/>
        </w:tabs>
        <w:ind w:left="1401" w:hanging="735"/>
      </w:pPr>
      <w:rPr>
        <w:rFonts w:ascii="Barclays Serif" w:eastAsia="Times New Roman" w:hAnsi="Barclays Serif" w:hint="default"/>
      </w:rPr>
    </w:lvl>
    <w:lvl w:ilvl="3" w:tplc="6A3E3C2E">
      <w:start w:val="1"/>
      <w:numFmt w:val="decimal"/>
      <w:lvlText w:val="%4."/>
      <w:lvlJc w:val="left"/>
      <w:pPr>
        <w:tabs>
          <w:tab w:val="num" w:pos="2880"/>
        </w:tabs>
        <w:ind w:left="2880" w:hanging="360"/>
      </w:pPr>
      <w:rPr>
        <w:rFonts w:cs="Times New Roman"/>
      </w:rPr>
    </w:lvl>
    <w:lvl w:ilvl="4" w:tplc="0040F452">
      <w:start w:val="1"/>
      <w:numFmt w:val="decimal"/>
      <w:lvlText w:val="%5."/>
      <w:lvlJc w:val="left"/>
      <w:pPr>
        <w:tabs>
          <w:tab w:val="num" w:pos="3600"/>
        </w:tabs>
        <w:ind w:left="3600" w:hanging="360"/>
      </w:pPr>
      <w:rPr>
        <w:rFonts w:cs="Times New Roman"/>
      </w:rPr>
    </w:lvl>
    <w:lvl w:ilvl="5" w:tplc="B54A9094">
      <w:start w:val="1"/>
      <w:numFmt w:val="decimal"/>
      <w:lvlText w:val="%6."/>
      <w:lvlJc w:val="left"/>
      <w:pPr>
        <w:tabs>
          <w:tab w:val="num" w:pos="4320"/>
        </w:tabs>
        <w:ind w:left="4320" w:hanging="360"/>
      </w:pPr>
      <w:rPr>
        <w:rFonts w:cs="Times New Roman"/>
      </w:rPr>
    </w:lvl>
    <w:lvl w:ilvl="6" w:tplc="FF40DE00">
      <w:start w:val="1"/>
      <w:numFmt w:val="decimal"/>
      <w:lvlText w:val="%7."/>
      <w:lvlJc w:val="left"/>
      <w:pPr>
        <w:tabs>
          <w:tab w:val="num" w:pos="5040"/>
        </w:tabs>
        <w:ind w:left="5040" w:hanging="360"/>
      </w:pPr>
      <w:rPr>
        <w:rFonts w:cs="Times New Roman"/>
      </w:rPr>
    </w:lvl>
    <w:lvl w:ilvl="7" w:tplc="2090A252">
      <w:start w:val="1"/>
      <w:numFmt w:val="decimal"/>
      <w:lvlText w:val="%8."/>
      <w:lvlJc w:val="left"/>
      <w:pPr>
        <w:tabs>
          <w:tab w:val="num" w:pos="5760"/>
        </w:tabs>
        <w:ind w:left="5760" w:hanging="360"/>
      </w:pPr>
      <w:rPr>
        <w:rFonts w:cs="Times New Roman"/>
      </w:rPr>
    </w:lvl>
    <w:lvl w:ilvl="8" w:tplc="A36CD4D0">
      <w:start w:val="1"/>
      <w:numFmt w:val="decimal"/>
      <w:lvlText w:val="%9."/>
      <w:lvlJc w:val="left"/>
      <w:pPr>
        <w:tabs>
          <w:tab w:val="num" w:pos="6480"/>
        </w:tabs>
        <w:ind w:left="6480" w:hanging="360"/>
      </w:pPr>
      <w:rPr>
        <w:rFonts w:cs="Times New Roman"/>
      </w:rPr>
    </w:lvl>
  </w:abstractNum>
  <w:abstractNum w:abstractNumId="114">
    <w:nsid w:val="0000007E"/>
    <w:multiLevelType w:val="hybridMultilevel"/>
    <w:tmpl w:val="B4DAA854"/>
    <w:lvl w:ilvl="0" w:tplc="42AC4B46">
      <w:start w:val="1"/>
      <w:numFmt w:val="bullet"/>
      <w:pStyle w:val="Level1Bullet-BarcRA191"/>
      <w:lvlText w:val=""/>
      <w:lvlJc w:val="left"/>
      <w:pPr>
        <w:tabs>
          <w:tab w:val="num" w:pos="284"/>
        </w:tabs>
        <w:ind w:left="284" w:hanging="284"/>
      </w:pPr>
      <w:rPr>
        <w:rFonts w:ascii="Wingdings 2" w:hAnsi="Wingdings 2" w:hint="default"/>
        <w:b w:val="0"/>
        <w:i w:val="0"/>
        <w:color w:val="auto"/>
        <w:spacing w:val="0"/>
        <w:w w:val="100"/>
        <w:position w:val="0"/>
        <w:sz w:val="18"/>
      </w:rPr>
    </w:lvl>
    <w:lvl w:ilvl="1" w:tplc="2438F7C4">
      <w:start w:val="1"/>
      <w:numFmt w:val="bullet"/>
      <w:lvlText w:val="o"/>
      <w:lvlJc w:val="left"/>
      <w:pPr>
        <w:tabs>
          <w:tab w:val="num" w:pos="306"/>
        </w:tabs>
        <w:ind w:left="306" w:hanging="360"/>
      </w:pPr>
      <w:rPr>
        <w:rFonts w:ascii="Courier New" w:hAnsi="Courier New" w:cs="Times New Roman" w:hint="default"/>
      </w:rPr>
    </w:lvl>
    <w:lvl w:ilvl="2" w:tplc="C400E08E">
      <w:numFmt w:val="bullet"/>
      <w:lvlText w:val="-"/>
      <w:lvlJc w:val="left"/>
      <w:pPr>
        <w:tabs>
          <w:tab w:val="num" w:pos="1401"/>
        </w:tabs>
        <w:ind w:left="1401" w:hanging="735"/>
      </w:pPr>
      <w:rPr>
        <w:rFonts w:ascii="Barclays Serif" w:eastAsia="Times New Roman" w:hAnsi="Barclays Serif" w:hint="default"/>
      </w:rPr>
    </w:lvl>
    <w:lvl w:ilvl="3" w:tplc="421EC6FA">
      <w:start w:val="1"/>
      <w:numFmt w:val="decimal"/>
      <w:lvlText w:val="%4."/>
      <w:lvlJc w:val="left"/>
      <w:pPr>
        <w:tabs>
          <w:tab w:val="num" w:pos="2880"/>
        </w:tabs>
        <w:ind w:left="2880" w:hanging="360"/>
      </w:pPr>
      <w:rPr>
        <w:rFonts w:cs="Times New Roman"/>
      </w:rPr>
    </w:lvl>
    <w:lvl w:ilvl="4" w:tplc="103C487E">
      <w:start w:val="1"/>
      <w:numFmt w:val="decimal"/>
      <w:lvlText w:val="%5."/>
      <w:lvlJc w:val="left"/>
      <w:pPr>
        <w:tabs>
          <w:tab w:val="num" w:pos="3600"/>
        </w:tabs>
        <w:ind w:left="3600" w:hanging="360"/>
      </w:pPr>
      <w:rPr>
        <w:rFonts w:cs="Times New Roman"/>
      </w:rPr>
    </w:lvl>
    <w:lvl w:ilvl="5" w:tplc="9806ABCE">
      <w:start w:val="1"/>
      <w:numFmt w:val="decimal"/>
      <w:lvlText w:val="%6."/>
      <w:lvlJc w:val="left"/>
      <w:pPr>
        <w:tabs>
          <w:tab w:val="num" w:pos="4320"/>
        </w:tabs>
        <w:ind w:left="4320" w:hanging="360"/>
      </w:pPr>
      <w:rPr>
        <w:rFonts w:cs="Times New Roman"/>
      </w:rPr>
    </w:lvl>
    <w:lvl w:ilvl="6" w:tplc="AFBC424C">
      <w:start w:val="1"/>
      <w:numFmt w:val="decimal"/>
      <w:lvlText w:val="%7."/>
      <w:lvlJc w:val="left"/>
      <w:pPr>
        <w:tabs>
          <w:tab w:val="num" w:pos="5040"/>
        </w:tabs>
        <w:ind w:left="5040" w:hanging="360"/>
      </w:pPr>
      <w:rPr>
        <w:rFonts w:cs="Times New Roman"/>
      </w:rPr>
    </w:lvl>
    <w:lvl w:ilvl="7" w:tplc="D7B01982">
      <w:start w:val="1"/>
      <w:numFmt w:val="decimal"/>
      <w:lvlText w:val="%8."/>
      <w:lvlJc w:val="left"/>
      <w:pPr>
        <w:tabs>
          <w:tab w:val="num" w:pos="5760"/>
        </w:tabs>
        <w:ind w:left="5760" w:hanging="360"/>
      </w:pPr>
      <w:rPr>
        <w:rFonts w:cs="Times New Roman"/>
      </w:rPr>
    </w:lvl>
    <w:lvl w:ilvl="8" w:tplc="D9B21160">
      <w:start w:val="1"/>
      <w:numFmt w:val="decimal"/>
      <w:lvlText w:val="%9."/>
      <w:lvlJc w:val="left"/>
      <w:pPr>
        <w:tabs>
          <w:tab w:val="num" w:pos="6480"/>
        </w:tabs>
        <w:ind w:left="6480" w:hanging="360"/>
      </w:pPr>
      <w:rPr>
        <w:rFonts w:cs="Times New Roman"/>
      </w:rPr>
    </w:lvl>
  </w:abstractNum>
  <w:abstractNum w:abstractNumId="115">
    <w:nsid w:val="0000007F"/>
    <w:multiLevelType w:val="hybridMultilevel"/>
    <w:tmpl w:val="B2E8E736"/>
    <w:lvl w:ilvl="0" w:tplc="7E7E1824">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8749DA8">
      <w:start w:val="1"/>
      <w:numFmt w:val="bullet"/>
      <w:lvlText w:val="o"/>
      <w:lvlJc w:val="left"/>
      <w:pPr>
        <w:tabs>
          <w:tab w:val="num" w:pos="306"/>
        </w:tabs>
        <w:ind w:left="306" w:hanging="360"/>
      </w:pPr>
      <w:rPr>
        <w:rFonts w:ascii="Courier New" w:hAnsi="Courier New" w:hint="default"/>
      </w:rPr>
    </w:lvl>
    <w:lvl w:ilvl="2" w:tplc="A022A844">
      <w:numFmt w:val="bullet"/>
      <w:pStyle w:val="Level2Bullet-BarcRA2"/>
      <w:lvlText w:val="–"/>
      <w:lvlJc w:val="left"/>
      <w:pPr>
        <w:tabs>
          <w:tab w:val="num" w:pos="1401"/>
        </w:tabs>
        <w:ind w:left="1401" w:hanging="735"/>
      </w:pPr>
      <w:rPr>
        <w:rFonts w:ascii="Arial" w:eastAsia="Times New Roman" w:hAnsi="Arial" w:hint="default"/>
      </w:rPr>
    </w:lvl>
    <w:lvl w:ilvl="3" w:tplc="C23AAD90">
      <w:start w:val="1"/>
      <w:numFmt w:val="bullet"/>
      <w:lvlText w:val=""/>
      <w:lvlJc w:val="left"/>
      <w:pPr>
        <w:tabs>
          <w:tab w:val="num" w:pos="1746"/>
        </w:tabs>
        <w:ind w:left="1746" w:hanging="360"/>
      </w:pPr>
      <w:rPr>
        <w:rFonts w:ascii="Symbol" w:hAnsi="Symbol" w:hint="default"/>
      </w:rPr>
    </w:lvl>
    <w:lvl w:ilvl="4" w:tplc="13E8152C" w:tentative="1">
      <w:start w:val="1"/>
      <w:numFmt w:val="bullet"/>
      <w:lvlText w:val="o"/>
      <w:lvlJc w:val="left"/>
      <w:pPr>
        <w:tabs>
          <w:tab w:val="num" w:pos="2466"/>
        </w:tabs>
        <w:ind w:left="2466" w:hanging="360"/>
      </w:pPr>
      <w:rPr>
        <w:rFonts w:ascii="Courier New" w:hAnsi="Courier New" w:hint="default"/>
      </w:rPr>
    </w:lvl>
    <w:lvl w:ilvl="5" w:tplc="89425426" w:tentative="1">
      <w:start w:val="1"/>
      <w:numFmt w:val="bullet"/>
      <w:lvlText w:val=""/>
      <w:lvlJc w:val="left"/>
      <w:pPr>
        <w:tabs>
          <w:tab w:val="num" w:pos="3186"/>
        </w:tabs>
        <w:ind w:left="3186" w:hanging="360"/>
      </w:pPr>
      <w:rPr>
        <w:rFonts w:ascii="Wingdings" w:hAnsi="Wingdings" w:hint="default"/>
      </w:rPr>
    </w:lvl>
    <w:lvl w:ilvl="6" w:tplc="C3BCAA56" w:tentative="1">
      <w:start w:val="1"/>
      <w:numFmt w:val="bullet"/>
      <w:lvlText w:val=""/>
      <w:lvlJc w:val="left"/>
      <w:pPr>
        <w:tabs>
          <w:tab w:val="num" w:pos="3906"/>
        </w:tabs>
        <w:ind w:left="3906" w:hanging="360"/>
      </w:pPr>
      <w:rPr>
        <w:rFonts w:ascii="Symbol" w:hAnsi="Symbol" w:hint="default"/>
      </w:rPr>
    </w:lvl>
    <w:lvl w:ilvl="7" w:tplc="49442766" w:tentative="1">
      <w:start w:val="1"/>
      <w:numFmt w:val="bullet"/>
      <w:lvlText w:val="o"/>
      <w:lvlJc w:val="left"/>
      <w:pPr>
        <w:tabs>
          <w:tab w:val="num" w:pos="4626"/>
        </w:tabs>
        <w:ind w:left="4626" w:hanging="360"/>
      </w:pPr>
      <w:rPr>
        <w:rFonts w:ascii="Courier New" w:hAnsi="Courier New" w:hint="default"/>
      </w:rPr>
    </w:lvl>
    <w:lvl w:ilvl="8" w:tplc="BEB84C38" w:tentative="1">
      <w:start w:val="1"/>
      <w:numFmt w:val="bullet"/>
      <w:lvlText w:val=""/>
      <w:lvlJc w:val="left"/>
      <w:pPr>
        <w:tabs>
          <w:tab w:val="num" w:pos="5346"/>
        </w:tabs>
        <w:ind w:left="5346" w:hanging="360"/>
      </w:pPr>
      <w:rPr>
        <w:rFonts w:ascii="Wingdings" w:hAnsi="Wingdings" w:hint="default"/>
      </w:rPr>
    </w:lvl>
  </w:abstractNum>
  <w:abstractNum w:abstractNumId="116">
    <w:nsid w:val="00000080"/>
    <w:multiLevelType w:val="hybridMultilevel"/>
    <w:tmpl w:val="B4DAA854"/>
    <w:lvl w:ilvl="0" w:tplc="99A274A0">
      <w:start w:val="1"/>
      <w:numFmt w:val="bullet"/>
      <w:pStyle w:val="Level1Bullet-BarcRA1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D80CEEC">
      <w:start w:val="1"/>
      <w:numFmt w:val="bullet"/>
      <w:lvlText w:val="o"/>
      <w:lvlJc w:val="left"/>
      <w:pPr>
        <w:tabs>
          <w:tab w:val="num" w:pos="306"/>
        </w:tabs>
        <w:ind w:left="306" w:hanging="360"/>
      </w:pPr>
      <w:rPr>
        <w:rFonts w:ascii="Courier New" w:hAnsi="Courier New" w:hint="default"/>
      </w:rPr>
    </w:lvl>
    <w:lvl w:ilvl="2" w:tplc="BB6A753C">
      <w:numFmt w:val="bullet"/>
      <w:lvlText w:val="-"/>
      <w:lvlJc w:val="left"/>
      <w:pPr>
        <w:tabs>
          <w:tab w:val="num" w:pos="1401"/>
        </w:tabs>
        <w:ind w:left="1401" w:hanging="735"/>
      </w:pPr>
      <w:rPr>
        <w:rFonts w:ascii="Barclays Serif" w:eastAsia="Times New Roman" w:hAnsi="Barclays Serif" w:cs="Times New Roman" w:hint="default"/>
      </w:rPr>
    </w:lvl>
    <w:lvl w:ilvl="3" w:tplc="F28C75D8" w:tentative="1">
      <w:start w:val="1"/>
      <w:numFmt w:val="bullet"/>
      <w:lvlText w:val=""/>
      <w:lvlJc w:val="left"/>
      <w:pPr>
        <w:tabs>
          <w:tab w:val="num" w:pos="1746"/>
        </w:tabs>
        <w:ind w:left="1746" w:hanging="360"/>
      </w:pPr>
      <w:rPr>
        <w:rFonts w:ascii="Symbol" w:hAnsi="Symbol" w:hint="default"/>
      </w:rPr>
    </w:lvl>
    <w:lvl w:ilvl="4" w:tplc="617683F0" w:tentative="1">
      <w:start w:val="1"/>
      <w:numFmt w:val="bullet"/>
      <w:lvlText w:val="o"/>
      <w:lvlJc w:val="left"/>
      <w:pPr>
        <w:tabs>
          <w:tab w:val="num" w:pos="2466"/>
        </w:tabs>
        <w:ind w:left="2466" w:hanging="360"/>
      </w:pPr>
      <w:rPr>
        <w:rFonts w:ascii="Courier New" w:hAnsi="Courier New" w:hint="default"/>
      </w:rPr>
    </w:lvl>
    <w:lvl w:ilvl="5" w:tplc="17F2F1C0" w:tentative="1">
      <w:start w:val="1"/>
      <w:numFmt w:val="bullet"/>
      <w:lvlText w:val=""/>
      <w:lvlJc w:val="left"/>
      <w:pPr>
        <w:tabs>
          <w:tab w:val="num" w:pos="3186"/>
        </w:tabs>
        <w:ind w:left="3186" w:hanging="360"/>
      </w:pPr>
      <w:rPr>
        <w:rFonts w:ascii="Wingdings" w:hAnsi="Wingdings" w:hint="default"/>
      </w:rPr>
    </w:lvl>
    <w:lvl w:ilvl="6" w:tplc="0FC2F484" w:tentative="1">
      <w:start w:val="1"/>
      <w:numFmt w:val="bullet"/>
      <w:lvlText w:val=""/>
      <w:lvlJc w:val="left"/>
      <w:pPr>
        <w:tabs>
          <w:tab w:val="num" w:pos="3906"/>
        </w:tabs>
        <w:ind w:left="3906" w:hanging="360"/>
      </w:pPr>
      <w:rPr>
        <w:rFonts w:ascii="Symbol" w:hAnsi="Symbol" w:hint="default"/>
      </w:rPr>
    </w:lvl>
    <w:lvl w:ilvl="7" w:tplc="09402494" w:tentative="1">
      <w:start w:val="1"/>
      <w:numFmt w:val="bullet"/>
      <w:lvlText w:val="o"/>
      <w:lvlJc w:val="left"/>
      <w:pPr>
        <w:tabs>
          <w:tab w:val="num" w:pos="4626"/>
        </w:tabs>
        <w:ind w:left="4626" w:hanging="360"/>
      </w:pPr>
      <w:rPr>
        <w:rFonts w:ascii="Courier New" w:hAnsi="Courier New" w:hint="default"/>
      </w:rPr>
    </w:lvl>
    <w:lvl w:ilvl="8" w:tplc="83DACC62" w:tentative="1">
      <w:start w:val="1"/>
      <w:numFmt w:val="bullet"/>
      <w:lvlText w:val=""/>
      <w:lvlJc w:val="left"/>
      <w:pPr>
        <w:tabs>
          <w:tab w:val="num" w:pos="5346"/>
        </w:tabs>
        <w:ind w:left="5346" w:hanging="360"/>
      </w:pPr>
      <w:rPr>
        <w:rFonts w:ascii="Wingdings" w:hAnsi="Wingdings" w:hint="default"/>
      </w:rPr>
    </w:lvl>
  </w:abstractNum>
  <w:abstractNum w:abstractNumId="117">
    <w:nsid w:val="00000081"/>
    <w:multiLevelType w:val="hybridMultilevel"/>
    <w:tmpl w:val="B2E8E736"/>
    <w:lvl w:ilvl="0" w:tplc="D4822EC4">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8DCA00E6">
      <w:start w:val="1"/>
      <w:numFmt w:val="bullet"/>
      <w:lvlText w:val="o"/>
      <w:lvlJc w:val="left"/>
      <w:pPr>
        <w:tabs>
          <w:tab w:val="num" w:pos="306"/>
        </w:tabs>
        <w:ind w:left="306" w:hanging="360"/>
      </w:pPr>
      <w:rPr>
        <w:rFonts w:ascii="Courier New" w:hAnsi="Courier New" w:hint="default"/>
      </w:rPr>
    </w:lvl>
    <w:lvl w:ilvl="2" w:tplc="B164D168">
      <w:numFmt w:val="bullet"/>
      <w:pStyle w:val="Level2Bullet-BarcRA5"/>
      <w:lvlText w:val="–"/>
      <w:lvlJc w:val="left"/>
      <w:pPr>
        <w:tabs>
          <w:tab w:val="num" w:pos="1401"/>
        </w:tabs>
        <w:ind w:left="1401" w:hanging="735"/>
      </w:pPr>
      <w:rPr>
        <w:rFonts w:ascii="Arial" w:eastAsia="Times New Roman" w:hAnsi="Arial" w:hint="default"/>
      </w:rPr>
    </w:lvl>
    <w:lvl w:ilvl="3" w:tplc="FB768A30" w:tentative="1">
      <w:start w:val="1"/>
      <w:numFmt w:val="bullet"/>
      <w:lvlText w:val=""/>
      <w:lvlJc w:val="left"/>
      <w:pPr>
        <w:tabs>
          <w:tab w:val="num" w:pos="1746"/>
        </w:tabs>
        <w:ind w:left="1746" w:hanging="360"/>
      </w:pPr>
      <w:rPr>
        <w:rFonts w:ascii="Symbol" w:hAnsi="Symbol" w:hint="default"/>
      </w:rPr>
    </w:lvl>
    <w:lvl w:ilvl="4" w:tplc="C4B6F4EA" w:tentative="1">
      <w:start w:val="1"/>
      <w:numFmt w:val="bullet"/>
      <w:lvlText w:val="o"/>
      <w:lvlJc w:val="left"/>
      <w:pPr>
        <w:tabs>
          <w:tab w:val="num" w:pos="2466"/>
        </w:tabs>
        <w:ind w:left="2466" w:hanging="360"/>
      </w:pPr>
      <w:rPr>
        <w:rFonts w:ascii="Courier New" w:hAnsi="Courier New" w:hint="default"/>
      </w:rPr>
    </w:lvl>
    <w:lvl w:ilvl="5" w:tplc="7B40BB24" w:tentative="1">
      <w:start w:val="1"/>
      <w:numFmt w:val="bullet"/>
      <w:lvlText w:val=""/>
      <w:lvlJc w:val="left"/>
      <w:pPr>
        <w:tabs>
          <w:tab w:val="num" w:pos="3186"/>
        </w:tabs>
        <w:ind w:left="3186" w:hanging="360"/>
      </w:pPr>
      <w:rPr>
        <w:rFonts w:ascii="Wingdings" w:hAnsi="Wingdings" w:hint="default"/>
      </w:rPr>
    </w:lvl>
    <w:lvl w:ilvl="6" w:tplc="CA64E85A" w:tentative="1">
      <w:start w:val="1"/>
      <w:numFmt w:val="bullet"/>
      <w:lvlText w:val=""/>
      <w:lvlJc w:val="left"/>
      <w:pPr>
        <w:tabs>
          <w:tab w:val="num" w:pos="3906"/>
        </w:tabs>
        <w:ind w:left="3906" w:hanging="360"/>
      </w:pPr>
      <w:rPr>
        <w:rFonts w:ascii="Symbol" w:hAnsi="Symbol" w:hint="default"/>
      </w:rPr>
    </w:lvl>
    <w:lvl w:ilvl="7" w:tplc="5298ED60" w:tentative="1">
      <w:start w:val="1"/>
      <w:numFmt w:val="bullet"/>
      <w:lvlText w:val="o"/>
      <w:lvlJc w:val="left"/>
      <w:pPr>
        <w:tabs>
          <w:tab w:val="num" w:pos="4626"/>
        </w:tabs>
        <w:ind w:left="4626" w:hanging="360"/>
      </w:pPr>
      <w:rPr>
        <w:rFonts w:ascii="Courier New" w:hAnsi="Courier New" w:hint="default"/>
      </w:rPr>
    </w:lvl>
    <w:lvl w:ilvl="8" w:tplc="09F8BCFE" w:tentative="1">
      <w:start w:val="1"/>
      <w:numFmt w:val="bullet"/>
      <w:lvlText w:val=""/>
      <w:lvlJc w:val="left"/>
      <w:pPr>
        <w:tabs>
          <w:tab w:val="num" w:pos="5346"/>
        </w:tabs>
        <w:ind w:left="5346" w:hanging="360"/>
      </w:pPr>
      <w:rPr>
        <w:rFonts w:ascii="Wingdings" w:hAnsi="Wingdings" w:hint="default"/>
      </w:rPr>
    </w:lvl>
  </w:abstractNum>
  <w:abstractNum w:abstractNumId="118">
    <w:nsid w:val="00000082"/>
    <w:multiLevelType w:val="hybridMultilevel"/>
    <w:tmpl w:val="3F46D7DE"/>
    <w:lvl w:ilvl="0" w:tplc="13D8B32C">
      <w:start w:val="1"/>
      <w:numFmt w:val="decimal"/>
      <w:pStyle w:val="NoteandSourceText-BarcRA10"/>
      <w:lvlText w:val="%1"/>
      <w:lvlJc w:val="left"/>
      <w:pPr>
        <w:ind w:left="720" w:hanging="360"/>
      </w:pPr>
      <w:rPr>
        <w:rFonts w:hint="default"/>
      </w:rPr>
    </w:lvl>
    <w:lvl w:ilvl="1" w:tplc="422C27FE" w:tentative="1">
      <w:start w:val="1"/>
      <w:numFmt w:val="lowerLetter"/>
      <w:lvlText w:val="%2."/>
      <w:lvlJc w:val="left"/>
      <w:pPr>
        <w:ind w:left="1440" w:hanging="360"/>
      </w:pPr>
    </w:lvl>
    <w:lvl w:ilvl="2" w:tplc="BEAEB372" w:tentative="1">
      <w:start w:val="1"/>
      <w:numFmt w:val="lowerRoman"/>
      <w:lvlText w:val="%3."/>
      <w:lvlJc w:val="right"/>
      <w:pPr>
        <w:ind w:left="2160" w:hanging="180"/>
      </w:pPr>
    </w:lvl>
    <w:lvl w:ilvl="3" w:tplc="A01E3796" w:tentative="1">
      <w:start w:val="1"/>
      <w:numFmt w:val="decimal"/>
      <w:lvlText w:val="%4."/>
      <w:lvlJc w:val="left"/>
      <w:pPr>
        <w:ind w:left="2880" w:hanging="360"/>
      </w:pPr>
    </w:lvl>
    <w:lvl w:ilvl="4" w:tplc="08503D16" w:tentative="1">
      <w:start w:val="1"/>
      <w:numFmt w:val="lowerLetter"/>
      <w:lvlText w:val="%5."/>
      <w:lvlJc w:val="left"/>
      <w:pPr>
        <w:ind w:left="3600" w:hanging="360"/>
      </w:pPr>
    </w:lvl>
    <w:lvl w:ilvl="5" w:tplc="DA103076" w:tentative="1">
      <w:start w:val="1"/>
      <w:numFmt w:val="lowerRoman"/>
      <w:lvlText w:val="%6."/>
      <w:lvlJc w:val="right"/>
      <w:pPr>
        <w:ind w:left="4320" w:hanging="180"/>
      </w:pPr>
    </w:lvl>
    <w:lvl w:ilvl="6" w:tplc="6ED443B2" w:tentative="1">
      <w:start w:val="1"/>
      <w:numFmt w:val="decimal"/>
      <w:lvlText w:val="%7."/>
      <w:lvlJc w:val="left"/>
      <w:pPr>
        <w:ind w:left="5040" w:hanging="360"/>
      </w:pPr>
    </w:lvl>
    <w:lvl w:ilvl="7" w:tplc="8376CD3E" w:tentative="1">
      <w:start w:val="1"/>
      <w:numFmt w:val="lowerLetter"/>
      <w:lvlText w:val="%8."/>
      <w:lvlJc w:val="left"/>
      <w:pPr>
        <w:ind w:left="5760" w:hanging="360"/>
      </w:pPr>
    </w:lvl>
    <w:lvl w:ilvl="8" w:tplc="6A722752" w:tentative="1">
      <w:start w:val="1"/>
      <w:numFmt w:val="lowerRoman"/>
      <w:lvlText w:val="%9."/>
      <w:lvlJc w:val="right"/>
      <w:pPr>
        <w:ind w:left="6480" w:hanging="180"/>
      </w:pPr>
    </w:lvl>
  </w:abstractNum>
  <w:abstractNum w:abstractNumId="119">
    <w:nsid w:val="00000083"/>
    <w:multiLevelType w:val="hybridMultilevel"/>
    <w:tmpl w:val="B4DAA854"/>
    <w:lvl w:ilvl="0" w:tplc="51989D10">
      <w:start w:val="1"/>
      <w:numFmt w:val="bullet"/>
      <w:pStyle w:val="Level1Bullet-BarcRA1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9E29C78">
      <w:start w:val="1"/>
      <w:numFmt w:val="bullet"/>
      <w:lvlText w:val="o"/>
      <w:lvlJc w:val="left"/>
      <w:pPr>
        <w:tabs>
          <w:tab w:val="num" w:pos="306"/>
        </w:tabs>
        <w:ind w:left="306" w:hanging="360"/>
      </w:pPr>
      <w:rPr>
        <w:rFonts w:ascii="Courier New" w:hAnsi="Courier New" w:hint="default"/>
      </w:rPr>
    </w:lvl>
    <w:lvl w:ilvl="2" w:tplc="4432BD98">
      <w:numFmt w:val="bullet"/>
      <w:lvlText w:val="-"/>
      <w:lvlJc w:val="left"/>
      <w:pPr>
        <w:tabs>
          <w:tab w:val="num" w:pos="1401"/>
        </w:tabs>
        <w:ind w:left="1401" w:hanging="735"/>
      </w:pPr>
      <w:rPr>
        <w:rFonts w:ascii="Barclays Serif" w:eastAsia="Times New Roman" w:hAnsi="Barclays Serif" w:cs="Times New Roman" w:hint="default"/>
      </w:rPr>
    </w:lvl>
    <w:lvl w:ilvl="3" w:tplc="108E62F4" w:tentative="1">
      <w:start w:val="1"/>
      <w:numFmt w:val="bullet"/>
      <w:lvlText w:val=""/>
      <w:lvlJc w:val="left"/>
      <w:pPr>
        <w:tabs>
          <w:tab w:val="num" w:pos="1746"/>
        </w:tabs>
        <w:ind w:left="1746" w:hanging="360"/>
      </w:pPr>
      <w:rPr>
        <w:rFonts w:ascii="Symbol" w:hAnsi="Symbol" w:hint="default"/>
      </w:rPr>
    </w:lvl>
    <w:lvl w:ilvl="4" w:tplc="8AF2CC48" w:tentative="1">
      <w:start w:val="1"/>
      <w:numFmt w:val="bullet"/>
      <w:lvlText w:val="o"/>
      <w:lvlJc w:val="left"/>
      <w:pPr>
        <w:tabs>
          <w:tab w:val="num" w:pos="2466"/>
        </w:tabs>
        <w:ind w:left="2466" w:hanging="360"/>
      </w:pPr>
      <w:rPr>
        <w:rFonts w:ascii="Courier New" w:hAnsi="Courier New" w:hint="default"/>
      </w:rPr>
    </w:lvl>
    <w:lvl w:ilvl="5" w:tplc="652A6420" w:tentative="1">
      <w:start w:val="1"/>
      <w:numFmt w:val="bullet"/>
      <w:lvlText w:val=""/>
      <w:lvlJc w:val="left"/>
      <w:pPr>
        <w:tabs>
          <w:tab w:val="num" w:pos="3186"/>
        </w:tabs>
        <w:ind w:left="3186" w:hanging="360"/>
      </w:pPr>
      <w:rPr>
        <w:rFonts w:ascii="Wingdings" w:hAnsi="Wingdings" w:hint="default"/>
      </w:rPr>
    </w:lvl>
    <w:lvl w:ilvl="6" w:tplc="7C78793C" w:tentative="1">
      <w:start w:val="1"/>
      <w:numFmt w:val="bullet"/>
      <w:lvlText w:val=""/>
      <w:lvlJc w:val="left"/>
      <w:pPr>
        <w:tabs>
          <w:tab w:val="num" w:pos="3906"/>
        </w:tabs>
        <w:ind w:left="3906" w:hanging="360"/>
      </w:pPr>
      <w:rPr>
        <w:rFonts w:ascii="Symbol" w:hAnsi="Symbol" w:hint="default"/>
      </w:rPr>
    </w:lvl>
    <w:lvl w:ilvl="7" w:tplc="673E2716" w:tentative="1">
      <w:start w:val="1"/>
      <w:numFmt w:val="bullet"/>
      <w:lvlText w:val="o"/>
      <w:lvlJc w:val="left"/>
      <w:pPr>
        <w:tabs>
          <w:tab w:val="num" w:pos="4626"/>
        </w:tabs>
        <w:ind w:left="4626" w:hanging="360"/>
      </w:pPr>
      <w:rPr>
        <w:rFonts w:ascii="Courier New" w:hAnsi="Courier New" w:hint="default"/>
      </w:rPr>
    </w:lvl>
    <w:lvl w:ilvl="8" w:tplc="C69AB3D6" w:tentative="1">
      <w:start w:val="1"/>
      <w:numFmt w:val="bullet"/>
      <w:lvlText w:val=""/>
      <w:lvlJc w:val="left"/>
      <w:pPr>
        <w:tabs>
          <w:tab w:val="num" w:pos="5346"/>
        </w:tabs>
        <w:ind w:left="5346" w:hanging="360"/>
      </w:pPr>
      <w:rPr>
        <w:rFonts w:ascii="Wingdings" w:hAnsi="Wingdings" w:hint="default"/>
      </w:rPr>
    </w:lvl>
  </w:abstractNum>
  <w:abstractNum w:abstractNumId="120">
    <w:nsid w:val="00000084"/>
    <w:multiLevelType w:val="hybridMultilevel"/>
    <w:tmpl w:val="B4DAA854"/>
    <w:lvl w:ilvl="0" w:tplc="B420A7E2">
      <w:start w:val="1"/>
      <w:numFmt w:val="bullet"/>
      <w:pStyle w:val="Level1Bullet-BarcRA1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35AEB7E6">
      <w:start w:val="1"/>
      <w:numFmt w:val="bullet"/>
      <w:lvlText w:val="o"/>
      <w:lvlJc w:val="left"/>
      <w:pPr>
        <w:tabs>
          <w:tab w:val="num" w:pos="306"/>
        </w:tabs>
        <w:ind w:left="306" w:hanging="360"/>
      </w:pPr>
      <w:rPr>
        <w:rFonts w:ascii="Courier New" w:hAnsi="Courier New" w:cs="Times New Roman" w:hint="default"/>
      </w:rPr>
    </w:lvl>
    <w:lvl w:ilvl="2" w:tplc="91A038D0">
      <w:numFmt w:val="bullet"/>
      <w:lvlText w:val="-"/>
      <w:lvlJc w:val="left"/>
      <w:pPr>
        <w:tabs>
          <w:tab w:val="num" w:pos="1401"/>
        </w:tabs>
        <w:ind w:left="1401" w:hanging="735"/>
      </w:pPr>
      <w:rPr>
        <w:rFonts w:ascii="Barclays Serif" w:eastAsia="Times New Roman" w:hAnsi="Barclays Serif" w:cs="Times New Roman" w:hint="default"/>
      </w:rPr>
    </w:lvl>
    <w:lvl w:ilvl="3" w:tplc="D2F0C9D8">
      <w:start w:val="1"/>
      <w:numFmt w:val="decimal"/>
      <w:lvlText w:val="%4."/>
      <w:lvlJc w:val="left"/>
      <w:pPr>
        <w:tabs>
          <w:tab w:val="num" w:pos="2880"/>
        </w:tabs>
        <w:ind w:left="2880" w:hanging="360"/>
      </w:pPr>
    </w:lvl>
    <w:lvl w:ilvl="4" w:tplc="F29E4B7A">
      <w:start w:val="1"/>
      <w:numFmt w:val="decimal"/>
      <w:lvlText w:val="%5."/>
      <w:lvlJc w:val="left"/>
      <w:pPr>
        <w:tabs>
          <w:tab w:val="num" w:pos="3600"/>
        </w:tabs>
        <w:ind w:left="3600" w:hanging="360"/>
      </w:pPr>
    </w:lvl>
    <w:lvl w:ilvl="5" w:tplc="EE1408DE">
      <w:start w:val="1"/>
      <w:numFmt w:val="decimal"/>
      <w:lvlText w:val="%6."/>
      <w:lvlJc w:val="left"/>
      <w:pPr>
        <w:tabs>
          <w:tab w:val="num" w:pos="4320"/>
        </w:tabs>
        <w:ind w:left="4320" w:hanging="360"/>
      </w:pPr>
    </w:lvl>
    <w:lvl w:ilvl="6" w:tplc="89ECB0B0">
      <w:start w:val="1"/>
      <w:numFmt w:val="decimal"/>
      <w:lvlText w:val="%7."/>
      <w:lvlJc w:val="left"/>
      <w:pPr>
        <w:tabs>
          <w:tab w:val="num" w:pos="5040"/>
        </w:tabs>
        <w:ind w:left="5040" w:hanging="360"/>
      </w:pPr>
    </w:lvl>
    <w:lvl w:ilvl="7" w:tplc="F8CC6D48">
      <w:start w:val="1"/>
      <w:numFmt w:val="decimal"/>
      <w:lvlText w:val="%8."/>
      <w:lvlJc w:val="left"/>
      <w:pPr>
        <w:tabs>
          <w:tab w:val="num" w:pos="5760"/>
        </w:tabs>
        <w:ind w:left="5760" w:hanging="360"/>
      </w:pPr>
    </w:lvl>
    <w:lvl w:ilvl="8" w:tplc="E95AE8AE">
      <w:start w:val="1"/>
      <w:numFmt w:val="decimal"/>
      <w:lvlText w:val="%9."/>
      <w:lvlJc w:val="left"/>
      <w:pPr>
        <w:tabs>
          <w:tab w:val="num" w:pos="6480"/>
        </w:tabs>
        <w:ind w:left="6480" w:hanging="360"/>
      </w:pPr>
    </w:lvl>
  </w:abstractNum>
  <w:abstractNum w:abstractNumId="121">
    <w:nsid w:val="00000085"/>
    <w:multiLevelType w:val="hybridMultilevel"/>
    <w:tmpl w:val="3F46D7DE"/>
    <w:lvl w:ilvl="0" w:tplc="1D7EAEF0">
      <w:start w:val="1"/>
      <w:numFmt w:val="decimal"/>
      <w:pStyle w:val="NoteandSourceText-BarcRA11"/>
      <w:lvlText w:val="%1"/>
      <w:lvlJc w:val="left"/>
      <w:pPr>
        <w:ind w:left="360" w:hanging="360"/>
      </w:pPr>
      <w:rPr>
        <w:rFonts w:hint="default"/>
      </w:rPr>
    </w:lvl>
    <w:lvl w:ilvl="1" w:tplc="A0AEB170">
      <w:start w:val="1"/>
      <w:numFmt w:val="lowerLetter"/>
      <w:lvlText w:val="%2."/>
      <w:lvlJc w:val="left"/>
      <w:pPr>
        <w:ind w:left="1080" w:hanging="360"/>
      </w:pPr>
    </w:lvl>
    <w:lvl w:ilvl="2" w:tplc="AB3A6BFC" w:tentative="1">
      <w:start w:val="1"/>
      <w:numFmt w:val="lowerRoman"/>
      <w:lvlText w:val="%3."/>
      <w:lvlJc w:val="right"/>
      <w:pPr>
        <w:ind w:left="1800" w:hanging="180"/>
      </w:pPr>
    </w:lvl>
    <w:lvl w:ilvl="3" w:tplc="FA4CECF6" w:tentative="1">
      <w:start w:val="1"/>
      <w:numFmt w:val="decimal"/>
      <w:lvlText w:val="%4."/>
      <w:lvlJc w:val="left"/>
      <w:pPr>
        <w:ind w:left="2520" w:hanging="360"/>
      </w:pPr>
    </w:lvl>
    <w:lvl w:ilvl="4" w:tplc="401E3ED6" w:tentative="1">
      <w:start w:val="1"/>
      <w:numFmt w:val="lowerLetter"/>
      <w:lvlText w:val="%5."/>
      <w:lvlJc w:val="left"/>
      <w:pPr>
        <w:ind w:left="3240" w:hanging="360"/>
      </w:pPr>
    </w:lvl>
    <w:lvl w:ilvl="5" w:tplc="205CF5D0" w:tentative="1">
      <w:start w:val="1"/>
      <w:numFmt w:val="lowerRoman"/>
      <w:lvlText w:val="%6."/>
      <w:lvlJc w:val="right"/>
      <w:pPr>
        <w:ind w:left="3960" w:hanging="180"/>
      </w:pPr>
    </w:lvl>
    <w:lvl w:ilvl="6" w:tplc="B5D438AE" w:tentative="1">
      <w:start w:val="1"/>
      <w:numFmt w:val="decimal"/>
      <w:lvlText w:val="%7."/>
      <w:lvlJc w:val="left"/>
      <w:pPr>
        <w:ind w:left="4680" w:hanging="360"/>
      </w:pPr>
    </w:lvl>
    <w:lvl w:ilvl="7" w:tplc="D8409A52" w:tentative="1">
      <w:start w:val="1"/>
      <w:numFmt w:val="lowerLetter"/>
      <w:lvlText w:val="%8."/>
      <w:lvlJc w:val="left"/>
      <w:pPr>
        <w:ind w:left="5400" w:hanging="360"/>
      </w:pPr>
    </w:lvl>
    <w:lvl w:ilvl="8" w:tplc="C85E66C2" w:tentative="1">
      <w:start w:val="1"/>
      <w:numFmt w:val="lowerRoman"/>
      <w:lvlText w:val="%9."/>
      <w:lvlJc w:val="right"/>
      <w:pPr>
        <w:ind w:left="6120" w:hanging="180"/>
      </w:pPr>
    </w:lvl>
  </w:abstractNum>
  <w:abstractNum w:abstractNumId="122">
    <w:nsid w:val="00000086"/>
    <w:multiLevelType w:val="hybridMultilevel"/>
    <w:tmpl w:val="B4DAA854"/>
    <w:lvl w:ilvl="0" w:tplc="E092E512">
      <w:start w:val="1"/>
      <w:numFmt w:val="bullet"/>
      <w:pStyle w:val="Level1Bullet-BarcRA2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2C08C72">
      <w:start w:val="1"/>
      <w:numFmt w:val="bullet"/>
      <w:lvlText w:val="o"/>
      <w:lvlJc w:val="left"/>
      <w:pPr>
        <w:tabs>
          <w:tab w:val="num" w:pos="306"/>
        </w:tabs>
        <w:ind w:left="306" w:hanging="360"/>
      </w:pPr>
      <w:rPr>
        <w:rFonts w:ascii="Courier New" w:hAnsi="Courier New" w:hint="default"/>
      </w:rPr>
    </w:lvl>
    <w:lvl w:ilvl="2" w:tplc="9DD479D4">
      <w:numFmt w:val="bullet"/>
      <w:lvlText w:val="-"/>
      <w:lvlJc w:val="left"/>
      <w:pPr>
        <w:tabs>
          <w:tab w:val="num" w:pos="1401"/>
        </w:tabs>
        <w:ind w:left="1401" w:hanging="735"/>
      </w:pPr>
      <w:rPr>
        <w:rFonts w:ascii="Barclays Serif" w:eastAsia="Times New Roman" w:hAnsi="Barclays Serif" w:cs="Times New Roman" w:hint="default"/>
      </w:rPr>
    </w:lvl>
    <w:lvl w:ilvl="3" w:tplc="45CACEC6" w:tentative="1">
      <w:start w:val="1"/>
      <w:numFmt w:val="bullet"/>
      <w:lvlText w:val=""/>
      <w:lvlJc w:val="left"/>
      <w:pPr>
        <w:tabs>
          <w:tab w:val="num" w:pos="1746"/>
        </w:tabs>
        <w:ind w:left="1746" w:hanging="360"/>
      </w:pPr>
      <w:rPr>
        <w:rFonts w:ascii="Symbol" w:hAnsi="Symbol" w:hint="default"/>
      </w:rPr>
    </w:lvl>
    <w:lvl w:ilvl="4" w:tplc="168A288C" w:tentative="1">
      <w:start w:val="1"/>
      <w:numFmt w:val="bullet"/>
      <w:lvlText w:val="o"/>
      <w:lvlJc w:val="left"/>
      <w:pPr>
        <w:tabs>
          <w:tab w:val="num" w:pos="2466"/>
        </w:tabs>
        <w:ind w:left="2466" w:hanging="360"/>
      </w:pPr>
      <w:rPr>
        <w:rFonts w:ascii="Courier New" w:hAnsi="Courier New" w:hint="default"/>
      </w:rPr>
    </w:lvl>
    <w:lvl w:ilvl="5" w:tplc="F59E5AAC" w:tentative="1">
      <w:start w:val="1"/>
      <w:numFmt w:val="bullet"/>
      <w:lvlText w:val=""/>
      <w:lvlJc w:val="left"/>
      <w:pPr>
        <w:tabs>
          <w:tab w:val="num" w:pos="3186"/>
        </w:tabs>
        <w:ind w:left="3186" w:hanging="360"/>
      </w:pPr>
      <w:rPr>
        <w:rFonts w:ascii="Wingdings" w:hAnsi="Wingdings" w:hint="default"/>
      </w:rPr>
    </w:lvl>
    <w:lvl w:ilvl="6" w:tplc="0ACA27C0" w:tentative="1">
      <w:start w:val="1"/>
      <w:numFmt w:val="bullet"/>
      <w:lvlText w:val=""/>
      <w:lvlJc w:val="left"/>
      <w:pPr>
        <w:tabs>
          <w:tab w:val="num" w:pos="3906"/>
        </w:tabs>
        <w:ind w:left="3906" w:hanging="360"/>
      </w:pPr>
      <w:rPr>
        <w:rFonts w:ascii="Symbol" w:hAnsi="Symbol" w:hint="default"/>
      </w:rPr>
    </w:lvl>
    <w:lvl w:ilvl="7" w:tplc="5B6A5574" w:tentative="1">
      <w:start w:val="1"/>
      <w:numFmt w:val="bullet"/>
      <w:lvlText w:val="o"/>
      <w:lvlJc w:val="left"/>
      <w:pPr>
        <w:tabs>
          <w:tab w:val="num" w:pos="4626"/>
        </w:tabs>
        <w:ind w:left="4626" w:hanging="360"/>
      </w:pPr>
      <w:rPr>
        <w:rFonts w:ascii="Courier New" w:hAnsi="Courier New" w:hint="default"/>
      </w:rPr>
    </w:lvl>
    <w:lvl w:ilvl="8" w:tplc="92F2BF04" w:tentative="1">
      <w:start w:val="1"/>
      <w:numFmt w:val="bullet"/>
      <w:lvlText w:val=""/>
      <w:lvlJc w:val="left"/>
      <w:pPr>
        <w:tabs>
          <w:tab w:val="num" w:pos="5346"/>
        </w:tabs>
        <w:ind w:left="5346" w:hanging="360"/>
      </w:pPr>
      <w:rPr>
        <w:rFonts w:ascii="Wingdings" w:hAnsi="Wingdings" w:hint="default"/>
      </w:rPr>
    </w:lvl>
  </w:abstractNum>
  <w:abstractNum w:abstractNumId="123">
    <w:nsid w:val="00000087"/>
    <w:multiLevelType w:val="hybridMultilevel"/>
    <w:tmpl w:val="B2E8E736"/>
    <w:lvl w:ilvl="0" w:tplc="5A143DAC">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4AA1808">
      <w:start w:val="1"/>
      <w:numFmt w:val="bullet"/>
      <w:lvlText w:val="o"/>
      <w:lvlJc w:val="left"/>
      <w:pPr>
        <w:tabs>
          <w:tab w:val="num" w:pos="306"/>
        </w:tabs>
        <w:ind w:left="306" w:hanging="360"/>
      </w:pPr>
      <w:rPr>
        <w:rFonts w:ascii="Courier New" w:hAnsi="Courier New" w:hint="default"/>
      </w:rPr>
    </w:lvl>
    <w:lvl w:ilvl="2" w:tplc="5EBCDA06">
      <w:numFmt w:val="bullet"/>
      <w:pStyle w:val="Level2Bullet-BarcRA6"/>
      <w:lvlText w:val="–"/>
      <w:lvlJc w:val="left"/>
      <w:pPr>
        <w:tabs>
          <w:tab w:val="num" w:pos="1401"/>
        </w:tabs>
        <w:ind w:left="1401" w:hanging="735"/>
      </w:pPr>
      <w:rPr>
        <w:rFonts w:ascii="Arial" w:eastAsia="Times New Roman" w:hAnsi="Arial" w:hint="default"/>
      </w:rPr>
    </w:lvl>
    <w:lvl w:ilvl="3" w:tplc="CFBE388A" w:tentative="1">
      <w:start w:val="1"/>
      <w:numFmt w:val="bullet"/>
      <w:lvlText w:val=""/>
      <w:lvlJc w:val="left"/>
      <w:pPr>
        <w:tabs>
          <w:tab w:val="num" w:pos="1746"/>
        </w:tabs>
        <w:ind w:left="1746" w:hanging="360"/>
      </w:pPr>
      <w:rPr>
        <w:rFonts w:ascii="Symbol" w:hAnsi="Symbol" w:hint="default"/>
      </w:rPr>
    </w:lvl>
    <w:lvl w:ilvl="4" w:tplc="852C6ADE" w:tentative="1">
      <w:start w:val="1"/>
      <w:numFmt w:val="bullet"/>
      <w:lvlText w:val="o"/>
      <w:lvlJc w:val="left"/>
      <w:pPr>
        <w:tabs>
          <w:tab w:val="num" w:pos="2466"/>
        </w:tabs>
        <w:ind w:left="2466" w:hanging="360"/>
      </w:pPr>
      <w:rPr>
        <w:rFonts w:ascii="Courier New" w:hAnsi="Courier New" w:hint="default"/>
      </w:rPr>
    </w:lvl>
    <w:lvl w:ilvl="5" w:tplc="411665BE" w:tentative="1">
      <w:start w:val="1"/>
      <w:numFmt w:val="bullet"/>
      <w:lvlText w:val=""/>
      <w:lvlJc w:val="left"/>
      <w:pPr>
        <w:tabs>
          <w:tab w:val="num" w:pos="3186"/>
        </w:tabs>
        <w:ind w:left="3186" w:hanging="360"/>
      </w:pPr>
      <w:rPr>
        <w:rFonts w:ascii="Wingdings" w:hAnsi="Wingdings" w:hint="default"/>
      </w:rPr>
    </w:lvl>
    <w:lvl w:ilvl="6" w:tplc="C908AD78" w:tentative="1">
      <w:start w:val="1"/>
      <w:numFmt w:val="bullet"/>
      <w:lvlText w:val=""/>
      <w:lvlJc w:val="left"/>
      <w:pPr>
        <w:tabs>
          <w:tab w:val="num" w:pos="3906"/>
        </w:tabs>
        <w:ind w:left="3906" w:hanging="360"/>
      </w:pPr>
      <w:rPr>
        <w:rFonts w:ascii="Symbol" w:hAnsi="Symbol" w:hint="default"/>
      </w:rPr>
    </w:lvl>
    <w:lvl w:ilvl="7" w:tplc="4F5C16E2" w:tentative="1">
      <w:start w:val="1"/>
      <w:numFmt w:val="bullet"/>
      <w:lvlText w:val="o"/>
      <w:lvlJc w:val="left"/>
      <w:pPr>
        <w:tabs>
          <w:tab w:val="num" w:pos="4626"/>
        </w:tabs>
        <w:ind w:left="4626" w:hanging="360"/>
      </w:pPr>
      <w:rPr>
        <w:rFonts w:ascii="Courier New" w:hAnsi="Courier New" w:hint="default"/>
      </w:rPr>
    </w:lvl>
    <w:lvl w:ilvl="8" w:tplc="48788088" w:tentative="1">
      <w:start w:val="1"/>
      <w:numFmt w:val="bullet"/>
      <w:lvlText w:val=""/>
      <w:lvlJc w:val="left"/>
      <w:pPr>
        <w:tabs>
          <w:tab w:val="num" w:pos="5346"/>
        </w:tabs>
        <w:ind w:left="5346" w:hanging="360"/>
      </w:pPr>
      <w:rPr>
        <w:rFonts w:ascii="Wingdings" w:hAnsi="Wingdings" w:hint="default"/>
      </w:rPr>
    </w:lvl>
  </w:abstractNum>
  <w:abstractNum w:abstractNumId="124">
    <w:nsid w:val="00000088"/>
    <w:multiLevelType w:val="hybridMultilevel"/>
    <w:tmpl w:val="B2E8E736"/>
    <w:lvl w:ilvl="0" w:tplc="F27412B8">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EF00BE8">
      <w:start w:val="1"/>
      <w:numFmt w:val="bullet"/>
      <w:lvlText w:val="o"/>
      <w:lvlJc w:val="left"/>
      <w:pPr>
        <w:tabs>
          <w:tab w:val="num" w:pos="306"/>
        </w:tabs>
        <w:ind w:left="306" w:hanging="360"/>
      </w:pPr>
      <w:rPr>
        <w:rFonts w:ascii="Courier New" w:hAnsi="Courier New" w:hint="default"/>
      </w:rPr>
    </w:lvl>
    <w:lvl w:ilvl="2" w:tplc="045C8E50">
      <w:numFmt w:val="bullet"/>
      <w:pStyle w:val="Level2Bullet-BarcRA60"/>
      <w:lvlText w:val="–"/>
      <w:lvlJc w:val="left"/>
      <w:pPr>
        <w:tabs>
          <w:tab w:val="num" w:pos="1401"/>
        </w:tabs>
        <w:ind w:left="1401" w:hanging="735"/>
      </w:pPr>
      <w:rPr>
        <w:rFonts w:ascii="Arial" w:eastAsia="Times New Roman" w:hAnsi="Arial" w:hint="default"/>
      </w:rPr>
    </w:lvl>
    <w:lvl w:ilvl="3" w:tplc="01B00866" w:tentative="1">
      <w:start w:val="1"/>
      <w:numFmt w:val="bullet"/>
      <w:lvlText w:val=""/>
      <w:lvlJc w:val="left"/>
      <w:pPr>
        <w:tabs>
          <w:tab w:val="num" w:pos="1746"/>
        </w:tabs>
        <w:ind w:left="1746" w:hanging="360"/>
      </w:pPr>
      <w:rPr>
        <w:rFonts w:ascii="Symbol" w:hAnsi="Symbol" w:hint="default"/>
      </w:rPr>
    </w:lvl>
    <w:lvl w:ilvl="4" w:tplc="725CC89E" w:tentative="1">
      <w:start w:val="1"/>
      <w:numFmt w:val="bullet"/>
      <w:lvlText w:val="o"/>
      <w:lvlJc w:val="left"/>
      <w:pPr>
        <w:tabs>
          <w:tab w:val="num" w:pos="2466"/>
        </w:tabs>
        <w:ind w:left="2466" w:hanging="360"/>
      </w:pPr>
      <w:rPr>
        <w:rFonts w:ascii="Courier New" w:hAnsi="Courier New" w:hint="default"/>
      </w:rPr>
    </w:lvl>
    <w:lvl w:ilvl="5" w:tplc="CA1E6568" w:tentative="1">
      <w:start w:val="1"/>
      <w:numFmt w:val="bullet"/>
      <w:lvlText w:val=""/>
      <w:lvlJc w:val="left"/>
      <w:pPr>
        <w:tabs>
          <w:tab w:val="num" w:pos="3186"/>
        </w:tabs>
        <w:ind w:left="3186" w:hanging="360"/>
      </w:pPr>
      <w:rPr>
        <w:rFonts w:ascii="Wingdings" w:hAnsi="Wingdings" w:hint="default"/>
      </w:rPr>
    </w:lvl>
    <w:lvl w:ilvl="6" w:tplc="E618DBF0" w:tentative="1">
      <w:start w:val="1"/>
      <w:numFmt w:val="bullet"/>
      <w:lvlText w:val=""/>
      <w:lvlJc w:val="left"/>
      <w:pPr>
        <w:tabs>
          <w:tab w:val="num" w:pos="3906"/>
        </w:tabs>
        <w:ind w:left="3906" w:hanging="360"/>
      </w:pPr>
      <w:rPr>
        <w:rFonts w:ascii="Symbol" w:hAnsi="Symbol" w:hint="default"/>
      </w:rPr>
    </w:lvl>
    <w:lvl w:ilvl="7" w:tplc="01488E74" w:tentative="1">
      <w:start w:val="1"/>
      <w:numFmt w:val="bullet"/>
      <w:lvlText w:val="o"/>
      <w:lvlJc w:val="left"/>
      <w:pPr>
        <w:tabs>
          <w:tab w:val="num" w:pos="4626"/>
        </w:tabs>
        <w:ind w:left="4626" w:hanging="360"/>
      </w:pPr>
      <w:rPr>
        <w:rFonts w:ascii="Courier New" w:hAnsi="Courier New" w:hint="default"/>
      </w:rPr>
    </w:lvl>
    <w:lvl w:ilvl="8" w:tplc="7A54497A" w:tentative="1">
      <w:start w:val="1"/>
      <w:numFmt w:val="bullet"/>
      <w:lvlText w:val=""/>
      <w:lvlJc w:val="left"/>
      <w:pPr>
        <w:tabs>
          <w:tab w:val="num" w:pos="5346"/>
        </w:tabs>
        <w:ind w:left="5346" w:hanging="360"/>
      </w:pPr>
      <w:rPr>
        <w:rFonts w:ascii="Wingdings" w:hAnsi="Wingdings" w:hint="default"/>
      </w:rPr>
    </w:lvl>
  </w:abstractNum>
  <w:abstractNum w:abstractNumId="125">
    <w:nsid w:val="00000089"/>
    <w:multiLevelType w:val="hybridMultilevel"/>
    <w:tmpl w:val="B2E8E736"/>
    <w:lvl w:ilvl="0" w:tplc="5BEA7EF2">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B6626BC">
      <w:start w:val="1"/>
      <w:numFmt w:val="bullet"/>
      <w:lvlText w:val="o"/>
      <w:lvlJc w:val="left"/>
      <w:pPr>
        <w:tabs>
          <w:tab w:val="num" w:pos="306"/>
        </w:tabs>
        <w:ind w:left="306" w:hanging="360"/>
      </w:pPr>
      <w:rPr>
        <w:rFonts w:ascii="Courier New" w:hAnsi="Courier New" w:cs="Times New Roman" w:hint="default"/>
      </w:rPr>
    </w:lvl>
    <w:lvl w:ilvl="2" w:tplc="3C2271D4">
      <w:numFmt w:val="bullet"/>
      <w:pStyle w:val="Level2Bullet-BarcRA21"/>
      <w:lvlText w:val="–"/>
      <w:lvlJc w:val="left"/>
      <w:pPr>
        <w:tabs>
          <w:tab w:val="num" w:pos="1401"/>
        </w:tabs>
        <w:ind w:left="1401" w:hanging="735"/>
      </w:pPr>
      <w:rPr>
        <w:rFonts w:ascii="Arial" w:eastAsia="Times New Roman" w:hAnsi="Arial" w:cs="Times New Roman" w:hint="default"/>
      </w:rPr>
    </w:lvl>
    <w:lvl w:ilvl="3" w:tplc="2AD2FDDA">
      <w:start w:val="1"/>
      <w:numFmt w:val="decimal"/>
      <w:lvlText w:val="%4."/>
      <w:lvlJc w:val="left"/>
      <w:pPr>
        <w:tabs>
          <w:tab w:val="num" w:pos="2880"/>
        </w:tabs>
        <w:ind w:left="2880" w:hanging="360"/>
      </w:pPr>
    </w:lvl>
    <w:lvl w:ilvl="4" w:tplc="38AC96F0">
      <w:start w:val="1"/>
      <w:numFmt w:val="decimal"/>
      <w:lvlText w:val="%5."/>
      <w:lvlJc w:val="left"/>
      <w:pPr>
        <w:tabs>
          <w:tab w:val="num" w:pos="3600"/>
        </w:tabs>
        <w:ind w:left="3600" w:hanging="360"/>
      </w:pPr>
    </w:lvl>
    <w:lvl w:ilvl="5" w:tplc="F8AA274A">
      <w:start w:val="1"/>
      <w:numFmt w:val="decimal"/>
      <w:lvlText w:val="%6."/>
      <w:lvlJc w:val="left"/>
      <w:pPr>
        <w:tabs>
          <w:tab w:val="num" w:pos="4320"/>
        </w:tabs>
        <w:ind w:left="4320" w:hanging="360"/>
      </w:pPr>
    </w:lvl>
    <w:lvl w:ilvl="6" w:tplc="CB18110E">
      <w:start w:val="1"/>
      <w:numFmt w:val="decimal"/>
      <w:lvlText w:val="%7."/>
      <w:lvlJc w:val="left"/>
      <w:pPr>
        <w:tabs>
          <w:tab w:val="num" w:pos="5040"/>
        </w:tabs>
        <w:ind w:left="5040" w:hanging="360"/>
      </w:pPr>
    </w:lvl>
    <w:lvl w:ilvl="7" w:tplc="CA9EC83A">
      <w:start w:val="1"/>
      <w:numFmt w:val="decimal"/>
      <w:lvlText w:val="%8."/>
      <w:lvlJc w:val="left"/>
      <w:pPr>
        <w:tabs>
          <w:tab w:val="num" w:pos="5760"/>
        </w:tabs>
        <w:ind w:left="5760" w:hanging="360"/>
      </w:pPr>
    </w:lvl>
    <w:lvl w:ilvl="8" w:tplc="0E24DB84">
      <w:start w:val="1"/>
      <w:numFmt w:val="decimal"/>
      <w:lvlText w:val="%9."/>
      <w:lvlJc w:val="left"/>
      <w:pPr>
        <w:tabs>
          <w:tab w:val="num" w:pos="6480"/>
        </w:tabs>
        <w:ind w:left="6480" w:hanging="360"/>
      </w:pPr>
    </w:lvl>
  </w:abstractNum>
  <w:abstractNum w:abstractNumId="126">
    <w:nsid w:val="0000008A"/>
    <w:multiLevelType w:val="hybridMultilevel"/>
    <w:tmpl w:val="B4DAA854"/>
    <w:lvl w:ilvl="0" w:tplc="B9DE2866">
      <w:start w:val="1"/>
      <w:numFmt w:val="bullet"/>
      <w:pStyle w:val="Level1Bullet-BarcRA12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1B889536">
      <w:start w:val="1"/>
      <w:numFmt w:val="bullet"/>
      <w:lvlText w:val="o"/>
      <w:lvlJc w:val="left"/>
      <w:pPr>
        <w:tabs>
          <w:tab w:val="num" w:pos="306"/>
        </w:tabs>
        <w:ind w:left="306" w:hanging="360"/>
      </w:pPr>
      <w:rPr>
        <w:rFonts w:ascii="Courier New" w:hAnsi="Courier New" w:cs="Times New Roman" w:hint="default"/>
      </w:rPr>
    </w:lvl>
    <w:lvl w:ilvl="2" w:tplc="AB6E1D8E">
      <w:numFmt w:val="bullet"/>
      <w:lvlText w:val="-"/>
      <w:lvlJc w:val="left"/>
      <w:pPr>
        <w:tabs>
          <w:tab w:val="num" w:pos="1401"/>
        </w:tabs>
        <w:ind w:left="1401" w:hanging="735"/>
      </w:pPr>
      <w:rPr>
        <w:rFonts w:ascii="Barclays Serif" w:eastAsia="Times New Roman" w:hAnsi="Barclays Serif" w:cs="Times New Roman" w:hint="default"/>
      </w:rPr>
    </w:lvl>
    <w:lvl w:ilvl="3" w:tplc="3174ACA2">
      <w:start w:val="1"/>
      <w:numFmt w:val="decimal"/>
      <w:lvlText w:val="%4."/>
      <w:lvlJc w:val="left"/>
      <w:pPr>
        <w:tabs>
          <w:tab w:val="num" w:pos="2880"/>
        </w:tabs>
        <w:ind w:left="2880" w:hanging="360"/>
      </w:pPr>
    </w:lvl>
    <w:lvl w:ilvl="4" w:tplc="483CA38E">
      <w:start w:val="1"/>
      <w:numFmt w:val="decimal"/>
      <w:lvlText w:val="%5."/>
      <w:lvlJc w:val="left"/>
      <w:pPr>
        <w:tabs>
          <w:tab w:val="num" w:pos="3600"/>
        </w:tabs>
        <w:ind w:left="3600" w:hanging="360"/>
      </w:pPr>
    </w:lvl>
    <w:lvl w:ilvl="5" w:tplc="25E04AB4">
      <w:start w:val="1"/>
      <w:numFmt w:val="decimal"/>
      <w:lvlText w:val="%6."/>
      <w:lvlJc w:val="left"/>
      <w:pPr>
        <w:tabs>
          <w:tab w:val="num" w:pos="4320"/>
        </w:tabs>
        <w:ind w:left="4320" w:hanging="360"/>
      </w:pPr>
    </w:lvl>
    <w:lvl w:ilvl="6" w:tplc="401CD3C6">
      <w:start w:val="1"/>
      <w:numFmt w:val="decimal"/>
      <w:lvlText w:val="%7."/>
      <w:lvlJc w:val="left"/>
      <w:pPr>
        <w:tabs>
          <w:tab w:val="num" w:pos="5040"/>
        </w:tabs>
        <w:ind w:left="5040" w:hanging="360"/>
      </w:pPr>
    </w:lvl>
    <w:lvl w:ilvl="7" w:tplc="D5604ACC">
      <w:start w:val="1"/>
      <w:numFmt w:val="decimal"/>
      <w:lvlText w:val="%8."/>
      <w:lvlJc w:val="left"/>
      <w:pPr>
        <w:tabs>
          <w:tab w:val="num" w:pos="5760"/>
        </w:tabs>
        <w:ind w:left="5760" w:hanging="360"/>
      </w:pPr>
    </w:lvl>
    <w:lvl w:ilvl="8" w:tplc="D010A5DE">
      <w:start w:val="1"/>
      <w:numFmt w:val="decimal"/>
      <w:lvlText w:val="%9."/>
      <w:lvlJc w:val="left"/>
      <w:pPr>
        <w:tabs>
          <w:tab w:val="num" w:pos="6480"/>
        </w:tabs>
        <w:ind w:left="6480" w:hanging="360"/>
      </w:pPr>
    </w:lvl>
  </w:abstractNum>
  <w:abstractNum w:abstractNumId="127">
    <w:nsid w:val="0000008C"/>
    <w:multiLevelType w:val="hybridMultilevel"/>
    <w:tmpl w:val="B2E8E736"/>
    <w:lvl w:ilvl="0" w:tplc="4AE8131C">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B4AD9C8">
      <w:start w:val="1"/>
      <w:numFmt w:val="bullet"/>
      <w:lvlText w:val="o"/>
      <w:lvlJc w:val="left"/>
      <w:pPr>
        <w:tabs>
          <w:tab w:val="num" w:pos="306"/>
        </w:tabs>
        <w:ind w:left="306" w:hanging="360"/>
      </w:pPr>
      <w:rPr>
        <w:rFonts w:ascii="Courier New" w:hAnsi="Courier New" w:cs="Times New Roman" w:hint="default"/>
      </w:rPr>
    </w:lvl>
    <w:lvl w:ilvl="2" w:tplc="702CBB88">
      <w:numFmt w:val="bullet"/>
      <w:pStyle w:val="Level2Bullet-BarcRA61"/>
      <w:lvlText w:val="–"/>
      <w:lvlJc w:val="left"/>
      <w:pPr>
        <w:tabs>
          <w:tab w:val="num" w:pos="1401"/>
        </w:tabs>
        <w:ind w:left="1401" w:hanging="735"/>
      </w:pPr>
      <w:rPr>
        <w:rFonts w:ascii="Arial" w:eastAsia="Times New Roman" w:hAnsi="Arial" w:cs="Times New Roman" w:hint="default"/>
      </w:rPr>
    </w:lvl>
    <w:lvl w:ilvl="3" w:tplc="F72A92B0">
      <w:start w:val="1"/>
      <w:numFmt w:val="decimal"/>
      <w:lvlText w:val="%4."/>
      <w:lvlJc w:val="left"/>
      <w:pPr>
        <w:tabs>
          <w:tab w:val="num" w:pos="2880"/>
        </w:tabs>
        <w:ind w:left="2880" w:hanging="360"/>
      </w:pPr>
    </w:lvl>
    <w:lvl w:ilvl="4" w:tplc="0EC4DB2C">
      <w:start w:val="1"/>
      <w:numFmt w:val="decimal"/>
      <w:lvlText w:val="%5."/>
      <w:lvlJc w:val="left"/>
      <w:pPr>
        <w:tabs>
          <w:tab w:val="num" w:pos="3600"/>
        </w:tabs>
        <w:ind w:left="3600" w:hanging="360"/>
      </w:pPr>
    </w:lvl>
    <w:lvl w:ilvl="5" w:tplc="BD503460">
      <w:start w:val="1"/>
      <w:numFmt w:val="decimal"/>
      <w:lvlText w:val="%6."/>
      <w:lvlJc w:val="left"/>
      <w:pPr>
        <w:tabs>
          <w:tab w:val="num" w:pos="4320"/>
        </w:tabs>
        <w:ind w:left="4320" w:hanging="360"/>
      </w:pPr>
    </w:lvl>
    <w:lvl w:ilvl="6" w:tplc="A6BE46C8">
      <w:start w:val="1"/>
      <w:numFmt w:val="decimal"/>
      <w:lvlText w:val="%7."/>
      <w:lvlJc w:val="left"/>
      <w:pPr>
        <w:tabs>
          <w:tab w:val="num" w:pos="5040"/>
        </w:tabs>
        <w:ind w:left="5040" w:hanging="360"/>
      </w:pPr>
    </w:lvl>
    <w:lvl w:ilvl="7" w:tplc="E28E131C">
      <w:start w:val="1"/>
      <w:numFmt w:val="decimal"/>
      <w:lvlText w:val="%8."/>
      <w:lvlJc w:val="left"/>
      <w:pPr>
        <w:tabs>
          <w:tab w:val="num" w:pos="5760"/>
        </w:tabs>
        <w:ind w:left="5760" w:hanging="360"/>
      </w:pPr>
    </w:lvl>
    <w:lvl w:ilvl="8" w:tplc="829C2BA0">
      <w:start w:val="1"/>
      <w:numFmt w:val="decimal"/>
      <w:lvlText w:val="%9."/>
      <w:lvlJc w:val="left"/>
      <w:pPr>
        <w:tabs>
          <w:tab w:val="num" w:pos="6480"/>
        </w:tabs>
        <w:ind w:left="6480" w:hanging="360"/>
      </w:pPr>
    </w:lvl>
  </w:abstractNum>
  <w:abstractNum w:abstractNumId="128">
    <w:nsid w:val="0000008D"/>
    <w:multiLevelType w:val="hybridMultilevel"/>
    <w:tmpl w:val="B2E8E736"/>
    <w:lvl w:ilvl="0" w:tplc="AE3A5678">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B6881128">
      <w:start w:val="1"/>
      <w:numFmt w:val="bullet"/>
      <w:lvlText w:val="o"/>
      <w:lvlJc w:val="left"/>
      <w:pPr>
        <w:tabs>
          <w:tab w:val="num" w:pos="306"/>
        </w:tabs>
        <w:ind w:left="306" w:hanging="360"/>
      </w:pPr>
      <w:rPr>
        <w:rFonts w:ascii="Courier New" w:hAnsi="Courier New" w:cs="Times New Roman" w:hint="default"/>
      </w:rPr>
    </w:lvl>
    <w:lvl w:ilvl="2" w:tplc="9774C9A0">
      <w:numFmt w:val="bullet"/>
      <w:pStyle w:val="Level2Bullet-BarcRA22"/>
      <w:lvlText w:val="–"/>
      <w:lvlJc w:val="left"/>
      <w:pPr>
        <w:tabs>
          <w:tab w:val="num" w:pos="1401"/>
        </w:tabs>
        <w:ind w:left="1401" w:hanging="735"/>
      </w:pPr>
      <w:rPr>
        <w:rFonts w:ascii="Arial" w:eastAsia="Times New Roman" w:hAnsi="Arial" w:cs="Times New Roman" w:hint="default"/>
      </w:rPr>
    </w:lvl>
    <w:lvl w:ilvl="3" w:tplc="71AA0D42">
      <w:start w:val="1"/>
      <w:numFmt w:val="decimal"/>
      <w:lvlText w:val="%4."/>
      <w:lvlJc w:val="left"/>
      <w:pPr>
        <w:tabs>
          <w:tab w:val="num" w:pos="2880"/>
        </w:tabs>
        <w:ind w:left="2880" w:hanging="360"/>
      </w:pPr>
    </w:lvl>
    <w:lvl w:ilvl="4" w:tplc="0CF46D02">
      <w:start w:val="1"/>
      <w:numFmt w:val="decimal"/>
      <w:lvlText w:val="%5."/>
      <w:lvlJc w:val="left"/>
      <w:pPr>
        <w:tabs>
          <w:tab w:val="num" w:pos="3600"/>
        </w:tabs>
        <w:ind w:left="3600" w:hanging="360"/>
      </w:pPr>
    </w:lvl>
    <w:lvl w:ilvl="5" w:tplc="56D0CDA6">
      <w:start w:val="1"/>
      <w:numFmt w:val="decimal"/>
      <w:lvlText w:val="%6."/>
      <w:lvlJc w:val="left"/>
      <w:pPr>
        <w:tabs>
          <w:tab w:val="num" w:pos="4320"/>
        </w:tabs>
        <w:ind w:left="4320" w:hanging="360"/>
      </w:pPr>
    </w:lvl>
    <w:lvl w:ilvl="6" w:tplc="E1028838">
      <w:start w:val="1"/>
      <w:numFmt w:val="decimal"/>
      <w:lvlText w:val="%7."/>
      <w:lvlJc w:val="left"/>
      <w:pPr>
        <w:tabs>
          <w:tab w:val="num" w:pos="5040"/>
        </w:tabs>
        <w:ind w:left="5040" w:hanging="360"/>
      </w:pPr>
    </w:lvl>
    <w:lvl w:ilvl="7" w:tplc="72B2A444">
      <w:start w:val="1"/>
      <w:numFmt w:val="decimal"/>
      <w:lvlText w:val="%8."/>
      <w:lvlJc w:val="left"/>
      <w:pPr>
        <w:tabs>
          <w:tab w:val="num" w:pos="5760"/>
        </w:tabs>
        <w:ind w:left="5760" w:hanging="360"/>
      </w:pPr>
    </w:lvl>
    <w:lvl w:ilvl="8" w:tplc="713A6196">
      <w:start w:val="1"/>
      <w:numFmt w:val="decimal"/>
      <w:lvlText w:val="%9."/>
      <w:lvlJc w:val="left"/>
      <w:pPr>
        <w:tabs>
          <w:tab w:val="num" w:pos="6480"/>
        </w:tabs>
        <w:ind w:left="6480" w:hanging="360"/>
      </w:pPr>
    </w:lvl>
  </w:abstractNum>
  <w:abstractNum w:abstractNumId="129">
    <w:nsid w:val="0000008E"/>
    <w:multiLevelType w:val="hybridMultilevel"/>
    <w:tmpl w:val="3F46D7DE"/>
    <w:lvl w:ilvl="0" w:tplc="28A82B0C">
      <w:start w:val="1"/>
      <w:numFmt w:val="decimal"/>
      <w:pStyle w:val="NoteandSourceText-BarcRA12"/>
      <w:lvlText w:val="%1"/>
      <w:lvlJc w:val="left"/>
      <w:pPr>
        <w:ind w:left="720" w:hanging="360"/>
      </w:pPr>
    </w:lvl>
    <w:lvl w:ilvl="1" w:tplc="C0449448">
      <w:start w:val="1"/>
      <w:numFmt w:val="decimal"/>
      <w:lvlText w:val="%2."/>
      <w:lvlJc w:val="left"/>
      <w:pPr>
        <w:tabs>
          <w:tab w:val="num" w:pos="1440"/>
        </w:tabs>
        <w:ind w:left="1440" w:hanging="360"/>
      </w:pPr>
    </w:lvl>
    <w:lvl w:ilvl="2" w:tplc="3B34CB42">
      <w:start w:val="1"/>
      <w:numFmt w:val="decimal"/>
      <w:lvlText w:val="%3."/>
      <w:lvlJc w:val="left"/>
      <w:pPr>
        <w:tabs>
          <w:tab w:val="num" w:pos="2160"/>
        </w:tabs>
        <w:ind w:left="2160" w:hanging="360"/>
      </w:pPr>
    </w:lvl>
    <w:lvl w:ilvl="3" w:tplc="282CACDE">
      <w:start w:val="1"/>
      <w:numFmt w:val="decimal"/>
      <w:lvlText w:val="%4."/>
      <w:lvlJc w:val="left"/>
      <w:pPr>
        <w:tabs>
          <w:tab w:val="num" w:pos="2880"/>
        </w:tabs>
        <w:ind w:left="2880" w:hanging="360"/>
      </w:pPr>
    </w:lvl>
    <w:lvl w:ilvl="4" w:tplc="5196378E">
      <w:start w:val="1"/>
      <w:numFmt w:val="decimal"/>
      <w:lvlText w:val="%5."/>
      <w:lvlJc w:val="left"/>
      <w:pPr>
        <w:tabs>
          <w:tab w:val="num" w:pos="3600"/>
        </w:tabs>
        <w:ind w:left="3600" w:hanging="360"/>
      </w:pPr>
    </w:lvl>
    <w:lvl w:ilvl="5" w:tplc="CF78B57C">
      <w:start w:val="1"/>
      <w:numFmt w:val="decimal"/>
      <w:lvlText w:val="%6."/>
      <w:lvlJc w:val="left"/>
      <w:pPr>
        <w:tabs>
          <w:tab w:val="num" w:pos="4320"/>
        </w:tabs>
        <w:ind w:left="4320" w:hanging="360"/>
      </w:pPr>
    </w:lvl>
    <w:lvl w:ilvl="6" w:tplc="FA9247FA">
      <w:start w:val="1"/>
      <w:numFmt w:val="decimal"/>
      <w:lvlText w:val="%7."/>
      <w:lvlJc w:val="left"/>
      <w:pPr>
        <w:tabs>
          <w:tab w:val="num" w:pos="5040"/>
        </w:tabs>
        <w:ind w:left="5040" w:hanging="360"/>
      </w:pPr>
    </w:lvl>
    <w:lvl w:ilvl="7" w:tplc="C5864608">
      <w:start w:val="1"/>
      <w:numFmt w:val="decimal"/>
      <w:lvlText w:val="%8."/>
      <w:lvlJc w:val="left"/>
      <w:pPr>
        <w:tabs>
          <w:tab w:val="num" w:pos="5760"/>
        </w:tabs>
        <w:ind w:left="5760" w:hanging="360"/>
      </w:pPr>
    </w:lvl>
    <w:lvl w:ilvl="8" w:tplc="F68C016C">
      <w:start w:val="1"/>
      <w:numFmt w:val="decimal"/>
      <w:lvlText w:val="%9."/>
      <w:lvlJc w:val="left"/>
      <w:pPr>
        <w:tabs>
          <w:tab w:val="num" w:pos="6480"/>
        </w:tabs>
        <w:ind w:left="6480" w:hanging="360"/>
      </w:pPr>
    </w:lvl>
  </w:abstractNum>
  <w:abstractNum w:abstractNumId="130">
    <w:nsid w:val="0000008F"/>
    <w:multiLevelType w:val="hybridMultilevel"/>
    <w:tmpl w:val="3F46D7DE"/>
    <w:lvl w:ilvl="0" w:tplc="7B44686C">
      <w:start w:val="1"/>
      <w:numFmt w:val="decimal"/>
      <w:pStyle w:val="NoteandSourceText-BarcRA120"/>
      <w:lvlText w:val="%1"/>
      <w:lvlJc w:val="left"/>
      <w:pPr>
        <w:ind w:left="720" w:hanging="360"/>
      </w:pPr>
    </w:lvl>
    <w:lvl w:ilvl="1" w:tplc="818449CE">
      <w:start w:val="1"/>
      <w:numFmt w:val="decimal"/>
      <w:lvlText w:val="%2."/>
      <w:lvlJc w:val="left"/>
      <w:pPr>
        <w:tabs>
          <w:tab w:val="num" w:pos="1440"/>
        </w:tabs>
        <w:ind w:left="1440" w:hanging="360"/>
      </w:pPr>
    </w:lvl>
    <w:lvl w:ilvl="2" w:tplc="D526B7DA">
      <w:start w:val="1"/>
      <w:numFmt w:val="decimal"/>
      <w:lvlText w:val="%3."/>
      <w:lvlJc w:val="left"/>
      <w:pPr>
        <w:tabs>
          <w:tab w:val="num" w:pos="2160"/>
        </w:tabs>
        <w:ind w:left="2160" w:hanging="360"/>
      </w:pPr>
    </w:lvl>
    <w:lvl w:ilvl="3" w:tplc="998E5F6C">
      <w:start w:val="1"/>
      <w:numFmt w:val="decimal"/>
      <w:lvlText w:val="%4."/>
      <w:lvlJc w:val="left"/>
      <w:pPr>
        <w:tabs>
          <w:tab w:val="num" w:pos="2880"/>
        </w:tabs>
        <w:ind w:left="2880" w:hanging="360"/>
      </w:pPr>
    </w:lvl>
    <w:lvl w:ilvl="4" w:tplc="3D4A90E4">
      <w:start w:val="1"/>
      <w:numFmt w:val="decimal"/>
      <w:lvlText w:val="%5."/>
      <w:lvlJc w:val="left"/>
      <w:pPr>
        <w:tabs>
          <w:tab w:val="num" w:pos="3600"/>
        </w:tabs>
        <w:ind w:left="3600" w:hanging="360"/>
      </w:pPr>
    </w:lvl>
    <w:lvl w:ilvl="5" w:tplc="004A7CE8">
      <w:start w:val="1"/>
      <w:numFmt w:val="decimal"/>
      <w:lvlText w:val="%6."/>
      <w:lvlJc w:val="left"/>
      <w:pPr>
        <w:tabs>
          <w:tab w:val="num" w:pos="4320"/>
        </w:tabs>
        <w:ind w:left="4320" w:hanging="360"/>
      </w:pPr>
    </w:lvl>
    <w:lvl w:ilvl="6" w:tplc="5CA24C18">
      <w:start w:val="1"/>
      <w:numFmt w:val="decimal"/>
      <w:lvlText w:val="%7."/>
      <w:lvlJc w:val="left"/>
      <w:pPr>
        <w:tabs>
          <w:tab w:val="num" w:pos="5040"/>
        </w:tabs>
        <w:ind w:left="5040" w:hanging="360"/>
      </w:pPr>
    </w:lvl>
    <w:lvl w:ilvl="7" w:tplc="8D624B2E">
      <w:start w:val="1"/>
      <w:numFmt w:val="decimal"/>
      <w:lvlText w:val="%8."/>
      <w:lvlJc w:val="left"/>
      <w:pPr>
        <w:tabs>
          <w:tab w:val="num" w:pos="5760"/>
        </w:tabs>
        <w:ind w:left="5760" w:hanging="360"/>
      </w:pPr>
    </w:lvl>
    <w:lvl w:ilvl="8" w:tplc="84B21E40">
      <w:start w:val="1"/>
      <w:numFmt w:val="decimal"/>
      <w:lvlText w:val="%9."/>
      <w:lvlJc w:val="left"/>
      <w:pPr>
        <w:tabs>
          <w:tab w:val="num" w:pos="6480"/>
        </w:tabs>
        <w:ind w:left="6480" w:hanging="360"/>
      </w:pPr>
    </w:lvl>
  </w:abstractNum>
  <w:abstractNum w:abstractNumId="131">
    <w:nsid w:val="00000091"/>
    <w:multiLevelType w:val="hybridMultilevel"/>
    <w:tmpl w:val="3F46D7DE"/>
    <w:lvl w:ilvl="0" w:tplc="F21A8236">
      <w:start w:val="1"/>
      <w:numFmt w:val="decimal"/>
      <w:pStyle w:val="NoteandSourceText-BarcRA121"/>
      <w:lvlText w:val="%1"/>
      <w:lvlJc w:val="left"/>
      <w:pPr>
        <w:ind w:left="720" w:hanging="360"/>
      </w:pPr>
    </w:lvl>
    <w:lvl w:ilvl="1" w:tplc="C116F4A6">
      <w:start w:val="1"/>
      <w:numFmt w:val="decimal"/>
      <w:lvlText w:val="%2."/>
      <w:lvlJc w:val="left"/>
      <w:pPr>
        <w:tabs>
          <w:tab w:val="num" w:pos="1440"/>
        </w:tabs>
        <w:ind w:left="1440" w:hanging="360"/>
      </w:pPr>
    </w:lvl>
    <w:lvl w:ilvl="2" w:tplc="3D2C3DC6">
      <w:start w:val="1"/>
      <w:numFmt w:val="decimal"/>
      <w:lvlText w:val="%3."/>
      <w:lvlJc w:val="left"/>
      <w:pPr>
        <w:tabs>
          <w:tab w:val="num" w:pos="2160"/>
        </w:tabs>
        <w:ind w:left="2160" w:hanging="360"/>
      </w:pPr>
    </w:lvl>
    <w:lvl w:ilvl="3" w:tplc="5C9A13D0">
      <w:start w:val="1"/>
      <w:numFmt w:val="decimal"/>
      <w:lvlText w:val="%4."/>
      <w:lvlJc w:val="left"/>
      <w:pPr>
        <w:tabs>
          <w:tab w:val="num" w:pos="2880"/>
        </w:tabs>
        <w:ind w:left="2880" w:hanging="360"/>
      </w:pPr>
    </w:lvl>
    <w:lvl w:ilvl="4" w:tplc="5CB86FB2">
      <w:start w:val="1"/>
      <w:numFmt w:val="decimal"/>
      <w:lvlText w:val="%5."/>
      <w:lvlJc w:val="left"/>
      <w:pPr>
        <w:tabs>
          <w:tab w:val="num" w:pos="3600"/>
        </w:tabs>
        <w:ind w:left="3600" w:hanging="360"/>
      </w:pPr>
    </w:lvl>
    <w:lvl w:ilvl="5" w:tplc="9870694C">
      <w:start w:val="1"/>
      <w:numFmt w:val="decimal"/>
      <w:lvlText w:val="%6."/>
      <w:lvlJc w:val="left"/>
      <w:pPr>
        <w:tabs>
          <w:tab w:val="num" w:pos="4320"/>
        </w:tabs>
        <w:ind w:left="4320" w:hanging="360"/>
      </w:pPr>
    </w:lvl>
    <w:lvl w:ilvl="6" w:tplc="E76CCDEE">
      <w:start w:val="1"/>
      <w:numFmt w:val="decimal"/>
      <w:lvlText w:val="%7."/>
      <w:lvlJc w:val="left"/>
      <w:pPr>
        <w:tabs>
          <w:tab w:val="num" w:pos="5040"/>
        </w:tabs>
        <w:ind w:left="5040" w:hanging="360"/>
      </w:pPr>
    </w:lvl>
    <w:lvl w:ilvl="7" w:tplc="DFE05008">
      <w:start w:val="1"/>
      <w:numFmt w:val="decimal"/>
      <w:lvlText w:val="%8."/>
      <w:lvlJc w:val="left"/>
      <w:pPr>
        <w:tabs>
          <w:tab w:val="num" w:pos="5760"/>
        </w:tabs>
        <w:ind w:left="5760" w:hanging="360"/>
      </w:pPr>
    </w:lvl>
    <w:lvl w:ilvl="8" w:tplc="C952E7F0">
      <w:start w:val="1"/>
      <w:numFmt w:val="decimal"/>
      <w:lvlText w:val="%9."/>
      <w:lvlJc w:val="left"/>
      <w:pPr>
        <w:tabs>
          <w:tab w:val="num" w:pos="6480"/>
        </w:tabs>
        <w:ind w:left="6480" w:hanging="360"/>
      </w:pPr>
    </w:lvl>
  </w:abstractNum>
  <w:abstractNum w:abstractNumId="132">
    <w:nsid w:val="00000093"/>
    <w:multiLevelType w:val="hybridMultilevel"/>
    <w:tmpl w:val="3F46D7DE"/>
    <w:lvl w:ilvl="0" w:tplc="7D7C7442">
      <w:start w:val="1"/>
      <w:numFmt w:val="decimal"/>
      <w:pStyle w:val="NoteandSourceText-BarcRA13"/>
      <w:lvlText w:val="%1"/>
      <w:lvlJc w:val="left"/>
      <w:pPr>
        <w:ind w:left="720" w:hanging="360"/>
      </w:pPr>
      <w:rPr>
        <w:rFonts w:hint="default"/>
      </w:rPr>
    </w:lvl>
    <w:lvl w:ilvl="1" w:tplc="9D1CE114" w:tentative="1">
      <w:start w:val="1"/>
      <w:numFmt w:val="lowerLetter"/>
      <w:lvlText w:val="%2."/>
      <w:lvlJc w:val="left"/>
      <w:pPr>
        <w:ind w:left="1440" w:hanging="360"/>
      </w:pPr>
    </w:lvl>
    <w:lvl w:ilvl="2" w:tplc="4FA03378" w:tentative="1">
      <w:start w:val="1"/>
      <w:numFmt w:val="lowerRoman"/>
      <w:lvlText w:val="%3."/>
      <w:lvlJc w:val="right"/>
      <w:pPr>
        <w:ind w:left="2160" w:hanging="180"/>
      </w:pPr>
    </w:lvl>
    <w:lvl w:ilvl="3" w:tplc="DD42B6E0" w:tentative="1">
      <w:start w:val="1"/>
      <w:numFmt w:val="decimal"/>
      <w:lvlText w:val="%4."/>
      <w:lvlJc w:val="left"/>
      <w:pPr>
        <w:ind w:left="2880" w:hanging="360"/>
      </w:pPr>
    </w:lvl>
    <w:lvl w:ilvl="4" w:tplc="677C55D0" w:tentative="1">
      <w:start w:val="1"/>
      <w:numFmt w:val="lowerLetter"/>
      <w:lvlText w:val="%5."/>
      <w:lvlJc w:val="left"/>
      <w:pPr>
        <w:ind w:left="3600" w:hanging="360"/>
      </w:pPr>
    </w:lvl>
    <w:lvl w:ilvl="5" w:tplc="84D41894" w:tentative="1">
      <w:start w:val="1"/>
      <w:numFmt w:val="lowerRoman"/>
      <w:lvlText w:val="%6."/>
      <w:lvlJc w:val="right"/>
      <w:pPr>
        <w:ind w:left="4320" w:hanging="180"/>
      </w:pPr>
    </w:lvl>
    <w:lvl w:ilvl="6" w:tplc="2D300C92" w:tentative="1">
      <w:start w:val="1"/>
      <w:numFmt w:val="decimal"/>
      <w:lvlText w:val="%7."/>
      <w:lvlJc w:val="left"/>
      <w:pPr>
        <w:ind w:left="5040" w:hanging="360"/>
      </w:pPr>
    </w:lvl>
    <w:lvl w:ilvl="7" w:tplc="7C6842BE" w:tentative="1">
      <w:start w:val="1"/>
      <w:numFmt w:val="lowerLetter"/>
      <w:lvlText w:val="%8."/>
      <w:lvlJc w:val="left"/>
      <w:pPr>
        <w:ind w:left="5760" w:hanging="360"/>
      </w:pPr>
    </w:lvl>
    <w:lvl w:ilvl="8" w:tplc="DD2C82B8" w:tentative="1">
      <w:start w:val="1"/>
      <w:numFmt w:val="lowerRoman"/>
      <w:lvlText w:val="%9."/>
      <w:lvlJc w:val="right"/>
      <w:pPr>
        <w:ind w:left="6480" w:hanging="180"/>
      </w:pPr>
    </w:lvl>
  </w:abstractNum>
  <w:abstractNum w:abstractNumId="133">
    <w:nsid w:val="00000097"/>
    <w:multiLevelType w:val="hybridMultilevel"/>
    <w:tmpl w:val="A5BCB540"/>
    <w:lvl w:ilvl="0" w:tplc="FFFFFFFF">
      <w:start w:val="1"/>
      <w:numFmt w:val="bullet"/>
      <w:pStyle w:val="Level1Bullet-BarcRA16"/>
      <w:lvlText w:val=""/>
      <w:lvlJc w:val="left"/>
      <w:pPr>
        <w:ind w:left="720" w:hanging="360"/>
      </w:pPr>
      <w:rPr>
        <w:rFonts w:ascii="Wingdings 2" w:hAnsi="Wingdings 2" w:cs="Wingdings 2" w:hint="default"/>
        <w:b w:val="0"/>
        <w:bCs w:val="0"/>
        <w:i w:val="0"/>
        <w:iCs w:val="0"/>
        <w:color w:val="auto"/>
        <w:spacing w:val="0"/>
        <w:w w:val="100"/>
        <w:position w:val="0"/>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4">
    <w:nsid w:val="00000098"/>
    <w:multiLevelType w:val="hybridMultilevel"/>
    <w:tmpl w:val="3F46D7DE"/>
    <w:lvl w:ilvl="0" w:tplc="7F16F862">
      <w:start w:val="1"/>
      <w:numFmt w:val="decimal"/>
      <w:pStyle w:val="NoteandSourceText-BarcRA15"/>
      <w:lvlText w:val="%1"/>
      <w:lvlJc w:val="left"/>
      <w:pPr>
        <w:ind w:left="720" w:hanging="360"/>
      </w:pPr>
    </w:lvl>
    <w:lvl w:ilvl="1" w:tplc="56927408">
      <w:start w:val="1"/>
      <w:numFmt w:val="decimal"/>
      <w:lvlText w:val="%2."/>
      <w:lvlJc w:val="left"/>
      <w:pPr>
        <w:tabs>
          <w:tab w:val="num" w:pos="1440"/>
        </w:tabs>
        <w:ind w:left="1440" w:hanging="360"/>
      </w:pPr>
    </w:lvl>
    <w:lvl w:ilvl="2" w:tplc="B12C8B60">
      <w:start w:val="1"/>
      <w:numFmt w:val="decimal"/>
      <w:lvlText w:val="%3."/>
      <w:lvlJc w:val="left"/>
      <w:pPr>
        <w:tabs>
          <w:tab w:val="num" w:pos="2160"/>
        </w:tabs>
        <w:ind w:left="2160" w:hanging="360"/>
      </w:pPr>
    </w:lvl>
    <w:lvl w:ilvl="3" w:tplc="7DF8F648">
      <w:start w:val="1"/>
      <w:numFmt w:val="decimal"/>
      <w:lvlText w:val="%4."/>
      <w:lvlJc w:val="left"/>
      <w:pPr>
        <w:tabs>
          <w:tab w:val="num" w:pos="2880"/>
        </w:tabs>
        <w:ind w:left="2880" w:hanging="360"/>
      </w:pPr>
    </w:lvl>
    <w:lvl w:ilvl="4" w:tplc="C62E6D02">
      <w:start w:val="1"/>
      <w:numFmt w:val="decimal"/>
      <w:lvlText w:val="%5."/>
      <w:lvlJc w:val="left"/>
      <w:pPr>
        <w:tabs>
          <w:tab w:val="num" w:pos="3600"/>
        </w:tabs>
        <w:ind w:left="3600" w:hanging="360"/>
      </w:pPr>
    </w:lvl>
    <w:lvl w:ilvl="5" w:tplc="45948AA0">
      <w:start w:val="1"/>
      <w:numFmt w:val="decimal"/>
      <w:lvlText w:val="%6."/>
      <w:lvlJc w:val="left"/>
      <w:pPr>
        <w:tabs>
          <w:tab w:val="num" w:pos="4320"/>
        </w:tabs>
        <w:ind w:left="4320" w:hanging="360"/>
      </w:pPr>
    </w:lvl>
    <w:lvl w:ilvl="6" w:tplc="C78CE1BC">
      <w:start w:val="1"/>
      <w:numFmt w:val="decimal"/>
      <w:lvlText w:val="%7."/>
      <w:lvlJc w:val="left"/>
      <w:pPr>
        <w:tabs>
          <w:tab w:val="num" w:pos="5040"/>
        </w:tabs>
        <w:ind w:left="5040" w:hanging="360"/>
      </w:pPr>
    </w:lvl>
    <w:lvl w:ilvl="7" w:tplc="667E4A20">
      <w:start w:val="1"/>
      <w:numFmt w:val="decimal"/>
      <w:lvlText w:val="%8."/>
      <w:lvlJc w:val="left"/>
      <w:pPr>
        <w:tabs>
          <w:tab w:val="num" w:pos="5760"/>
        </w:tabs>
        <w:ind w:left="5760" w:hanging="360"/>
      </w:pPr>
    </w:lvl>
    <w:lvl w:ilvl="8" w:tplc="26201C82">
      <w:start w:val="1"/>
      <w:numFmt w:val="decimal"/>
      <w:lvlText w:val="%9."/>
      <w:lvlJc w:val="left"/>
      <w:pPr>
        <w:tabs>
          <w:tab w:val="num" w:pos="6480"/>
        </w:tabs>
        <w:ind w:left="6480" w:hanging="360"/>
      </w:pPr>
    </w:lvl>
  </w:abstractNum>
  <w:abstractNum w:abstractNumId="135">
    <w:nsid w:val="0000009A"/>
    <w:multiLevelType w:val="hybridMultilevel"/>
    <w:tmpl w:val="B4DAA854"/>
    <w:lvl w:ilvl="0" w:tplc="933CD6A0">
      <w:start w:val="1"/>
      <w:numFmt w:val="bullet"/>
      <w:pStyle w:val="Level1Bullet-BarcRA2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391E8C0E">
      <w:start w:val="1"/>
      <w:numFmt w:val="bullet"/>
      <w:lvlText w:val="o"/>
      <w:lvlJc w:val="left"/>
      <w:pPr>
        <w:tabs>
          <w:tab w:val="num" w:pos="306"/>
        </w:tabs>
        <w:ind w:left="306" w:hanging="360"/>
      </w:pPr>
      <w:rPr>
        <w:rFonts w:ascii="Courier New" w:hAnsi="Courier New" w:cs="Times New Roman" w:hint="default"/>
      </w:rPr>
    </w:lvl>
    <w:lvl w:ilvl="2" w:tplc="6AE8CE24">
      <w:numFmt w:val="bullet"/>
      <w:lvlText w:val="-"/>
      <w:lvlJc w:val="left"/>
      <w:pPr>
        <w:tabs>
          <w:tab w:val="num" w:pos="1401"/>
        </w:tabs>
        <w:ind w:left="1401" w:hanging="735"/>
      </w:pPr>
      <w:rPr>
        <w:rFonts w:ascii="Barclays Serif" w:eastAsia="Times New Roman" w:hAnsi="Barclays Serif" w:cs="Times New Roman" w:hint="default"/>
      </w:rPr>
    </w:lvl>
    <w:lvl w:ilvl="3" w:tplc="F21E0C0A">
      <w:start w:val="1"/>
      <w:numFmt w:val="decimal"/>
      <w:lvlText w:val="%4."/>
      <w:lvlJc w:val="left"/>
      <w:pPr>
        <w:tabs>
          <w:tab w:val="num" w:pos="2880"/>
        </w:tabs>
        <w:ind w:left="2880" w:hanging="360"/>
      </w:pPr>
    </w:lvl>
    <w:lvl w:ilvl="4" w:tplc="21B6A26A">
      <w:start w:val="1"/>
      <w:numFmt w:val="decimal"/>
      <w:lvlText w:val="%5."/>
      <w:lvlJc w:val="left"/>
      <w:pPr>
        <w:tabs>
          <w:tab w:val="num" w:pos="3600"/>
        </w:tabs>
        <w:ind w:left="3600" w:hanging="360"/>
      </w:pPr>
    </w:lvl>
    <w:lvl w:ilvl="5" w:tplc="67A6C8E0">
      <w:start w:val="1"/>
      <w:numFmt w:val="decimal"/>
      <w:lvlText w:val="%6."/>
      <w:lvlJc w:val="left"/>
      <w:pPr>
        <w:tabs>
          <w:tab w:val="num" w:pos="4320"/>
        </w:tabs>
        <w:ind w:left="4320" w:hanging="360"/>
      </w:pPr>
    </w:lvl>
    <w:lvl w:ilvl="6" w:tplc="C55602A8">
      <w:start w:val="1"/>
      <w:numFmt w:val="decimal"/>
      <w:lvlText w:val="%7."/>
      <w:lvlJc w:val="left"/>
      <w:pPr>
        <w:tabs>
          <w:tab w:val="num" w:pos="5040"/>
        </w:tabs>
        <w:ind w:left="5040" w:hanging="360"/>
      </w:pPr>
    </w:lvl>
    <w:lvl w:ilvl="7" w:tplc="65109738">
      <w:start w:val="1"/>
      <w:numFmt w:val="decimal"/>
      <w:lvlText w:val="%8."/>
      <w:lvlJc w:val="left"/>
      <w:pPr>
        <w:tabs>
          <w:tab w:val="num" w:pos="5760"/>
        </w:tabs>
        <w:ind w:left="5760" w:hanging="360"/>
      </w:pPr>
    </w:lvl>
    <w:lvl w:ilvl="8" w:tplc="E4DC7B9C">
      <w:start w:val="1"/>
      <w:numFmt w:val="decimal"/>
      <w:lvlText w:val="%9."/>
      <w:lvlJc w:val="left"/>
      <w:pPr>
        <w:tabs>
          <w:tab w:val="num" w:pos="6480"/>
        </w:tabs>
        <w:ind w:left="6480" w:hanging="360"/>
      </w:pPr>
    </w:lvl>
  </w:abstractNum>
  <w:abstractNum w:abstractNumId="136">
    <w:nsid w:val="0000009C"/>
    <w:multiLevelType w:val="hybridMultilevel"/>
    <w:tmpl w:val="B4DAA854"/>
    <w:lvl w:ilvl="0" w:tplc="703C4526">
      <w:start w:val="1"/>
      <w:numFmt w:val="bullet"/>
      <w:pStyle w:val="Level1Bullet-BarcRA2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17A8F63C">
      <w:start w:val="1"/>
      <w:numFmt w:val="bullet"/>
      <w:lvlText w:val="o"/>
      <w:lvlJc w:val="left"/>
      <w:pPr>
        <w:tabs>
          <w:tab w:val="num" w:pos="306"/>
        </w:tabs>
        <w:ind w:left="306" w:hanging="360"/>
      </w:pPr>
      <w:rPr>
        <w:rFonts w:ascii="Courier New" w:hAnsi="Courier New" w:cs="Times New Roman" w:hint="default"/>
      </w:rPr>
    </w:lvl>
    <w:lvl w:ilvl="2" w:tplc="01C416AA">
      <w:numFmt w:val="bullet"/>
      <w:lvlText w:val="-"/>
      <w:lvlJc w:val="left"/>
      <w:pPr>
        <w:tabs>
          <w:tab w:val="num" w:pos="1401"/>
        </w:tabs>
        <w:ind w:left="1401" w:hanging="735"/>
      </w:pPr>
      <w:rPr>
        <w:rFonts w:ascii="Barclays Serif" w:eastAsia="Times New Roman" w:hAnsi="Barclays Serif" w:cs="Times New Roman" w:hint="default"/>
      </w:rPr>
    </w:lvl>
    <w:lvl w:ilvl="3" w:tplc="DF2E7B7C">
      <w:start w:val="1"/>
      <w:numFmt w:val="decimal"/>
      <w:lvlText w:val="%4."/>
      <w:lvlJc w:val="left"/>
      <w:pPr>
        <w:tabs>
          <w:tab w:val="num" w:pos="2880"/>
        </w:tabs>
        <w:ind w:left="2880" w:hanging="360"/>
      </w:pPr>
    </w:lvl>
    <w:lvl w:ilvl="4" w:tplc="EAB22E6C">
      <w:start w:val="1"/>
      <w:numFmt w:val="decimal"/>
      <w:lvlText w:val="%5."/>
      <w:lvlJc w:val="left"/>
      <w:pPr>
        <w:tabs>
          <w:tab w:val="num" w:pos="3600"/>
        </w:tabs>
        <w:ind w:left="3600" w:hanging="360"/>
      </w:pPr>
    </w:lvl>
    <w:lvl w:ilvl="5" w:tplc="4306B92E">
      <w:start w:val="1"/>
      <w:numFmt w:val="decimal"/>
      <w:lvlText w:val="%6."/>
      <w:lvlJc w:val="left"/>
      <w:pPr>
        <w:tabs>
          <w:tab w:val="num" w:pos="4320"/>
        </w:tabs>
        <w:ind w:left="4320" w:hanging="360"/>
      </w:pPr>
    </w:lvl>
    <w:lvl w:ilvl="6" w:tplc="9B50D36C">
      <w:start w:val="1"/>
      <w:numFmt w:val="decimal"/>
      <w:lvlText w:val="%7."/>
      <w:lvlJc w:val="left"/>
      <w:pPr>
        <w:tabs>
          <w:tab w:val="num" w:pos="5040"/>
        </w:tabs>
        <w:ind w:left="5040" w:hanging="360"/>
      </w:pPr>
    </w:lvl>
    <w:lvl w:ilvl="7" w:tplc="80A4ACF6">
      <w:start w:val="1"/>
      <w:numFmt w:val="decimal"/>
      <w:lvlText w:val="%8."/>
      <w:lvlJc w:val="left"/>
      <w:pPr>
        <w:tabs>
          <w:tab w:val="num" w:pos="5760"/>
        </w:tabs>
        <w:ind w:left="5760" w:hanging="360"/>
      </w:pPr>
    </w:lvl>
    <w:lvl w:ilvl="8" w:tplc="DB329690">
      <w:start w:val="1"/>
      <w:numFmt w:val="decimal"/>
      <w:lvlText w:val="%9."/>
      <w:lvlJc w:val="left"/>
      <w:pPr>
        <w:tabs>
          <w:tab w:val="num" w:pos="6480"/>
        </w:tabs>
        <w:ind w:left="6480" w:hanging="360"/>
      </w:pPr>
    </w:lvl>
  </w:abstractNum>
  <w:abstractNum w:abstractNumId="137">
    <w:nsid w:val="0000009D"/>
    <w:multiLevelType w:val="hybridMultilevel"/>
    <w:tmpl w:val="B4DAA854"/>
    <w:lvl w:ilvl="0" w:tplc="E42AA346">
      <w:start w:val="1"/>
      <w:numFmt w:val="bullet"/>
      <w:pStyle w:val="Level1Bullet-BarcRA25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2B4E9334">
      <w:start w:val="1"/>
      <w:numFmt w:val="bullet"/>
      <w:lvlText w:val="o"/>
      <w:lvlJc w:val="left"/>
      <w:pPr>
        <w:tabs>
          <w:tab w:val="num" w:pos="306"/>
        </w:tabs>
        <w:ind w:left="306" w:hanging="360"/>
      </w:pPr>
      <w:rPr>
        <w:rFonts w:ascii="Courier New" w:hAnsi="Courier New" w:cs="Times New Roman" w:hint="default"/>
      </w:rPr>
    </w:lvl>
    <w:lvl w:ilvl="2" w:tplc="942C083E">
      <w:numFmt w:val="bullet"/>
      <w:lvlText w:val="-"/>
      <w:lvlJc w:val="left"/>
      <w:pPr>
        <w:tabs>
          <w:tab w:val="num" w:pos="1401"/>
        </w:tabs>
        <w:ind w:left="1401" w:hanging="735"/>
      </w:pPr>
      <w:rPr>
        <w:rFonts w:ascii="Barclays Serif" w:eastAsia="Times New Roman" w:hAnsi="Barclays Serif" w:cs="Times New Roman" w:hint="default"/>
      </w:rPr>
    </w:lvl>
    <w:lvl w:ilvl="3" w:tplc="9E6C30F0">
      <w:start w:val="1"/>
      <w:numFmt w:val="decimal"/>
      <w:lvlText w:val="%4."/>
      <w:lvlJc w:val="left"/>
      <w:pPr>
        <w:tabs>
          <w:tab w:val="num" w:pos="2880"/>
        </w:tabs>
        <w:ind w:left="2880" w:hanging="360"/>
      </w:pPr>
    </w:lvl>
    <w:lvl w:ilvl="4" w:tplc="F378FD68">
      <w:start w:val="1"/>
      <w:numFmt w:val="decimal"/>
      <w:lvlText w:val="%5."/>
      <w:lvlJc w:val="left"/>
      <w:pPr>
        <w:tabs>
          <w:tab w:val="num" w:pos="3600"/>
        </w:tabs>
        <w:ind w:left="3600" w:hanging="360"/>
      </w:pPr>
    </w:lvl>
    <w:lvl w:ilvl="5" w:tplc="48684EEC">
      <w:start w:val="1"/>
      <w:numFmt w:val="decimal"/>
      <w:lvlText w:val="%6."/>
      <w:lvlJc w:val="left"/>
      <w:pPr>
        <w:tabs>
          <w:tab w:val="num" w:pos="4320"/>
        </w:tabs>
        <w:ind w:left="4320" w:hanging="360"/>
      </w:pPr>
    </w:lvl>
    <w:lvl w:ilvl="6" w:tplc="3DE272CE">
      <w:start w:val="1"/>
      <w:numFmt w:val="decimal"/>
      <w:lvlText w:val="%7."/>
      <w:lvlJc w:val="left"/>
      <w:pPr>
        <w:tabs>
          <w:tab w:val="num" w:pos="5040"/>
        </w:tabs>
        <w:ind w:left="5040" w:hanging="360"/>
      </w:pPr>
    </w:lvl>
    <w:lvl w:ilvl="7" w:tplc="BA5842AE">
      <w:start w:val="1"/>
      <w:numFmt w:val="decimal"/>
      <w:lvlText w:val="%8."/>
      <w:lvlJc w:val="left"/>
      <w:pPr>
        <w:tabs>
          <w:tab w:val="num" w:pos="5760"/>
        </w:tabs>
        <w:ind w:left="5760" w:hanging="360"/>
      </w:pPr>
    </w:lvl>
    <w:lvl w:ilvl="8" w:tplc="83D4FDFE">
      <w:start w:val="1"/>
      <w:numFmt w:val="decimal"/>
      <w:lvlText w:val="%9."/>
      <w:lvlJc w:val="left"/>
      <w:pPr>
        <w:tabs>
          <w:tab w:val="num" w:pos="6480"/>
        </w:tabs>
        <w:ind w:left="6480" w:hanging="360"/>
      </w:pPr>
    </w:lvl>
  </w:abstractNum>
  <w:abstractNum w:abstractNumId="138">
    <w:nsid w:val="0000009E"/>
    <w:multiLevelType w:val="hybridMultilevel"/>
    <w:tmpl w:val="B4DAA854"/>
    <w:lvl w:ilvl="0" w:tplc="1BF62A16">
      <w:start w:val="1"/>
      <w:numFmt w:val="bullet"/>
      <w:pStyle w:val="Level1Bullet-BarcRA2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26E2A86">
      <w:start w:val="1"/>
      <w:numFmt w:val="bullet"/>
      <w:lvlText w:val="o"/>
      <w:lvlJc w:val="left"/>
      <w:pPr>
        <w:tabs>
          <w:tab w:val="num" w:pos="306"/>
        </w:tabs>
        <w:ind w:left="306" w:hanging="360"/>
      </w:pPr>
      <w:rPr>
        <w:rFonts w:ascii="Courier New" w:hAnsi="Courier New" w:hint="default"/>
      </w:rPr>
    </w:lvl>
    <w:lvl w:ilvl="2" w:tplc="B8BEC976">
      <w:numFmt w:val="bullet"/>
      <w:lvlText w:val="-"/>
      <w:lvlJc w:val="left"/>
      <w:pPr>
        <w:tabs>
          <w:tab w:val="num" w:pos="1401"/>
        </w:tabs>
        <w:ind w:left="1401" w:hanging="735"/>
      </w:pPr>
      <w:rPr>
        <w:rFonts w:ascii="Barclays Serif" w:eastAsia="Times New Roman" w:hAnsi="Barclays Serif" w:cs="Times New Roman" w:hint="default"/>
      </w:rPr>
    </w:lvl>
    <w:lvl w:ilvl="3" w:tplc="6BFE5636" w:tentative="1">
      <w:start w:val="1"/>
      <w:numFmt w:val="bullet"/>
      <w:lvlText w:val=""/>
      <w:lvlJc w:val="left"/>
      <w:pPr>
        <w:tabs>
          <w:tab w:val="num" w:pos="1746"/>
        </w:tabs>
        <w:ind w:left="1746" w:hanging="360"/>
      </w:pPr>
      <w:rPr>
        <w:rFonts w:ascii="Symbol" w:hAnsi="Symbol" w:hint="default"/>
      </w:rPr>
    </w:lvl>
    <w:lvl w:ilvl="4" w:tplc="ED7664F2" w:tentative="1">
      <w:start w:val="1"/>
      <w:numFmt w:val="bullet"/>
      <w:lvlText w:val="o"/>
      <w:lvlJc w:val="left"/>
      <w:pPr>
        <w:tabs>
          <w:tab w:val="num" w:pos="2466"/>
        </w:tabs>
        <w:ind w:left="2466" w:hanging="360"/>
      </w:pPr>
      <w:rPr>
        <w:rFonts w:ascii="Courier New" w:hAnsi="Courier New" w:hint="default"/>
      </w:rPr>
    </w:lvl>
    <w:lvl w:ilvl="5" w:tplc="FD7E5362" w:tentative="1">
      <w:start w:val="1"/>
      <w:numFmt w:val="bullet"/>
      <w:lvlText w:val=""/>
      <w:lvlJc w:val="left"/>
      <w:pPr>
        <w:tabs>
          <w:tab w:val="num" w:pos="3186"/>
        </w:tabs>
        <w:ind w:left="3186" w:hanging="360"/>
      </w:pPr>
      <w:rPr>
        <w:rFonts w:ascii="Wingdings" w:hAnsi="Wingdings" w:hint="default"/>
      </w:rPr>
    </w:lvl>
    <w:lvl w:ilvl="6" w:tplc="5076199C" w:tentative="1">
      <w:start w:val="1"/>
      <w:numFmt w:val="bullet"/>
      <w:lvlText w:val=""/>
      <w:lvlJc w:val="left"/>
      <w:pPr>
        <w:tabs>
          <w:tab w:val="num" w:pos="3906"/>
        </w:tabs>
        <w:ind w:left="3906" w:hanging="360"/>
      </w:pPr>
      <w:rPr>
        <w:rFonts w:ascii="Symbol" w:hAnsi="Symbol" w:hint="default"/>
      </w:rPr>
    </w:lvl>
    <w:lvl w:ilvl="7" w:tplc="E3DC1C8E" w:tentative="1">
      <w:start w:val="1"/>
      <w:numFmt w:val="bullet"/>
      <w:lvlText w:val="o"/>
      <w:lvlJc w:val="left"/>
      <w:pPr>
        <w:tabs>
          <w:tab w:val="num" w:pos="4626"/>
        </w:tabs>
        <w:ind w:left="4626" w:hanging="360"/>
      </w:pPr>
      <w:rPr>
        <w:rFonts w:ascii="Courier New" w:hAnsi="Courier New" w:hint="default"/>
      </w:rPr>
    </w:lvl>
    <w:lvl w:ilvl="8" w:tplc="BD225CDE" w:tentative="1">
      <w:start w:val="1"/>
      <w:numFmt w:val="bullet"/>
      <w:lvlText w:val=""/>
      <w:lvlJc w:val="left"/>
      <w:pPr>
        <w:tabs>
          <w:tab w:val="num" w:pos="5346"/>
        </w:tabs>
        <w:ind w:left="5346" w:hanging="360"/>
      </w:pPr>
      <w:rPr>
        <w:rFonts w:ascii="Wingdings" w:hAnsi="Wingdings" w:hint="default"/>
      </w:rPr>
    </w:lvl>
  </w:abstractNum>
  <w:abstractNum w:abstractNumId="139">
    <w:nsid w:val="0000009F"/>
    <w:multiLevelType w:val="hybridMultilevel"/>
    <w:tmpl w:val="B4DAA854"/>
    <w:lvl w:ilvl="0" w:tplc="E0829B18">
      <w:start w:val="1"/>
      <w:numFmt w:val="bullet"/>
      <w:pStyle w:val="Level1Bullet-BarcRA2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8E46A00">
      <w:start w:val="1"/>
      <w:numFmt w:val="bullet"/>
      <w:lvlText w:val="o"/>
      <w:lvlJc w:val="left"/>
      <w:pPr>
        <w:tabs>
          <w:tab w:val="num" w:pos="306"/>
        </w:tabs>
        <w:ind w:left="306" w:hanging="360"/>
      </w:pPr>
      <w:rPr>
        <w:rFonts w:ascii="Courier New" w:hAnsi="Courier New" w:cs="Times New Roman" w:hint="default"/>
      </w:rPr>
    </w:lvl>
    <w:lvl w:ilvl="2" w:tplc="096CD7DC">
      <w:numFmt w:val="bullet"/>
      <w:lvlText w:val="-"/>
      <w:lvlJc w:val="left"/>
      <w:pPr>
        <w:tabs>
          <w:tab w:val="num" w:pos="1401"/>
        </w:tabs>
        <w:ind w:left="1401" w:hanging="735"/>
      </w:pPr>
      <w:rPr>
        <w:rFonts w:ascii="Barclays Serif" w:eastAsia="Times New Roman" w:hAnsi="Barclays Serif" w:cs="Times New Roman" w:hint="default"/>
      </w:rPr>
    </w:lvl>
    <w:lvl w:ilvl="3" w:tplc="B886778A">
      <w:start w:val="1"/>
      <w:numFmt w:val="decimal"/>
      <w:lvlText w:val="%4."/>
      <w:lvlJc w:val="left"/>
      <w:pPr>
        <w:tabs>
          <w:tab w:val="num" w:pos="2880"/>
        </w:tabs>
        <w:ind w:left="2880" w:hanging="360"/>
      </w:pPr>
    </w:lvl>
    <w:lvl w:ilvl="4" w:tplc="5CB4E10E">
      <w:start w:val="1"/>
      <w:numFmt w:val="decimal"/>
      <w:lvlText w:val="%5."/>
      <w:lvlJc w:val="left"/>
      <w:pPr>
        <w:tabs>
          <w:tab w:val="num" w:pos="3600"/>
        </w:tabs>
        <w:ind w:left="3600" w:hanging="360"/>
      </w:pPr>
    </w:lvl>
    <w:lvl w:ilvl="5" w:tplc="82768D6E">
      <w:start w:val="1"/>
      <w:numFmt w:val="decimal"/>
      <w:lvlText w:val="%6."/>
      <w:lvlJc w:val="left"/>
      <w:pPr>
        <w:tabs>
          <w:tab w:val="num" w:pos="4320"/>
        </w:tabs>
        <w:ind w:left="4320" w:hanging="360"/>
      </w:pPr>
    </w:lvl>
    <w:lvl w:ilvl="6" w:tplc="1DB028B8">
      <w:start w:val="1"/>
      <w:numFmt w:val="decimal"/>
      <w:lvlText w:val="%7."/>
      <w:lvlJc w:val="left"/>
      <w:pPr>
        <w:tabs>
          <w:tab w:val="num" w:pos="5040"/>
        </w:tabs>
        <w:ind w:left="5040" w:hanging="360"/>
      </w:pPr>
    </w:lvl>
    <w:lvl w:ilvl="7" w:tplc="A30EF9D4">
      <w:start w:val="1"/>
      <w:numFmt w:val="decimal"/>
      <w:lvlText w:val="%8."/>
      <w:lvlJc w:val="left"/>
      <w:pPr>
        <w:tabs>
          <w:tab w:val="num" w:pos="5760"/>
        </w:tabs>
        <w:ind w:left="5760" w:hanging="360"/>
      </w:pPr>
    </w:lvl>
    <w:lvl w:ilvl="8" w:tplc="F0A8092A">
      <w:start w:val="1"/>
      <w:numFmt w:val="decimal"/>
      <w:lvlText w:val="%9."/>
      <w:lvlJc w:val="left"/>
      <w:pPr>
        <w:tabs>
          <w:tab w:val="num" w:pos="6480"/>
        </w:tabs>
        <w:ind w:left="6480" w:hanging="360"/>
      </w:pPr>
    </w:lvl>
  </w:abstractNum>
  <w:abstractNum w:abstractNumId="140">
    <w:nsid w:val="000000A0"/>
    <w:multiLevelType w:val="hybridMultilevel"/>
    <w:tmpl w:val="B4DAA854"/>
    <w:lvl w:ilvl="0" w:tplc="CCAA3F16">
      <w:start w:val="1"/>
      <w:numFmt w:val="bullet"/>
      <w:pStyle w:val="Level1Bullet-BarcRA2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4ECAAD6">
      <w:start w:val="1"/>
      <w:numFmt w:val="bullet"/>
      <w:lvlText w:val="o"/>
      <w:lvlJc w:val="left"/>
      <w:pPr>
        <w:tabs>
          <w:tab w:val="num" w:pos="306"/>
        </w:tabs>
        <w:ind w:left="306" w:hanging="360"/>
      </w:pPr>
      <w:rPr>
        <w:rFonts w:ascii="Courier New" w:hAnsi="Courier New" w:hint="default"/>
      </w:rPr>
    </w:lvl>
    <w:lvl w:ilvl="2" w:tplc="5C7EBFA8">
      <w:numFmt w:val="bullet"/>
      <w:lvlText w:val="-"/>
      <w:lvlJc w:val="left"/>
      <w:pPr>
        <w:tabs>
          <w:tab w:val="num" w:pos="1401"/>
        </w:tabs>
        <w:ind w:left="1401" w:hanging="735"/>
      </w:pPr>
      <w:rPr>
        <w:rFonts w:ascii="Barclays Serif" w:eastAsia="Times New Roman" w:hAnsi="Barclays Serif" w:cs="Times New Roman" w:hint="default"/>
      </w:rPr>
    </w:lvl>
    <w:lvl w:ilvl="3" w:tplc="40008D84" w:tentative="1">
      <w:start w:val="1"/>
      <w:numFmt w:val="bullet"/>
      <w:lvlText w:val=""/>
      <w:lvlJc w:val="left"/>
      <w:pPr>
        <w:tabs>
          <w:tab w:val="num" w:pos="1746"/>
        </w:tabs>
        <w:ind w:left="1746" w:hanging="360"/>
      </w:pPr>
      <w:rPr>
        <w:rFonts w:ascii="Symbol" w:hAnsi="Symbol" w:hint="default"/>
      </w:rPr>
    </w:lvl>
    <w:lvl w:ilvl="4" w:tplc="69B26130" w:tentative="1">
      <w:start w:val="1"/>
      <w:numFmt w:val="bullet"/>
      <w:lvlText w:val="o"/>
      <w:lvlJc w:val="left"/>
      <w:pPr>
        <w:tabs>
          <w:tab w:val="num" w:pos="2466"/>
        </w:tabs>
        <w:ind w:left="2466" w:hanging="360"/>
      </w:pPr>
      <w:rPr>
        <w:rFonts w:ascii="Courier New" w:hAnsi="Courier New" w:hint="default"/>
      </w:rPr>
    </w:lvl>
    <w:lvl w:ilvl="5" w:tplc="E3CA74B6" w:tentative="1">
      <w:start w:val="1"/>
      <w:numFmt w:val="bullet"/>
      <w:lvlText w:val=""/>
      <w:lvlJc w:val="left"/>
      <w:pPr>
        <w:tabs>
          <w:tab w:val="num" w:pos="3186"/>
        </w:tabs>
        <w:ind w:left="3186" w:hanging="360"/>
      </w:pPr>
      <w:rPr>
        <w:rFonts w:ascii="Wingdings" w:hAnsi="Wingdings" w:hint="default"/>
      </w:rPr>
    </w:lvl>
    <w:lvl w:ilvl="6" w:tplc="E546534A" w:tentative="1">
      <w:start w:val="1"/>
      <w:numFmt w:val="bullet"/>
      <w:lvlText w:val=""/>
      <w:lvlJc w:val="left"/>
      <w:pPr>
        <w:tabs>
          <w:tab w:val="num" w:pos="3906"/>
        </w:tabs>
        <w:ind w:left="3906" w:hanging="360"/>
      </w:pPr>
      <w:rPr>
        <w:rFonts w:ascii="Symbol" w:hAnsi="Symbol" w:hint="default"/>
      </w:rPr>
    </w:lvl>
    <w:lvl w:ilvl="7" w:tplc="9E12B6AA" w:tentative="1">
      <w:start w:val="1"/>
      <w:numFmt w:val="bullet"/>
      <w:lvlText w:val="o"/>
      <w:lvlJc w:val="left"/>
      <w:pPr>
        <w:tabs>
          <w:tab w:val="num" w:pos="4626"/>
        </w:tabs>
        <w:ind w:left="4626" w:hanging="360"/>
      </w:pPr>
      <w:rPr>
        <w:rFonts w:ascii="Courier New" w:hAnsi="Courier New" w:hint="default"/>
      </w:rPr>
    </w:lvl>
    <w:lvl w:ilvl="8" w:tplc="345AAE28" w:tentative="1">
      <w:start w:val="1"/>
      <w:numFmt w:val="bullet"/>
      <w:lvlText w:val=""/>
      <w:lvlJc w:val="left"/>
      <w:pPr>
        <w:tabs>
          <w:tab w:val="num" w:pos="5346"/>
        </w:tabs>
        <w:ind w:left="5346" w:hanging="360"/>
      </w:pPr>
      <w:rPr>
        <w:rFonts w:ascii="Wingdings" w:hAnsi="Wingdings" w:hint="default"/>
      </w:rPr>
    </w:lvl>
  </w:abstractNum>
  <w:abstractNum w:abstractNumId="141">
    <w:nsid w:val="000000A1"/>
    <w:multiLevelType w:val="hybridMultilevel"/>
    <w:tmpl w:val="B4DAA854"/>
    <w:lvl w:ilvl="0" w:tplc="B2A4B518">
      <w:start w:val="1"/>
      <w:numFmt w:val="bullet"/>
      <w:pStyle w:val="Level1Bullet-BarcRA3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926666A">
      <w:start w:val="1"/>
      <w:numFmt w:val="bullet"/>
      <w:lvlText w:val="o"/>
      <w:lvlJc w:val="left"/>
      <w:pPr>
        <w:tabs>
          <w:tab w:val="num" w:pos="306"/>
        </w:tabs>
        <w:ind w:left="306" w:hanging="360"/>
      </w:pPr>
      <w:rPr>
        <w:rFonts w:ascii="Courier New" w:hAnsi="Courier New" w:cs="Times New Roman" w:hint="default"/>
      </w:rPr>
    </w:lvl>
    <w:lvl w:ilvl="2" w:tplc="8F16A20C">
      <w:numFmt w:val="bullet"/>
      <w:lvlText w:val="-"/>
      <w:lvlJc w:val="left"/>
      <w:pPr>
        <w:tabs>
          <w:tab w:val="num" w:pos="1401"/>
        </w:tabs>
        <w:ind w:left="1401" w:hanging="735"/>
      </w:pPr>
      <w:rPr>
        <w:rFonts w:ascii="Barclays Serif" w:eastAsia="Times New Roman" w:hAnsi="Barclays Serif" w:cs="Times New Roman" w:hint="default"/>
      </w:rPr>
    </w:lvl>
    <w:lvl w:ilvl="3" w:tplc="4544C4C2">
      <w:start w:val="1"/>
      <w:numFmt w:val="decimal"/>
      <w:lvlText w:val="%4."/>
      <w:lvlJc w:val="left"/>
      <w:pPr>
        <w:tabs>
          <w:tab w:val="num" w:pos="2880"/>
        </w:tabs>
        <w:ind w:left="2880" w:hanging="360"/>
      </w:pPr>
    </w:lvl>
    <w:lvl w:ilvl="4" w:tplc="C1F8C02A">
      <w:start w:val="1"/>
      <w:numFmt w:val="decimal"/>
      <w:lvlText w:val="%5."/>
      <w:lvlJc w:val="left"/>
      <w:pPr>
        <w:tabs>
          <w:tab w:val="num" w:pos="3600"/>
        </w:tabs>
        <w:ind w:left="3600" w:hanging="360"/>
      </w:pPr>
    </w:lvl>
    <w:lvl w:ilvl="5" w:tplc="7FF4179C">
      <w:start w:val="1"/>
      <w:numFmt w:val="decimal"/>
      <w:lvlText w:val="%6."/>
      <w:lvlJc w:val="left"/>
      <w:pPr>
        <w:tabs>
          <w:tab w:val="num" w:pos="4320"/>
        </w:tabs>
        <w:ind w:left="4320" w:hanging="360"/>
      </w:pPr>
    </w:lvl>
    <w:lvl w:ilvl="6" w:tplc="2424D850">
      <w:start w:val="1"/>
      <w:numFmt w:val="decimal"/>
      <w:lvlText w:val="%7."/>
      <w:lvlJc w:val="left"/>
      <w:pPr>
        <w:tabs>
          <w:tab w:val="num" w:pos="5040"/>
        </w:tabs>
        <w:ind w:left="5040" w:hanging="360"/>
      </w:pPr>
    </w:lvl>
    <w:lvl w:ilvl="7" w:tplc="2D404894">
      <w:start w:val="1"/>
      <w:numFmt w:val="decimal"/>
      <w:lvlText w:val="%8."/>
      <w:lvlJc w:val="left"/>
      <w:pPr>
        <w:tabs>
          <w:tab w:val="num" w:pos="5760"/>
        </w:tabs>
        <w:ind w:left="5760" w:hanging="360"/>
      </w:pPr>
    </w:lvl>
    <w:lvl w:ilvl="8" w:tplc="B5B09736">
      <w:start w:val="1"/>
      <w:numFmt w:val="decimal"/>
      <w:lvlText w:val="%9."/>
      <w:lvlJc w:val="left"/>
      <w:pPr>
        <w:tabs>
          <w:tab w:val="num" w:pos="6480"/>
        </w:tabs>
        <w:ind w:left="6480" w:hanging="360"/>
      </w:pPr>
    </w:lvl>
  </w:abstractNum>
  <w:abstractNum w:abstractNumId="142">
    <w:nsid w:val="000000A2"/>
    <w:multiLevelType w:val="hybridMultilevel"/>
    <w:tmpl w:val="B4DAA854"/>
    <w:lvl w:ilvl="0" w:tplc="00AC166E">
      <w:start w:val="1"/>
      <w:numFmt w:val="bullet"/>
      <w:pStyle w:val="Level1Bullet-BarcRA27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6221B3C">
      <w:start w:val="1"/>
      <w:numFmt w:val="bullet"/>
      <w:lvlText w:val="o"/>
      <w:lvlJc w:val="left"/>
      <w:pPr>
        <w:tabs>
          <w:tab w:val="num" w:pos="306"/>
        </w:tabs>
        <w:ind w:left="306" w:hanging="360"/>
      </w:pPr>
      <w:rPr>
        <w:rFonts w:ascii="Courier New" w:hAnsi="Courier New" w:cs="Times New Roman" w:hint="default"/>
      </w:rPr>
    </w:lvl>
    <w:lvl w:ilvl="2" w:tplc="1DBE7470">
      <w:numFmt w:val="bullet"/>
      <w:lvlText w:val="-"/>
      <w:lvlJc w:val="left"/>
      <w:pPr>
        <w:tabs>
          <w:tab w:val="num" w:pos="1401"/>
        </w:tabs>
        <w:ind w:left="1401" w:hanging="735"/>
      </w:pPr>
      <w:rPr>
        <w:rFonts w:ascii="Barclays Serif" w:eastAsia="Times New Roman" w:hAnsi="Barclays Serif" w:cs="Times New Roman" w:hint="default"/>
      </w:rPr>
    </w:lvl>
    <w:lvl w:ilvl="3" w:tplc="4816CDC2">
      <w:start w:val="1"/>
      <w:numFmt w:val="decimal"/>
      <w:lvlText w:val="%4."/>
      <w:lvlJc w:val="left"/>
      <w:pPr>
        <w:tabs>
          <w:tab w:val="num" w:pos="2880"/>
        </w:tabs>
        <w:ind w:left="2880" w:hanging="360"/>
      </w:pPr>
    </w:lvl>
    <w:lvl w:ilvl="4" w:tplc="2DA8136E">
      <w:start w:val="1"/>
      <w:numFmt w:val="decimal"/>
      <w:lvlText w:val="%5."/>
      <w:lvlJc w:val="left"/>
      <w:pPr>
        <w:tabs>
          <w:tab w:val="num" w:pos="3600"/>
        </w:tabs>
        <w:ind w:left="3600" w:hanging="360"/>
      </w:pPr>
    </w:lvl>
    <w:lvl w:ilvl="5" w:tplc="BDDE8E3E">
      <w:start w:val="1"/>
      <w:numFmt w:val="decimal"/>
      <w:lvlText w:val="%6."/>
      <w:lvlJc w:val="left"/>
      <w:pPr>
        <w:tabs>
          <w:tab w:val="num" w:pos="4320"/>
        </w:tabs>
        <w:ind w:left="4320" w:hanging="360"/>
      </w:pPr>
    </w:lvl>
    <w:lvl w:ilvl="6" w:tplc="676C3A0E">
      <w:start w:val="1"/>
      <w:numFmt w:val="decimal"/>
      <w:lvlText w:val="%7."/>
      <w:lvlJc w:val="left"/>
      <w:pPr>
        <w:tabs>
          <w:tab w:val="num" w:pos="5040"/>
        </w:tabs>
        <w:ind w:left="5040" w:hanging="360"/>
      </w:pPr>
    </w:lvl>
    <w:lvl w:ilvl="7" w:tplc="9A08D12E">
      <w:start w:val="1"/>
      <w:numFmt w:val="decimal"/>
      <w:lvlText w:val="%8."/>
      <w:lvlJc w:val="left"/>
      <w:pPr>
        <w:tabs>
          <w:tab w:val="num" w:pos="5760"/>
        </w:tabs>
        <w:ind w:left="5760" w:hanging="360"/>
      </w:pPr>
    </w:lvl>
    <w:lvl w:ilvl="8" w:tplc="5D2A6A04">
      <w:start w:val="1"/>
      <w:numFmt w:val="decimal"/>
      <w:lvlText w:val="%9."/>
      <w:lvlJc w:val="left"/>
      <w:pPr>
        <w:tabs>
          <w:tab w:val="num" w:pos="6480"/>
        </w:tabs>
        <w:ind w:left="6480" w:hanging="360"/>
      </w:pPr>
    </w:lvl>
  </w:abstractNum>
  <w:abstractNum w:abstractNumId="143">
    <w:nsid w:val="000000A3"/>
    <w:multiLevelType w:val="hybridMultilevel"/>
    <w:tmpl w:val="B4DAA854"/>
    <w:lvl w:ilvl="0" w:tplc="30601978">
      <w:start w:val="1"/>
      <w:numFmt w:val="bullet"/>
      <w:pStyle w:val="Level1Bullet-BarcRA26"/>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2140D84">
      <w:start w:val="1"/>
      <w:numFmt w:val="bullet"/>
      <w:lvlText w:val="o"/>
      <w:lvlJc w:val="left"/>
      <w:pPr>
        <w:tabs>
          <w:tab w:val="num" w:pos="306"/>
        </w:tabs>
        <w:ind w:left="306" w:hanging="360"/>
      </w:pPr>
      <w:rPr>
        <w:rFonts w:ascii="Courier New" w:hAnsi="Courier New" w:hint="default"/>
      </w:rPr>
    </w:lvl>
    <w:lvl w:ilvl="2" w:tplc="C5168EEC">
      <w:numFmt w:val="bullet"/>
      <w:lvlText w:val="-"/>
      <w:lvlJc w:val="left"/>
      <w:pPr>
        <w:tabs>
          <w:tab w:val="num" w:pos="1401"/>
        </w:tabs>
        <w:ind w:left="1401" w:hanging="735"/>
      </w:pPr>
      <w:rPr>
        <w:rFonts w:ascii="Barclays Serif" w:eastAsia="Times New Roman" w:hAnsi="Barclays Serif" w:cs="Times New Roman" w:hint="default"/>
      </w:rPr>
    </w:lvl>
    <w:lvl w:ilvl="3" w:tplc="85188BEC" w:tentative="1">
      <w:start w:val="1"/>
      <w:numFmt w:val="bullet"/>
      <w:lvlText w:val=""/>
      <w:lvlJc w:val="left"/>
      <w:pPr>
        <w:tabs>
          <w:tab w:val="num" w:pos="1746"/>
        </w:tabs>
        <w:ind w:left="1746" w:hanging="360"/>
      </w:pPr>
      <w:rPr>
        <w:rFonts w:ascii="Symbol" w:hAnsi="Symbol" w:hint="default"/>
      </w:rPr>
    </w:lvl>
    <w:lvl w:ilvl="4" w:tplc="527CF1E0" w:tentative="1">
      <w:start w:val="1"/>
      <w:numFmt w:val="bullet"/>
      <w:lvlText w:val="o"/>
      <w:lvlJc w:val="left"/>
      <w:pPr>
        <w:tabs>
          <w:tab w:val="num" w:pos="2466"/>
        </w:tabs>
        <w:ind w:left="2466" w:hanging="360"/>
      </w:pPr>
      <w:rPr>
        <w:rFonts w:ascii="Courier New" w:hAnsi="Courier New" w:hint="default"/>
      </w:rPr>
    </w:lvl>
    <w:lvl w:ilvl="5" w:tplc="CEAE8ABE" w:tentative="1">
      <w:start w:val="1"/>
      <w:numFmt w:val="bullet"/>
      <w:lvlText w:val=""/>
      <w:lvlJc w:val="left"/>
      <w:pPr>
        <w:tabs>
          <w:tab w:val="num" w:pos="3186"/>
        </w:tabs>
        <w:ind w:left="3186" w:hanging="360"/>
      </w:pPr>
      <w:rPr>
        <w:rFonts w:ascii="Wingdings" w:hAnsi="Wingdings" w:hint="default"/>
      </w:rPr>
    </w:lvl>
    <w:lvl w:ilvl="6" w:tplc="051E9B9A" w:tentative="1">
      <w:start w:val="1"/>
      <w:numFmt w:val="bullet"/>
      <w:lvlText w:val=""/>
      <w:lvlJc w:val="left"/>
      <w:pPr>
        <w:tabs>
          <w:tab w:val="num" w:pos="3906"/>
        </w:tabs>
        <w:ind w:left="3906" w:hanging="360"/>
      </w:pPr>
      <w:rPr>
        <w:rFonts w:ascii="Symbol" w:hAnsi="Symbol" w:hint="default"/>
      </w:rPr>
    </w:lvl>
    <w:lvl w:ilvl="7" w:tplc="F92A8240" w:tentative="1">
      <w:start w:val="1"/>
      <w:numFmt w:val="bullet"/>
      <w:lvlText w:val="o"/>
      <w:lvlJc w:val="left"/>
      <w:pPr>
        <w:tabs>
          <w:tab w:val="num" w:pos="4626"/>
        </w:tabs>
        <w:ind w:left="4626" w:hanging="360"/>
      </w:pPr>
      <w:rPr>
        <w:rFonts w:ascii="Courier New" w:hAnsi="Courier New" w:hint="default"/>
      </w:rPr>
    </w:lvl>
    <w:lvl w:ilvl="8" w:tplc="54DC177E" w:tentative="1">
      <w:start w:val="1"/>
      <w:numFmt w:val="bullet"/>
      <w:lvlText w:val=""/>
      <w:lvlJc w:val="left"/>
      <w:pPr>
        <w:tabs>
          <w:tab w:val="num" w:pos="5346"/>
        </w:tabs>
        <w:ind w:left="5346" w:hanging="360"/>
      </w:pPr>
      <w:rPr>
        <w:rFonts w:ascii="Wingdings" w:hAnsi="Wingdings" w:hint="default"/>
      </w:rPr>
    </w:lvl>
  </w:abstractNum>
  <w:abstractNum w:abstractNumId="144">
    <w:nsid w:val="000000A4"/>
    <w:multiLevelType w:val="hybridMultilevel"/>
    <w:tmpl w:val="B4DAA854"/>
    <w:lvl w:ilvl="0" w:tplc="2566460C">
      <w:start w:val="1"/>
      <w:numFmt w:val="bullet"/>
      <w:pStyle w:val="Level1Bullet-BarcRA2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9BFC9886">
      <w:start w:val="1"/>
      <w:numFmt w:val="bullet"/>
      <w:lvlText w:val="o"/>
      <w:lvlJc w:val="left"/>
      <w:pPr>
        <w:tabs>
          <w:tab w:val="num" w:pos="306"/>
        </w:tabs>
        <w:ind w:left="306" w:hanging="360"/>
      </w:pPr>
      <w:rPr>
        <w:rFonts w:ascii="Courier New" w:hAnsi="Courier New" w:hint="default"/>
      </w:rPr>
    </w:lvl>
    <w:lvl w:ilvl="2" w:tplc="C9705FA2">
      <w:numFmt w:val="bullet"/>
      <w:lvlText w:val="-"/>
      <w:lvlJc w:val="left"/>
      <w:pPr>
        <w:tabs>
          <w:tab w:val="num" w:pos="1401"/>
        </w:tabs>
        <w:ind w:left="1401" w:hanging="735"/>
      </w:pPr>
      <w:rPr>
        <w:rFonts w:ascii="Barclays Serif" w:eastAsia="Times New Roman" w:hAnsi="Barclays Serif" w:cs="Times New Roman" w:hint="default"/>
      </w:rPr>
    </w:lvl>
    <w:lvl w:ilvl="3" w:tplc="4E36CE04" w:tentative="1">
      <w:start w:val="1"/>
      <w:numFmt w:val="bullet"/>
      <w:lvlText w:val=""/>
      <w:lvlJc w:val="left"/>
      <w:pPr>
        <w:tabs>
          <w:tab w:val="num" w:pos="1746"/>
        </w:tabs>
        <w:ind w:left="1746" w:hanging="360"/>
      </w:pPr>
      <w:rPr>
        <w:rFonts w:ascii="Symbol" w:hAnsi="Symbol" w:hint="default"/>
      </w:rPr>
    </w:lvl>
    <w:lvl w:ilvl="4" w:tplc="17F45B56" w:tentative="1">
      <w:start w:val="1"/>
      <w:numFmt w:val="bullet"/>
      <w:lvlText w:val="o"/>
      <w:lvlJc w:val="left"/>
      <w:pPr>
        <w:tabs>
          <w:tab w:val="num" w:pos="2466"/>
        </w:tabs>
        <w:ind w:left="2466" w:hanging="360"/>
      </w:pPr>
      <w:rPr>
        <w:rFonts w:ascii="Courier New" w:hAnsi="Courier New" w:hint="default"/>
      </w:rPr>
    </w:lvl>
    <w:lvl w:ilvl="5" w:tplc="4A505364" w:tentative="1">
      <w:start w:val="1"/>
      <w:numFmt w:val="bullet"/>
      <w:lvlText w:val=""/>
      <w:lvlJc w:val="left"/>
      <w:pPr>
        <w:tabs>
          <w:tab w:val="num" w:pos="3186"/>
        </w:tabs>
        <w:ind w:left="3186" w:hanging="360"/>
      </w:pPr>
      <w:rPr>
        <w:rFonts w:ascii="Wingdings" w:hAnsi="Wingdings" w:hint="default"/>
      </w:rPr>
    </w:lvl>
    <w:lvl w:ilvl="6" w:tplc="B6485598" w:tentative="1">
      <w:start w:val="1"/>
      <w:numFmt w:val="bullet"/>
      <w:lvlText w:val=""/>
      <w:lvlJc w:val="left"/>
      <w:pPr>
        <w:tabs>
          <w:tab w:val="num" w:pos="3906"/>
        </w:tabs>
        <w:ind w:left="3906" w:hanging="360"/>
      </w:pPr>
      <w:rPr>
        <w:rFonts w:ascii="Symbol" w:hAnsi="Symbol" w:hint="default"/>
      </w:rPr>
    </w:lvl>
    <w:lvl w:ilvl="7" w:tplc="412EEAC0" w:tentative="1">
      <w:start w:val="1"/>
      <w:numFmt w:val="bullet"/>
      <w:lvlText w:val="o"/>
      <w:lvlJc w:val="left"/>
      <w:pPr>
        <w:tabs>
          <w:tab w:val="num" w:pos="4626"/>
        </w:tabs>
        <w:ind w:left="4626" w:hanging="360"/>
      </w:pPr>
      <w:rPr>
        <w:rFonts w:ascii="Courier New" w:hAnsi="Courier New" w:hint="default"/>
      </w:rPr>
    </w:lvl>
    <w:lvl w:ilvl="8" w:tplc="8B8E57A4" w:tentative="1">
      <w:start w:val="1"/>
      <w:numFmt w:val="bullet"/>
      <w:lvlText w:val=""/>
      <w:lvlJc w:val="left"/>
      <w:pPr>
        <w:tabs>
          <w:tab w:val="num" w:pos="5346"/>
        </w:tabs>
        <w:ind w:left="5346" w:hanging="360"/>
      </w:pPr>
      <w:rPr>
        <w:rFonts w:ascii="Wingdings" w:hAnsi="Wingdings" w:hint="default"/>
      </w:rPr>
    </w:lvl>
  </w:abstractNum>
  <w:abstractNum w:abstractNumId="145">
    <w:nsid w:val="000000A5"/>
    <w:multiLevelType w:val="hybridMultilevel"/>
    <w:tmpl w:val="B4DAA854"/>
    <w:lvl w:ilvl="0" w:tplc="DEE82F4E">
      <w:start w:val="1"/>
      <w:numFmt w:val="bullet"/>
      <w:pStyle w:val="Level1Bullet-BarcRA29"/>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0C0941E">
      <w:start w:val="1"/>
      <w:numFmt w:val="bullet"/>
      <w:lvlText w:val="o"/>
      <w:lvlJc w:val="left"/>
      <w:pPr>
        <w:tabs>
          <w:tab w:val="num" w:pos="306"/>
        </w:tabs>
        <w:ind w:left="306" w:hanging="360"/>
      </w:pPr>
      <w:rPr>
        <w:rFonts w:ascii="Courier New" w:hAnsi="Courier New" w:cs="Times New Roman" w:hint="default"/>
      </w:rPr>
    </w:lvl>
    <w:lvl w:ilvl="2" w:tplc="B1EA13A4">
      <w:numFmt w:val="bullet"/>
      <w:lvlText w:val="-"/>
      <w:lvlJc w:val="left"/>
      <w:pPr>
        <w:tabs>
          <w:tab w:val="num" w:pos="1401"/>
        </w:tabs>
        <w:ind w:left="1401" w:hanging="735"/>
      </w:pPr>
      <w:rPr>
        <w:rFonts w:ascii="Barclays Serif" w:eastAsia="Times New Roman" w:hAnsi="Barclays Serif" w:cs="Times New Roman" w:hint="default"/>
      </w:rPr>
    </w:lvl>
    <w:lvl w:ilvl="3" w:tplc="E0166A2C">
      <w:start w:val="1"/>
      <w:numFmt w:val="decimal"/>
      <w:lvlText w:val="%4."/>
      <w:lvlJc w:val="left"/>
      <w:pPr>
        <w:tabs>
          <w:tab w:val="num" w:pos="2880"/>
        </w:tabs>
        <w:ind w:left="2880" w:hanging="360"/>
      </w:pPr>
    </w:lvl>
    <w:lvl w:ilvl="4" w:tplc="86B68062">
      <w:start w:val="1"/>
      <w:numFmt w:val="decimal"/>
      <w:lvlText w:val="%5."/>
      <w:lvlJc w:val="left"/>
      <w:pPr>
        <w:tabs>
          <w:tab w:val="num" w:pos="3600"/>
        </w:tabs>
        <w:ind w:left="3600" w:hanging="360"/>
      </w:pPr>
    </w:lvl>
    <w:lvl w:ilvl="5" w:tplc="8D3A8774">
      <w:start w:val="1"/>
      <w:numFmt w:val="decimal"/>
      <w:lvlText w:val="%6."/>
      <w:lvlJc w:val="left"/>
      <w:pPr>
        <w:tabs>
          <w:tab w:val="num" w:pos="4320"/>
        </w:tabs>
        <w:ind w:left="4320" w:hanging="360"/>
      </w:pPr>
    </w:lvl>
    <w:lvl w:ilvl="6" w:tplc="018A513A">
      <w:start w:val="1"/>
      <w:numFmt w:val="decimal"/>
      <w:lvlText w:val="%7."/>
      <w:lvlJc w:val="left"/>
      <w:pPr>
        <w:tabs>
          <w:tab w:val="num" w:pos="5040"/>
        </w:tabs>
        <w:ind w:left="5040" w:hanging="360"/>
      </w:pPr>
    </w:lvl>
    <w:lvl w:ilvl="7" w:tplc="A016E87C">
      <w:start w:val="1"/>
      <w:numFmt w:val="decimal"/>
      <w:lvlText w:val="%8."/>
      <w:lvlJc w:val="left"/>
      <w:pPr>
        <w:tabs>
          <w:tab w:val="num" w:pos="5760"/>
        </w:tabs>
        <w:ind w:left="5760" w:hanging="360"/>
      </w:pPr>
    </w:lvl>
    <w:lvl w:ilvl="8" w:tplc="9F5C3018">
      <w:start w:val="1"/>
      <w:numFmt w:val="decimal"/>
      <w:lvlText w:val="%9."/>
      <w:lvlJc w:val="left"/>
      <w:pPr>
        <w:tabs>
          <w:tab w:val="num" w:pos="6480"/>
        </w:tabs>
        <w:ind w:left="6480" w:hanging="360"/>
      </w:pPr>
    </w:lvl>
  </w:abstractNum>
  <w:abstractNum w:abstractNumId="146">
    <w:nsid w:val="000000A6"/>
    <w:multiLevelType w:val="hybridMultilevel"/>
    <w:tmpl w:val="3F46D7DE"/>
    <w:lvl w:ilvl="0" w:tplc="6A0E0188">
      <w:start w:val="1"/>
      <w:numFmt w:val="decimal"/>
      <w:pStyle w:val="NoteandSourceText-BarcRA14"/>
      <w:lvlText w:val="%1"/>
      <w:lvlJc w:val="left"/>
      <w:pPr>
        <w:ind w:left="720" w:hanging="360"/>
      </w:pPr>
    </w:lvl>
    <w:lvl w:ilvl="1" w:tplc="2A36D844">
      <w:start w:val="1"/>
      <w:numFmt w:val="decimal"/>
      <w:lvlText w:val="%2."/>
      <w:lvlJc w:val="left"/>
      <w:pPr>
        <w:tabs>
          <w:tab w:val="num" w:pos="1440"/>
        </w:tabs>
        <w:ind w:left="1440" w:hanging="360"/>
      </w:pPr>
    </w:lvl>
    <w:lvl w:ilvl="2" w:tplc="34448F4A">
      <w:start w:val="1"/>
      <w:numFmt w:val="decimal"/>
      <w:lvlText w:val="%3."/>
      <w:lvlJc w:val="left"/>
      <w:pPr>
        <w:tabs>
          <w:tab w:val="num" w:pos="2160"/>
        </w:tabs>
        <w:ind w:left="2160" w:hanging="360"/>
      </w:pPr>
    </w:lvl>
    <w:lvl w:ilvl="3" w:tplc="9426DD5A">
      <w:start w:val="1"/>
      <w:numFmt w:val="decimal"/>
      <w:lvlText w:val="%4."/>
      <w:lvlJc w:val="left"/>
      <w:pPr>
        <w:tabs>
          <w:tab w:val="num" w:pos="2880"/>
        </w:tabs>
        <w:ind w:left="2880" w:hanging="360"/>
      </w:pPr>
    </w:lvl>
    <w:lvl w:ilvl="4" w:tplc="46D25DA8">
      <w:start w:val="1"/>
      <w:numFmt w:val="decimal"/>
      <w:lvlText w:val="%5."/>
      <w:lvlJc w:val="left"/>
      <w:pPr>
        <w:tabs>
          <w:tab w:val="num" w:pos="3600"/>
        </w:tabs>
        <w:ind w:left="3600" w:hanging="360"/>
      </w:pPr>
    </w:lvl>
    <w:lvl w:ilvl="5" w:tplc="687A8310">
      <w:start w:val="1"/>
      <w:numFmt w:val="decimal"/>
      <w:lvlText w:val="%6."/>
      <w:lvlJc w:val="left"/>
      <w:pPr>
        <w:tabs>
          <w:tab w:val="num" w:pos="4320"/>
        </w:tabs>
        <w:ind w:left="4320" w:hanging="360"/>
      </w:pPr>
    </w:lvl>
    <w:lvl w:ilvl="6" w:tplc="6F326D60">
      <w:start w:val="1"/>
      <w:numFmt w:val="decimal"/>
      <w:lvlText w:val="%7."/>
      <w:lvlJc w:val="left"/>
      <w:pPr>
        <w:tabs>
          <w:tab w:val="num" w:pos="5040"/>
        </w:tabs>
        <w:ind w:left="5040" w:hanging="360"/>
      </w:pPr>
    </w:lvl>
    <w:lvl w:ilvl="7" w:tplc="9E362098">
      <w:start w:val="1"/>
      <w:numFmt w:val="decimal"/>
      <w:lvlText w:val="%8."/>
      <w:lvlJc w:val="left"/>
      <w:pPr>
        <w:tabs>
          <w:tab w:val="num" w:pos="5760"/>
        </w:tabs>
        <w:ind w:left="5760" w:hanging="360"/>
      </w:pPr>
    </w:lvl>
    <w:lvl w:ilvl="8" w:tplc="DE7CDE8E">
      <w:start w:val="1"/>
      <w:numFmt w:val="decimal"/>
      <w:lvlText w:val="%9."/>
      <w:lvlJc w:val="left"/>
      <w:pPr>
        <w:tabs>
          <w:tab w:val="num" w:pos="6480"/>
        </w:tabs>
        <w:ind w:left="6480" w:hanging="360"/>
      </w:pPr>
    </w:lvl>
  </w:abstractNum>
  <w:abstractNum w:abstractNumId="147">
    <w:nsid w:val="000000A7"/>
    <w:multiLevelType w:val="hybridMultilevel"/>
    <w:tmpl w:val="3F46D7DE"/>
    <w:lvl w:ilvl="0" w:tplc="6FF0EAA4">
      <w:start w:val="1"/>
      <w:numFmt w:val="decimal"/>
      <w:pStyle w:val="NoteandSourceText-BarcRA140"/>
      <w:lvlText w:val="%1"/>
      <w:lvlJc w:val="left"/>
      <w:pPr>
        <w:ind w:left="720" w:hanging="360"/>
      </w:pPr>
    </w:lvl>
    <w:lvl w:ilvl="1" w:tplc="13749442">
      <w:start w:val="1"/>
      <w:numFmt w:val="decimal"/>
      <w:lvlText w:val="%2."/>
      <w:lvlJc w:val="left"/>
      <w:pPr>
        <w:tabs>
          <w:tab w:val="num" w:pos="1440"/>
        </w:tabs>
        <w:ind w:left="1440" w:hanging="360"/>
      </w:pPr>
    </w:lvl>
    <w:lvl w:ilvl="2" w:tplc="418270C0">
      <w:start w:val="1"/>
      <w:numFmt w:val="decimal"/>
      <w:lvlText w:val="%3."/>
      <w:lvlJc w:val="left"/>
      <w:pPr>
        <w:tabs>
          <w:tab w:val="num" w:pos="2160"/>
        </w:tabs>
        <w:ind w:left="2160" w:hanging="360"/>
      </w:pPr>
    </w:lvl>
    <w:lvl w:ilvl="3" w:tplc="E32A6278">
      <w:start w:val="1"/>
      <w:numFmt w:val="decimal"/>
      <w:lvlText w:val="%4."/>
      <w:lvlJc w:val="left"/>
      <w:pPr>
        <w:tabs>
          <w:tab w:val="num" w:pos="2880"/>
        </w:tabs>
        <w:ind w:left="2880" w:hanging="360"/>
      </w:pPr>
    </w:lvl>
    <w:lvl w:ilvl="4" w:tplc="F6304718">
      <w:start w:val="1"/>
      <w:numFmt w:val="decimal"/>
      <w:lvlText w:val="%5."/>
      <w:lvlJc w:val="left"/>
      <w:pPr>
        <w:tabs>
          <w:tab w:val="num" w:pos="3600"/>
        </w:tabs>
        <w:ind w:left="3600" w:hanging="360"/>
      </w:pPr>
    </w:lvl>
    <w:lvl w:ilvl="5" w:tplc="E74A9CE4">
      <w:start w:val="1"/>
      <w:numFmt w:val="decimal"/>
      <w:lvlText w:val="%6."/>
      <w:lvlJc w:val="left"/>
      <w:pPr>
        <w:tabs>
          <w:tab w:val="num" w:pos="4320"/>
        </w:tabs>
        <w:ind w:left="4320" w:hanging="360"/>
      </w:pPr>
    </w:lvl>
    <w:lvl w:ilvl="6" w:tplc="4FECA8B6">
      <w:start w:val="1"/>
      <w:numFmt w:val="decimal"/>
      <w:lvlText w:val="%7."/>
      <w:lvlJc w:val="left"/>
      <w:pPr>
        <w:tabs>
          <w:tab w:val="num" w:pos="5040"/>
        </w:tabs>
        <w:ind w:left="5040" w:hanging="360"/>
      </w:pPr>
    </w:lvl>
    <w:lvl w:ilvl="7" w:tplc="D1066876">
      <w:start w:val="1"/>
      <w:numFmt w:val="decimal"/>
      <w:lvlText w:val="%8."/>
      <w:lvlJc w:val="left"/>
      <w:pPr>
        <w:tabs>
          <w:tab w:val="num" w:pos="5760"/>
        </w:tabs>
        <w:ind w:left="5760" w:hanging="360"/>
      </w:pPr>
    </w:lvl>
    <w:lvl w:ilvl="8" w:tplc="F6BE824A">
      <w:start w:val="1"/>
      <w:numFmt w:val="decimal"/>
      <w:lvlText w:val="%9."/>
      <w:lvlJc w:val="left"/>
      <w:pPr>
        <w:tabs>
          <w:tab w:val="num" w:pos="6480"/>
        </w:tabs>
        <w:ind w:left="6480" w:hanging="360"/>
      </w:pPr>
    </w:lvl>
  </w:abstractNum>
  <w:abstractNum w:abstractNumId="148">
    <w:nsid w:val="000000A8"/>
    <w:multiLevelType w:val="hybridMultilevel"/>
    <w:tmpl w:val="B4DAA854"/>
    <w:lvl w:ilvl="0" w:tplc="6C3EF9EC">
      <w:start w:val="1"/>
      <w:numFmt w:val="bullet"/>
      <w:pStyle w:val="Level1Bullet-BarcRA3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8A08D1C0">
      <w:start w:val="1"/>
      <w:numFmt w:val="bullet"/>
      <w:lvlText w:val="o"/>
      <w:lvlJc w:val="left"/>
      <w:pPr>
        <w:tabs>
          <w:tab w:val="num" w:pos="306"/>
        </w:tabs>
        <w:ind w:left="306" w:hanging="360"/>
      </w:pPr>
      <w:rPr>
        <w:rFonts w:ascii="Courier New" w:hAnsi="Courier New" w:hint="default"/>
      </w:rPr>
    </w:lvl>
    <w:lvl w:ilvl="2" w:tplc="6E1EE2CC">
      <w:numFmt w:val="bullet"/>
      <w:lvlText w:val="-"/>
      <w:lvlJc w:val="left"/>
      <w:pPr>
        <w:tabs>
          <w:tab w:val="num" w:pos="1401"/>
        </w:tabs>
        <w:ind w:left="1401" w:hanging="735"/>
      </w:pPr>
      <w:rPr>
        <w:rFonts w:ascii="Barclays Serif" w:eastAsia="Times New Roman" w:hAnsi="Barclays Serif" w:cs="Times New Roman" w:hint="default"/>
      </w:rPr>
    </w:lvl>
    <w:lvl w:ilvl="3" w:tplc="2B70D030" w:tentative="1">
      <w:start w:val="1"/>
      <w:numFmt w:val="bullet"/>
      <w:lvlText w:val=""/>
      <w:lvlJc w:val="left"/>
      <w:pPr>
        <w:tabs>
          <w:tab w:val="num" w:pos="1746"/>
        </w:tabs>
        <w:ind w:left="1746" w:hanging="360"/>
      </w:pPr>
      <w:rPr>
        <w:rFonts w:ascii="Symbol" w:hAnsi="Symbol" w:hint="default"/>
      </w:rPr>
    </w:lvl>
    <w:lvl w:ilvl="4" w:tplc="4BEC11A6" w:tentative="1">
      <w:start w:val="1"/>
      <w:numFmt w:val="bullet"/>
      <w:lvlText w:val="o"/>
      <w:lvlJc w:val="left"/>
      <w:pPr>
        <w:tabs>
          <w:tab w:val="num" w:pos="2466"/>
        </w:tabs>
        <w:ind w:left="2466" w:hanging="360"/>
      </w:pPr>
      <w:rPr>
        <w:rFonts w:ascii="Courier New" w:hAnsi="Courier New" w:hint="default"/>
      </w:rPr>
    </w:lvl>
    <w:lvl w:ilvl="5" w:tplc="8490296A" w:tentative="1">
      <w:start w:val="1"/>
      <w:numFmt w:val="bullet"/>
      <w:lvlText w:val=""/>
      <w:lvlJc w:val="left"/>
      <w:pPr>
        <w:tabs>
          <w:tab w:val="num" w:pos="3186"/>
        </w:tabs>
        <w:ind w:left="3186" w:hanging="360"/>
      </w:pPr>
      <w:rPr>
        <w:rFonts w:ascii="Wingdings" w:hAnsi="Wingdings" w:hint="default"/>
      </w:rPr>
    </w:lvl>
    <w:lvl w:ilvl="6" w:tplc="13146142" w:tentative="1">
      <w:start w:val="1"/>
      <w:numFmt w:val="bullet"/>
      <w:lvlText w:val=""/>
      <w:lvlJc w:val="left"/>
      <w:pPr>
        <w:tabs>
          <w:tab w:val="num" w:pos="3906"/>
        </w:tabs>
        <w:ind w:left="3906" w:hanging="360"/>
      </w:pPr>
      <w:rPr>
        <w:rFonts w:ascii="Symbol" w:hAnsi="Symbol" w:hint="default"/>
      </w:rPr>
    </w:lvl>
    <w:lvl w:ilvl="7" w:tplc="892AB27A" w:tentative="1">
      <w:start w:val="1"/>
      <w:numFmt w:val="bullet"/>
      <w:lvlText w:val="o"/>
      <w:lvlJc w:val="left"/>
      <w:pPr>
        <w:tabs>
          <w:tab w:val="num" w:pos="4626"/>
        </w:tabs>
        <w:ind w:left="4626" w:hanging="360"/>
      </w:pPr>
      <w:rPr>
        <w:rFonts w:ascii="Courier New" w:hAnsi="Courier New" w:hint="default"/>
      </w:rPr>
    </w:lvl>
    <w:lvl w:ilvl="8" w:tplc="8474D870" w:tentative="1">
      <w:start w:val="1"/>
      <w:numFmt w:val="bullet"/>
      <w:lvlText w:val=""/>
      <w:lvlJc w:val="left"/>
      <w:pPr>
        <w:tabs>
          <w:tab w:val="num" w:pos="5346"/>
        </w:tabs>
        <w:ind w:left="5346" w:hanging="360"/>
      </w:pPr>
      <w:rPr>
        <w:rFonts w:ascii="Wingdings" w:hAnsi="Wingdings" w:hint="default"/>
      </w:rPr>
    </w:lvl>
  </w:abstractNum>
  <w:abstractNum w:abstractNumId="149">
    <w:nsid w:val="000000A9"/>
    <w:multiLevelType w:val="hybridMultilevel"/>
    <w:tmpl w:val="B4DAA854"/>
    <w:lvl w:ilvl="0" w:tplc="DFAC792C">
      <w:start w:val="1"/>
      <w:numFmt w:val="bullet"/>
      <w:pStyle w:val="Level1Bullet-BarcRA3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BCCAFEC">
      <w:start w:val="1"/>
      <w:numFmt w:val="bullet"/>
      <w:lvlText w:val="o"/>
      <w:lvlJc w:val="left"/>
      <w:pPr>
        <w:tabs>
          <w:tab w:val="num" w:pos="306"/>
        </w:tabs>
        <w:ind w:left="306" w:hanging="360"/>
      </w:pPr>
      <w:rPr>
        <w:rFonts w:ascii="Courier New" w:hAnsi="Courier New" w:hint="default"/>
      </w:rPr>
    </w:lvl>
    <w:lvl w:ilvl="2" w:tplc="A38E2702">
      <w:numFmt w:val="bullet"/>
      <w:lvlText w:val="-"/>
      <w:lvlJc w:val="left"/>
      <w:pPr>
        <w:tabs>
          <w:tab w:val="num" w:pos="1401"/>
        </w:tabs>
        <w:ind w:left="1401" w:hanging="735"/>
      </w:pPr>
      <w:rPr>
        <w:rFonts w:ascii="Barclays Serif" w:eastAsia="Times New Roman" w:hAnsi="Barclays Serif" w:cs="Times New Roman" w:hint="default"/>
      </w:rPr>
    </w:lvl>
    <w:lvl w:ilvl="3" w:tplc="C12669B0" w:tentative="1">
      <w:start w:val="1"/>
      <w:numFmt w:val="bullet"/>
      <w:lvlText w:val=""/>
      <w:lvlJc w:val="left"/>
      <w:pPr>
        <w:tabs>
          <w:tab w:val="num" w:pos="1746"/>
        </w:tabs>
        <w:ind w:left="1746" w:hanging="360"/>
      </w:pPr>
      <w:rPr>
        <w:rFonts w:ascii="Symbol" w:hAnsi="Symbol" w:hint="default"/>
      </w:rPr>
    </w:lvl>
    <w:lvl w:ilvl="4" w:tplc="F17245C8" w:tentative="1">
      <w:start w:val="1"/>
      <w:numFmt w:val="bullet"/>
      <w:lvlText w:val="o"/>
      <w:lvlJc w:val="left"/>
      <w:pPr>
        <w:tabs>
          <w:tab w:val="num" w:pos="2466"/>
        </w:tabs>
        <w:ind w:left="2466" w:hanging="360"/>
      </w:pPr>
      <w:rPr>
        <w:rFonts w:ascii="Courier New" w:hAnsi="Courier New" w:hint="default"/>
      </w:rPr>
    </w:lvl>
    <w:lvl w:ilvl="5" w:tplc="7EEED082" w:tentative="1">
      <w:start w:val="1"/>
      <w:numFmt w:val="bullet"/>
      <w:lvlText w:val=""/>
      <w:lvlJc w:val="left"/>
      <w:pPr>
        <w:tabs>
          <w:tab w:val="num" w:pos="3186"/>
        </w:tabs>
        <w:ind w:left="3186" w:hanging="360"/>
      </w:pPr>
      <w:rPr>
        <w:rFonts w:ascii="Wingdings" w:hAnsi="Wingdings" w:hint="default"/>
      </w:rPr>
    </w:lvl>
    <w:lvl w:ilvl="6" w:tplc="A2D67C04" w:tentative="1">
      <w:start w:val="1"/>
      <w:numFmt w:val="bullet"/>
      <w:lvlText w:val=""/>
      <w:lvlJc w:val="left"/>
      <w:pPr>
        <w:tabs>
          <w:tab w:val="num" w:pos="3906"/>
        </w:tabs>
        <w:ind w:left="3906" w:hanging="360"/>
      </w:pPr>
      <w:rPr>
        <w:rFonts w:ascii="Symbol" w:hAnsi="Symbol" w:hint="default"/>
      </w:rPr>
    </w:lvl>
    <w:lvl w:ilvl="7" w:tplc="369A0E8A" w:tentative="1">
      <w:start w:val="1"/>
      <w:numFmt w:val="bullet"/>
      <w:lvlText w:val="o"/>
      <w:lvlJc w:val="left"/>
      <w:pPr>
        <w:tabs>
          <w:tab w:val="num" w:pos="4626"/>
        </w:tabs>
        <w:ind w:left="4626" w:hanging="360"/>
      </w:pPr>
      <w:rPr>
        <w:rFonts w:ascii="Courier New" w:hAnsi="Courier New" w:hint="default"/>
      </w:rPr>
    </w:lvl>
    <w:lvl w:ilvl="8" w:tplc="2066643A" w:tentative="1">
      <w:start w:val="1"/>
      <w:numFmt w:val="bullet"/>
      <w:lvlText w:val=""/>
      <w:lvlJc w:val="left"/>
      <w:pPr>
        <w:tabs>
          <w:tab w:val="num" w:pos="5346"/>
        </w:tabs>
        <w:ind w:left="5346" w:hanging="360"/>
      </w:pPr>
      <w:rPr>
        <w:rFonts w:ascii="Wingdings" w:hAnsi="Wingdings" w:hint="default"/>
      </w:rPr>
    </w:lvl>
  </w:abstractNum>
  <w:abstractNum w:abstractNumId="150">
    <w:nsid w:val="000000AA"/>
    <w:multiLevelType w:val="hybridMultilevel"/>
    <w:tmpl w:val="3F46D7DE"/>
    <w:lvl w:ilvl="0" w:tplc="06CE8662">
      <w:start w:val="1"/>
      <w:numFmt w:val="decimal"/>
      <w:pStyle w:val="NoteandSourceText-BarcRA16"/>
      <w:lvlText w:val="%1"/>
      <w:lvlJc w:val="left"/>
      <w:pPr>
        <w:ind w:left="720" w:hanging="360"/>
      </w:pPr>
      <w:rPr>
        <w:rFonts w:hint="default"/>
      </w:rPr>
    </w:lvl>
    <w:lvl w:ilvl="1" w:tplc="E7403264" w:tentative="1">
      <w:start w:val="1"/>
      <w:numFmt w:val="lowerLetter"/>
      <w:lvlText w:val="%2."/>
      <w:lvlJc w:val="left"/>
      <w:pPr>
        <w:ind w:left="1440" w:hanging="360"/>
      </w:pPr>
    </w:lvl>
    <w:lvl w:ilvl="2" w:tplc="886E64EA" w:tentative="1">
      <w:start w:val="1"/>
      <w:numFmt w:val="lowerRoman"/>
      <w:lvlText w:val="%3."/>
      <w:lvlJc w:val="right"/>
      <w:pPr>
        <w:ind w:left="2160" w:hanging="180"/>
      </w:pPr>
    </w:lvl>
    <w:lvl w:ilvl="3" w:tplc="F1480342" w:tentative="1">
      <w:start w:val="1"/>
      <w:numFmt w:val="decimal"/>
      <w:lvlText w:val="%4."/>
      <w:lvlJc w:val="left"/>
      <w:pPr>
        <w:ind w:left="2880" w:hanging="360"/>
      </w:pPr>
    </w:lvl>
    <w:lvl w:ilvl="4" w:tplc="7C42684E" w:tentative="1">
      <w:start w:val="1"/>
      <w:numFmt w:val="lowerLetter"/>
      <w:lvlText w:val="%5."/>
      <w:lvlJc w:val="left"/>
      <w:pPr>
        <w:ind w:left="3600" w:hanging="360"/>
      </w:pPr>
    </w:lvl>
    <w:lvl w:ilvl="5" w:tplc="178C97EA" w:tentative="1">
      <w:start w:val="1"/>
      <w:numFmt w:val="lowerRoman"/>
      <w:lvlText w:val="%6."/>
      <w:lvlJc w:val="right"/>
      <w:pPr>
        <w:ind w:left="4320" w:hanging="180"/>
      </w:pPr>
    </w:lvl>
    <w:lvl w:ilvl="6" w:tplc="694CE430" w:tentative="1">
      <w:start w:val="1"/>
      <w:numFmt w:val="decimal"/>
      <w:lvlText w:val="%7."/>
      <w:lvlJc w:val="left"/>
      <w:pPr>
        <w:ind w:left="5040" w:hanging="360"/>
      </w:pPr>
    </w:lvl>
    <w:lvl w:ilvl="7" w:tplc="A50C7142" w:tentative="1">
      <w:start w:val="1"/>
      <w:numFmt w:val="lowerLetter"/>
      <w:lvlText w:val="%8."/>
      <w:lvlJc w:val="left"/>
      <w:pPr>
        <w:ind w:left="5760" w:hanging="360"/>
      </w:pPr>
    </w:lvl>
    <w:lvl w:ilvl="8" w:tplc="67A80292" w:tentative="1">
      <w:start w:val="1"/>
      <w:numFmt w:val="lowerRoman"/>
      <w:lvlText w:val="%9."/>
      <w:lvlJc w:val="right"/>
      <w:pPr>
        <w:ind w:left="6480" w:hanging="180"/>
      </w:pPr>
    </w:lvl>
  </w:abstractNum>
  <w:abstractNum w:abstractNumId="151">
    <w:nsid w:val="000000AB"/>
    <w:multiLevelType w:val="hybridMultilevel"/>
    <w:tmpl w:val="00E6EFFC"/>
    <w:lvl w:ilvl="0" w:tplc="76669248">
      <w:start w:val="1"/>
      <w:numFmt w:val="bullet"/>
      <w:pStyle w:val="Level1Bullet-BarcRA32"/>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89A3FE0">
      <w:start w:val="1"/>
      <w:numFmt w:val="bullet"/>
      <w:lvlText w:val="o"/>
      <w:lvlJc w:val="left"/>
      <w:pPr>
        <w:tabs>
          <w:tab w:val="num" w:pos="306"/>
        </w:tabs>
        <w:ind w:left="306" w:hanging="360"/>
      </w:pPr>
      <w:rPr>
        <w:rFonts w:ascii="Courier New" w:hAnsi="Courier New" w:hint="default"/>
      </w:rPr>
    </w:lvl>
    <w:lvl w:ilvl="2" w:tplc="CDF2795E">
      <w:numFmt w:val="bullet"/>
      <w:lvlText w:val="–"/>
      <w:lvlJc w:val="left"/>
      <w:pPr>
        <w:tabs>
          <w:tab w:val="num" w:pos="1401"/>
        </w:tabs>
        <w:ind w:left="1401" w:hanging="735"/>
      </w:pPr>
      <w:rPr>
        <w:rFonts w:ascii="Candara" w:eastAsia="Times New Roman" w:hAnsi="Candara" w:cs="Times New Roman" w:hint="default"/>
      </w:rPr>
    </w:lvl>
    <w:lvl w:ilvl="3" w:tplc="A6A69F1E" w:tentative="1">
      <w:start w:val="1"/>
      <w:numFmt w:val="bullet"/>
      <w:lvlText w:val=""/>
      <w:lvlJc w:val="left"/>
      <w:pPr>
        <w:tabs>
          <w:tab w:val="num" w:pos="1746"/>
        </w:tabs>
        <w:ind w:left="1746" w:hanging="360"/>
      </w:pPr>
      <w:rPr>
        <w:rFonts w:ascii="Symbol" w:hAnsi="Symbol" w:hint="default"/>
      </w:rPr>
    </w:lvl>
    <w:lvl w:ilvl="4" w:tplc="CC4C0168" w:tentative="1">
      <w:start w:val="1"/>
      <w:numFmt w:val="bullet"/>
      <w:lvlText w:val="o"/>
      <w:lvlJc w:val="left"/>
      <w:pPr>
        <w:tabs>
          <w:tab w:val="num" w:pos="2466"/>
        </w:tabs>
        <w:ind w:left="2466" w:hanging="360"/>
      </w:pPr>
      <w:rPr>
        <w:rFonts w:ascii="Courier New" w:hAnsi="Courier New" w:hint="default"/>
      </w:rPr>
    </w:lvl>
    <w:lvl w:ilvl="5" w:tplc="5C52450A" w:tentative="1">
      <w:start w:val="1"/>
      <w:numFmt w:val="bullet"/>
      <w:lvlText w:val=""/>
      <w:lvlJc w:val="left"/>
      <w:pPr>
        <w:tabs>
          <w:tab w:val="num" w:pos="3186"/>
        </w:tabs>
        <w:ind w:left="3186" w:hanging="360"/>
      </w:pPr>
      <w:rPr>
        <w:rFonts w:ascii="Wingdings" w:hAnsi="Wingdings" w:hint="default"/>
      </w:rPr>
    </w:lvl>
    <w:lvl w:ilvl="6" w:tplc="F8EAEAD4" w:tentative="1">
      <w:start w:val="1"/>
      <w:numFmt w:val="bullet"/>
      <w:lvlText w:val=""/>
      <w:lvlJc w:val="left"/>
      <w:pPr>
        <w:tabs>
          <w:tab w:val="num" w:pos="3906"/>
        </w:tabs>
        <w:ind w:left="3906" w:hanging="360"/>
      </w:pPr>
      <w:rPr>
        <w:rFonts w:ascii="Symbol" w:hAnsi="Symbol" w:hint="default"/>
      </w:rPr>
    </w:lvl>
    <w:lvl w:ilvl="7" w:tplc="6D747064" w:tentative="1">
      <w:start w:val="1"/>
      <w:numFmt w:val="bullet"/>
      <w:lvlText w:val="o"/>
      <w:lvlJc w:val="left"/>
      <w:pPr>
        <w:tabs>
          <w:tab w:val="num" w:pos="4626"/>
        </w:tabs>
        <w:ind w:left="4626" w:hanging="360"/>
      </w:pPr>
      <w:rPr>
        <w:rFonts w:ascii="Courier New" w:hAnsi="Courier New" w:hint="default"/>
      </w:rPr>
    </w:lvl>
    <w:lvl w:ilvl="8" w:tplc="2418EF84" w:tentative="1">
      <w:start w:val="1"/>
      <w:numFmt w:val="bullet"/>
      <w:lvlText w:val=""/>
      <w:lvlJc w:val="left"/>
      <w:pPr>
        <w:tabs>
          <w:tab w:val="num" w:pos="5346"/>
        </w:tabs>
        <w:ind w:left="5346" w:hanging="360"/>
      </w:pPr>
      <w:rPr>
        <w:rFonts w:ascii="Wingdings" w:hAnsi="Wingdings" w:hint="default"/>
      </w:rPr>
    </w:lvl>
  </w:abstractNum>
  <w:abstractNum w:abstractNumId="152">
    <w:nsid w:val="000000AC"/>
    <w:multiLevelType w:val="hybridMultilevel"/>
    <w:tmpl w:val="B2E8E736"/>
    <w:lvl w:ilvl="0" w:tplc="5D248022">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2A82310">
      <w:start w:val="1"/>
      <w:numFmt w:val="bullet"/>
      <w:lvlText w:val="o"/>
      <w:lvlJc w:val="left"/>
      <w:pPr>
        <w:tabs>
          <w:tab w:val="num" w:pos="306"/>
        </w:tabs>
        <w:ind w:left="306" w:hanging="360"/>
      </w:pPr>
      <w:rPr>
        <w:rFonts w:ascii="Courier New" w:hAnsi="Courier New" w:cs="Times New Roman" w:hint="default"/>
      </w:rPr>
    </w:lvl>
    <w:lvl w:ilvl="2" w:tplc="6660FEC6">
      <w:numFmt w:val="bullet"/>
      <w:pStyle w:val="Level2Bullet-BarcRA7"/>
      <w:lvlText w:val="–"/>
      <w:lvlJc w:val="left"/>
      <w:pPr>
        <w:tabs>
          <w:tab w:val="num" w:pos="1401"/>
        </w:tabs>
        <w:ind w:left="1401" w:hanging="735"/>
      </w:pPr>
      <w:rPr>
        <w:rFonts w:ascii="Arial" w:eastAsia="Times New Roman" w:hAnsi="Arial" w:cs="Times New Roman" w:hint="default"/>
      </w:rPr>
    </w:lvl>
    <w:lvl w:ilvl="3" w:tplc="B636A49A">
      <w:start w:val="1"/>
      <w:numFmt w:val="decimal"/>
      <w:lvlText w:val="%4."/>
      <w:lvlJc w:val="left"/>
      <w:pPr>
        <w:tabs>
          <w:tab w:val="num" w:pos="2880"/>
        </w:tabs>
        <w:ind w:left="2880" w:hanging="360"/>
      </w:pPr>
    </w:lvl>
    <w:lvl w:ilvl="4" w:tplc="48125DCE">
      <w:start w:val="1"/>
      <w:numFmt w:val="decimal"/>
      <w:lvlText w:val="%5."/>
      <w:lvlJc w:val="left"/>
      <w:pPr>
        <w:tabs>
          <w:tab w:val="num" w:pos="3600"/>
        </w:tabs>
        <w:ind w:left="3600" w:hanging="360"/>
      </w:pPr>
    </w:lvl>
    <w:lvl w:ilvl="5" w:tplc="18FA6ED0">
      <w:start w:val="1"/>
      <w:numFmt w:val="decimal"/>
      <w:lvlText w:val="%6."/>
      <w:lvlJc w:val="left"/>
      <w:pPr>
        <w:tabs>
          <w:tab w:val="num" w:pos="4320"/>
        </w:tabs>
        <w:ind w:left="4320" w:hanging="360"/>
      </w:pPr>
    </w:lvl>
    <w:lvl w:ilvl="6" w:tplc="B1520558">
      <w:start w:val="1"/>
      <w:numFmt w:val="decimal"/>
      <w:lvlText w:val="%7."/>
      <w:lvlJc w:val="left"/>
      <w:pPr>
        <w:tabs>
          <w:tab w:val="num" w:pos="5040"/>
        </w:tabs>
        <w:ind w:left="5040" w:hanging="360"/>
      </w:pPr>
    </w:lvl>
    <w:lvl w:ilvl="7" w:tplc="6C6E572E">
      <w:start w:val="1"/>
      <w:numFmt w:val="decimal"/>
      <w:lvlText w:val="%8."/>
      <w:lvlJc w:val="left"/>
      <w:pPr>
        <w:tabs>
          <w:tab w:val="num" w:pos="5760"/>
        </w:tabs>
        <w:ind w:left="5760" w:hanging="360"/>
      </w:pPr>
    </w:lvl>
    <w:lvl w:ilvl="8" w:tplc="1B7845A8">
      <w:start w:val="1"/>
      <w:numFmt w:val="decimal"/>
      <w:lvlText w:val="%9."/>
      <w:lvlJc w:val="left"/>
      <w:pPr>
        <w:tabs>
          <w:tab w:val="num" w:pos="6480"/>
        </w:tabs>
        <w:ind w:left="6480" w:hanging="360"/>
      </w:pPr>
    </w:lvl>
  </w:abstractNum>
  <w:abstractNum w:abstractNumId="153">
    <w:nsid w:val="000000AD"/>
    <w:multiLevelType w:val="hybridMultilevel"/>
    <w:tmpl w:val="B2E8E736"/>
    <w:lvl w:ilvl="0" w:tplc="8EEC76EE">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2F486B0">
      <w:start w:val="1"/>
      <w:numFmt w:val="bullet"/>
      <w:lvlText w:val="o"/>
      <w:lvlJc w:val="left"/>
      <w:pPr>
        <w:tabs>
          <w:tab w:val="num" w:pos="306"/>
        </w:tabs>
        <w:ind w:left="306" w:hanging="360"/>
      </w:pPr>
      <w:rPr>
        <w:rFonts w:ascii="Courier New" w:hAnsi="Courier New" w:hint="default"/>
      </w:rPr>
    </w:lvl>
    <w:lvl w:ilvl="2" w:tplc="ACD4F58C">
      <w:numFmt w:val="bullet"/>
      <w:pStyle w:val="Level2Bullet-BarcRA8"/>
      <w:lvlText w:val="–"/>
      <w:lvlJc w:val="left"/>
      <w:pPr>
        <w:tabs>
          <w:tab w:val="num" w:pos="1401"/>
        </w:tabs>
        <w:ind w:left="1401" w:hanging="735"/>
      </w:pPr>
      <w:rPr>
        <w:rFonts w:ascii="Arial" w:eastAsia="Times New Roman" w:hAnsi="Arial" w:hint="default"/>
      </w:rPr>
    </w:lvl>
    <w:lvl w:ilvl="3" w:tplc="819EE9D2" w:tentative="1">
      <w:start w:val="1"/>
      <w:numFmt w:val="bullet"/>
      <w:lvlText w:val=""/>
      <w:lvlJc w:val="left"/>
      <w:pPr>
        <w:tabs>
          <w:tab w:val="num" w:pos="1746"/>
        </w:tabs>
        <w:ind w:left="1746" w:hanging="360"/>
      </w:pPr>
      <w:rPr>
        <w:rFonts w:ascii="Symbol" w:hAnsi="Symbol" w:hint="default"/>
      </w:rPr>
    </w:lvl>
    <w:lvl w:ilvl="4" w:tplc="CB1C7DFE" w:tentative="1">
      <w:start w:val="1"/>
      <w:numFmt w:val="bullet"/>
      <w:lvlText w:val="o"/>
      <w:lvlJc w:val="left"/>
      <w:pPr>
        <w:tabs>
          <w:tab w:val="num" w:pos="2466"/>
        </w:tabs>
        <w:ind w:left="2466" w:hanging="360"/>
      </w:pPr>
      <w:rPr>
        <w:rFonts w:ascii="Courier New" w:hAnsi="Courier New" w:hint="default"/>
      </w:rPr>
    </w:lvl>
    <w:lvl w:ilvl="5" w:tplc="067ADADC" w:tentative="1">
      <w:start w:val="1"/>
      <w:numFmt w:val="bullet"/>
      <w:lvlText w:val=""/>
      <w:lvlJc w:val="left"/>
      <w:pPr>
        <w:tabs>
          <w:tab w:val="num" w:pos="3186"/>
        </w:tabs>
        <w:ind w:left="3186" w:hanging="360"/>
      </w:pPr>
      <w:rPr>
        <w:rFonts w:ascii="Wingdings" w:hAnsi="Wingdings" w:hint="default"/>
      </w:rPr>
    </w:lvl>
    <w:lvl w:ilvl="6" w:tplc="D890CF30" w:tentative="1">
      <w:start w:val="1"/>
      <w:numFmt w:val="bullet"/>
      <w:lvlText w:val=""/>
      <w:lvlJc w:val="left"/>
      <w:pPr>
        <w:tabs>
          <w:tab w:val="num" w:pos="3906"/>
        </w:tabs>
        <w:ind w:left="3906" w:hanging="360"/>
      </w:pPr>
      <w:rPr>
        <w:rFonts w:ascii="Symbol" w:hAnsi="Symbol" w:hint="default"/>
      </w:rPr>
    </w:lvl>
    <w:lvl w:ilvl="7" w:tplc="E982D324" w:tentative="1">
      <w:start w:val="1"/>
      <w:numFmt w:val="bullet"/>
      <w:lvlText w:val="o"/>
      <w:lvlJc w:val="left"/>
      <w:pPr>
        <w:tabs>
          <w:tab w:val="num" w:pos="4626"/>
        </w:tabs>
        <w:ind w:left="4626" w:hanging="360"/>
      </w:pPr>
      <w:rPr>
        <w:rFonts w:ascii="Courier New" w:hAnsi="Courier New" w:hint="default"/>
      </w:rPr>
    </w:lvl>
    <w:lvl w:ilvl="8" w:tplc="B0FC4920" w:tentative="1">
      <w:start w:val="1"/>
      <w:numFmt w:val="bullet"/>
      <w:lvlText w:val=""/>
      <w:lvlJc w:val="left"/>
      <w:pPr>
        <w:tabs>
          <w:tab w:val="num" w:pos="5346"/>
        </w:tabs>
        <w:ind w:left="5346" w:hanging="360"/>
      </w:pPr>
      <w:rPr>
        <w:rFonts w:ascii="Wingdings" w:hAnsi="Wingdings" w:hint="default"/>
      </w:rPr>
    </w:lvl>
  </w:abstractNum>
  <w:abstractNum w:abstractNumId="154">
    <w:nsid w:val="000000B0"/>
    <w:multiLevelType w:val="hybridMultilevel"/>
    <w:tmpl w:val="B4DAA854"/>
    <w:lvl w:ilvl="0" w:tplc="1E00420C">
      <w:start w:val="1"/>
      <w:numFmt w:val="bullet"/>
      <w:pStyle w:val="Level1Bullet-BarcRA33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14AED306">
      <w:start w:val="1"/>
      <w:numFmt w:val="bullet"/>
      <w:lvlText w:val="o"/>
      <w:lvlJc w:val="left"/>
      <w:pPr>
        <w:tabs>
          <w:tab w:val="num" w:pos="306"/>
        </w:tabs>
        <w:ind w:left="306" w:hanging="360"/>
      </w:pPr>
      <w:rPr>
        <w:rFonts w:ascii="Courier New" w:hAnsi="Courier New" w:cs="Times New Roman" w:hint="default"/>
      </w:rPr>
    </w:lvl>
    <w:lvl w:ilvl="2" w:tplc="1674B7A8">
      <w:numFmt w:val="bullet"/>
      <w:lvlText w:val="-"/>
      <w:lvlJc w:val="left"/>
      <w:pPr>
        <w:tabs>
          <w:tab w:val="num" w:pos="1401"/>
        </w:tabs>
        <w:ind w:left="1401" w:hanging="735"/>
      </w:pPr>
      <w:rPr>
        <w:rFonts w:ascii="Barclays Serif" w:eastAsia="Times New Roman" w:hAnsi="Barclays Serif" w:cs="Times New Roman" w:hint="default"/>
      </w:rPr>
    </w:lvl>
    <w:lvl w:ilvl="3" w:tplc="4118A98C">
      <w:start w:val="1"/>
      <w:numFmt w:val="decimal"/>
      <w:lvlText w:val="%4."/>
      <w:lvlJc w:val="left"/>
      <w:pPr>
        <w:tabs>
          <w:tab w:val="num" w:pos="2880"/>
        </w:tabs>
        <w:ind w:left="2880" w:hanging="360"/>
      </w:pPr>
    </w:lvl>
    <w:lvl w:ilvl="4" w:tplc="EF72A598">
      <w:start w:val="1"/>
      <w:numFmt w:val="decimal"/>
      <w:lvlText w:val="%5."/>
      <w:lvlJc w:val="left"/>
      <w:pPr>
        <w:tabs>
          <w:tab w:val="num" w:pos="3600"/>
        </w:tabs>
        <w:ind w:left="3600" w:hanging="360"/>
      </w:pPr>
    </w:lvl>
    <w:lvl w:ilvl="5" w:tplc="334668CA">
      <w:start w:val="1"/>
      <w:numFmt w:val="decimal"/>
      <w:lvlText w:val="%6."/>
      <w:lvlJc w:val="left"/>
      <w:pPr>
        <w:tabs>
          <w:tab w:val="num" w:pos="4320"/>
        </w:tabs>
        <w:ind w:left="4320" w:hanging="360"/>
      </w:pPr>
    </w:lvl>
    <w:lvl w:ilvl="6" w:tplc="650C1C24">
      <w:start w:val="1"/>
      <w:numFmt w:val="decimal"/>
      <w:lvlText w:val="%7."/>
      <w:lvlJc w:val="left"/>
      <w:pPr>
        <w:tabs>
          <w:tab w:val="num" w:pos="5040"/>
        </w:tabs>
        <w:ind w:left="5040" w:hanging="360"/>
      </w:pPr>
    </w:lvl>
    <w:lvl w:ilvl="7" w:tplc="F7AAF3DC">
      <w:start w:val="1"/>
      <w:numFmt w:val="decimal"/>
      <w:lvlText w:val="%8."/>
      <w:lvlJc w:val="left"/>
      <w:pPr>
        <w:tabs>
          <w:tab w:val="num" w:pos="5760"/>
        </w:tabs>
        <w:ind w:left="5760" w:hanging="360"/>
      </w:pPr>
    </w:lvl>
    <w:lvl w:ilvl="8" w:tplc="C20A9F20">
      <w:start w:val="1"/>
      <w:numFmt w:val="decimal"/>
      <w:lvlText w:val="%9."/>
      <w:lvlJc w:val="left"/>
      <w:pPr>
        <w:tabs>
          <w:tab w:val="num" w:pos="6480"/>
        </w:tabs>
        <w:ind w:left="6480" w:hanging="360"/>
      </w:pPr>
    </w:lvl>
  </w:abstractNum>
  <w:abstractNum w:abstractNumId="155">
    <w:nsid w:val="000000B1"/>
    <w:multiLevelType w:val="hybridMultilevel"/>
    <w:tmpl w:val="B4DAA854"/>
    <w:lvl w:ilvl="0" w:tplc="9C9C9106">
      <w:start w:val="1"/>
      <w:numFmt w:val="bullet"/>
      <w:pStyle w:val="Level1Bullet-BarcRA33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05A51F0">
      <w:start w:val="1"/>
      <w:numFmt w:val="bullet"/>
      <w:lvlText w:val="o"/>
      <w:lvlJc w:val="left"/>
      <w:pPr>
        <w:tabs>
          <w:tab w:val="num" w:pos="306"/>
        </w:tabs>
        <w:ind w:left="306" w:hanging="360"/>
      </w:pPr>
      <w:rPr>
        <w:rFonts w:ascii="Courier New" w:hAnsi="Courier New" w:cs="Times New Roman" w:hint="default"/>
      </w:rPr>
    </w:lvl>
    <w:lvl w:ilvl="2" w:tplc="C6A07046">
      <w:numFmt w:val="bullet"/>
      <w:lvlText w:val="-"/>
      <w:lvlJc w:val="left"/>
      <w:pPr>
        <w:tabs>
          <w:tab w:val="num" w:pos="1401"/>
        </w:tabs>
        <w:ind w:left="1401" w:hanging="735"/>
      </w:pPr>
      <w:rPr>
        <w:rFonts w:ascii="Barclays Serif" w:eastAsia="Times New Roman" w:hAnsi="Barclays Serif" w:cs="Times New Roman" w:hint="default"/>
      </w:rPr>
    </w:lvl>
    <w:lvl w:ilvl="3" w:tplc="8968C91C">
      <w:start w:val="1"/>
      <w:numFmt w:val="decimal"/>
      <w:lvlText w:val="%4."/>
      <w:lvlJc w:val="left"/>
      <w:pPr>
        <w:tabs>
          <w:tab w:val="num" w:pos="2880"/>
        </w:tabs>
        <w:ind w:left="2880" w:hanging="360"/>
      </w:pPr>
    </w:lvl>
    <w:lvl w:ilvl="4" w:tplc="CB10D8B2">
      <w:start w:val="1"/>
      <w:numFmt w:val="decimal"/>
      <w:lvlText w:val="%5."/>
      <w:lvlJc w:val="left"/>
      <w:pPr>
        <w:tabs>
          <w:tab w:val="num" w:pos="3600"/>
        </w:tabs>
        <w:ind w:left="3600" w:hanging="360"/>
      </w:pPr>
    </w:lvl>
    <w:lvl w:ilvl="5" w:tplc="CABAE67C">
      <w:start w:val="1"/>
      <w:numFmt w:val="decimal"/>
      <w:lvlText w:val="%6."/>
      <w:lvlJc w:val="left"/>
      <w:pPr>
        <w:tabs>
          <w:tab w:val="num" w:pos="4320"/>
        </w:tabs>
        <w:ind w:left="4320" w:hanging="360"/>
      </w:pPr>
    </w:lvl>
    <w:lvl w:ilvl="6" w:tplc="E97A8ADE">
      <w:start w:val="1"/>
      <w:numFmt w:val="decimal"/>
      <w:lvlText w:val="%7."/>
      <w:lvlJc w:val="left"/>
      <w:pPr>
        <w:tabs>
          <w:tab w:val="num" w:pos="5040"/>
        </w:tabs>
        <w:ind w:left="5040" w:hanging="360"/>
      </w:pPr>
    </w:lvl>
    <w:lvl w:ilvl="7" w:tplc="06262FD8">
      <w:start w:val="1"/>
      <w:numFmt w:val="decimal"/>
      <w:lvlText w:val="%8."/>
      <w:lvlJc w:val="left"/>
      <w:pPr>
        <w:tabs>
          <w:tab w:val="num" w:pos="5760"/>
        </w:tabs>
        <w:ind w:left="5760" w:hanging="360"/>
      </w:pPr>
    </w:lvl>
    <w:lvl w:ilvl="8" w:tplc="FDFC54E8">
      <w:start w:val="1"/>
      <w:numFmt w:val="decimal"/>
      <w:lvlText w:val="%9."/>
      <w:lvlJc w:val="left"/>
      <w:pPr>
        <w:tabs>
          <w:tab w:val="num" w:pos="6480"/>
        </w:tabs>
        <w:ind w:left="6480" w:hanging="360"/>
      </w:pPr>
    </w:lvl>
  </w:abstractNum>
  <w:abstractNum w:abstractNumId="156">
    <w:nsid w:val="000000B2"/>
    <w:multiLevelType w:val="hybridMultilevel"/>
    <w:tmpl w:val="B4DAA854"/>
    <w:lvl w:ilvl="0" w:tplc="837EF5FC">
      <w:start w:val="1"/>
      <w:numFmt w:val="bullet"/>
      <w:pStyle w:val="Level1Bullet-BarcRA13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B8482D0">
      <w:start w:val="1"/>
      <w:numFmt w:val="bullet"/>
      <w:lvlText w:val="o"/>
      <w:lvlJc w:val="left"/>
      <w:pPr>
        <w:tabs>
          <w:tab w:val="num" w:pos="306"/>
        </w:tabs>
        <w:ind w:left="306" w:hanging="360"/>
      </w:pPr>
      <w:rPr>
        <w:rFonts w:ascii="Courier New" w:hAnsi="Courier New" w:cs="Times New Roman" w:hint="default"/>
      </w:rPr>
    </w:lvl>
    <w:lvl w:ilvl="2" w:tplc="C346DBD0">
      <w:numFmt w:val="bullet"/>
      <w:lvlText w:val="-"/>
      <w:lvlJc w:val="left"/>
      <w:pPr>
        <w:tabs>
          <w:tab w:val="num" w:pos="1401"/>
        </w:tabs>
        <w:ind w:left="1401" w:hanging="735"/>
      </w:pPr>
      <w:rPr>
        <w:rFonts w:ascii="Barclays Serif" w:eastAsia="Times New Roman" w:hAnsi="Barclays Serif" w:cs="Times New Roman" w:hint="default"/>
      </w:rPr>
    </w:lvl>
    <w:lvl w:ilvl="3" w:tplc="593CAFA6">
      <w:start w:val="1"/>
      <w:numFmt w:val="decimal"/>
      <w:lvlText w:val="%4."/>
      <w:lvlJc w:val="left"/>
      <w:pPr>
        <w:tabs>
          <w:tab w:val="num" w:pos="2880"/>
        </w:tabs>
        <w:ind w:left="2880" w:hanging="360"/>
      </w:pPr>
    </w:lvl>
    <w:lvl w:ilvl="4" w:tplc="164CA916">
      <w:start w:val="1"/>
      <w:numFmt w:val="decimal"/>
      <w:lvlText w:val="%5."/>
      <w:lvlJc w:val="left"/>
      <w:pPr>
        <w:tabs>
          <w:tab w:val="num" w:pos="3600"/>
        </w:tabs>
        <w:ind w:left="3600" w:hanging="360"/>
      </w:pPr>
    </w:lvl>
    <w:lvl w:ilvl="5" w:tplc="2DFEF7EC">
      <w:start w:val="1"/>
      <w:numFmt w:val="decimal"/>
      <w:lvlText w:val="%6."/>
      <w:lvlJc w:val="left"/>
      <w:pPr>
        <w:tabs>
          <w:tab w:val="num" w:pos="4320"/>
        </w:tabs>
        <w:ind w:left="4320" w:hanging="360"/>
      </w:pPr>
    </w:lvl>
    <w:lvl w:ilvl="6" w:tplc="C8B08636">
      <w:start w:val="1"/>
      <w:numFmt w:val="decimal"/>
      <w:lvlText w:val="%7."/>
      <w:lvlJc w:val="left"/>
      <w:pPr>
        <w:tabs>
          <w:tab w:val="num" w:pos="5040"/>
        </w:tabs>
        <w:ind w:left="5040" w:hanging="360"/>
      </w:pPr>
    </w:lvl>
    <w:lvl w:ilvl="7" w:tplc="367A4654">
      <w:start w:val="1"/>
      <w:numFmt w:val="decimal"/>
      <w:lvlText w:val="%8."/>
      <w:lvlJc w:val="left"/>
      <w:pPr>
        <w:tabs>
          <w:tab w:val="num" w:pos="5760"/>
        </w:tabs>
        <w:ind w:left="5760" w:hanging="360"/>
      </w:pPr>
    </w:lvl>
    <w:lvl w:ilvl="8" w:tplc="8DCC6150">
      <w:start w:val="1"/>
      <w:numFmt w:val="decimal"/>
      <w:lvlText w:val="%9."/>
      <w:lvlJc w:val="left"/>
      <w:pPr>
        <w:tabs>
          <w:tab w:val="num" w:pos="6480"/>
        </w:tabs>
        <w:ind w:left="6480" w:hanging="360"/>
      </w:pPr>
    </w:lvl>
  </w:abstractNum>
  <w:abstractNum w:abstractNumId="157">
    <w:nsid w:val="000000B4"/>
    <w:multiLevelType w:val="hybridMultilevel"/>
    <w:tmpl w:val="B4DAA854"/>
    <w:lvl w:ilvl="0" w:tplc="5776BA46">
      <w:start w:val="1"/>
      <w:numFmt w:val="bullet"/>
      <w:pStyle w:val="Level1Bullet-BarcRA35"/>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BDA050C2">
      <w:start w:val="1"/>
      <w:numFmt w:val="bullet"/>
      <w:lvlText w:val="o"/>
      <w:lvlJc w:val="left"/>
      <w:pPr>
        <w:tabs>
          <w:tab w:val="num" w:pos="306"/>
        </w:tabs>
        <w:ind w:left="306" w:hanging="360"/>
      </w:pPr>
      <w:rPr>
        <w:rFonts w:ascii="Courier New" w:hAnsi="Courier New" w:hint="default"/>
      </w:rPr>
    </w:lvl>
    <w:lvl w:ilvl="2" w:tplc="BC383E22">
      <w:numFmt w:val="bullet"/>
      <w:lvlText w:val="-"/>
      <w:lvlJc w:val="left"/>
      <w:pPr>
        <w:tabs>
          <w:tab w:val="num" w:pos="1401"/>
        </w:tabs>
        <w:ind w:left="1401" w:hanging="735"/>
      </w:pPr>
      <w:rPr>
        <w:rFonts w:ascii="Barclays Serif" w:eastAsia="Times New Roman" w:hAnsi="Barclays Serif" w:cs="Times New Roman" w:hint="default"/>
      </w:rPr>
    </w:lvl>
    <w:lvl w:ilvl="3" w:tplc="F4BECB2E" w:tentative="1">
      <w:start w:val="1"/>
      <w:numFmt w:val="bullet"/>
      <w:lvlText w:val=""/>
      <w:lvlJc w:val="left"/>
      <w:pPr>
        <w:tabs>
          <w:tab w:val="num" w:pos="1746"/>
        </w:tabs>
        <w:ind w:left="1746" w:hanging="360"/>
      </w:pPr>
      <w:rPr>
        <w:rFonts w:ascii="Symbol" w:hAnsi="Symbol" w:hint="default"/>
      </w:rPr>
    </w:lvl>
    <w:lvl w:ilvl="4" w:tplc="3996B91A" w:tentative="1">
      <w:start w:val="1"/>
      <w:numFmt w:val="bullet"/>
      <w:lvlText w:val="o"/>
      <w:lvlJc w:val="left"/>
      <w:pPr>
        <w:tabs>
          <w:tab w:val="num" w:pos="2466"/>
        </w:tabs>
        <w:ind w:left="2466" w:hanging="360"/>
      </w:pPr>
      <w:rPr>
        <w:rFonts w:ascii="Courier New" w:hAnsi="Courier New" w:hint="default"/>
      </w:rPr>
    </w:lvl>
    <w:lvl w:ilvl="5" w:tplc="B106D4F4" w:tentative="1">
      <w:start w:val="1"/>
      <w:numFmt w:val="bullet"/>
      <w:lvlText w:val=""/>
      <w:lvlJc w:val="left"/>
      <w:pPr>
        <w:tabs>
          <w:tab w:val="num" w:pos="3186"/>
        </w:tabs>
        <w:ind w:left="3186" w:hanging="360"/>
      </w:pPr>
      <w:rPr>
        <w:rFonts w:ascii="Wingdings" w:hAnsi="Wingdings" w:hint="default"/>
      </w:rPr>
    </w:lvl>
    <w:lvl w:ilvl="6" w:tplc="2102C350" w:tentative="1">
      <w:start w:val="1"/>
      <w:numFmt w:val="bullet"/>
      <w:lvlText w:val=""/>
      <w:lvlJc w:val="left"/>
      <w:pPr>
        <w:tabs>
          <w:tab w:val="num" w:pos="3906"/>
        </w:tabs>
        <w:ind w:left="3906" w:hanging="360"/>
      </w:pPr>
      <w:rPr>
        <w:rFonts w:ascii="Symbol" w:hAnsi="Symbol" w:hint="default"/>
      </w:rPr>
    </w:lvl>
    <w:lvl w:ilvl="7" w:tplc="89145922" w:tentative="1">
      <w:start w:val="1"/>
      <w:numFmt w:val="bullet"/>
      <w:lvlText w:val="o"/>
      <w:lvlJc w:val="left"/>
      <w:pPr>
        <w:tabs>
          <w:tab w:val="num" w:pos="4626"/>
        </w:tabs>
        <w:ind w:left="4626" w:hanging="360"/>
      </w:pPr>
      <w:rPr>
        <w:rFonts w:ascii="Courier New" w:hAnsi="Courier New" w:hint="default"/>
      </w:rPr>
    </w:lvl>
    <w:lvl w:ilvl="8" w:tplc="C4FC737C" w:tentative="1">
      <w:start w:val="1"/>
      <w:numFmt w:val="bullet"/>
      <w:lvlText w:val=""/>
      <w:lvlJc w:val="left"/>
      <w:pPr>
        <w:tabs>
          <w:tab w:val="num" w:pos="5346"/>
        </w:tabs>
        <w:ind w:left="5346" w:hanging="360"/>
      </w:pPr>
      <w:rPr>
        <w:rFonts w:ascii="Wingdings" w:hAnsi="Wingdings" w:hint="default"/>
      </w:rPr>
    </w:lvl>
  </w:abstractNum>
  <w:abstractNum w:abstractNumId="158">
    <w:nsid w:val="000000B5"/>
    <w:multiLevelType w:val="hybridMultilevel"/>
    <w:tmpl w:val="B4DAA854"/>
    <w:lvl w:ilvl="0" w:tplc="D8FCF9C0">
      <w:start w:val="1"/>
      <w:numFmt w:val="bullet"/>
      <w:pStyle w:val="Level1Bullet-BarcRA5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4F4ED54">
      <w:start w:val="1"/>
      <w:numFmt w:val="bullet"/>
      <w:lvlText w:val="o"/>
      <w:lvlJc w:val="left"/>
      <w:pPr>
        <w:tabs>
          <w:tab w:val="num" w:pos="306"/>
        </w:tabs>
        <w:ind w:left="306" w:hanging="360"/>
      </w:pPr>
      <w:rPr>
        <w:rFonts w:ascii="Courier New" w:hAnsi="Courier New" w:cs="Times New Roman" w:hint="default"/>
      </w:rPr>
    </w:lvl>
    <w:lvl w:ilvl="2" w:tplc="4AF02800">
      <w:numFmt w:val="bullet"/>
      <w:lvlText w:val="-"/>
      <w:lvlJc w:val="left"/>
      <w:pPr>
        <w:tabs>
          <w:tab w:val="num" w:pos="1401"/>
        </w:tabs>
        <w:ind w:left="1401" w:hanging="735"/>
      </w:pPr>
      <w:rPr>
        <w:rFonts w:ascii="Barclays Serif" w:eastAsia="Times New Roman" w:hAnsi="Barclays Serif" w:cs="Times New Roman" w:hint="default"/>
      </w:rPr>
    </w:lvl>
    <w:lvl w:ilvl="3" w:tplc="14542B76">
      <w:start w:val="1"/>
      <w:numFmt w:val="decimal"/>
      <w:lvlText w:val="%4."/>
      <w:lvlJc w:val="left"/>
      <w:pPr>
        <w:tabs>
          <w:tab w:val="num" w:pos="2880"/>
        </w:tabs>
        <w:ind w:left="2880" w:hanging="360"/>
      </w:pPr>
    </w:lvl>
    <w:lvl w:ilvl="4" w:tplc="C3262BF8">
      <w:start w:val="1"/>
      <w:numFmt w:val="decimal"/>
      <w:lvlText w:val="%5."/>
      <w:lvlJc w:val="left"/>
      <w:pPr>
        <w:tabs>
          <w:tab w:val="num" w:pos="3600"/>
        </w:tabs>
        <w:ind w:left="3600" w:hanging="360"/>
      </w:pPr>
    </w:lvl>
    <w:lvl w:ilvl="5" w:tplc="1EAC09B8">
      <w:start w:val="1"/>
      <w:numFmt w:val="decimal"/>
      <w:lvlText w:val="%6."/>
      <w:lvlJc w:val="left"/>
      <w:pPr>
        <w:tabs>
          <w:tab w:val="num" w:pos="4320"/>
        </w:tabs>
        <w:ind w:left="4320" w:hanging="360"/>
      </w:pPr>
    </w:lvl>
    <w:lvl w:ilvl="6" w:tplc="4D08A996">
      <w:start w:val="1"/>
      <w:numFmt w:val="decimal"/>
      <w:lvlText w:val="%7."/>
      <w:lvlJc w:val="left"/>
      <w:pPr>
        <w:tabs>
          <w:tab w:val="num" w:pos="5040"/>
        </w:tabs>
        <w:ind w:left="5040" w:hanging="360"/>
      </w:pPr>
    </w:lvl>
    <w:lvl w:ilvl="7" w:tplc="8602A50A">
      <w:start w:val="1"/>
      <w:numFmt w:val="decimal"/>
      <w:lvlText w:val="%8."/>
      <w:lvlJc w:val="left"/>
      <w:pPr>
        <w:tabs>
          <w:tab w:val="num" w:pos="5760"/>
        </w:tabs>
        <w:ind w:left="5760" w:hanging="360"/>
      </w:pPr>
    </w:lvl>
    <w:lvl w:ilvl="8" w:tplc="08B215DA">
      <w:start w:val="1"/>
      <w:numFmt w:val="decimal"/>
      <w:lvlText w:val="%9."/>
      <w:lvlJc w:val="left"/>
      <w:pPr>
        <w:tabs>
          <w:tab w:val="num" w:pos="6480"/>
        </w:tabs>
        <w:ind w:left="6480" w:hanging="360"/>
      </w:pPr>
    </w:lvl>
  </w:abstractNum>
  <w:abstractNum w:abstractNumId="159">
    <w:nsid w:val="000000B6"/>
    <w:multiLevelType w:val="hybridMultilevel"/>
    <w:tmpl w:val="B4DAA854"/>
    <w:lvl w:ilvl="0" w:tplc="8812A864">
      <w:start w:val="1"/>
      <w:numFmt w:val="bullet"/>
      <w:pStyle w:val="Level1Bullet-BarcRA29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374A82A">
      <w:start w:val="1"/>
      <w:numFmt w:val="bullet"/>
      <w:lvlText w:val="o"/>
      <w:lvlJc w:val="left"/>
      <w:pPr>
        <w:tabs>
          <w:tab w:val="num" w:pos="306"/>
        </w:tabs>
        <w:ind w:left="306" w:hanging="360"/>
      </w:pPr>
      <w:rPr>
        <w:rFonts w:ascii="Courier New" w:hAnsi="Courier New" w:cs="Times New Roman" w:hint="default"/>
      </w:rPr>
    </w:lvl>
    <w:lvl w:ilvl="2" w:tplc="00DAF348">
      <w:numFmt w:val="bullet"/>
      <w:lvlText w:val="-"/>
      <w:lvlJc w:val="left"/>
      <w:pPr>
        <w:tabs>
          <w:tab w:val="num" w:pos="1401"/>
        </w:tabs>
        <w:ind w:left="1401" w:hanging="735"/>
      </w:pPr>
      <w:rPr>
        <w:rFonts w:ascii="Barclays Serif" w:eastAsia="Times New Roman" w:hAnsi="Barclays Serif" w:cs="Times New Roman" w:hint="default"/>
      </w:rPr>
    </w:lvl>
    <w:lvl w:ilvl="3" w:tplc="B92A1ACC">
      <w:start w:val="1"/>
      <w:numFmt w:val="decimal"/>
      <w:lvlText w:val="%4."/>
      <w:lvlJc w:val="left"/>
      <w:pPr>
        <w:tabs>
          <w:tab w:val="num" w:pos="2880"/>
        </w:tabs>
        <w:ind w:left="2880" w:hanging="360"/>
      </w:pPr>
    </w:lvl>
    <w:lvl w:ilvl="4" w:tplc="6178D504">
      <w:start w:val="1"/>
      <w:numFmt w:val="decimal"/>
      <w:lvlText w:val="%5."/>
      <w:lvlJc w:val="left"/>
      <w:pPr>
        <w:tabs>
          <w:tab w:val="num" w:pos="3600"/>
        </w:tabs>
        <w:ind w:left="3600" w:hanging="360"/>
      </w:pPr>
    </w:lvl>
    <w:lvl w:ilvl="5" w:tplc="BB60CB6E">
      <w:start w:val="1"/>
      <w:numFmt w:val="decimal"/>
      <w:lvlText w:val="%6."/>
      <w:lvlJc w:val="left"/>
      <w:pPr>
        <w:tabs>
          <w:tab w:val="num" w:pos="4320"/>
        </w:tabs>
        <w:ind w:left="4320" w:hanging="360"/>
      </w:pPr>
    </w:lvl>
    <w:lvl w:ilvl="6" w:tplc="D1B0051E">
      <w:start w:val="1"/>
      <w:numFmt w:val="decimal"/>
      <w:lvlText w:val="%7."/>
      <w:lvlJc w:val="left"/>
      <w:pPr>
        <w:tabs>
          <w:tab w:val="num" w:pos="5040"/>
        </w:tabs>
        <w:ind w:left="5040" w:hanging="360"/>
      </w:pPr>
    </w:lvl>
    <w:lvl w:ilvl="7" w:tplc="BBD2DD10">
      <w:start w:val="1"/>
      <w:numFmt w:val="decimal"/>
      <w:lvlText w:val="%8."/>
      <w:lvlJc w:val="left"/>
      <w:pPr>
        <w:tabs>
          <w:tab w:val="num" w:pos="5760"/>
        </w:tabs>
        <w:ind w:left="5760" w:hanging="360"/>
      </w:pPr>
    </w:lvl>
    <w:lvl w:ilvl="8" w:tplc="65502D3C">
      <w:start w:val="1"/>
      <w:numFmt w:val="decimal"/>
      <w:lvlText w:val="%9."/>
      <w:lvlJc w:val="left"/>
      <w:pPr>
        <w:tabs>
          <w:tab w:val="num" w:pos="6480"/>
        </w:tabs>
        <w:ind w:left="6480" w:hanging="360"/>
      </w:pPr>
    </w:lvl>
  </w:abstractNum>
  <w:abstractNum w:abstractNumId="160">
    <w:nsid w:val="000000B7"/>
    <w:multiLevelType w:val="hybridMultilevel"/>
    <w:tmpl w:val="B4DAA854"/>
    <w:lvl w:ilvl="0" w:tplc="0A76A012">
      <w:start w:val="1"/>
      <w:numFmt w:val="bullet"/>
      <w:pStyle w:val="Level1Bullet-BarcRA32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6F2DDD0">
      <w:start w:val="1"/>
      <w:numFmt w:val="bullet"/>
      <w:lvlText w:val="o"/>
      <w:lvlJc w:val="left"/>
      <w:pPr>
        <w:tabs>
          <w:tab w:val="num" w:pos="306"/>
        </w:tabs>
        <w:ind w:left="306" w:hanging="360"/>
      </w:pPr>
      <w:rPr>
        <w:rFonts w:ascii="Courier New" w:hAnsi="Courier New" w:cs="Times New Roman" w:hint="default"/>
      </w:rPr>
    </w:lvl>
    <w:lvl w:ilvl="2" w:tplc="FC9CB3AC">
      <w:numFmt w:val="bullet"/>
      <w:lvlText w:val="-"/>
      <w:lvlJc w:val="left"/>
      <w:pPr>
        <w:tabs>
          <w:tab w:val="num" w:pos="1401"/>
        </w:tabs>
        <w:ind w:left="1401" w:hanging="735"/>
      </w:pPr>
      <w:rPr>
        <w:rFonts w:ascii="Barclays Serif" w:eastAsia="Times New Roman" w:hAnsi="Barclays Serif" w:cs="Times New Roman" w:hint="default"/>
      </w:rPr>
    </w:lvl>
    <w:lvl w:ilvl="3" w:tplc="51601F26">
      <w:start w:val="1"/>
      <w:numFmt w:val="decimal"/>
      <w:lvlText w:val="%4."/>
      <w:lvlJc w:val="left"/>
      <w:pPr>
        <w:tabs>
          <w:tab w:val="num" w:pos="2880"/>
        </w:tabs>
        <w:ind w:left="2880" w:hanging="360"/>
      </w:pPr>
    </w:lvl>
    <w:lvl w:ilvl="4" w:tplc="42C8527A">
      <w:start w:val="1"/>
      <w:numFmt w:val="decimal"/>
      <w:lvlText w:val="%5."/>
      <w:lvlJc w:val="left"/>
      <w:pPr>
        <w:tabs>
          <w:tab w:val="num" w:pos="3600"/>
        </w:tabs>
        <w:ind w:left="3600" w:hanging="360"/>
      </w:pPr>
    </w:lvl>
    <w:lvl w:ilvl="5" w:tplc="8476180C">
      <w:start w:val="1"/>
      <w:numFmt w:val="decimal"/>
      <w:lvlText w:val="%6."/>
      <w:lvlJc w:val="left"/>
      <w:pPr>
        <w:tabs>
          <w:tab w:val="num" w:pos="4320"/>
        </w:tabs>
        <w:ind w:left="4320" w:hanging="360"/>
      </w:pPr>
    </w:lvl>
    <w:lvl w:ilvl="6" w:tplc="DAAA47AC">
      <w:start w:val="1"/>
      <w:numFmt w:val="decimal"/>
      <w:lvlText w:val="%7."/>
      <w:lvlJc w:val="left"/>
      <w:pPr>
        <w:tabs>
          <w:tab w:val="num" w:pos="5040"/>
        </w:tabs>
        <w:ind w:left="5040" w:hanging="360"/>
      </w:pPr>
    </w:lvl>
    <w:lvl w:ilvl="7" w:tplc="15D27A1E">
      <w:start w:val="1"/>
      <w:numFmt w:val="decimal"/>
      <w:lvlText w:val="%8."/>
      <w:lvlJc w:val="left"/>
      <w:pPr>
        <w:tabs>
          <w:tab w:val="num" w:pos="5760"/>
        </w:tabs>
        <w:ind w:left="5760" w:hanging="360"/>
      </w:pPr>
    </w:lvl>
    <w:lvl w:ilvl="8" w:tplc="300233CC">
      <w:start w:val="1"/>
      <w:numFmt w:val="decimal"/>
      <w:lvlText w:val="%9."/>
      <w:lvlJc w:val="left"/>
      <w:pPr>
        <w:tabs>
          <w:tab w:val="num" w:pos="6480"/>
        </w:tabs>
        <w:ind w:left="6480" w:hanging="360"/>
      </w:pPr>
    </w:lvl>
  </w:abstractNum>
  <w:abstractNum w:abstractNumId="161">
    <w:nsid w:val="000000B8"/>
    <w:multiLevelType w:val="hybridMultilevel"/>
    <w:tmpl w:val="B2E8E736"/>
    <w:lvl w:ilvl="0" w:tplc="008414F4">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2CC86A6A">
      <w:start w:val="1"/>
      <w:numFmt w:val="bullet"/>
      <w:lvlText w:val="o"/>
      <w:lvlJc w:val="left"/>
      <w:pPr>
        <w:tabs>
          <w:tab w:val="num" w:pos="306"/>
        </w:tabs>
        <w:ind w:left="306" w:hanging="360"/>
      </w:pPr>
      <w:rPr>
        <w:rFonts w:ascii="Courier New" w:hAnsi="Courier New" w:cs="Times New Roman" w:hint="default"/>
      </w:rPr>
    </w:lvl>
    <w:lvl w:ilvl="2" w:tplc="ED1AB048">
      <w:numFmt w:val="bullet"/>
      <w:pStyle w:val="Level2Bullet-BarcRA13"/>
      <w:lvlText w:val="–"/>
      <w:lvlJc w:val="left"/>
      <w:pPr>
        <w:tabs>
          <w:tab w:val="num" w:pos="1401"/>
        </w:tabs>
        <w:ind w:left="1401" w:hanging="735"/>
      </w:pPr>
      <w:rPr>
        <w:rFonts w:ascii="Arial" w:eastAsia="Times New Roman" w:hAnsi="Arial" w:cs="Times New Roman" w:hint="default"/>
      </w:rPr>
    </w:lvl>
    <w:lvl w:ilvl="3" w:tplc="2870B4AC">
      <w:start w:val="1"/>
      <w:numFmt w:val="decimal"/>
      <w:lvlText w:val="%4."/>
      <w:lvlJc w:val="left"/>
      <w:pPr>
        <w:tabs>
          <w:tab w:val="num" w:pos="2880"/>
        </w:tabs>
        <w:ind w:left="2880" w:hanging="360"/>
      </w:pPr>
    </w:lvl>
    <w:lvl w:ilvl="4" w:tplc="BC827BDE">
      <w:start w:val="1"/>
      <w:numFmt w:val="decimal"/>
      <w:lvlText w:val="%5."/>
      <w:lvlJc w:val="left"/>
      <w:pPr>
        <w:tabs>
          <w:tab w:val="num" w:pos="3600"/>
        </w:tabs>
        <w:ind w:left="3600" w:hanging="360"/>
      </w:pPr>
    </w:lvl>
    <w:lvl w:ilvl="5" w:tplc="5FDC0374">
      <w:start w:val="1"/>
      <w:numFmt w:val="decimal"/>
      <w:lvlText w:val="%6."/>
      <w:lvlJc w:val="left"/>
      <w:pPr>
        <w:tabs>
          <w:tab w:val="num" w:pos="4320"/>
        </w:tabs>
        <w:ind w:left="4320" w:hanging="360"/>
      </w:pPr>
    </w:lvl>
    <w:lvl w:ilvl="6" w:tplc="C39018A4">
      <w:start w:val="1"/>
      <w:numFmt w:val="decimal"/>
      <w:lvlText w:val="%7."/>
      <w:lvlJc w:val="left"/>
      <w:pPr>
        <w:tabs>
          <w:tab w:val="num" w:pos="5040"/>
        </w:tabs>
        <w:ind w:left="5040" w:hanging="360"/>
      </w:pPr>
    </w:lvl>
    <w:lvl w:ilvl="7" w:tplc="8AA69556">
      <w:start w:val="1"/>
      <w:numFmt w:val="decimal"/>
      <w:lvlText w:val="%8."/>
      <w:lvlJc w:val="left"/>
      <w:pPr>
        <w:tabs>
          <w:tab w:val="num" w:pos="5760"/>
        </w:tabs>
        <w:ind w:left="5760" w:hanging="360"/>
      </w:pPr>
    </w:lvl>
    <w:lvl w:ilvl="8" w:tplc="83945AD8">
      <w:start w:val="1"/>
      <w:numFmt w:val="decimal"/>
      <w:lvlText w:val="%9."/>
      <w:lvlJc w:val="left"/>
      <w:pPr>
        <w:tabs>
          <w:tab w:val="num" w:pos="6480"/>
        </w:tabs>
        <w:ind w:left="6480" w:hanging="360"/>
      </w:pPr>
    </w:lvl>
  </w:abstractNum>
  <w:abstractNum w:abstractNumId="162">
    <w:nsid w:val="000000B9"/>
    <w:multiLevelType w:val="hybridMultilevel"/>
    <w:tmpl w:val="B4DAA854"/>
    <w:lvl w:ilvl="0" w:tplc="299E17CA">
      <w:start w:val="1"/>
      <w:numFmt w:val="bullet"/>
      <w:pStyle w:val="Level1Bullet-BarcRA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546B8FC">
      <w:start w:val="1"/>
      <w:numFmt w:val="bullet"/>
      <w:lvlText w:val="o"/>
      <w:lvlJc w:val="left"/>
      <w:pPr>
        <w:tabs>
          <w:tab w:val="num" w:pos="306"/>
        </w:tabs>
        <w:ind w:left="306" w:hanging="360"/>
      </w:pPr>
      <w:rPr>
        <w:rFonts w:ascii="Courier New" w:hAnsi="Courier New" w:cs="Times New Roman" w:hint="default"/>
      </w:rPr>
    </w:lvl>
    <w:lvl w:ilvl="2" w:tplc="370E96D4">
      <w:numFmt w:val="bullet"/>
      <w:lvlText w:val="-"/>
      <w:lvlJc w:val="left"/>
      <w:pPr>
        <w:tabs>
          <w:tab w:val="num" w:pos="1401"/>
        </w:tabs>
        <w:ind w:left="1401" w:hanging="735"/>
      </w:pPr>
      <w:rPr>
        <w:rFonts w:ascii="Barclays Serif" w:eastAsia="Times New Roman" w:hAnsi="Barclays Serif" w:cs="Times New Roman" w:hint="default"/>
      </w:rPr>
    </w:lvl>
    <w:lvl w:ilvl="3" w:tplc="D3FA9B40">
      <w:start w:val="1"/>
      <w:numFmt w:val="decimal"/>
      <w:lvlText w:val="%4."/>
      <w:lvlJc w:val="left"/>
      <w:pPr>
        <w:tabs>
          <w:tab w:val="num" w:pos="2880"/>
        </w:tabs>
        <w:ind w:left="2880" w:hanging="360"/>
      </w:pPr>
    </w:lvl>
    <w:lvl w:ilvl="4" w:tplc="7714D8AA">
      <w:start w:val="1"/>
      <w:numFmt w:val="decimal"/>
      <w:lvlText w:val="%5."/>
      <w:lvlJc w:val="left"/>
      <w:pPr>
        <w:tabs>
          <w:tab w:val="num" w:pos="3600"/>
        </w:tabs>
        <w:ind w:left="3600" w:hanging="360"/>
      </w:pPr>
    </w:lvl>
    <w:lvl w:ilvl="5" w:tplc="9D762BB6">
      <w:start w:val="1"/>
      <w:numFmt w:val="decimal"/>
      <w:lvlText w:val="%6."/>
      <w:lvlJc w:val="left"/>
      <w:pPr>
        <w:tabs>
          <w:tab w:val="num" w:pos="4320"/>
        </w:tabs>
        <w:ind w:left="4320" w:hanging="360"/>
      </w:pPr>
    </w:lvl>
    <w:lvl w:ilvl="6" w:tplc="59DE28EE">
      <w:start w:val="1"/>
      <w:numFmt w:val="decimal"/>
      <w:lvlText w:val="%7."/>
      <w:lvlJc w:val="left"/>
      <w:pPr>
        <w:tabs>
          <w:tab w:val="num" w:pos="5040"/>
        </w:tabs>
        <w:ind w:left="5040" w:hanging="360"/>
      </w:pPr>
    </w:lvl>
    <w:lvl w:ilvl="7" w:tplc="B360E856">
      <w:start w:val="1"/>
      <w:numFmt w:val="decimal"/>
      <w:lvlText w:val="%8."/>
      <w:lvlJc w:val="left"/>
      <w:pPr>
        <w:tabs>
          <w:tab w:val="num" w:pos="5760"/>
        </w:tabs>
        <w:ind w:left="5760" w:hanging="360"/>
      </w:pPr>
    </w:lvl>
    <w:lvl w:ilvl="8" w:tplc="E5F80142">
      <w:start w:val="1"/>
      <w:numFmt w:val="decimal"/>
      <w:lvlText w:val="%9."/>
      <w:lvlJc w:val="left"/>
      <w:pPr>
        <w:tabs>
          <w:tab w:val="num" w:pos="6480"/>
        </w:tabs>
        <w:ind w:left="6480" w:hanging="360"/>
      </w:pPr>
    </w:lvl>
  </w:abstractNum>
  <w:abstractNum w:abstractNumId="163">
    <w:nsid w:val="000000BB"/>
    <w:multiLevelType w:val="hybridMultilevel"/>
    <w:tmpl w:val="D78CABEE"/>
    <w:lvl w:ilvl="0" w:tplc="47A04ACC">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C3F07908">
      <w:start w:val="1"/>
      <w:numFmt w:val="bullet"/>
      <w:lvlText w:val="o"/>
      <w:lvlJc w:val="left"/>
      <w:pPr>
        <w:tabs>
          <w:tab w:val="num" w:pos="306"/>
        </w:tabs>
        <w:ind w:left="306" w:hanging="360"/>
      </w:pPr>
      <w:rPr>
        <w:rFonts w:ascii="Courier New" w:hAnsi="Courier New" w:hint="default"/>
      </w:rPr>
    </w:lvl>
    <w:lvl w:ilvl="2" w:tplc="909087EC">
      <w:numFmt w:val="bullet"/>
      <w:pStyle w:val="Level2Bullet-BarcRA9"/>
      <w:lvlText w:val="–"/>
      <w:lvlJc w:val="left"/>
      <w:pPr>
        <w:tabs>
          <w:tab w:val="num" w:pos="1401"/>
        </w:tabs>
        <w:ind w:left="1401" w:hanging="735"/>
      </w:pPr>
      <w:rPr>
        <w:rFonts w:ascii="Arial" w:eastAsia="Times New Roman" w:hAnsi="Arial" w:hint="default"/>
      </w:rPr>
    </w:lvl>
    <w:lvl w:ilvl="3" w:tplc="0712862E" w:tentative="1">
      <w:start w:val="1"/>
      <w:numFmt w:val="bullet"/>
      <w:lvlText w:val=""/>
      <w:lvlJc w:val="left"/>
      <w:pPr>
        <w:tabs>
          <w:tab w:val="num" w:pos="1746"/>
        </w:tabs>
        <w:ind w:left="1746" w:hanging="360"/>
      </w:pPr>
      <w:rPr>
        <w:rFonts w:ascii="Symbol" w:hAnsi="Symbol" w:hint="default"/>
      </w:rPr>
    </w:lvl>
    <w:lvl w:ilvl="4" w:tplc="095A1480" w:tentative="1">
      <w:start w:val="1"/>
      <w:numFmt w:val="bullet"/>
      <w:lvlText w:val="o"/>
      <w:lvlJc w:val="left"/>
      <w:pPr>
        <w:tabs>
          <w:tab w:val="num" w:pos="2466"/>
        </w:tabs>
        <w:ind w:left="2466" w:hanging="360"/>
      </w:pPr>
      <w:rPr>
        <w:rFonts w:ascii="Courier New" w:hAnsi="Courier New" w:hint="default"/>
      </w:rPr>
    </w:lvl>
    <w:lvl w:ilvl="5" w:tplc="B3B6C10E" w:tentative="1">
      <w:start w:val="1"/>
      <w:numFmt w:val="bullet"/>
      <w:lvlText w:val=""/>
      <w:lvlJc w:val="left"/>
      <w:pPr>
        <w:tabs>
          <w:tab w:val="num" w:pos="3186"/>
        </w:tabs>
        <w:ind w:left="3186" w:hanging="360"/>
      </w:pPr>
      <w:rPr>
        <w:rFonts w:ascii="Wingdings" w:hAnsi="Wingdings" w:hint="default"/>
      </w:rPr>
    </w:lvl>
    <w:lvl w:ilvl="6" w:tplc="CAA6FD7E" w:tentative="1">
      <w:start w:val="1"/>
      <w:numFmt w:val="bullet"/>
      <w:lvlText w:val=""/>
      <w:lvlJc w:val="left"/>
      <w:pPr>
        <w:tabs>
          <w:tab w:val="num" w:pos="3906"/>
        </w:tabs>
        <w:ind w:left="3906" w:hanging="360"/>
      </w:pPr>
      <w:rPr>
        <w:rFonts w:ascii="Symbol" w:hAnsi="Symbol" w:hint="default"/>
      </w:rPr>
    </w:lvl>
    <w:lvl w:ilvl="7" w:tplc="85F2F45E" w:tentative="1">
      <w:start w:val="1"/>
      <w:numFmt w:val="bullet"/>
      <w:lvlText w:val="o"/>
      <w:lvlJc w:val="left"/>
      <w:pPr>
        <w:tabs>
          <w:tab w:val="num" w:pos="4626"/>
        </w:tabs>
        <w:ind w:left="4626" w:hanging="360"/>
      </w:pPr>
      <w:rPr>
        <w:rFonts w:ascii="Courier New" w:hAnsi="Courier New" w:hint="default"/>
      </w:rPr>
    </w:lvl>
    <w:lvl w:ilvl="8" w:tplc="711490BC" w:tentative="1">
      <w:start w:val="1"/>
      <w:numFmt w:val="bullet"/>
      <w:lvlText w:val=""/>
      <w:lvlJc w:val="left"/>
      <w:pPr>
        <w:tabs>
          <w:tab w:val="num" w:pos="5346"/>
        </w:tabs>
        <w:ind w:left="5346" w:hanging="360"/>
      </w:pPr>
      <w:rPr>
        <w:rFonts w:ascii="Wingdings" w:hAnsi="Wingdings" w:hint="default"/>
      </w:rPr>
    </w:lvl>
  </w:abstractNum>
  <w:abstractNum w:abstractNumId="164">
    <w:nsid w:val="000000BC"/>
    <w:multiLevelType w:val="hybridMultilevel"/>
    <w:tmpl w:val="B4DAA854"/>
    <w:lvl w:ilvl="0" w:tplc="EF204F5E">
      <w:start w:val="1"/>
      <w:numFmt w:val="bullet"/>
      <w:pStyle w:val="Level1Bullet-BarcRA36"/>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34CE23C">
      <w:start w:val="1"/>
      <w:numFmt w:val="bullet"/>
      <w:lvlText w:val="o"/>
      <w:lvlJc w:val="left"/>
      <w:pPr>
        <w:tabs>
          <w:tab w:val="num" w:pos="306"/>
        </w:tabs>
        <w:ind w:left="306" w:hanging="360"/>
      </w:pPr>
      <w:rPr>
        <w:rFonts w:ascii="Courier New" w:hAnsi="Courier New" w:hint="default"/>
      </w:rPr>
    </w:lvl>
    <w:lvl w:ilvl="2" w:tplc="A8A41970">
      <w:numFmt w:val="bullet"/>
      <w:lvlText w:val="-"/>
      <w:lvlJc w:val="left"/>
      <w:pPr>
        <w:tabs>
          <w:tab w:val="num" w:pos="1401"/>
        </w:tabs>
        <w:ind w:left="1401" w:hanging="735"/>
      </w:pPr>
      <w:rPr>
        <w:rFonts w:ascii="Barclays Serif" w:eastAsia="Times New Roman" w:hAnsi="Barclays Serif" w:cs="Times New Roman" w:hint="default"/>
      </w:rPr>
    </w:lvl>
    <w:lvl w:ilvl="3" w:tplc="522E19EC" w:tentative="1">
      <w:start w:val="1"/>
      <w:numFmt w:val="bullet"/>
      <w:lvlText w:val=""/>
      <w:lvlJc w:val="left"/>
      <w:pPr>
        <w:tabs>
          <w:tab w:val="num" w:pos="1746"/>
        </w:tabs>
        <w:ind w:left="1746" w:hanging="360"/>
      </w:pPr>
      <w:rPr>
        <w:rFonts w:ascii="Symbol" w:hAnsi="Symbol" w:hint="default"/>
      </w:rPr>
    </w:lvl>
    <w:lvl w:ilvl="4" w:tplc="F520559E" w:tentative="1">
      <w:start w:val="1"/>
      <w:numFmt w:val="bullet"/>
      <w:lvlText w:val="o"/>
      <w:lvlJc w:val="left"/>
      <w:pPr>
        <w:tabs>
          <w:tab w:val="num" w:pos="2466"/>
        </w:tabs>
        <w:ind w:left="2466" w:hanging="360"/>
      </w:pPr>
      <w:rPr>
        <w:rFonts w:ascii="Courier New" w:hAnsi="Courier New" w:hint="default"/>
      </w:rPr>
    </w:lvl>
    <w:lvl w:ilvl="5" w:tplc="ED12591A" w:tentative="1">
      <w:start w:val="1"/>
      <w:numFmt w:val="bullet"/>
      <w:lvlText w:val=""/>
      <w:lvlJc w:val="left"/>
      <w:pPr>
        <w:tabs>
          <w:tab w:val="num" w:pos="3186"/>
        </w:tabs>
        <w:ind w:left="3186" w:hanging="360"/>
      </w:pPr>
      <w:rPr>
        <w:rFonts w:ascii="Wingdings" w:hAnsi="Wingdings" w:hint="default"/>
      </w:rPr>
    </w:lvl>
    <w:lvl w:ilvl="6" w:tplc="D466E10E" w:tentative="1">
      <w:start w:val="1"/>
      <w:numFmt w:val="bullet"/>
      <w:lvlText w:val=""/>
      <w:lvlJc w:val="left"/>
      <w:pPr>
        <w:tabs>
          <w:tab w:val="num" w:pos="3906"/>
        </w:tabs>
        <w:ind w:left="3906" w:hanging="360"/>
      </w:pPr>
      <w:rPr>
        <w:rFonts w:ascii="Symbol" w:hAnsi="Symbol" w:hint="default"/>
      </w:rPr>
    </w:lvl>
    <w:lvl w:ilvl="7" w:tplc="5D120C36" w:tentative="1">
      <w:start w:val="1"/>
      <w:numFmt w:val="bullet"/>
      <w:lvlText w:val="o"/>
      <w:lvlJc w:val="left"/>
      <w:pPr>
        <w:tabs>
          <w:tab w:val="num" w:pos="4626"/>
        </w:tabs>
        <w:ind w:left="4626" w:hanging="360"/>
      </w:pPr>
      <w:rPr>
        <w:rFonts w:ascii="Courier New" w:hAnsi="Courier New" w:hint="default"/>
      </w:rPr>
    </w:lvl>
    <w:lvl w:ilvl="8" w:tplc="D774F600" w:tentative="1">
      <w:start w:val="1"/>
      <w:numFmt w:val="bullet"/>
      <w:lvlText w:val=""/>
      <w:lvlJc w:val="left"/>
      <w:pPr>
        <w:tabs>
          <w:tab w:val="num" w:pos="5346"/>
        </w:tabs>
        <w:ind w:left="5346" w:hanging="360"/>
      </w:pPr>
      <w:rPr>
        <w:rFonts w:ascii="Wingdings" w:hAnsi="Wingdings" w:hint="default"/>
      </w:rPr>
    </w:lvl>
  </w:abstractNum>
  <w:abstractNum w:abstractNumId="165">
    <w:nsid w:val="000000BD"/>
    <w:multiLevelType w:val="hybridMultilevel"/>
    <w:tmpl w:val="3F46D7DE"/>
    <w:lvl w:ilvl="0" w:tplc="934C6FC8">
      <w:start w:val="1"/>
      <w:numFmt w:val="decimal"/>
      <w:pStyle w:val="NoteandSourceText-BarcRA17"/>
      <w:lvlText w:val="%1"/>
      <w:lvlJc w:val="left"/>
      <w:pPr>
        <w:ind w:left="720" w:hanging="360"/>
      </w:pPr>
      <w:rPr>
        <w:rFonts w:hint="default"/>
      </w:rPr>
    </w:lvl>
    <w:lvl w:ilvl="1" w:tplc="AC5CE926" w:tentative="1">
      <w:start w:val="1"/>
      <w:numFmt w:val="lowerLetter"/>
      <w:lvlText w:val="%2."/>
      <w:lvlJc w:val="left"/>
      <w:pPr>
        <w:ind w:left="1440" w:hanging="360"/>
      </w:pPr>
    </w:lvl>
    <w:lvl w:ilvl="2" w:tplc="E69A45A8" w:tentative="1">
      <w:start w:val="1"/>
      <w:numFmt w:val="lowerRoman"/>
      <w:lvlText w:val="%3."/>
      <w:lvlJc w:val="right"/>
      <w:pPr>
        <w:ind w:left="2160" w:hanging="180"/>
      </w:pPr>
    </w:lvl>
    <w:lvl w:ilvl="3" w:tplc="A3BAB28E" w:tentative="1">
      <w:start w:val="1"/>
      <w:numFmt w:val="decimal"/>
      <w:lvlText w:val="%4."/>
      <w:lvlJc w:val="left"/>
      <w:pPr>
        <w:ind w:left="2880" w:hanging="360"/>
      </w:pPr>
    </w:lvl>
    <w:lvl w:ilvl="4" w:tplc="9F2A8532" w:tentative="1">
      <w:start w:val="1"/>
      <w:numFmt w:val="lowerLetter"/>
      <w:lvlText w:val="%5."/>
      <w:lvlJc w:val="left"/>
      <w:pPr>
        <w:ind w:left="3600" w:hanging="360"/>
      </w:pPr>
    </w:lvl>
    <w:lvl w:ilvl="5" w:tplc="65C48248" w:tentative="1">
      <w:start w:val="1"/>
      <w:numFmt w:val="lowerRoman"/>
      <w:lvlText w:val="%6."/>
      <w:lvlJc w:val="right"/>
      <w:pPr>
        <w:ind w:left="4320" w:hanging="180"/>
      </w:pPr>
    </w:lvl>
    <w:lvl w:ilvl="6" w:tplc="9BA46B9E" w:tentative="1">
      <w:start w:val="1"/>
      <w:numFmt w:val="decimal"/>
      <w:lvlText w:val="%7."/>
      <w:lvlJc w:val="left"/>
      <w:pPr>
        <w:ind w:left="5040" w:hanging="360"/>
      </w:pPr>
    </w:lvl>
    <w:lvl w:ilvl="7" w:tplc="E634037A" w:tentative="1">
      <w:start w:val="1"/>
      <w:numFmt w:val="lowerLetter"/>
      <w:lvlText w:val="%8."/>
      <w:lvlJc w:val="left"/>
      <w:pPr>
        <w:ind w:left="5760" w:hanging="360"/>
      </w:pPr>
    </w:lvl>
    <w:lvl w:ilvl="8" w:tplc="A44A45C6" w:tentative="1">
      <w:start w:val="1"/>
      <w:numFmt w:val="lowerRoman"/>
      <w:lvlText w:val="%9."/>
      <w:lvlJc w:val="right"/>
      <w:pPr>
        <w:ind w:left="6480" w:hanging="180"/>
      </w:pPr>
    </w:lvl>
  </w:abstractNum>
  <w:abstractNum w:abstractNumId="166">
    <w:nsid w:val="000000BE"/>
    <w:multiLevelType w:val="hybridMultilevel"/>
    <w:tmpl w:val="D78CABEE"/>
    <w:lvl w:ilvl="0" w:tplc="D7A0CD10">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6A52583E">
      <w:start w:val="1"/>
      <w:numFmt w:val="bullet"/>
      <w:lvlText w:val="o"/>
      <w:lvlJc w:val="left"/>
      <w:pPr>
        <w:tabs>
          <w:tab w:val="num" w:pos="306"/>
        </w:tabs>
        <w:ind w:left="306" w:hanging="360"/>
      </w:pPr>
      <w:rPr>
        <w:rFonts w:ascii="Courier New" w:hAnsi="Courier New" w:cs="Times New Roman" w:hint="default"/>
      </w:rPr>
    </w:lvl>
    <w:lvl w:ilvl="2" w:tplc="DF60223E">
      <w:numFmt w:val="bullet"/>
      <w:pStyle w:val="Level2Bullet-BarcRA80"/>
      <w:lvlText w:val="–"/>
      <w:lvlJc w:val="left"/>
      <w:pPr>
        <w:tabs>
          <w:tab w:val="num" w:pos="1401"/>
        </w:tabs>
        <w:ind w:left="1401" w:hanging="735"/>
      </w:pPr>
      <w:rPr>
        <w:rFonts w:ascii="Arial" w:eastAsia="Times New Roman" w:hAnsi="Arial" w:cs="Times New Roman" w:hint="default"/>
      </w:rPr>
    </w:lvl>
    <w:lvl w:ilvl="3" w:tplc="F1CA8FA2">
      <w:start w:val="1"/>
      <w:numFmt w:val="decimal"/>
      <w:lvlText w:val="%4."/>
      <w:lvlJc w:val="left"/>
      <w:pPr>
        <w:tabs>
          <w:tab w:val="num" w:pos="2880"/>
        </w:tabs>
        <w:ind w:left="2880" w:hanging="360"/>
      </w:pPr>
    </w:lvl>
    <w:lvl w:ilvl="4" w:tplc="E2C06F12">
      <w:start w:val="1"/>
      <w:numFmt w:val="decimal"/>
      <w:lvlText w:val="%5."/>
      <w:lvlJc w:val="left"/>
      <w:pPr>
        <w:tabs>
          <w:tab w:val="num" w:pos="3600"/>
        </w:tabs>
        <w:ind w:left="3600" w:hanging="360"/>
      </w:pPr>
    </w:lvl>
    <w:lvl w:ilvl="5" w:tplc="7B5CF684">
      <w:start w:val="1"/>
      <w:numFmt w:val="decimal"/>
      <w:lvlText w:val="%6."/>
      <w:lvlJc w:val="left"/>
      <w:pPr>
        <w:tabs>
          <w:tab w:val="num" w:pos="4320"/>
        </w:tabs>
        <w:ind w:left="4320" w:hanging="360"/>
      </w:pPr>
    </w:lvl>
    <w:lvl w:ilvl="6" w:tplc="BDE6C8F4">
      <w:start w:val="1"/>
      <w:numFmt w:val="decimal"/>
      <w:lvlText w:val="%7."/>
      <w:lvlJc w:val="left"/>
      <w:pPr>
        <w:tabs>
          <w:tab w:val="num" w:pos="5040"/>
        </w:tabs>
        <w:ind w:left="5040" w:hanging="360"/>
      </w:pPr>
    </w:lvl>
    <w:lvl w:ilvl="7" w:tplc="B5D2DECE">
      <w:start w:val="1"/>
      <w:numFmt w:val="decimal"/>
      <w:lvlText w:val="%8."/>
      <w:lvlJc w:val="left"/>
      <w:pPr>
        <w:tabs>
          <w:tab w:val="num" w:pos="5760"/>
        </w:tabs>
        <w:ind w:left="5760" w:hanging="360"/>
      </w:pPr>
    </w:lvl>
    <w:lvl w:ilvl="8" w:tplc="2482DDC6">
      <w:start w:val="1"/>
      <w:numFmt w:val="decimal"/>
      <w:lvlText w:val="%9."/>
      <w:lvlJc w:val="left"/>
      <w:pPr>
        <w:tabs>
          <w:tab w:val="num" w:pos="6480"/>
        </w:tabs>
        <w:ind w:left="6480" w:hanging="360"/>
      </w:pPr>
    </w:lvl>
  </w:abstractNum>
  <w:abstractNum w:abstractNumId="167">
    <w:nsid w:val="000000BF"/>
    <w:multiLevelType w:val="hybridMultilevel"/>
    <w:tmpl w:val="B4DAA854"/>
    <w:lvl w:ilvl="0" w:tplc="B556293A">
      <w:start w:val="1"/>
      <w:numFmt w:val="bullet"/>
      <w:pStyle w:val="Level1Bullet-BarcRA37"/>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DFFE9954">
      <w:start w:val="1"/>
      <w:numFmt w:val="bullet"/>
      <w:lvlText w:val="o"/>
      <w:lvlJc w:val="left"/>
      <w:pPr>
        <w:tabs>
          <w:tab w:val="num" w:pos="306"/>
        </w:tabs>
        <w:ind w:left="306" w:hanging="360"/>
      </w:pPr>
      <w:rPr>
        <w:rFonts w:ascii="Courier New" w:hAnsi="Courier New" w:hint="default"/>
      </w:rPr>
    </w:lvl>
    <w:lvl w:ilvl="2" w:tplc="A1FCDC9A">
      <w:numFmt w:val="bullet"/>
      <w:lvlText w:val="-"/>
      <w:lvlJc w:val="left"/>
      <w:pPr>
        <w:tabs>
          <w:tab w:val="num" w:pos="1401"/>
        </w:tabs>
        <w:ind w:left="1401" w:hanging="735"/>
      </w:pPr>
      <w:rPr>
        <w:rFonts w:ascii="Barclays Serif" w:eastAsia="Times New Roman" w:hAnsi="Barclays Serif" w:cs="Times New Roman" w:hint="default"/>
      </w:rPr>
    </w:lvl>
    <w:lvl w:ilvl="3" w:tplc="9D24FEAE" w:tentative="1">
      <w:start w:val="1"/>
      <w:numFmt w:val="bullet"/>
      <w:lvlText w:val=""/>
      <w:lvlJc w:val="left"/>
      <w:pPr>
        <w:tabs>
          <w:tab w:val="num" w:pos="1746"/>
        </w:tabs>
        <w:ind w:left="1746" w:hanging="360"/>
      </w:pPr>
      <w:rPr>
        <w:rFonts w:ascii="Symbol" w:hAnsi="Symbol" w:hint="default"/>
      </w:rPr>
    </w:lvl>
    <w:lvl w:ilvl="4" w:tplc="0986C43E" w:tentative="1">
      <w:start w:val="1"/>
      <w:numFmt w:val="bullet"/>
      <w:lvlText w:val="o"/>
      <w:lvlJc w:val="left"/>
      <w:pPr>
        <w:tabs>
          <w:tab w:val="num" w:pos="2466"/>
        </w:tabs>
        <w:ind w:left="2466" w:hanging="360"/>
      </w:pPr>
      <w:rPr>
        <w:rFonts w:ascii="Courier New" w:hAnsi="Courier New" w:hint="default"/>
      </w:rPr>
    </w:lvl>
    <w:lvl w:ilvl="5" w:tplc="062C0CF4" w:tentative="1">
      <w:start w:val="1"/>
      <w:numFmt w:val="bullet"/>
      <w:lvlText w:val=""/>
      <w:lvlJc w:val="left"/>
      <w:pPr>
        <w:tabs>
          <w:tab w:val="num" w:pos="3186"/>
        </w:tabs>
        <w:ind w:left="3186" w:hanging="360"/>
      </w:pPr>
      <w:rPr>
        <w:rFonts w:ascii="Wingdings" w:hAnsi="Wingdings" w:hint="default"/>
      </w:rPr>
    </w:lvl>
    <w:lvl w:ilvl="6" w:tplc="42E82B44" w:tentative="1">
      <w:start w:val="1"/>
      <w:numFmt w:val="bullet"/>
      <w:lvlText w:val=""/>
      <w:lvlJc w:val="left"/>
      <w:pPr>
        <w:tabs>
          <w:tab w:val="num" w:pos="3906"/>
        </w:tabs>
        <w:ind w:left="3906" w:hanging="360"/>
      </w:pPr>
      <w:rPr>
        <w:rFonts w:ascii="Symbol" w:hAnsi="Symbol" w:hint="default"/>
      </w:rPr>
    </w:lvl>
    <w:lvl w:ilvl="7" w:tplc="260C1FF2" w:tentative="1">
      <w:start w:val="1"/>
      <w:numFmt w:val="bullet"/>
      <w:lvlText w:val="o"/>
      <w:lvlJc w:val="left"/>
      <w:pPr>
        <w:tabs>
          <w:tab w:val="num" w:pos="4626"/>
        </w:tabs>
        <w:ind w:left="4626" w:hanging="360"/>
      </w:pPr>
      <w:rPr>
        <w:rFonts w:ascii="Courier New" w:hAnsi="Courier New" w:hint="default"/>
      </w:rPr>
    </w:lvl>
    <w:lvl w:ilvl="8" w:tplc="D64CBDC2" w:tentative="1">
      <w:start w:val="1"/>
      <w:numFmt w:val="bullet"/>
      <w:lvlText w:val=""/>
      <w:lvlJc w:val="left"/>
      <w:pPr>
        <w:tabs>
          <w:tab w:val="num" w:pos="5346"/>
        </w:tabs>
        <w:ind w:left="5346" w:hanging="360"/>
      </w:pPr>
      <w:rPr>
        <w:rFonts w:ascii="Wingdings" w:hAnsi="Wingdings" w:hint="default"/>
      </w:rPr>
    </w:lvl>
  </w:abstractNum>
  <w:abstractNum w:abstractNumId="168">
    <w:nsid w:val="000000C0"/>
    <w:multiLevelType w:val="hybridMultilevel"/>
    <w:tmpl w:val="F704E454"/>
    <w:lvl w:ilvl="0" w:tplc="092C2C0A">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B2C95EE">
      <w:start w:val="1"/>
      <w:numFmt w:val="bullet"/>
      <w:lvlText w:val="o"/>
      <w:lvlJc w:val="left"/>
      <w:pPr>
        <w:tabs>
          <w:tab w:val="num" w:pos="306"/>
        </w:tabs>
        <w:ind w:left="306" w:hanging="360"/>
      </w:pPr>
      <w:rPr>
        <w:rFonts w:ascii="Courier New" w:hAnsi="Courier New" w:hint="default"/>
      </w:rPr>
    </w:lvl>
    <w:lvl w:ilvl="2" w:tplc="3A149C82">
      <w:numFmt w:val="bullet"/>
      <w:pStyle w:val="Level2Bullet-BarcRA10"/>
      <w:lvlText w:val="–"/>
      <w:lvlJc w:val="left"/>
      <w:pPr>
        <w:tabs>
          <w:tab w:val="num" w:pos="1401"/>
        </w:tabs>
        <w:ind w:left="1401" w:hanging="735"/>
      </w:pPr>
      <w:rPr>
        <w:rFonts w:ascii="Arial" w:eastAsia="Times New Roman" w:hAnsi="Arial" w:hint="default"/>
      </w:rPr>
    </w:lvl>
    <w:lvl w:ilvl="3" w:tplc="C4B03E52" w:tentative="1">
      <w:start w:val="1"/>
      <w:numFmt w:val="bullet"/>
      <w:lvlText w:val=""/>
      <w:lvlJc w:val="left"/>
      <w:pPr>
        <w:tabs>
          <w:tab w:val="num" w:pos="1746"/>
        </w:tabs>
        <w:ind w:left="1746" w:hanging="360"/>
      </w:pPr>
      <w:rPr>
        <w:rFonts w:ascii="Symbol" w:hAnsi="Symbol" w:hint="default"/>
      </w:rPr>
    </w:lvl>
    <w:lvl w:ilvl="4" w:tplc="1F22A13A" w:tentative="1">
      <w:start w:val="1"/>
      <w:numFmt w:val="bullet"/>
      <w:lvlText w:val="o"/>
      <w:lvlJc w:val="left"/>
      <w:pPr>
        <w:tabs>
          <w:tab w:val="num" w:pos="2466"/>
        </w:tabs>
        <w:ind w:left="2466" w:hanging="360"/>
      </w:pPr>
      <w:rPr>
        <w:rFonts w:ascii="Courier New" w:hAnsi="Courier New" w:hint="default"/>
      </w:rPr>
    </w:lvl>
    <w:lvl w:ilvl="5" w:tplc="DC6257E2" w:tentative="1">
      <w:start w:val="1"/>
      <w:numFmt w:val="bullet"/>
      <w:lvlText w:val=""/>
      <w:lvlJc w:val="left"/>
      <w:pPr>
        <w:tabs>
          <w:tab w:val="num" w:pos="3186"/>
        </w:tabs>
        <w:ind w:left="3186" w:hanging="360"/>
      </w:pPr>
      <w:rPr>
        <w:rFonts w:ascii="Wingdings" w:hAnsi="Wingdings" w:hint="default"/>
      </w:rPr>
    </w:lvl>
    <w:lvl w:ilvl="6" w:tplc="D2104496" w:tentative="1">
      <w:start w:val="1"/>
      <w:numFmt w:val="bullet"/>
      <w:lvlText w:val=""/>
      <w:lvlJc w:val="left"/>
      <w:pPr>
        <w:tabs>
          <w:tab w:val="num" w:pos="3906"/>
        </w:tabs>
        <w:ind w:left="3906" w:hanging="360"/>
      </w:pPr>
      <w:rPr>
        <w:rFonts w:ascii="Symbol" w:hAnsi="Symbol" w:hint="default"/>
      </w:rPr>
    </w:lvl>
    <w:lvl w:ilvl="7" w:tplc="9202E196" w:tentative="1">
      <w:start w:val="1"/>
      <w:numFmt w:val="bullet"/>
      <w:lvlText w:val="o"/>
      <w:lvlJc w:val="left"/>
      <w:pPr>
        <w:tabs>
          <w:tab w:val="num" w:pos="4626"/>
        </w:tabs>
        <w:ind w:left="4626" w:hanging="360"/>
      </w:pPr>
      <w:rPr>
        <w:rFonts w:ascii="Courier New" w:hAnsi="Courier New" w:hint="default"/>
      </w:rPr>
    </w:lvl>
    <w:lvl w:ilvl="8" w:tplc="F37C6A94" w:tentative="1">
      <w:start w:val="1"/>
      <w:numFmt w:val="bullet"/>
      <w:lvlText w:val=""/>
      <w:lvlJc w:val="left"/>
      <w:pPr>
        <w:tabs>
          <w:tab w:val="num" w:pos="5346"/>
        </w:tabs>
        <w:ind w:left="5346" w:hanging="360"/>
      </w:pPr>
      <w:rPr>
        <w:rFonts w:ascii="Wingdings" w:hAnsi="Wingdings" w:hint="default"/>
      </w:rPr>
    </w:lvl>
  </w:abstractNum>
  <w:abstractNum w:abstractNumId="169">
    <w:nsid w:val="000000C1"/>
    <w:multiLevelType w:val="hybridMultilevel"/>
    <w:tmpl w:val="3F46D7DE"/>
    <w:lvl w:ilvl="0" w:tplc="1E726890">
      <w:start w:val="1"/>
      <w:numFmt w:val="decimal"/>
      <w:pStyle w:val="NoteandSourceText-BarcRA18"/>
      <w:lvlText w:val="%1"/>
      <w:lvlJc w:val="left"/>
      <w:pPr>
        <w:ind w:left="720" w:hanging="360"/>
      </w:pPr>
      <w:rPr>
        <w:rFonts w:hint="default"/>
      </w:rPr>
    </w:lvl>
    <w:lvl w:ilvl="1" w:tplc="D90C26EE" w:tentative="1">
      <w:start w:val="1"/>
      <w:numFmt w:val="lowerLetter"/>
      <w:lvlText w:val="%2."/>
      <w:lvlJc w:val="left"/>
      <w:pPr>
        <w:ind w:left="1440" w:hanging="360"/>
      </w:pPr>
    </w:lvl>
    <w:lvl w:ilvl="2" w:tplc="DCB45EB4" w:tentative="1">
      <w:start w:val="1"/>
      <w:numFmt w:val="lowerRoman"/>
      <w:lvlText w:val="%3."/>
      <w:lvlJc w:val="right"/>
      <w:pPr>
        <w:ind w:left="2160" w:hanging="180"/>
      </w:pPr>
    </w:lvl>
    <w:lvl w:ilvl="3" w:tplc="72129472" w:tentative="1">
      <w:start w:val="1"/>
      <w:numFmt w:val="decimal"/>
      <w:lvlText w:val="%4."/>
      <w:lvlJc w:val="left"/>
      <w:pPr>
        <w:ind w:left="2880" w:hanging="360"/>
      </w:pPr>
    </w:lvl>
    <w:lvl w:ilvl="4" w:tplc="57C0E7BA" w:tentative="1">
      <w:start w:val="1"/>
      <w:numFmt w:val="lowerLetter"/>
      <w:lvlText w:val="%5."/>
      <w:lvlJc w:val="left"/>
      <w:pPr>
        <w:ind w:left="3600" w:hanging="360"/>
      </w:pPr>
    </w:lvl>
    <w:lvl w:ilvl="5" w:tplc="73089C4E" w:tentative="1">
      <w:start w:val="1"/>
      <w:numFmt w:val="lowerRoman"/>
      <w:lvlText w:val="%6."/>
      <w:lvlJc w:val="right"/>
      <w:pPr>
        <w:ind w:left="4320" w:hanging="180"/>
      </w:pPr>
    </w:lvl>
    <w:lvl w:ilvl="6" w:tplc="E38E6AE6" w:tentative="1">
      <w:start w:val="1"/>
      <w:numFmt w:val="decimal"/>
      <w:lvlText w:val="%7."/>
      <w:lvlJc w:val="left"/>
      <w:pPr>
        <w:ind w:left="5040" w:hanging="360"/>
      </w:pPr>
    </w:lvl>
    <w:lvl w:ilvl="7" w:tplc="81AE71B4" w:tentative="1">
      <w:start w:val="1"/>
      <w:numFmt w:val="lowerLetter"/>
      <w:lvlText w:val="%8."/>
      <w:lvlJc w:val="left"/>
      <w:pPr>
        <w:ind w:left="5760" w:hanging="360"/>
      </w:pPr>
    </w:lvl>
    <w:lvl w:ilvl="8" w:tplc="AB1C0570" w:tentative="1">
      <w:start w:val="1"/>
      <w:numFmt w:val="lowerRoman"/>
      <w:lvlText w:val="%9."/>
      <w:lvlJc w:val="right"/>
      <w:pPr>
        <w:ind w:left="6480" w:hanging="180"/>
      </w:pPr>
    </w:lvl>
  </w:abstractNum>
  <w:abstractNum w:abstractNumId="170">
    <w:nsid w:val="000000C2"/>
    <w:multiLevelType w:val="hybridMultilevel"/>
    <w:tmpl w:val="EF18F17C"/>
    <w:lvl w:ilvl="0" w:tplc="A97473C0">
      <w:start w:val="1"/>
      <w:numFmt w:val="decimal"/>
      <w:lvlText w:val="%1"/>
      <w:lvlJc w:val="left"/>
      <w:pPr>
        <w:ind w:left="-208" w:hanging="360"/>
      </w:pPr>
      <w:rPr>
        <w:rFonts w:hint="default"/>
      </w:rPr>
    </w:lvl>
    <w:lvl w:ilvl="1" w:tplc="F37ED850" w:tentative="1">
      <w:start w:val="1"/>
      <w:numFmt w:val="lowerLetter"/>
      <w:lvlText w:val="%2."/>
      <w:lvlJc w:val="left"/>
      <w:pPr>
        <w:ind w:left="512" w:hanging="360"/>
      </w:pPr>
    </w:lvl>
    <w:lvl w:ilvl="2" w:tplc="F4BEB9AA" w:tentative="1">
      <w:start w:val="1"/>
      <w:numFmt w:val="lowerRoman"/>
      <w:lvlText w:val="%3."/>
      <w:lvlJc w:val="right"/>
      <w:pPr>
        <w:ind w:left="1232" w:hanging="180"/>
      </w:pPr>
    </w:lvl>
    <w:lvl w:ilvl="3" w:tplc="6218D0F2" w:tentative="1">
      <w:start w:val="1"/>
      <w:numFmt w:val="decimal"/>
      <w:lvlText w:val="%4."/>
      <w:lvlJc w:val="left"/>
      <w:pPr>
        <w:ind w:left="1952" w:hanging="360"/>
      </w:pPr>
    </w:lvl>
    <w:lvl w:ilvl="4" w:tplc="6EF0554E" w:tentative="1">
      <w:start w:val="1"/>
      <w:numFmt w:val="lowerLetter"/>
      <w:lvlText w:val="%5."/>
      <w:lvlJc w:val="left"/>
      <w:pPr>
        <w:ind w:left="2672" w:hanging="360"/>
      </w:pPr>
    </w:lvl>
    <w:lvl w:ilvl="5" w:tplc="F3F0072E" w:tentative="1">
      <w:start w:val="1"/>
      <w:numFmt w:val="lowerRoman"/>
      <w:lvlText w:val="%6."/>
      <w:lvlJc w:val="right"/>
      <w:pPr>
        <w:ind w:left="3392" w:hanging="180"/>
      </w:pPr>
    </w:lvl>
    <w:lvl w:ilvl="6" w:tplc="BBFE74A8" w:tentative="1">
      <w:start w:val="1"/>
      <w:numFmt w:val="decimal"/>
      <w:lvlText w:val="%7."/>
      <w:lvlJc w:val="left"/>
      <w:pPr>
        <w:ind w:left="4112" w:hanging="360"/>
      </w:pPr>
    </w:lvl>
    <w:lvl w:ilvl="7" w:tplc="DAA238D6" w:tentative="1">
      <w:start w:val="1"/>
      <w:numFmt w:val="lowerLetter"/>
      <w:lvlText w:val="%8."/>
      <w:lvlJc w:val="left"/>
      <w:pPr>
        <w:ind w:left="4832" w:hanging="360"/>
      </w:pPr>
    </w:lvl>
    <w:lvl w:ilvl="8" w:tplc="DEFC10E4" w:tentative="1">
      <w:start w:val="1"/>
      <w:numFmt w:val="lowerRoman"/>
      <w:lvlText w:val="%9."/>
      <w:lvlJc w:val="right"/>
      <w:pPr>
        <w:ind w:left="5552" w:hanging="180"/>
      </w:pPr>
    </w:lvl>
  </w:abstractNum>
  <w:abstractNum w:abstractNumId="171">
    <w:nsid w:val="000000C3"/>
    <w:multiLevelType w:val="hybridMultilevel"/>
    <w:tmpl w:val="B4DAA854"/>
    <w:lvl w:ilvl="0" w:tplc="EBB2B9DC">
      <w:start w:val="1"/>
      <w:numFmt w:val="bullet"/>
      <w:pStyle w:val="Level1Bullet-BarcRA38"/>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B02884BA">
      <w:start w:val="1"/>
      <w:numFmt w:val="bullet"/>
      <w:lvlText w:val="o"/>
      <w:lvlJc w:val="left"/>
      <w:pPr>
        <w:tabs>
          <w:tab w:val="num" w:pos="306"/>
        </w:tabs>
        <w:ind w:left="306" w:hanging="360"/>
      </w:pPr>
      <w:rPr>
        <w:rFonts w:ascii="Courier New" w:hAnsi="Courier New" w:hint="default"/>
      </w:rPr>
    </w:lvl>
    <w:lvl w:ilvl="2" w:tplc="65AE4152">
      <w:numFmt w:val="bullet"/>
      <w:lvlText w:val="-"/>
      <w:lvlJc w:val="left"/>
      <w:pPr>
        <w:tabs>
          <w:tab w:val="num" w:pos="1401"/>
        </w:tabs>
        <w:ind w:left="1401" w:hanging="735"/>
      </w:pPr>
      <w:rPr>
        <w:rFonts w:ascii="Barclays Serif" w:eastAsia="Times New Roman" w:hAnsi="Barclays Serif" w:cs="Times New Roman" w:hint="default"/>
      </w:rPr>
    </w:lvl>
    <w:lvl w:ilvl="3" w:tplc="7A602960" w:tentative="1">
      <w:start w:val="1"/>
      <w:numFmt w:val="bullet"/>
      <w:lvlText w:val=""/>
      <w:lvlJc w:val="left"/>
      <w:pPr>
        <w:tabs>
          <w:tab w:val="num" w:pos="1746"/>
        </w:tabs>
        <w:ind w:left="1746" w:hanging="360"/>
      </w:pPr>
      <w:rPr>
        <w:rFonts w:ascii="Symbol" w:hAnsi="Symbol" w:hint="default"/>
      </w:rPr>
    </w:lvl>
    <w:lvl w:ilvl="4" w:tplc="C6CABBF8" w:tentative="1">
      <w:start w:val="1"/>
      <w:numFmt w:val="bullet"/>
      <w:lvlText w:val="o"/>
      <w:lvlJc w:val="left"/>
      <w:pPr>
        <w:tabs>
          <w:tab w:val="num" w:pos="2466"/>
        </w:tabs>
        <w:ind w:left="2466" w:hanging="360"/>
      </w:pPr>
      <w:rPr>
        <w:rFonts w:ascii="Courier New" w:hAnsi="Courier New" w:hint="default"/>
      </w:rPr>
    </w:lvl>
    <w:lvl w:ilvl="5" w:tplc="ADA046FC" w:tentative="1">
      <w:start w:val="1"/>
      <w:numFmt w:val="bullet"/>
      <w:lvlText w:val=""/>
      <w:lvlJc w:val="left"/>
      <w:pPr>
        <w:tabs>
          <w:tab w:val="num" w:pos="3186"/>
        </w:tabs>
        <w:ind w:left="3186" w:hanging="360"/>
      </w:pPr>
      <w:rPr>
        <w:rFonts w:ascii="Wingdings" w:hAnsi="Wingdings" w:hint="default"/>
      </w:rPr>
    </w:lvl>
    <w:lvl w:ilvl="6" w:tplc="9712F7A6" w:tentative="1">
      <w:start w:val="1"/>
      <w:numFmt w:val="bullet"/>
      <w:lvlText w:val=""/>
      <w:lvlJc w:val="left"/>
      <w:pPr>
        <w:tabs>
          <w:tab w:val="num" w:pos="3906"/>
        </w:tabs>
        <w:ind w:left="3906" w:hanging="360"/>
      </w:pPr>
      <w:rPr>
        <w:rFonts w:ascii="Symbol" w:hAnsi="Symbol" w:hint="default"/>
      </w:rPr>
    </w:lvl>
    <w:lvl w:ilvl="7" w:tplc="6342716E" w:tentative="1">
      <w:start w:val="1"/>
      <w:numFmt w:val="bullet"/>
      <w:lvlText w:val="o"/>
      <w:lvlJc w:val="left"/>
      <w:pPr>
        <w:tabs>
          <w:tab w:val="num" w:pos="4626"/>
        </w:tabs>
        <w:ind w:left="4626" w:hanging="360"/>
      </w:pPr>
      <w:rPr>
        <w:rFonts w:ascii="Courier New" w:hAnsi="Courier New" w:hint="default"/>
      </w:rPr>
    </w:lvl>
    <w:lvl w:ilvl="8" w:tplc="FF6C9F0E" w:tentative="1">
      <w:start w:val="1"/>
      <w:numFmt w:val="bullet"/>
      <w:lvlText w:val=""/>
      <w:lvlJc w:val="left"/>
      <w:pPr>
        <w:tabs>
          <w:tab w:val="num" w:pos="5346"/>
        </w:tabs>
        <w:ind w:left="5346" w:hanging="360"/>
      </w:pPr>
      <w:rPr>
        <w:rFonts w:ascii="Wingdings" w:hAnsi="Wingdings" w:hint="default"/>
      </w:rPr>
    </w:lvl>
  </w:abstractNum>
  <w:abstractNum w:abstractNumId="172">
    <w:nsid w:val="000000C4"/>
    <w:multiLevelType w:val="hybridMultilevel"/>
    <w:tmpl w:val="B2E8E736"/>
    <w:lvl w:ilvl="0" w:tplc="95B0F62C">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A5205260">
      <w:start w:val="1"/>
      <w:numFmt w:val="bullet"/>
      <w:lvlText w:val="o"/>
      <w:lvlJc w:val="left"/>
      <w:pPr>
        <w:tabs>
          <w:tab w:val="num" w:pos="306"/>
        </w:tabs>
        <w:ind w:left="306" w:hanging="360"/>
      </w:pPr>
      <w:rPr>
        <w:rFonts w:ascii="Courier New" w:hAnsi="Courier New" w:hint="default"/>
      </w:rPr>
    </w:lvl>
    <w:lvl w:ilvl="2" w:tplc="A568308E">
      <w:numFmt w:val="bullet"/>
      <w:pStyle w:val="Level2Bullet-BarcRA11"/>
      <w:lvlText w:val="–"/>
      <w:lvlJc w:val="left"/>
      <w:pPr>
        <w:tabs>
          <w:tab w:val="num" w:pos="1401"/>
        </w:tabs>
        <w:ind w:left="1401" w:hanging="735"/>
      </w:pPr>
      <w:rPr>
        <w:rFonts w:ascii="Arial" w:eastAsia="Times New Roman" w:hAnsi="Arial" w:hint="default"/>
      </w:rPr>
    </w:lvl>
    <w:lvl w:ilvl="3" w:tplc="00AE7742" w:tentative="1">
      <w:start w:val="1"/>
      <w:numFmt w:val="bullet"/>
      <w:lvlText w:val=""/>
      <w:lvlJc w:val="left"/>
      <w:pPr>
        <w:tabs>
          <w:tab w:val="num" w:pos="1746"/>
        </w:tabs>
        <w:ind w:left="1746" w:hanging="360"/>
      </w:pPr>
      <w:rPr>
        <w:rFonts w:ascii="Symbol" w:hAnsi="Symbol" w:hint="default"/>
      </w:rPr>
    </w:lvl>
    <w:lvl w:ilvl="4" w:tplc="9330129A" w:tentative="1">
      <w:start w:val="1"/>
      <w:numFmt w:val="bullet"/>
      <w:lvlText w:val="o"/>
      <w:lvlJc w:val="left"/>
      <w:pPr>
        <w:tabs>
          <w:tab w:val="num" w:pos="2466"/>
        </w:tabs>
        <w:ind w:left="2466" w:hanging="360"/>
      </w:pPr>
      <w:rPr>
        <w:rFonts w:ascii="Courier New" w:hAnsi="Courier New" w:hint="default"/>
      </w:rPr>
    </w:lvl>
    <w:lvl w:ilvl="5" w:tplc="EEE8C7A2" w:tentative="1">
      <w:start w:val="1"/>
      <w:numFmt w:val="bullet"/>
      <w:lvlText w:val=""/>
      <w:lvlJc w:val="left"/>
      <w:pPr>
        <w:tabs>
          <w:tab w:val="num" w:pos="3186"/>
        </w:tabs>
        <w:ind w:left="3186" w:hanging="360"/>
      </w:pPr>
      <w:rPr>
        <w:rFonts w:ascii="Wingdings" w:hAnsi="Wingdings" w:hint="default"/>
      </w:rPr>
    </w:lvl>
    <w:lvl w:ilvl="6" w:tplc="2BEE8EC8" w:tentative="1">
      <w:start w:val="1"/>
      <w:numFmt w:val="bullet"/>
      <w:lvlText w:val=""/>
      <w:lvlJc w:val="left"/>
      <w:pPr>
        <w:tabs>
          <w:tab w:val="num" w:pos="3906"/>
        </w:tabs>
        <w:ind w:left="3906" w:hanging="360"/>
      </w:pPr>
      <w:rPr>
        <w:rFonts w:ascii="Symbol" w:hAnsi="Symbol" w:hint="default"/>
      </w:rPr>
    </w:lvl>
    <w:lvl w:ilvl="7" w:tplc="0E4843E6" w:tentative="1">
      <w:start w:val="1"/>
      <w:numFmt w:val="bullet"/>
      <w:lvlText w:val="o"/>
      <w:lvlJc w:val="left"/>
      <w:pPr>
        <w:tabs>
          <w:tab w:val="num" w:pos="4626"/>
        </w:tabs>
        <w:ind w:left="4626" w:hanging="360"/>
      </w:pPr>
      <w:rPr>
        <w:rFonts w:ascii="Courier New" w:hAnsi="Courier New" w:hint="default"/>
      </w:rPr>
    </w:lvl>
    <w:lvl w:ilvl="8" w:tplc="641AAEEA" w:tentative="1">
      <w:start w:val="1"/>
      <w:numFmt w:val="bullet"/>
      <w:lvlText w:val=""/>
      <w:lvlJc w:val="left"/>
      <w:pPr>
        <w:tabs>
          <w:tab w:val="num" w:pos="5346"/>
        </w:tabs>
        <w:ind w:left="5346" w:hanging="360"/>
      </w:pPr>
      <w:rPr>
        <w:rFonts w:ascii="Wingdings" w:hAnsi="Wingdings" w:hint="default"/>
      </w:rPr>
    </w:lvl>
  </w:abstractNum>
  <w:abstractNum w:abstractNumId="173">
    <w:nsid w:val="000000C5"/>
    <w:multiLevelType w:val="hybridMultilevel"/>
    <w:tmpl w:val="3F46D7DE"/>
    <w:lvl w:ilvl="0" w:tplc="C9D0CE88">
      <w:start w:val="1"/>
      <w:numFmt w:val="decimal"/>
      <w:pStyle w:val="NoteandSourceText-BarcRA19"/>
      <w:lvlText w:val="%1"/>
      <w:lvlJc w:val="left"/>
      <w:pPr>
        <w:ind w:left="720" w:hanging="360"/>
      </w:pPr>
      <w:rPr>
        <w:rFonts w:hint="default"/>
      </w:rPr>
    </w:lvl>
    <w:lvl w:ilvl="1" w:tplc="E4FE7F6C" w:tentative="1">
      <w:start w:val="1"/>
      <w:numFmt w:val="lowerLetter"/>
      <w:lvlText w:val="%2."/>
      <w:lvlJc w:val="left"/>
      <w:pPr>
        <w:ind w:left="1440" w:hanging="360"/>
      </w:pPr>
    </w:lvl>
    <w:lvl w:ilvl="2" w:tplc="DC2283B0" w:tentative="1">
      <w:start w:val="1"/>
      <w:numFmt w:val="lowerRoman"/>
      <w:lvlText w:val="%3."/>
      <w:lvlJc w:val="right"/>
      <w:pPr>
        <w:ind w:left="2160" w:hanging="180"/>
      </w:pPr>
    </w:lvl>
    <w:lvl w:ilvl="3" w:tplc="61F0CF60" w:tentative="1">
      <w:start w:val="1"/>
      <w:numFmt w:val="decimal"/>
      <w:lvlText w:val="%4."/>
      <w:lvlJc w:val="left"/>
      <w:pPr>
        <w:ind w:left="2880" w:hanging="360"/>
      </w:pPr>
    </w:lvl>
    <w:lvl w:ilvl="4" w:tplc="22403260" w:tentative="1">
      <w:start w:val="1"/>
      <w:numFmt w:val="lowerLetter"/>
      <w:lvlText w:val="%5."/>
      <w:lvlJc w:val="left"/>
      <w:pPr>
        <w:ind w:left="3600" w:hanging="360"/>
      </w:pPr>
    </w:lvl>
    <w:lvl w:ilvl="5" w:tplc="E5627D12" w:tentative="1">
      <w:start w:val="1"/>
      <w:numFmt w:val="lowerRoman"/>
      <w:lvlText w:val="%6."/>
      <w:lvlJc w:val="right"/>
      <w:pPr>
        <w:ind w:left="4320" w:hanging="180"/>
      </w:pPr>
    </w:lvl>
    <w:lvl w:ilvl="6" w:tplc="A066D8B2" w:tentative="1">
      <w:start w:val="1"/>
      <w:numFmt w:val="decimal"/>
      <w:lvlText w:val="%7."/>
      <w:lvlJc w:val="left"/>
      <w:pPr>
        <w:ind w:left="5040" w:hanging="360"/>
      </w:pPr>
    </w:lvl>
    <w:lvl w:ilvl="7" w:tplc="AC0E145A" w:tentative="1">
      <w:start w:val="1"/>
      <w:numFmt w:val="lowerLetter"/>
      <w:lvlText w:val="%8."/>
      <w:lvlJc w:val="left"/>
      <w:pPr>
        <w:ind w:left="5760" w:hanging="360"/>
      </w:pPr>
    </w:lvl>
    <w:lvl w:ilvl="8" w:tplc="08E6E318" w:tentative="1">
      <w:start w:val="1"/>
      <w:numFmt w:val="lowerRoman"/>
      <w:lvlText w:val="%9."/>
      <w:lvlJc w:val="right"/>
      <w:pPr>
        <w:ind w:left="6480" w:hanging="180"/>
      </w:pPr>
    </w:lvl>
  </w:abstractNum>
  <w:abstractNum w:abstractNumId="174">
    <w:nsid w:val="000000C6"/>
    <w:multiLevelType w:val="hybridMultilevel"/>
    <w:tmpl w:val="B4DAA854"/>
    <w:lvl w:ilvl="0" w:tplc="F7425268">
      <w:start w:val="1"/>
      <w:numFmt w:val="bullet"/>
      <w:pStyle w:val="Level1Bullet-BarcRA39"/>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EB86F800">
      <w:start w:val="1"/>
      <w:numFmt w:val="bullet"/>
      <w:lvlText w:val="o"/>
      <w:lvlJc w:val="left"/>
      <w:pPr>
        <w:tabs>
          <w:tab w:val="num" w:pos="306"/>
        </w:tabs>
        <w:ind w:left="306" w:hanging="360"/>
      </w:pPr>
      <w:rPr>
        <w:rFonts w:ascii="Courier New" w:hAnsi="Courier New" w:hint="default"/>
      </w:rPr>
    </w:lvl>
    <w:lvl w:ilvl="2" w:tplc="D3C61452">
      <w:numFmt w:val="bullet"/>
      <w:lvlText w:val="-"/>
      <w:lvlJc w:val="left"/>
      <w:pPr>
        <w:tabs>
          <w:tab w:val="num" w:pos="1401"/>
        </w:tabs>
        <w:ind w:left="1401" w:hanging="735"/>
      </w:pPr>
      <w:rPr>
        <w:rFonts w:ascii="Barclays Serif" w:eastAsia="Times New Roman" w:hAnsi="Barclays Serif" w:cs="Times New Roman" w:hint="default"/>
      </w:rPr>
    </w:lvl>
    <w:lvl w:ilvl="3" w:tplc="F9942FE8" w:tentative="1">
      <w:start w:val="1"/>
      <w:numFmt w:val="bullet"/>
      <w:lvlText w:val=""/>
      <w:lvlJc w:val="left"/>
      <w:pPr>
        <w:tabs>
          <w:tab w:val="num" w:pos="1746"/>
        </w:tabs>
        <w:ind w:left="1746" w:hanging="360"/>
      </w:pPr>
      <w:rPr>
        <w:rFonts w:ascii="Symbol" w:hAnsi="Symbol" w:hint="default"/>
      </w:rPr>
    </w:lvl>
    <w:lvl w:ilvl="4" w:tplc="4626B782" w:tentative="1">
      <w:start w:val="1"/>
      <w:numFmt w:val="bullet"/>
      <w:lvlText w:val="o"/>
      <w:lvlJc w:val="left"/>
      <w:pPr>
        <w:tabs>
          <w:tab w:val="num" w:pos="2466"/>
        </w:tabs>
        <w:ind w:left="2466" w:hanging="360"/>
      </w:pPr>
      <w:rPr>
        <w:rFonts w:ascii="Courier New" w:hAnsi="Courier New" w:hint="default"/>
      </w:rPr>
    </w:lvl>
    <w:lvl w:ilvl="5" w:tplc="7F94E72E" w:tentative="1">
      <w:start w:val="1"/>
      <w:numFmt w:val="bullet"/>
      <w:lvlText w:val=""/>
      <w:lvlJc w:val="left"/>
      <w:pPr>
        <w:tabs>
          <w:tab w:val="num" w:pos="3186"/>
        </w:tabs>
        <w:ind w:left="3186" w:hanging="360"/>
      </w:pPr>
      <w:rPr>
        <w:rFonts w:ascii="Wingdings" w:hAnsi="Wingdings" w:hint="default"/>
      </w:rPr>
    </w:lvl>
    <w:lvl w:ilvl="6" w:tplc="8B4E986C" w:tentative="1">
      <w:start w:val="1"/>
      <w:numFmt w:val="bullet"/>
      <w:lvlText w:val=""/>
      <w:lvlJc w:val="left"/>
      <w:pPr>
        <w:tabs>
          <w:tab w:val="num" w:pos="3906"/>
        </w:tabs>
        <w:ind w:left="3906" w:hanging="360"/>
      </w:pPr>
      <w:rPr>
        <w:rFonts w:ascii="Symbol" w:hAnsi="Symbol" w:hint="default"/>
      </w:rPr>
    </w:lvl>
    <w:lvl w:ilvl="7" w:tplc="CDFCDFCE" w:tentative="1">
      <w:start w:val="1"/>
      <w:numFmt w:val="bullet"/>
      <w:lvlText w:val="o"/>
      <w:lvlJc w:val="left"/>
      <w:pPr>
        <w:tabs>
          <w:tab w:val="num" w:pos="4626"/>
        </w:tabs>
        <w:ind w:left="4626" w:hanging="360"/>
      </w:pPr>
      <w:rPr>
        <w:rFonts w:ascii="Courier New" w:hAnsi="Courier New" w:hint="default"/>
      </w:rPr>
    </w:lvl>
    <w:lvl w:ilvl="8" w:tplc="9EE8D128" w:tentative="1">
      <w:start w:val="1"/>
      <w:numFmt w:val="bullet"/>
      <w:lvlText w:val=""/>
      <w:lvlJc w:val="left"/>
      <w:pPr>
        <w:tabs>
          <w:tab w:val="num" w:pos="5346"/>
        </w:tabs>
        <w:ind w:left="5346" w:hanging="360"/>
      </w:pPr>
      <w:rPr>
        <w:rFonts w:ascii="Wingdings" w:hAnsi="Wingdings" w:hint="default"/>
      </w:rPr>
    </w:lvl>
  </w:abstractNum>
  <w:abstractNum w:abstractNumId="175">
    <w:nsid w:val="000000C7"/>
    <w:multiLevelType w:val="hybridMultilevel"/>
    <w:tmpl w:val="B2E8E736"/>
    <w:lvl w:ilvl="0" w:tplc="571AFECE">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CC402944">
      <w:start w:val="1"/>
      <w:numFmt w:val="bullet"/>
      <w:lvlText w:val="o"/>
      <w:lvlJc w:val="left"/>
      <w:pPr>
        <w:tabs>
          <w:tab w:val="num" w:pos="306"/>
        </w:tabs>
        <w:ind w:left="306" w:hanging="360"/>
      </w:pPr>
      <w:rPr>
        <w:rFonts w:ascii="Courier New" w:hAnsi="Courier New" w:hint="default"/>
      </w:rPr>
    </w:lvl>
    <w:lvl w:ilvl="2" w:tplc="6F72C086">
      <w:numFmt w:val="bullet"/>
      <w:pStyle w:val="Level2Bullet-BarcRA12"/>
      <w:lvlText w:val="–"/>
      <w:lvlJc w:val="left"/>
      <w:pPr>
        <w:tabs>
          <w:tab w:val="num" w:pos="1401"/>
        </w:tabs>
        <w:ind w:left="1401" w:hanging="735"/>
      </w:pPr>
      <w:rPr>
        <w:rFonts w:ascii="Arial" w:eastAsia="Times New Roman" w:hAnsi="Arial" w:hint="default"/>
      </w:rPr>
    </w:lvl>
    <w:lvl w:ilvl="3" w:tplc="7C7C0124" w:tentative="1">
      <w:start w:val="1"/>
      <w:numFmt w:val="bullet"/>
      <w:lvlText w:val=""/>
      <w:lvlJc w:val="left"/>
      <w:pPr>
        <w:tabs>
          <w:tab w:val="num" w:pos="1746"/>
        </w:tabs>
        <w:ind w:left="1746" w:hanging="360"/>
      </w:pPr>
      <w:rPr>
        <w:rFonts w:ascii="Symbol" w:hAnsi="Symbol" w:hint="default"/>
      </w:rPr>
    </w:lvl>
    <w:lvl w:ilvl="4" w:tplc="3DCABD30" w:tentative="1">
      <w:start w:val="1"/>
      <w:numFmt w:val="bullet"/>
      <w:lvlText w:val="o"/>
      <w:lvlJc w:val="left"/>
      <w:pPr>
        <w:tabs>
          <w:tab w:val="num" w:pos="2466"/>
        </w:tabs>
        <w:ind w:left="2466" w:hanging="360"/>
      </w:pPr>
      <w:rPr>
        <w:rFonts w:ascii="Courier New" w:hAnsi="Courier New" w:hint="default"/>
      </w:rPr>
    </w:lvl>
    <w:lvl w:ilvl="5" w:tplc="88824844" w:tentative="1">
      <w:start w:val="1"/>
      <w:numFmt w:val="bullet"/>
      <w:lvlText w:val=""/>
      <w:lvlJc w:val="left"/>
      <w:pPr>
        <w:tabs>
          <w:tab w:val="num" w:pos="3186"/>
        </w:tabs>
        <w:ind w:left="3186" w:hanging="360"/>
      </w:pPr>
      <w:rPr>
        <w:rFonts w:ascii="Wingdings" w:hAnsi="Wingdings" w:hint="default"/>
      </w:rPr>
    </w:lvl>
    <w:lvl w:ilvl="6" w:tplc="AA7000F4" w:tentative="1">
      <w:start w:val="1"/>
      <w:numFmt w:val="bullet"/>
      <w:lvlText w:val=""/>
      <w:lvlJc w:val="left"/>
      <w:pPr>
        <w:tabs>
          <w:tab w:val="num" w:pos="3906"/>
        </w:tabs>
        <w:ind w:left="3906" w:hanging="360"/>
      </w:pPr>
      <w:rPr>
        <w:rFonts w:ascii="Symbol" w:hAnsi="Symbol" w:hint="default"/>
      </w:rPr>
    </w:lvl>
    <w:lvl w:ilvl="7" w:tplc="CC6A9552" w:tentative="1">
      <w:start w:val="1"/>
      <w:numFmt w:val="bullet"/>
      <w:lvlText w:val="o"/>
      <w:lvlJc w:val="left"/>
      <w:pPr>
        <w:tabs>
          <w:tab w:val="num" w:pos="4626"/>
        </w:tabs>
        <w:ind w:left="4626" w:hanging="360"/>
      </w:pPr>
      <w:rPr>
        <w:rFonts w:ascii="Courier New" w:hAnsi="Courier New" w:hint="default"/>
      </w:rPr>
    </w:lvl>
    <w:lvl w:ilvl="8" w:tplc="E3386D14" w:tentative="1">
      <w:start w:val="1"/>
      <w:numFmt w:val="bullet"/>
      <w:lvlText w:val=""/>
      <w:lvlJc w:val="left"/>
      <w:pPr>
        <w:tabs>
          <w:tab w:val="num" w:pos="5346"/>
        </w:tabs>
        <w:ind w:left="5346" w:hanging="360"/>
      </w:pPr>
      <w:rPr>
        <w:rFonts w:ascii="Wingdings" w:hAnsi="Wingdings" w:hint="default"/>
      </w:rPr>
    </w:lvl>
  </w:abstractNum>
  <w:abstractNum w:abstractNumId="176">
    <w:nsid w:val="000000C8"/>
    <w:multiLevelType w:val="hybridMultilevel"/>
    <w:tmpl w:val="3F46D7DE"/>
    <w:lvl w:ilvl="0" w:tplc="B5506F4C">
      <w:start w:val="1"/>
      <w:numFmt w:val="decimal"/>
      <w:pStyle w:val="NoteandSourceText-BarcRA200"/>
      <w:lvlText w:val="%1"/>
      <w:lvlJc w:val="left"/>
      <w:pPr>
        <w:ind w:left="720" w:hanging="360"/>
      </w:pPr>
      <w:rPr>
        <w:rFonts w:hint="default"/>
      </w:rPr>
    </w:lvl>
    <w:lvl w:ilvl="1" w:tplc="21C88294" w:tentative="1">
      <w:start w:val="1"/>
      <w:numFmt w:val="lowerLetter"/>
      <w:lvlText w:val="%2."/>
      <w:lvlJc w:val="left"/>
      <w:pPr>
        <w:ind w:left="1440" w:hanging="360"/>
      </w:pPr>
    </w:lvl>
    <w:lvl w:ilvl="2" w:tplc="FBBAAF56" w:tentative="1">
      <w:start w:val="1"/>
      <w:numFmt w:val="lowerRoman"/>
      <w:lvlText w:val="%3."/>
      <w:lvlJc w:val="right"/>
      <w:pPr>
        <w:ind w:left="2160" w:hanging="180"/>
      </w:pPr>
    </w:lvl>
    <w:lvl w:ilvl="3" w:tplc="012AF69E" w:tentative="1">
      <w:start w:val="1"/>
      <w:numFmt w:val="decimal"/>
      <w:lvlText w:val="%4."/>
      <w:lvlJc w:val="left"/>
      <w:pPr>
        <w:ind w:left="2880" w:hanging="360"/>
      </w:pPr>
    </w:lvl>
    <w:lvl w:ilvl="4" w:tplc="AFA84640" w:tentative="1">
      <w:start w:val="1"/>
      <w:numFmt w:val="lowerLetter"/>
      <w:lvlText w:val="%5."/>
      <w:lvlJc w:val="left"/>
      <w:pPr>
        <w:ind w:left="3600" w:hanging="360"/>
      </w:pPr>
    </w:lvl>
    <w:lvl w:ilvl="5" w:tplc="673AA240" w:tentative="1">
      <w:start w:val="1"/>
      <w:numFmt w:val="lowerRoman"/>
      <w:lvlText w:val="%6."/>
      <w:lvlJc w:val="right"/>
      <w:pPr>
        <w:ind w:left="4320" w:hanging="180"/>
      </w:pPr>
    </w:lvl>
    <w:lvl w:ilvl="6" w:tplc="E0A2330C" w:tentative="1">
      <w:start w:val="1"/>
      <w:numFmt w:val="decimal"/>
      <w:lvlText w:val="%7."/>
      <w:lvlJc w:val="left"/>
      <w:pPr>
        <w:ind w:left="5040" w:hanging="360"/>
      </w:pPr>
    </w:lvl>
    <w:lvl w:ilvl="7" w:tplc="B3EAA960" w:tentative="1">
      <w:start w:val="1"/>
      <w:numFmt w:val="lowerLetter"/>
      <w:lvlText w:val="%8."/>
      <w:lvlJc w:val="left"/>
      <w:pPr>
        <w:ind w:left="5760" w:hanging="360"/>
      </w:pPr>
    </w:lvl>
    <w:lvl w:ilvl="8" w:tplc="4AC85850" w:tentative="1">
      <w:start w:val="1"/>
      <w:numFmt w:val="lowerRoman"/>
      <w:lvlText w:val="%9."/>
      <w:lvlJc w:val="right"/>
      <w:pPr>
        <w:ind w:left="6480" w:hanging="180"/>
      </w:pPr>
    </w:lvl>
  </w:abstractNum>
  <w:abstractNum w:abstractNumId="177">
    <w:nsid w:val="000000C9"/>
    <w:multiLevelType w:val="hybridMultilevel"/>
    <w:tmpl w:val="3F46D7DE"/>
    <w:lvl w:ilvl="0" w:tplc="C7C0B1E2">
      <w:start w:val="1"/>
      <w:numFmt w:val="decimal"/>
      <w:pStyle w:val="NoteandSourceText-BarcRA21"/>
      <w:lvlText w:val="%1"/>
      <w:lvlJc w:val="left"/>
      <w:pPr>
        <w:ind w:left="720" w:hanging="360"/>
      </w:pPr>
      <w:rPr>
        <w:rFonts w:hint="default"/>
      </w:rPr>
    </w:lvl>
    <w:lvl w:ilvl="1" w:tplc="A48ADED0" w:tentative="1">
      <w:start w:val="1"/>
      <w:numFmt w:val="lowerLetter"/>
      <w:lvlText w:val="%2."/>
      <w:lvlJc w:val="left"/>
      <w:pPr>
        <w:ind w:left="1440" w:hanging="360"/>
      </w:pPr>
    </w:lvl>
    <w:lvl w:ilvl="2" w:tplc="77069D6A" w:tentative="1">
      <w:start w:val="1"/>
      <w:numFmt w:val="lowerRoman"/>
      <w:lvlText w:val="%3."/>
      <w:lvlJc w:val="right"/>
      <w:pPr>
        <w:ind w:left="2160" w:hanging="180"/>
      </w:pPr>
    </w:lvl>
    <w:lvl w:ilvl="3" w:tplc="6A5A5896" w:tentative="1">
      <w:start w:val="1"/>
      <w:numFmt w:val="decimal"/>
      <w:lvlText w:val="%4."/>
      <w:lvlJc w:val="left"/>
      <w:pPr>
        <w:ind w:left="2880" w:hanging="360"/>
      </w:pPr>
    </w:lvl>
    <w:lvl w:ilvl="4" w:tplc="CA5E2694" w:tentative="1">
      <w:start w:val="1"/>
      <w:numFmt w:val="lowerLetter"/>
      <w:lvlText w:val="%5."/>
      <w:lvlJc w:val="left"/>
      <w:pPr>
        <w:ind w:left="3600" w:hanging="360"/>
      </w:pPr>
    </w:lvl>
    <w:lvl w:ilvl="5" w:tplc="5C4EA8FE" w:tentative="1">
      <w:start w:val="1"/>
      <w:numFmt w:val="lowerRoman"/>
      <w:lvlText w:val="%6."/>
      <w:lvlJc w:val="right"/>
      <w:pPr>
        <w:ind w:left="4320" w:hanging="180"/>
      </w:pPr>
    </w:lvl>
    <w:lvl w:ilvl="6" w:tplc="960A6954" w:tentative="1">
      <w:start w:val="1"/>
      <w:numFmt w:val="decimal"/>
      <w:lvlText w:val="%7."/>
      <w:lvlJc w:val="left"/>
      <w:pPr>
        <w:ind w:left="5040" w:hanging="360"/>
      </w:pPr>
    </w:lvl>
    <w:lvl w:ilvl="7" w:tplc="163AF562" w:tentative="1">
      <w:start w:val="1"/>
      <w:numFmt w:val="lowerLetter"/>
      <w:lvlText w:val="%8."/>
      <w:lvlJc w:val="left"/>
      <w:pPr>
        <w:ind w:left="5760" w:hanging="360"/>
      </w:pPr>
    </w:lvl>
    <w:lvl w:ilvl="8" w:tplc="622479E4" w:tentative="1">
      <w:start w:val="1"/>
      <w:numFmt w:val="lowerRoman"/>
      <w:lvlText w:val="%9."/>
      <w:lvlJc w:val="right"/>
      <w:pPr>
        <w:ind w:left="6480" w:hanging="180"/>
      </w:pPr>
    </w:lvl>
  </w:abstractNum>
  <w:abstractNum w:abstractNumId="178">
    <w:nsid w:val="000000CA"/>
    <w:multiLevelType w:val="hybridMultilevel"/>
    <w:tmpl w:val="B4DAA854"/>
    <w:lvl w:ilvl="0" w:tplc="5B8C7F8C">
      <w:start w:val="1"/>
      <w:numFmt w:val="bullet"/>
      <w:pStyle w:val="Level1Bullet-BarcRA29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89DC419E">
      <w:start w:val="1"/>
      <w:numFmt w:val="bullet"/>
      <w:lvlText w:val="o"/>
      <w:lvlJc w:val="left"/>
      <w:pPr>
        <w:tabs>
          <w:tab w:val="num" w:pos="306"/>
        </w:tabs>
        <w:ind w:left="306" w:hanging="360"/>
      </w:pPr>
      <w:rPr>
        <w:rFonts w:ascii="Courier New" w:hAnsi="Courier New" w:cs="Times New Roman" w:hint="default"/>
      </w:rPr>
    </w:lvl>
    <w:lvl w:ilvl="2" w:tplc="99ACCDB4">
      <w:numFmt w:val="bullet"/>
      <w:lvlText w:val="-"/>
      <w:lvlJc w:val="left"/>
      <w:pPr>
        <w:tabs>
          <w:tab w:val="num" w:pos="1401"/>
        </w:tabs>
        <w:ind w:left="1401" w:hanging="735"/>
      </w:pPr>
      <w:rPr>
        <w:rFonts w:ascii="Barclays Serif" w:eastAsia="Times New Roman" w:hAnsi="Barclays Serif" w:cs="Times New Roman" w:hint="default"/>
      </w:rPr>
    </w:lvl>
    <w:lvl w:ilvl="3" w:tplc="F38E2F58">
      <w:start w:val="1"/>
      <w:numFmt w:val="decimal"/>
      <w:lvlText w:val="%4."/>
      <w:lvlJc w:val="left"/>
      <w:pPr>
        <w:tabs>
          <w:tab w:val="num" w:pos="2880"/>
        </w:tabs>
        <w:ind w:left="2880" w:hanging="360"/>
      </w:pPr>
    </w:lvl>
    <w:lvl w:ilvl="4" w:tplc="9D8C9A32">
      <w:start w:val="1"/>
      <w:numFmt w:val="decimal"/>
      <w:lvlText w:val="%5."/>
      <w:lvlJc w:val="left"/>
      <w:pPr>
        <w:tabs>
          <w:tab w:val="num" w:pos="3600"/>
        </w:tabs>
        <w:ind w:left="3600" w:hanging="360"/>
      </w:pPr>
    </w:lvl>
    <w:lvl w:ilvl="5" w:tplc="F4F4FD10">
      <w:start w:val="1"/>
      <w:numFmt w:val="decimal"/>
      <w:lvlText w:val="%6."/>
      <w:lvlJc w:val="left"/>
      <w:pPr>
        <w:tabs>
          <w:tab w:val="num" w:pos="4320"/>
        </w:tabs>
        <w:ind w:left="4320" w:hanging="360"/>
      </w:pPr>
    </w:lvl>
    <w:lvl w:ilvl="6" w:tplc="D9064BCE">
      <w:start w:val="1"/>
      <w:numFmt w:val="decimal"/>
      <w:lvlText w:val="%7."/>
      <w:lvlJc w:val="left"/>
      <w:pPr>
        <w:tabs>
          <w:tab w:val="num" w:pos="5040"/>
        </w:tabs>
        <w:ind w:left="5040" w:hanging="360"/>
      </w:pPr>
    </w:lvl>
    <w:lvl w:ilvl="7" w:tplc="A18268A8">
      <w:start w:val="1"/>
      <w:numFmt w:val="decimal"/>
      <w:lvlText w:val="%8."/>
      <w:lvlJc w:val="left"/>
      <w:pPr>
        <w:tabs>
          <w:tab w:val="num" w:pos="5760"/>
        </w:tabs>
        <w:ind w:left="5760" w:hanging="360"/>
      </w:pPr>
    </w:lvl>
    <w:lvl w:ilvl="8" w:tplc="96025194">
      <w:start w:val="1"/>
      <w:numFmt w:val="decimal"/>
      <w:lvlText w:val="%9."/>
      <w:lvlJc w:val="left"/>
      <w:pPr>
        <w:tabs>
          <w:tab w:val="num" w:pos="6480"/>
        </w:tabs>
        <w:ind w:left="6480" w:hanging="360"/>
      </w:pPr>
    </w:lvl>
  </w:abstractNum>
  <w:abstractNum w:abstractNumId="179">
    <w:nsid w:val="000000CB"/>
    <w:multiLevelType w:val="hybridMultilevel"/>
    <w:tmpl w:val="B4DAA854"/>
    <w:lvl w:ilvl="0" w:tplc="66424E66">
      <w:start w:val="1"/>
      <w:numFmt w:val="bullet"/>
      <w:pStyle w:val="Level1Bullet-BarcRA40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164BE46">
      <w:start w:val="1"/>
      <w:numFmt w:val="bullet"/>
      <w:lvlText w:val="o"/>
      <w:lvlJc w:val="left"/>
      <w:pPr>
        <w:tabs>
          <w:tab w:val="num" w:pos="306"/>
        </w:tabs>
        <w:ind w:left="306" w:hanging="360"/>
      </w:pPr>
      <w:rPr>
        <w:rFonts w:ascii="Courier New" w:hAnsi="Courier New" w:cs="Times New Roman" w:hint="default"/>
      </w:rPr>
    </w:lvl>
    <w:lvl w:ilvl="2" w:tplc="342A8E7E">
      <w:numFmt w:val="bullet"/>
      <w:lvlText w:val="-"/>
      <w:lvlJc w:val="left"/>
      <w:pPr>
        <w:tabs>
          <w:tab w:val="num" w:pos="1401"/>
        </w:tabs>
        <w:ind w:left="1401" w:hanging="735"/>
      </w:pPr>
      <w:rPr>
        <w:rFonts w:ascii="Barclays Serif" w:eastAsia="Times New Roman" w:hAnsi="Barclays Serif" w:cs="Times New Roman" w:hint="default"/>
      </w:rPr>
    </w:lvl>
    <w:lvl w:ilvl="3" w:tplc="06C63FCC">
      <w:start w:val="1"/>
      <w:numFmt w:val="decimal"/>
      <w:lvlText w:val="%4."/>
      <w:lvlJc w:val="left"/>
      <w:pPr>
        <w:tabs>
          <w:tab w:val="num" w:pos="2880"/>
        </w:tabs>
        <w:ind w:left="2880" w:hanging="360"/>
      </w:pPr>
    </w:lvl>
    <w:lvl w:ilvl="4" w:tplc="F322FFA8">
      <w:start w:val="1"/>
      <w:numFmt w:val="decimal"/>
      <w:lvlText w:val="%5."/>
      <w:lvlJc w:val="left"/>
      <w:pPr>
        <w:tabs>
          <w:tab w:val="num" w:pos="3600"/>
        </w:tabs>
        <w:ind w:left="3600" w:hanging="360"/>
      </w:pPr>
    </w:lvl>
    <w:lvl w:ilvl="5" w:tplc="9C8E708C">
      <w:start w:val="1"/>
      <w:numFmt w:val="decimal"/>
      <w:lvlText w:val="%6."/>
      <w:lvlJc w:val="left"/>
      <w:pPr>
        <w:tabs>
          <w:tab w:val="num" w:pos="4320"/>
        </w:tabs>
        <w:ind w:left="4320" w:hanging="360"/>
      </w:pPr>
    </w:lvl>
    <w:lvl w:ilvl="6" w:tplc="17124CB2">
      <w:start w:val="1"/>
      <w:numFmt w:val="decimal"/>
      <w:lvlText w:val="%7."/>
      <w:lvlJc w:val="left"/>
      <w:pPr>
        <w:tabs>
          <w:tab w:val="num" w:pos="5040"/>
        </w:tabs>
        <w:ind w:left="5040" w:hanging="360"/>
      </w:pPr>
    </w:lvl>
    <w:lvl w:ilvl="7" w:tplc="E1C4AEE8">
      <w:start w:val="1"/>
      <w:numFmt w:val="decimal"/>
      <w:lvlText w:val="%8."/>
      <w:lvlJc w:val="left"/>
      <w:pPr>
        <w:tabs>
          <w:tab w:val="num" w:pos="5760"/>
        </w:tabs>
        <w:ind w:left="5760" w:hanging="360"/>
      </w:pPr>
    </w:lvl>
    <w:lvl w:ilvl="8" w:tplc="AA82F164">
      <w:start w:val="1"/>
      <w:numFmt w:val="decimal"/>
      <w:lvlText w:val="%9."/>
      <w:lvlJc w:val="left"/>
      <w:pPr>
        <w:tabs>
          <w:tab w:val="num" w:pos="6480"/>
        </w:tabs>
        <w:ind w:left="6480" w:hanging="360"/>
      </w:pPr>
    </w:lvl>
  </w:abstractNum>
  <w:abstractNum w:abstractNumId="180">
    <w:nsid w:val="000000CC"/>
    <w:multiLevelType w:val="hybridMultilevel"/>
    <w:tmpl w:val="B4DAA854"/>
    <w:lvl w:ilvl="0" w:tplc="91E6BEA2">
      <w:start w:val="1"/>
      <w:numFmt w:val="bullet"/>
      <w:pStyle w:val="Level1Bullet-BarcRA2001"/>
      <w:lvlText w:val=""/>
      <w:lvlJc w:val="left"/>
      <w:pPr>
        <w:tabs>
          <w:tab w:val="num" w:pos="284"/>
        </w:tabs>
        <w:ind w:left="284" w:hanging="284"/>
      </w:pPr>
      <w:rPr>
        <w:rFonts w:ascii="Wingdings 2" w:hAnsi="Wingdings 2" w:hint="default"/>
        <w:b w:val="0"/>
        <w:i w:val="0"/>
        <w:color w:val="auto"/>
        <w:spacing w:val="0"/>
        <w:w w:val="100"/>
        <w:position w:val="0"/>
        <w:sz w:val="18"/>
      </w:rPr>
    </w:lvl>
    <w:lvl w:ilvl="1" w:tplc="D12E9134">
      <w:start w:val="1"/>
      <w:numFmt w:val="bullet"/>
      <w:lvlText w:val="o"/>
      <w:lvlJc w:val="left"/>
      <w:pPr>
        <w:tabs>
          <w:tab w:val="num" w:pos="306"/>
        </w:tabs>
        <w:ind w:left="306" w:hanging="360"/>
      </w:pPr>
      <w:rPr>
        <w:rFonts w:ascii="Courier New" w:hAnsi="Courier New" w:cs="Times New Roman" w:hint="default"/>
      </w:rPr>
    </w:lvl>
    <w:lvl w:ilvl="2" w:tplc="0E5AE2FE">
      <w:numFmt w:val="bullet"/>
      <w:lvlText w:val="-"/>
      <w:lvlJc w:val="left"/>
      <w:pPr>
        <w:tabs>
          <w:tab w:val="num" w:pos="1401"/>
        </w:tabs>
        <w:ind w:left="1401" w:hanging="735"/>
      </w:pPr>
      <w:rPr>
        <w:rFonts w:ascii="Barclays Serif" w:eastAsia="Times New Roman" w:hAnsi="Barclays Serif" w:hint="default"/>
      </w:rPr>
    </w:lvl>
    <w:lvl w:ilvl="3" w:tplc="D150AB02">
      <w:start w:val="1"/>
      <w:numFmt w:val="decimal"/>
      <w:lvlText w:val="%4."/>
      <w:lvlJc w:val="left"/>
      <w:pPr>
        <w:tabs>
          <w:tab w:val="num" w:pos="2880"/>
        </w:tabs>
        <w:ind w:left="2880" w:hanging="360"/>
      </w:pPr>
    </w:lvl>
    <w:lvl w:ilvl="4" w:tplc="F842BA9C">
      <w:start w:val="1"/>
      <w:numFmt w:val="decimal"/>
      <w:lvlText w:val="%5."/>
      <w:lvlJc w:val="left"/>
      <w:pPr>
        <w:tabs>
          <w:tab w:val="num" w:pos="3600"/>
        </w:tabs>
        <w:ind w:left="3600" w:hanging="360"/>
      </w:pPr>
    </w:lvl>
    <w:lvl w:ilvl="5" w:tplc="73FAA7E0">
      <w:start w:val="1"/>
      <w:numFmt w:val="decimal"/>
      <w:lvlText w:val="%6."/>
      <w:lvlJc w:val="left"/>
      <w:pPr>
        <w:tabs>
          <w:tab w:val="num" w:pos="4320"/>
        </w:tabs>
        <w:ind w:left="4320" w:hanging="360"/>
      </w:pPr>
    </w:lvl>
    <w:lvl w:ilvl="6" w:tplc="AD0632CC">
      <w:start w:val="1"/>
      <w:numFmt w:val="decimal"/>
      <w:lvlText w:val="%7."/>
      <w:lvlJc w:val="left"/>
      <w:pPr>
        <w:tabs>
          <w:tab w:val="num" w:pos="5040"/>
        </w:tabs>
        <w:ind w:left="5040" w:hanging="360"/>
      </w:pPr>
    </w:lvl>
    <w:lvl w:ilvl="7" w:tplc="4824DB8C">
      <w:start w:val="1"/>
      <w:numFmt w:val="decimal"/>
      <w:lvlText w:val="%8."/>
      <w:lvlJc w:val="left"/>
      <w:pPr>
        <w:tabs>
          <w:tab w:val="num" w:pos="5760"/>
        </w:tabs>
        <w:ind w:left="5760" w:hanging="360"/>
      </w:pPr>
    </w:lvl>
    <w:lvl w:ilvl="8" w:tplc="13C0F3FE">
      <w:start w:val="1"/>
      <w:numFmt w:val="decimal"/>
      <w:lvlText w:val="%9."/>
      <w:lvlJc w:val="left"/>
      <w:pPr>
        <w:tabs>
          <w:tab w:val="num" w:pos="6480"/>
        </w:tabs>
        <w:ind w:left="6480" w:hanging="360"/>
      </w:pPr>
    </w:lvl>
  </w:abstractNum>
  <w:abstractNum w:abstractNumId="181">
    <w:nsid w:val="000000CD"/>
    <w:multiLevelType w:val="hybridMultilevel"/>
    <w:tmpl w:val="B4DAA854"/>
    <w:lvl w:ilvl="0" w:tplc="B324E30E">
      <w:start w:val="1"/>
      <w:numFmt w:val="bullet"/>
      <w:pStyle w:val="Level1Bullet-BarcRA20000"/>
      <w:lvlText w:val=""/>
      <w:lvlJc w:val="left"/>
      <w:pPr>
        <w:tabs>
          <w:tab w:val="num" w:pos="284"/>
        </w:tabs>
        <w:ind w:left="284" w:hanging="284"/>
      </w:pPr>
      <w:rPr>
        <w:rFonts w:ascii="Wingdings 2" w:hAnsi="Wingdings 2" w:hint="default"/>
        <w:b w:val="0"/>
        <w:i w:val="0"/>
        <w:color w:val="auto"/>
        <w:spacing w:val="0"/>
        <w:w w:val="100"/>
        <w:position w:val="0"/>
        <w:sz w:val="18"/>
      </w:rPr>
    </w:lvl>
    <w:lvl w:ilvl="1" w:tplc="37426D9E">
      <w:start w:val="1"/>
      <w:numFmt w:val="bullet"/>
      <w:lvlText w:val="o"/>
      <w:lvlJc w:val="left"/>
      <w:pPr>
        <w:tabs>
          <w:tab w:val="num" w:pos="306"/>
        </w:tabs>
        <w:ind w:left="306" w:hanging="360"/>
      </w:pPr>
      <w:rPr>
        <w:rFonts w:ascii="Courier New" w:hAnsi="Courier New" w:cs="Times New Roman" w:hint="default"/>
      </w:rPr>
    </w:lvl>
    <w:lvl w:ilvl="2" w:tplc="AF945770">
      <w:numFmt w:val="bullet"/>
      <w:lvlText w:val="-"/>
      <w:lvlJc w:val="left"/>
      <w:pPr>
        <w:tabs>
          <w:tab w:val="num" w:pos="1401"/>
        </w:tabs>
        <w:ind w:left="1401" w:hanging="735"/>
      </w:pPr>
      <w:rPr>
        <w:rFonts w:ascii="Barclays Serif" w:eastAsia="Times New Roman" w:hAnsi="Barclays Serif" w:hint="default"/>
      </w:rPr>
    </w:lvl>
    <w:lvl w:ilvl="3" w:tplc="E71EF402">
      <w:start w:val="1"/>
      <w:numFmt w:val="decimal"/>
      <w:lvlText w:val="%4."/>
      <w:lvlJc w:val="left"/>
      <w:pPr>
        <w:tabs>
          <w:tab w:val="num" w:pos="2880"/>
        </w:tabs>
        <w:ind w:left="2880" w:hanging="360"/>
      </w:pPr>
    </w:lvl>
    <w:lvl w:ilvl="4" w:tplc="A8F66CA2">
      <w:start w:val="1"/>
      <w:numFmt w:val="decimal"/>
      <w:lvlText w:val="%5."/>
      <w:lvlJc w:val="left"/>
      <w:pPr>
        <w:tabs>
          <w:tab w:val="num" w:pos="3600"/>
        </w:tabs>
        <w:ind w:left="3600" w:hanging="360"/>
      </w:pPr>
    </w:lvl>
    <w:lvl w:ilvl="5" w:tplc="2312E1A2">
      <w:start w:val="1"/>
      <w:numFmt w:val="decimal"/>
      <w:lvlText w:val="%6."/>
      <w:lvlJc w:val="left"/>
      <w:pPr>
        <w:tabs>
          <w:tab w:val="num" w:pos="4320"/>
        </w:tabs>
        <w:ind w:left="4320" w:hanging="360"/>
      </w:pPr>
    </w:lvl>
    <w:lvl w:ilvl="6" w:tplc="B18A8C8A">
      <w:start w:val="1"/>
      <w:numFmt w:val="decimal"/>
      <w:lvlText w:val="%7."/>
      <w:lvlJc w:val="left"/>
      <w:pPr>
        <w:tabs>
          <w:tab w:val="num" w:pos="5040"/>
        </w:tabs>
        <w:ind w:left="5040" w:hanging="360"/>
      </w:pPr>
    </w:lvl>
    <w:lvl w:ilvl="7" w:tplc="166ED3DA">
      <w:start w:val="1"/>
      <w:numFmt w:val="decimal"/>
      <w:lvlText w:val="%8."/>
      <w:lvlJc w:val="left"/>
      <w:pPr>
        <w:tabs>
          <w:tab w:val="num" w:pos="5760"/>
        </w:tabs>
        <w:ind w:left="5760" w:hanging="360"/>
      </w:pPr>
    </w:lvl>
    <w:lvl w:ilvl="8" w:tplc="D708E846">
      <w:start w:val="1"/>
      <w:numFmt w:val="decimal"/>
      <w:lvlText w:val="%9."/>
      <w:lvlJc w:val="left"/>
      <w:pPr>
        <w:tabs>
          <w:tab w:val="num" w:pos="6480"/>
        </w:tabs>
        <w:ind w:left="6480" w:hanging="360"/>
      </w:pPr>
    </w:lvl>
  </w:abstractNum>
  <w:abstractNum w:abstractNumId="182">
    <w:nsid w:val="000000CE"/>
    <w:multiLevelType w:val="hybridMultilevel"/>
    <w:tmpl w:val="B4DAA854"/>
    <w:lvl w:ilvl="0" w:tplc="DFFEA6AA">
      <w:start w:val="1"/>
      <w:numFmt w:val="bullet"/>
      <w:pStyle w:val="Level1Bullet-BarcRA410"/>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3D48636">
      <w:start w:val="1"/>
      <w:numFmt w:val="bullet"/>
      <w:lvlText w:val="o"/>
      <w:lvlJc w:val="left"/>
      <w:pPr>
        <w:tabs>
          <w:tab w:val="num" w:pos="306"/>
        </w:tabs>
        <w:ind w:left="306" w:hanging="360"/>
      </w:pPr>
      <w:rPr>
        <w:rFonts w:ascii="Courier New" w:hAnsi="Courier New" w:hint="default"/>
      </w:rPr>
    </w:lvl>
    <w:lvl w:ilvl="2" w:tplc="2FA646C6">
      <w:numFmt w:val="bullet"/>
      <w:lvlText w:val="-"/>
      <w:lvlJc w:val="left"/>
      <w:pPr>
        <w:tabs>
          <w:tab w:val="num" w:pos="1401"/>
        </w:tabs>
        <w:ind w:left="1401" w:hanging="735"/>
      </w:pPr>
      <w:rPr>
        <w:rFonts w:ascii="Barclays Serif" w:eastAsia="Times New Roman" w:hAnsi="Barclays Serif" w:cs="Times New Roman" w:hint="default"/>
      </w:rPr>
    </w:lvl>
    <w:lvl w:ilvl="3" w:tplc="B0CABBA2" w:tentative="1">
      <w:start w:val="1"/>
      <w:numFmt w:val="bullet"/>
      <w:lvlText w:val=""/>
      <w:lvlJc w:val="left"/>
      <w:pPr>
        <w:tabs>
          <w:tab w:val="num" w:pos="1746"/>
        </w:tabs>
        <w:ind w:left="1746" w:hanging="360"/>
      </w:pPr>
      <w:rPr>
        <w:rFonts w:ascii="Symbol" w:hAnsi="Symbol" w:hint="default"/>
      </w:rPr>
    </w:lvl>
    <w:lvl w:ilvl="4" w:tplc="C0F040EA" w:tentative="1">
      <w:start w:val="1"/>
      <w:numFmt w:val="bullet"/>
      <w:lvlText w:val="o"/>
      <w:lvlJc w:val="left"/>
      <w:pPr>
        <w:tabs>
          <w:tab w:val="num" w:pos="2466"/>
        </w:tabs>
        <w:ind w:left="2466" w:hanging="360"/>
      </w:pPr>
      <w:rPr>
        <w:rFonts w:ascii="Courier New" w:hAnsi="Courier New" w:hint="default"/>
      </w:rPr>
    </w:lvl>
    <w:lvl w:ilvl="5" w:tplc="C8AAB4A0" w:tentative="1">
      <w:start w:val="1"/>
      <w:numFmt w:val="bullet"/>
      <w:lvlText w:val=""/>
      <w:lvlJc w:val="left"/>
      <w:pPr>
        <w:tabs>
          <w:tab w:val="num" w:pos="3186"/>
        </w:tabs>
        <w:ind w:left="3186" w:hanging="360"/>
      </w:pPr>
      <w:rPr>
        <w:rFonts w:ascii="Wingdings" w:hAnsi="Wingdings" w:hint="default"/>
      </w:rPr>
    </w:lvl>
    <w:lvl w:ilvl="6" w:tplc="DD0CB56C" w:tentative="1">
      <w:start w:val="1"/>
      <w:numFmt w:val="bullet"/>
      <w:lvlText w:val=""/>
      <w:lvlJc w:val="left"/>
      <w:pPr>
        <w:tabs>
          <w:tab w:val="num" w:pos="3906"/>
        </w:tabs>
        <w:ind w:left="3906" w:hanging="360"/>
      </w:pPr>
      <w:rPr>
        <w:rFonts w:ascii="Symbol" w:hAnsi="Symbol" w:hint="default"/>
      </w:rPr>
    </w:lvl>
    <w:lvl w:ilvl="7" w:tplc="8472AE82" w:tentative="1">
      <w:start w:val="1"/>
      <w:numFmt w:val="bullet"/>
      <w:lvlText w:val="o"/>
      <w:lvlJc w:val="left"/>
      <w:pPr>
        <w:tabs>
          <w:tab w:val="num" w:pos="4626"/>
        </w:tabs>
        <w:ind w:left="4626" w:hanging="360"/>
      </w:pPr>
      <w:rPr>
        <w:rFonts w:ascii="Courier New" w:hAnsi="Courier New" w:hint="default"/>
      </w:rPr>
    </w:lvl>
    <w:lvl w:ilvl="8" w:tplc="49406ADE" w:tentative="1">
      <w:start w:val="1"/>
      <w:numFmt w:val="bullet"/>
      <w:lvlText w:val=""/>
      <w:lvlJc w:val="left"/>
      <w:pPr>
        <w:tabs>
          <w:tab w:val="num" w:pos="5346"/>
        </w:tabs>
        <w:ind w:left="5346" w:hanging="360"/>
      </w:pPr>
      <w:rPr>
        <w:rFonts w:ascii="Wingdings" w:hAnsi="Wingdings" w:hint="default"/>
      </w:rPr>
    </w:lvl>
  </w:abstractNum>
  <w:abstractNum w:abstractNumId="183">
    <w:nsid w:val="000000CF"/>
    <w:multiLevelType w:val="hybridMultilevel"/>
    <w:tmpl w:val="F2843742"/>
    <w:lvl w:ilvl="0" w:tplc="FB9E93B4">
      <w:start w:val="1"/>
      <w:numFmt w:val="decimal"/>
      <w:pStyle w:val="NoteandSourceText-BarcRA100"/>
      <w:lvlText w:val="%1"/>
      <w:lvlJc w:val="left"/>
      <w:pPr>
        <w:tabs>
          <w:tab w:val="num" w:pos="284"/>
        </w:tabs>
        <w:ind w:left="284" w:hanging="284"/>
      </w:pPr>
      <w:rPr>
        <w:rFonts w:hint="default"/>
        <w:b w:val="0"/>
        <w:bCs w:val="0"/>
        <w:i w:val="0"/>
        <w:iCs w:val="0"/>
        <w:color w:val="auto"/>
        <w:spacing w:val="0"/>
        <w:w w:val="100"/>
        <w:position w:val="0"/>
        <w:sz w:val="14"/>
        <w:szCs w:val="14"/>
      </w:rPr>
    </w:lvl>
    <w:lvl w:ilvl="1" w:tplc="FFFFFFFF">
      <w:start w:val="1"/>
      <w:numFmt w:val="bullet"/>
      <w:lvlText w:val="o"/>
      <w:lvlJc w:val="left"/>
      <w:pPr>
        <w:tabs>
          <w:tab w:val="num" w:pos="306"/>
        </w:tabs>
        <w:ind w:left="306" w:hanging="360"/>
      </w:pPr>
      <w:rPr>
        <w:rFonts w:ascii="Courier New" w:hAnsi="Courier New" w:hint="default"/>
      </w:rPr>
    </w:lvl>
    <w:lvl w:ilvl="2" w:tplc="FFFFFFFF">
      <w:numFmt w:val="bullet"/>
      <w:lvlText w:val="-"/>
      <w:lvlJc w:val="left"/>
      <w:pPr>
        <w:tabs>
          <w:tab w:val="num" w:pos="1401"/>
        </w:tabs>
        <w:ind w:left="1401" w:hanging="735"/>
      </w:pPr>
      <w:rPr>
        <w:rFonts w:ascii="Barclays Serif" w:eastAsia="Times New Roman" w:hAnsi="Barclays Serif" w:cs="Times New Roman" w:hint="default"/>
      </w:rPr>
    </w:lvl>
    <w:lvl w:ilvl="3" w:tplc="FFFFFFFF" w:tentative="1">
      <w:start w:val="1"/>
      <w:numFmt w:val="bullet"/>
      <w:lvlText w:val=""/>
      <w:lvlJc w:val="left"/>
      <w:pPr>
        <w:tabs>
          <w:tab w:val="num" w:pos="1746"/>
        </w:tabs>
        <w:ind w:left="1746" w:hanging="360"/>
      </w:pPr>
      <w:rPr>
        <w:rFonts w:ascii="Symbol" w:hAnsi="Symbol"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184">
    <w:nsid w:val="000000D0"/>
    <w:multiLevelType w:val="hybridMultilevel"/>
    <w:tmpl w:val="3F46D7DE"/>
    <w:lvl w:ilvl="0" w:tplc="19AE6766">
      <w:start w:val="1"/>
      <w:numFmt w:val="decimal"/>
      <w:pStyle w:val="NoteandSourceText-BarcRA22"/>
      <w:lvlText w:val="%1"/>
      <w:lvlJc w:val="left"/>
      <w:pPr>
        <w:ind w:left="720" w:hanging="360"/>
      </w:pPr>
      <w:rPr>
        <w:rFonts w:hint="default"/>
      </w:rPr>
    </w:lvl>
    <w:lvl w:ilvl="1" w:tplc="1616BCDA" w:tentative="1">
      <w:start w:val="1"/>
      <w:numFmt w:val="lowerLetter"/>
      <w:lvlText w:val="%2."/>
      <w:lvlJc w:val="left"/>
      <w:pPr>
        <w:ind w:left="1440" w:hanging="360"/>
      </w:pPr>
    </w:lvl>
    <w:lvl w:ilvl="2" w:tplc="81A29F00" w:tentative="1">
      <w:start w:val="1"/>
      <w:numFmt w:val="lowerRoman"/>
      <w:lvlText w:val="%3."/>
      <w:lvlJc w:val="right"/>
      <w:pPr>
        <w:ind w:left="2160" w:hanging="180"/>
      </w:pPr>
    </w:lvl>
    <w:lvl w:ilvl="3" w:tplc="37A2B9E4" w:tentative="1">
      <w:start w:val="1"/>
      <w:numFmt w:val="decimal"/>
      <w:lvlText w:val="%4."/>
      <w:lvlJc w:val="left"/>
      <w:pPr>
        <w:ind w:left="2880" w:hanging="360"/>
      </w:pPr>
    </w:lvl>
    <w:lvl w:ilvl="4" w:tplc="DA0CA228" w:tentative="1">
      <w:start w:val="1"/>
      <w:numFmt w:val="lowerLetter"/>
      <w:lvlText w:val="%5."/>
      <w:lvlJc w:val="left"/>
      <w:pPr>
        <w:ind w:left="3600" w:hanging="360"/>
      </w:pPr>
    </w:lvl>
    <w:lvl w:ilvl="5" w:tplc="86D878F0" w:tentative="1">
      <w:start w:val="1"/>
      <w:numFmt w:val="lowerRoman"/>
      <w:lvlText w:val="%6."/>
      <w:lvlJc w:val="right"/>
      <w:pPr>
        <w:ind w:left="4320" w:hanging="180"/>
      </w:pPr>
    </w:lvl>
    <w:lvl w:ilvl="6" w:tplc="EBA23600" w:tentative="1">
      <w:start w:val="1"/>
      <w:numFmt w:val="decimal"/>
      <w:lvlText w:val="%7."/>
      <w:lvlJc w:val="left"/>
      <w:pPr>
        <w:ind w:left="5040" w:hanging="360"/>
      </w:pPr>
    </w:lvl>
    <w:lvl w:ilvl="7" w:tplc="2C7E217C" w:tentative="1">
      <w:start w:val="1"/>
      <w:numFmt w:val="lowerLetter"/>
      <w:lvlText w:val="%8."/>
      <w:lvlJc w:val="left"/>
      <w:pPr>
        <w:ind w:left="5760" w:hanging="360"/>
      </w:pPr>
    </w:lvl>
    <w:lvl w:ilvl="8" w:tplc="0CDCB104" w:tentative="1">
      <w:start w:val="1"/>
      <w:numFmt w:val="lowerRoman"/>
      <w:lvlText w:val="%9."/>
      <w:lvlJc w:val="right"/>
      <w:pPr>
        <w:ind w:left="6480" w:hanging="180"/>
      </w:pPr>
    </w:lvl>
  </w:abstractNum>
  <w:abstractNum w:abstractNumId="185">
    <w:nsid w:val="000000D1"/>
    <w:multiLevelType w:val="hybridMultilevel"/>
    <w:tmpl w:val="36E43126"/>
    <w:lvl w:ilvl="0" w:tplc="F906E270">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6">
    <w:nsid w:val="000000D2"/>
    <w:multiLevelType w:val="hybridMultilevel"/>
    <w:tmpl w:val="B4DAA854"/>
    <w:lvl w:ilvl="0" w:tplc="A6CEC544">
      <w:start w:val="1"/>
      <w:numFmt w:val="bullet"/>
      <w:pStyle w:val="Level1Bullet-BarcRA391"/>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701E9730">
      <w:start w:val="1"/>
      <w:numFmt w:val="bullet"/>
      <w:lvlText w:val="o"/>
      <w:lvlJc w:val="left"/>
      <w:pPr>
        <w:tabs>
          <w:tab w:val="num" w:pos="306"/>
        </w:tabs>
        <w:ind w:left="306" w:hanging="360"/>
      </w:pPr>
      <w:rPr>
        <w:rFonts w:ascii="Courier New" w:hAnsi="Courier New" w:cs="Times New Roman" w:hint="default"/>
      </w:rPr>
    </w:lvl>
    <w:lvl w:ilvl="2" w:tplc="AE64C9AE">
      <w:numFmt w:val="bullet"/>
      <w:lvlText w:val="-"/>
      <w:lvlJc w:val="left"/>
      <w:pPr>
        <w:tabs>
          <w:tab w:val="num" w:pos="1401"/>
        </w:tabs>
        <w:ind w:left="1401" w:hanging="735"/>
      </w:pPr>
      <w:rPr>
        <w:rFonts w:ascii="Barclays Serif" w:eastAsia="Times New Roman" w:hAnsi="Barclays Serif" w:cs="Times New Roman" w:hint="default"/>
      </w:rPr>
    </w:lvl>
    <w:lvl w:ilvl="3" w:tplc="9F9CB74E">
      <w:start w:val="1"/>
      <w:numFmt w:val="decimal"/>
      <w:lvlText w:val="%4."/>
      <w:lvlJc w:val="left"/>
      <w:pPr>
        <w:tabs>
          <w:tab w:val="num" w:pos="2880"/>
        </w:tabs>
        <w:ind w:left="2880" w:hanging="360"/>
      </w:pPr>
    </w:lvl>
    <w:lvl w:ilvl="4" w:tplc="D874923C">
      <w:start w:val="1"/>
      <w:numFmt w:val="decimal"/>
      <w:lvlText w:val="%5."/>
      <w:lvlJc w:val="left"/>
      <w:pPr>
        <w:tabs>
          <w:tab w:val="num" w:pos="3600"/>
        </w:tabs>
        <w:ind w:left="3600" w:hanging="360"/>
      </w:pPr>
    </w:lvl>
    <w:lvl w:ilvl="5" w:tplc="A7726BBC">
      <w:start w:val="1"/>
      <w:numFmt w:val="decimal"/>
      <w:lvlText w:val="%6."/>
      <w:lvlJc w:val="left"/>
      <w:pPr>
        <w:tabs>
          <w:tab w:val="num" w:pos="4320"/>
        </w:tabs>
        <w:ind w:left="4320" w:hanging="360"/>
      </w:pPr>
    </w:lvl>
    <w:lvl w:ilvl="6" w:tplc="7D2C885C">
      <w:start w:val="1"/>
      <w:numFmt w:val="decimal"/>
      <w:lvlText w:val="%7."/>
      <w:lvlJc w:val="left"/>
      <w:pPr>
        <w:tabs>
          <w:tab w:val="num" w:pos="5040"/>
        </w:tabs>
        <w:ind w:left="5040" w:hanging="360"/>
      </w:pPr>
    </w:lvl>
    <w:lvl w:ilvl="7" w:tplc="AFF832C8">
      <w:start w:val="1"/>
      <w:numFmt w:val="decimal"/>
      <w:lvlText w:val="%8."/>
      <w:lvlJc w:val="left"/>
      <w:pPr>
        <w:tabs>
          <w:tab w:val="num" w:pos="5760"/>
        </w:tabs>
        <w:ind w:left="5760" w:hanging="360"/>
      </w:pPr>
    </w:lvl>
    <w:lvl w:ilvl="8" w:tplc="8140F34E">
      <w:start w:val="1"/>
      <w:numFmt w:val="decimal"/>
      <w:lvlText w:val="%9."/>
      <w:lvlJc w:val="left"/>
      <w:pPr>
        <w:tabs>
          <w:tab w:val="num" w:pos="6480"/>
        </w:tabs>
        <w:ind w:left="6480" w:hanging="360"/>
      </w:pPr>
    </w:lvl>
  </w:abstractNum>
  <w:abstractNum w:abstractNumId="187">
    <w:nsid w:val="000000D3"/>
    <w:multiLevelType w:val="hybridMultilevel"/>
    <w:tmpl w:val="3F46D7DE"/>
    <w:lvl w:ilvl="0" w:tplc="452C3DF8">
      <w:start w:val="1"/>
      <w:numFmt w:val="decimal"/>
      <w:pStyle w:val="NoteandSourceText-BarcRA131"/>
      <w:lvlText w:val="%1"/>
      <w:lvlJc w:val="left"/>
      <w:pPr>
        <w:ind w:left="720" w:hanging="360"/>
      </w:pPr>
    </w:lvl>
    <w:lvl w:ilvl="1" w:tplc="C4F45EE2">
      <w:start w:val="1"/>
      <w:numFmt w:val="decimal"/>
      <w:lvlText w:val="%2."/>
      <w:lvlJc w:val="left"/>
      <w:pPr>
        <w:tabs>
          <w:tab w:val="num" w:pos="1440"/>
        </w:tabs>
        <w:ind w:left="1440" w:hanging="360"/>
      </w:pPr>
    </w:lvl>
    <w:lvl w:ilvl="2" w:tplc="8E5A8EC0">
      <w:start w:val="1"/>
      <w:numFmt w:val="decimal"/>
      <w:lvlText w:val="%3."/>
      <w:lvlJc w:val="left"/>
      <w:pPr>
        <w:tabs>
          <w:tab w:val="num" w:pos="2160"/>
        </w:tabs>
        <w:ind w:left="2160" w:hanging="360"/>
      </w:pPr>
    </w:lvl>
    <w:lvl w:ilvl="3" w:tplc="DC287742">
      <w:start w:val="1"/>
      <w:numFmt w:val="decimal"/>
      <w:lvlText w:val="%4."/>
      <w:lvlJc w:val="left"/>
      <w:pPr>
        <w:tabs>
          <w:tab w:val="num" w:pos="2880"/>
        </w:tabs>
        <w:ind w:left="2880" w:hanging="360"/>
      </w:pPr>
    </w:lvl>
    <w:lvl w:ilvl="4" w:tplc="A948CF56">
      <w:start w:val="1"/>
      <w:numFmt w:val="decimal"/>
      <w:lvlText w:val="%5."/>
      <w:lvlJc w:val="left"/>
      <w:pPr>
        <w:tabs>
          <w:tab w:val="num" w:pos="3600"/>
        </w:tabs>
        <w:ind w:left="3600" w:hanging="360"/>
      </w:pPr>
    </w:lvl>
    <w:lvl w:ilvl="5" w:tplc="BB80AD94">
      <w:start w:val="1"/>
      <w:numFmt w:val="decimal"/>
      <w:lvlText w:val="%6."/>
      <w:lvlJc w:val="left"/>
      <w:pPr>
        <w:tabs>
          <w:tab w:val="num" w:pos="4320"/>
        </w:tabs>
        <w:ind w:left="4320" w:hanging="360"/>
      </w:pPr>
    </w:lvl>
    <w:lvl w:ilvl="6" w:tplc="802CA90A">
      <w:start w:val="1"/>
      <w:numFmt w:val="decimal"/>
      <w:lvlText w:val="%7."/>
      <w:lvlJc w:val="left"/>
      <w:pPr>
        <w:tabs>
          <w:tab w:val="num" w:pos="5040"/>
        </w:tabs>
        <w:ind w:left="5040" w:hanging="360"/>
      </w:pPr>
    </w:lvl>
    <w:lvl w:ilvl="7" w:tplc="96CA3F44">
      <w:start w:val="1"/>
      <w:numFmt w:val="decimal"/>
      <w:lvlText w:val="%8."/>
      <w:lvlJc w:val="left"/>
      <w:pPr>
        <w:tabs>
          <w:tab w:val="num" w:pos="5760"/>
        </w:tabs>
        <w:ind w:left="5760" w:hanging="360"/>
      </w:pPr>
    </w:lvl>
    <w:lvl w:ilvl="8" w:tplc="A6E4EC94">
      <w:start w:val="1"/>
      <w:numFmt w:val="decimal"/>
      <w:lvlText w:val="%9."/>
      <w:lvlJc w:val="left"/>
      <w:pPr>
        <w:tabs>
          <w:tab w:val="num" w:pos="6480"/>
        </w:tabs>
        <w:ind w:left="6480" w:hanging="360"/>
      </w:pPr>
    </w:lvl>
  </w:abstractNum>
  <w:abstractNum w:abstractNumId="188">
    <w:nsid w:val="000000D4"/>
    <w:multiLevelType w:val="hybridMultilevel"/>
    <w:tmpl w:val="4A061BAC"/>
    <w:lvl w:ilvl="0" w:tplc="F906E2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nsid w:val="000000D5"/>
    <w:multiLevelType w:val="hybridMultilevel"/>
    <w:tmpl w:val="3F46D7DE"/>
    <w:lvl w:ilvl="0" w:tplc="7D3E27FE">
      <w:start w:val="1"/>
      <w:numFmt w:val="decimal"/>
      <w:pStyle w:val="NoteandSourceText-BarcRA24"/>
      <w:lvlText w:val="%1"/>
      <w:lvlJc w:val="left"/>
      <w:pPr>
        <w:ind w:left="720" w:hanging="360"/>
      </w:pPr>
      <w:rPr>
        <w:rFonts w:hint="default"/>
      </w:rPr>
    </w:lvl>
    <w:lvl w:ilvl="1" w:tplc="8D3CDF3C" w:tentative="1">
      <w:start w:val="1"/>
      <w:numFmt w:val="lowerLetter"/>
      <w:lvlText w:val="%2."/>
      <w:lvlJc w:val="left"/>
      <w:pPr>
        <w:ind w:left="1440" w:hanging="360"/>
      </w:pPr>
    </w:lvl>
    <w:lvl w:ilvl="2" w:tplc="A1A49E86" w:tentative="1">
      <w:start w:val="1"/>
      <w:numFmt w:val="lowerRoman"/>
      <w:lvlText w:val="%3."/>
      <w:lvlJc w:val="right"/>
      <w:pPr>
        <w:ind w:left="2160" w:hanging="180"/>
      </w:pPr>
    </w:lvl>
    <w:lvl w:ilvl="3" w:tplc="1958AE6A" w:tentative="1">
      <w:start w:val="1"/>
      <w:numFmt w:val="decimal"/>
      <w:lvlText w:val="%4."/>
      <w:lvlJc w:val="left"/>
      <w:pPr>
        <w:ind w:left="2880" w:hanging="360"/>
      </w:pPr>
    </w:lvl>
    <w:lvl w:ilvl="4" w:tplc="90B289D4" w:tentative="1">
      <w:start w:val="1"/>
      <w:numFmt w:val="lowerLetter"/>
      <w:lvlText w:val="%5."/>
      <w:lvlJc w:val="left"/>
      <w:pPr>
        <w:ind w:left="3600" w:hanging="360"/>
      </w:pPr>
    </w:lvl>
    <w:lvl w:ilvl="5" w:tplc="2686577C" w:tentative="1">
      <w:start w:val="1"/>
      <w:numFmt w:val="lowerRoman"/>
      <w:lvlText w:val="%6."/>
      <w:lvlJc w:val="right"/>
      <w:pPr>
        <w:ind w:left="4320" w:hanging="180"/>
      </w:pPr>
    </w:lvl>
    <w:lvl w:ilvl="6" w:tplc="8B06D096" w:tentative="1">
      <w:start w:val="1"/>
      <w:numFmt w:val="decimal"/>
      <w:lvlText w:val="%7."/>
      <w:lvlJc w:val="left"/>
      <w:pPr>
        <w:ind w:left="5040" w:hanging="360"/>
      </w:pPr>
    </w:lvl>
    <w:lvl w:ilvl="7" w:tplc="9446B22A" w:tentative="1">
      <w:start w:val="1"/>
      <w:numFmt w:val="lowerLetter"/>
      <w:lvlText w:val="%8."/>
      <w:lvlJc w:val="left"/>
      <w:pPr>
        <w:ind w:left="5760" w:hanging="360"/>
      </w:pPr>
    </w:lvl>
    <w:lvl w:ilvl="8" w:tplc="8DC8B89A" w:tentative="1">
      <w:start w:val="1"/>
      <w:numFmt w:val="lowerRoman"/>
      <w:lvlText w:val="%9."/>
      <w:lvlJc w:val="right"/>
      <w:pPr>
        <w:ind w:left="6480" w:hanging="180"/>
      </w:pPr>
    </w:lvl>
  </w:abstractNum>
  <w:abstractNum w:abstractNumId="190">
    <w:nsid w:val="000000D6"/>
    <w:multiLevelType w:val="hybridMultilevel"/>
    <w:tmpl w:val="B4DAA854"/>
    <w:lvl w:ilvl="0" w:tplc="F44492B0">
      <w:start w:val="1"/>
      <w:numFmt w:val="bullet"/>
      <w:pStyle w:val="Level1Bullet-BarcRA43"/>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FF88BF1A">
      <w:start w:val="1"/>
      <w:numFmt w:val="bullet"/>
      <w:lvlText w:val="o"/>
      <w:lvlJc w:val="left"/>
      <w:pPr>
        <w:tabs>
          <w:tab w:val="num" w:pos="306"/>
        </w:tabs>
        <w:ind w:left="306" w:hanging="360"/>
      </w:pPr>
      <w:rPr>
        <w:rFonts w:ascii="Courier New" w:hAnsi="Courier New" w:hint="default"/>
      </w:rPr>
    </w:lvl>
    <w:lvl w:ilvl="2" w:tplc="BB182050">
      <w:numFmt w:val="bullet"/>
      <w:lvlText w:val="-"/>
      <w:lvlJc w:val="left"/>
      <w:pPr>
        <w:tabs>
          <w:tab w:val="num" w:pos="1401"/>
        </w:tabs>
        <w:ind w:left="1401" w:hanging="735"/>
      </w:pPr>
      <w:rPr>
        <w:rFonts w:ascii="Barclays Serif" w:eastAsia="Times New Roman" w:hAnsi="Barclays Serif" w:cs="Times New Roman" w:hint="default"/>
      </w:rPr>
    </w:lvl>
    <w:lvl w:ilvl="3" w:tplc="F46A2578" w:tentative="1">
      <w:start w:val="1"/>
      <w:numFmt w:val="bullet"/>
      <w:lvlText w:val=""/>
      <w:lvlJc w:val="left"/>
      <w:pPr>
        <w:tabs>
          <w:tab w:val="num" w:pos="1746"/>
        </w:tabs>
        <w:ind w:left="1746" w:hanging="360"/>
      </w:pPr>
      <w:rPr>
        <w:rFonts w:ascii="Symbol" w:hAnsi="Symbol" w:hint="default"/>
      </w:rPr>
    </w:lvl>
    <w:lvl w:ilvl="4" w:tplc="D5EE9048" w:tentative="1">
      <w:start w:val="1"/>
      <w:numFmt w:val="bullet"/>
      <w:lvlText w:val="o"/>
      <w:lvlJc w:val="left"/>
      <w:pPr>
        <w:tabs>
          <w:tab w:val="num" w:pos="2466"/>
        </w:tabs>
        <w:ind w:left="2466" w:hanging="360"/>
      </w:pPr>
      <w:rPr>
        <w:rFonts w:ascii="Courier New" w:hAnsi="Courier New" w:hint="default"/>
      </w:rPr>
    </w:lvl>
    <w:lvl w:ilvl="5" w:tplc="8AECF26E" w:tentative="1">
      <w:start w:val="1"/>
      <w:numFmt w:val="bullet"/>
      <w:lvlText w:val=""/>
      <w:lvlJc w:val="left"/>
      <w:pPr>
        <w:tabs>
          <w:tab w:val="num" w:pos="3186"/>
        </w:tabs>
        <w:ind w:left="3186" w:hanging="360"/>
      </w:pPr>
      <w:rPr>
        <w:rFonts w:ascii="Wingdings" w:hAnsi="Wingdings" w:hint="default"/>
      </w:rPr>
    </w:lvl>
    <w:lvl w:ilvl="6" w:tplc="FC04E28A" w:tentative="1">
      <w:start w:val="1"/>
      <w:numFmt w:val="bullet"/>
      <w:lvlText w:val=""/>
      <w:lvlJc w:val="left"/>
      <w:pPr>
        <w:tabs>
          <w:tab w:val="num" w:pos="3906"/>
        </w:tabs>
        <w:ind w:left="3906" w:hanging="360"/>
      </w:pPr>
      <w:rPr>
        <w:rFonts w:ascii="Symbol" w:hAnsi="Symbol" w:hint="default"/>
      </w:rPr>
    </w:lvl>
    <w:lvl w:ilvl="7" w:tplc="569E51AA" w:tentative="1">
      <w:start w:val="1"/>
      <w:numFmt w:val="bullet"/>
      <w:lvlText w:val="o"/>
      <w:lvlJc w:val="left"/>
      <w:pPr>
        <w:tabs>
          <w:tab w:val="num" w:pos="4626"/>
        </w:tabs>
        <w:ind w:left="4626" w:hanging="360"/>
      </w:pPr>
      <w:rPr>
        <w:rFonts w:ascii="Courier New" w:hAnsi="Courier New" w:hint="default"/>
      </w:rPr>
    </w:lvl>
    <w:lvl w:ilvl="8" w:tplc="4A7A8C92" w:tentative="1">
      <w:start w:val="1"/>
      <w:numFmt w:val="bullet"/>
      <w:lvlText w:val=""/>
      <w:lvlJc w:val="left"/>
      <w:pPr>
        <w:tabs>
          <w:tab w:val="num" w:pos="5346"/>
        </w:tabs>
        <w:ind w:left="5346" w:hanging="360"/>
      </w:pPr>
      <w:rPr>
        <w:rFonts w:ascii="Wingdings" w:hAnsi="Wingdings" w:hint="default"/>
      </w:rPr>
    </w:lvl>
  </w:abstractNum>
  <w:abstractNum w:abstractNumId="191">
    <w:nsid w:val="000000D7"/>
    <w:multiLevelType w:val="hybridMultilevel"/>
    <w:tmpl w:val="3F46D7DE"/>
    <w:lvl w:ilvl="0" w:tplc="33AA80C4">
      <w:start w:val="1"/>
      <w:numFmt w:val="decimal"/>
      <w:pStyle w:val="NoteandSourceText-BarcRA25"/>
      <w:lvlText w:val="%1"/>
      <w:lvlJc w:val="left"/>
      <w:pPr>
        <w:ind w:left="720" w:hanging="360"/>
      </w:pPr>
      <w:rPr>
        <w:rFonts w:hint="default"/>
      </w:rPr>
    </w:lvl>
    <w:lvl w:ilvl="1" w:tplc="3F98198A" w:tentative="1">
      <w:start w:val="1"/>
      <w:numFmt w:val="lowerLetter"/>
      <w:lvlText w:val="%2."/>
      <w:lvlJc w:val="left"/>
      <w:pPr>
        <w:ind w:left="1440" w:hanging="360"/>
      </w:pPr>
    </w:lvl>
    <w:lvl w:ilvl="2" w:tplc="03D20D1E" w:tentative="1">
      <w:start w:val="1"/>
      <w:numFmt w:val="lowerRoman"/>
      <w:lvlText w:val="%3."/>
      <w:lvlJc w:val="right"/>
      <w:pPr>
        <w:ind w:left="2160" w:hanging="180"/>
      </w:pPr>
    </w:lvl>
    <w:lvl w:ilvl="3" w:tplc="9FEA3A36" w:tentative="1">
      <w:start w:val="1"/>
      <w:numFmt w:val="decimal"/>
      <w:lvlText w:val="%4."/>
      <w:lvlJc w:val="left"/>
      <w:pPr>
        <w:ind w:left="2880" w:hanging="360"/>
      </w:pPr>
    </w:lvl>
    <w:lvl w:ilvl="4" w:tplc="7B747188" w:tentative="1">
      <w:start w:val="1"/>
      <w:numFmt w:val="lowerLetter"/>
      <w:lvlText w:val="%5."/>
      <w:lvlJc w:val="left"/>
      <w:pPr>
        <w:ind w:left="3600" w:hanging="360"/>
      </w:pPr>
    </w:lvl>
    <w:lvl w:ilvl="5" w:tplc="E7DED1E8" w:tentative="1">
      <w:start w:val="1"/>
      <w:numFmt w:val="lowerRoman"/>
      <w:lvlText w:val="%6."/>
      <w:lvlJc w:val="right"/>
      <w:pPr>
        <w:ind w:left="4320" w:hanging="180"/>
      </w:pPr>
    </w:lvl>
    <w:lvl w:ilvl="6" w:tplc="2C4A5CD2" w:tentative="1">
      <w:start w:val="1"/>
      <w:numFmt w:val="decimal"/>
      <w:lvlText w:val="%7."/>
      <w:lvlJc w:val="left"/>
      <w:pPr>
        <w:ind w:left="5040" w:hanging="360"/>
      </w:pPr>
    </w:lvl>
    <w:lvl w:ilvl="7" w:tplc="5E82F644" w:tentative="1">
      <w:start w:val="1"/>
      <w:numFmt w:val="lowerLetter"/>
      <w:lvlText w:val="%8."/>
      <w:lvlJc w:val="left"/>
      <w:pPr>
        <w:ind w:left="5760" w:hanging="360"/>
      </w:pPr>
    </w:lvl>
    <w:lvl w:ilvl="8" w:tplc="4844E25A" w:tentative="1">
      <w:start w:val="1"/>
      <w:numFmt w:val="lowerRoman"/>
      <w:lvlText w:val="%9."/>
      <w:lvlJc w:val="right"/>
      <w:pPr>
        <w:ind w:left="6480" w:hanging="180"/>
      </w:pPr>
    </w:lvl>
  </w:abstractNum>
  <w:abstractNum w:abstractNumId="192">
    <w:nsid w:val="000000D8"/>
    <w:multiLevelType w:val="hybridMultilevel"/>
    <w:tmpl w:val="3F46D7DE"/>
    <w:lvl w:ilvl="0" w:tplc="BADC0F3E">
      <w:start w:val="1"/>
      <w:numFmt w:val="decimal"/>
      <w:pStyle w:val="NoteandSourceText-BarcRA26"/>
      <w:lvlText w:val="%1"/>
      <w:lvlJc w:val="left"/>
      <w:pPr>
        <w:ind w:left="720" w:hanging="360"/>
      </w:pPr>
    </w:lvl>
    <w:lvl w:ilvl="1" w:tplc="11A6710C">
      <w:start w:val="1"/>
      <w:numFmt w:val="decimal"/>
      <w:lvlText w:val="%2."/>
      <w:lvlJc w:val="left"/>
      <w:pPr>
        <w:tabs>
          <w:tab w:val="num" w:pos="1440"/>
        </w:tabs>
        <w:ind w:left="1440" w:hanging="360"/>
      </w:pPr>
    </w:lvl>
    <w:lvl w:ilvl="2" w:tplc="32D69C38">
      <w:start w:val="1"/>
      <w:numFmt w:val="decimal"/>
      <w:lvlText w:val="%3."/>
      <w:lvlJc w:val="left"/>
      <w:pPr>
        <w:tabs>
          <w:tab w:val="num" w:pos="2160"/>
        </w:tabs>
        <w:ind w:left="2160" w:hanging="360"/>
      </w:pPr>
    </w:lvl>
    <w:lvl w:ilvl="3" w:tplc="91748882">
      <w:start w:val="1"/>
      <w:numFmt w:val="decimal"/>
      <w:lvlText w:val="%4."/>
      <w:lvlJc w:val="left"/>
      <w:pPr>
        <w:tabs>
          <w:tab w:val="num" w:pos="2880"/>
        </w:tabs>
        <w:ind w:left="2880" w:hanging="360"/>
      </w:pPr>
    </w:lvl>
    <w:lvl w:ilvl="4" w:tplc="74E4E38C">
      <w:start w:val="1"/>
      <w:numFmt w:val="decimal"/>
      <w:lvlText w:val="%5."/>
      <w:lvlJc w:val="left"/>
      <w:pPr>
        <w:tabs>
          <w:tab w:val="num" w:pos="3600"/>
        </w:tabs>
        <w:ind w:left="3600" w:hanging="360"/>
      </w:pPr>
    </w:lvl>
    <w:lvl w:ilvl="5" w:tplc="F064E528">
      <w:start w:val="1"/>
      <w:numFmt w:val="decimal"/>
      <w:lvlText w:val="%6."/>
      <w:lvlJc w:val="left"/>
      <w:pPr>
        <w:tabs>
          <w:tab w:val="num" w:pos="4320"/>
        </w:tabs>
        <w:ind w:left="4320" w:hanging="360"/>
      </w:pPr>
    </w:lvl>
    <w:lvl w:ilvl="6" w:tplc="F320B054">
      <w:start w:val="1"/>
      <w:numFmt w:val="decimal"/>
      <w:lvlText w:val="%7."/>
      <w:lvlJc w:val="left"/>
      <w:pPr>
        <w:tabs>
          <w:tab w:val="num" w:pos="5040"/>
        </w:tabs>
        <w:ind w:left="5040" w:hanging="360"/>
      </w:pPr>
    </w:lvl>
    <w:lvl w:ilvl="7" w:tplc="1EEA7822">
      <w:start w:val="1"/>
      <w:numFmt w:val="decimal"/>
      <w:lvlText w:val="%8."/>
      <w:lvlJc w:val="left"/>
      <w:pPr>
        <w:tabs>
          <w:tab w:val="num" w:pos="5760"/>
        </w:tabs>
        <w:ind w:left="5760" w:hanging="360"/>
      </w:pPr>
    </w:lvl>
    <w:lvl w:ilvl="8" w:tplc="2F7E46A0">
      <w:start w:val="1"/>
      <w:numFmt w:val="decimal"/>
      <w:lvlText w:val="%9."/>
      <w:lvlJc w:val="left"/>
      <w:pPr>
        <w:tabs>
          <w:tab w:val="num" w:pos="6480"/>
        </w:tabs>
        <w:ind w:left="6480" w:hanging="360"/>
      </w:pPr>
    </w:lvl>
  </w:abstractNum>
  <w:abstractNum w:abstractNumId="193">
    <w:nsid w:val="000000D9"/>
    <w:multiLevelType w:val="hybridMultilevel"/>
    <w:tmpl w:val="3F46D7DE"/>
    <w:lvl w:ilvl="0" w:tplc="88DE232A">
      <w:start w:val="1"/>
      <w:numFmt w:val="decimal"/>
      <w:pStyle w:val="NoteandSourceText-BarcRA27"/>
      <w:lvlText w:val="%1"/>
      <w:lvlJc w:val="left"/>
      <w:pPr>
        <w:ind w:left="720" w:hanging="360"/>
      </w:pPr>
      <w:rPr>
        <w:rFonts w:hint="default"/>
      </w:rPr>
    </w:lvl>
    <w:lvl w:ilvl="1" w:tplc="7BA04A1C" w:tentative="1">
      <w:start w:val="1"/>
      <w:numFmt w:val="lowerLetter"/>
      <w:lvlText w:val="%2."/>
      <w:lvlJc w:val="left"/>
      <w:pPr>
        <w:ind w:left="1440" w:hanging="360"/>
      </w:pPr>
    </w:lvl>
    <w:lvl w:ilvl="2" w:tplc="7B46B296" w:tentative="1">
      <w:start w:val="1"/>
      <w:numFmt w:val="lowerRoman"/>
      <w:lvlText w:val="%3."/>
      <w:lvlJc w:val="right"/>
      <w:pPr>
        <w:ind w:left="2160" w:hanging="180"/>
      </w:pPr>
    </w:lvl>
    <w:lvl w:ilvl="3" w:tplc="C3A2CEC2" w:tentative="1">
      <w:start w:val="1"/>
      <w:numFmt w:val="decimal"/>
      <w:lvlText w:val="%4."/>
      <w:lvlJc w:val="left"/>
      <w:pPr>
        <w:ind w:left="2880" w:hanging="360"/>
      </w:pPr>
    </w:lvl>
    <w:lvl w:ilvl="4" w:tplc="98CC6552" w:tentative="1">
      <w:start w:val="1"/>
      <w:numFmt w:val="lowerLetter"/>
      <w:lvlText w:val="%5."/>
      <w:lvlJc w:val="left"/>
      <w:pPr>
        <w:ind w:left="3600" w:hanging="360"/>
      </w:pPr>
    </w:lvl>
    <w:lvl w:ilvl="5" w:tplc="99CCD3D8" w:tentative="1">
      <w:start w:val="1"/>
      <w:numFmt w:val="lowerRoman"/>
      <w:lvlText w:val="%6."/>
      <w:lvlJc w:val="right"/>
      <w:pPr>
        <w:ind w:left="4320" w:hanging="180"/>
      </w:pPr>
    </w:lvl>
    <w:lvl w:ilvl="6" w:tplc="B0DC9990" w:tentative="1">
      <w:start w:val="1"/>
      <w:numFmt w:val="decimal"/>
      <w:lvlText w:val="%7."/>
      <w:lvlJc w:val="left"/>
      <w:pPr>
        <w:ind w:left="5040" w:hanging="360"/>
      </w:pPr>
    </w:lvl>
    <w:lvl w:ilvl="7" w:tplc="CFE070EC" w:tentative="1">
      <w:start w:val="1"/>
      <w:numFmt w:val="lowerLetter"/>
      <w:lvlText w:val="%8."/>
      <w:lvlJc w:val="left"/>
      <w:pPr>
        <w:ind w:left="5760" w:hanging="360"/>
      </w:pPr>
    </w:lvl>
    <w:lvl w:ilvl="8" w:tplc="90385A08" w:tentative="1">
      <w:start w:val="1"/>
      <w:numFmt w:val="lowerRoman"/>
      <w:lvlText w:val="%9."/>
      <w:lvlJc w:val="right"/>
      <w:pPr>
        <w:ind w:left="6480" w:hanging="180"/>
      </w:pPr>
    </w:lvl>
  </w:abstractNum>
  <w:abstractNum w:abstractNumId="194">
    <w:nsid w:val="000000DA"/>
    <w:multiLevelType w:val="hybridMultilevel"/>
    <w:tmpl w:val="DFF20B30"/>
    <w:lvl w:ilvl="0" w:tplc="C2F81944">
      <w:start w:val="1"/>
      <w:numFmt w:val="lowerRoman"/>
      <w:pStyle w:val="NumberedBullet-BarcRA"/>
      <w:lvlText w:val="%1."/>
      <w:lvlJc w:val="left"/>
      <w:pPr>
        <w:tabs>
          <w:tab w:val="num" w:pos="720"/>
        </w:tabs>
        <w:ind w:left="720" w:hanging="360"/>
      </w:pPr>
      <w:rPr>
        <w:rFonts w:ascii="Expert Sans Regular" w:eastAsia="Times New Roman" w:hAnsi="Expert Sans Regular" w:cs="Times New Roman"/>
      </w:rPr>
    </w:lvl>
    <w:lvl w:ilvl="1" w:tplc="C68219DA">
      <w:start w:val="1"/>
      <w:numFmt w:val="lowerLetter"/>
      <w:lvlText w:val="%2."/>
      <w:lvlJc w:val="left"/>
      <w:pPr>
        <w:tabs>
          <w:tab w:val="num" w:pos="1440"/>
        </w:tabs>
        <w:ind w:left="1440" w:hanging="360"/>
      </w:pPr>
    </w:lvl>
    <w:lvl w:ilvl="2" w:tplc="2758E572" w:tentative="1">
      <w:start w:val="1"/>
      <w:numFmt w:val="lowerRoman"/>
      <w:lvlText w:val="%3."/>
      <w:lvlJc w:val="right"/>
      <w:pPr>
        <w:tabs>
          <w:tab w:val="num" w:pos="2160"/>
        </w:tabs>
        <w:ind w:left="2160" w:hanging="180"/>
      </w:pPr>
    </w:lvl>
    <w:lvl w:ilvl="3" w:tplc="E9260368" w:tentative="1">
      <w:start w:val="1"/>
      <w:numFmt w:val="decimal"/>
      <w:lvlText w:val="%4."/>
      <w:lvlJc w:val="left"/>
      <w:pPr>
        <w:tabs>
          <w:tab w:val="num" w:pos="2880"/>
        </w:tabs>
        <w:ind w:left="2880" w:hanging="360"/>
      </w:pPr>
    </w:lvl>
    <w:lvl w:ilvl="4" w:tplc="F4B8BEA2" w:tentative="1">
      <w:start w:val="1"/>
      <w:numFmt w:val="lowerLetter"/>
      <w:lvlText w:val="%5."/>
      <w:lvlJc w:val="left"/>
      <w:pPr>
        <w:tabs>
          <w:tab w:val="num" w:pos="3600"/>
        </w:tabs>
        <w:ind w:left="3600" w:hanging="360"/>
      </w:pPr>
    </w:lvl>
    <w:lvl w:ilvl="5" w:tplc="FBFE0328" w:tentative="1">
      <w:start w:val="1"/>
      <w:numFmt w:val="lowerRoman"/>
      <w:lvlText w:val="%6."/>
      <w:lvlJc w:val="right"/>
      <w:pPr>
        <w:tabs>
          <w:tab w:val="num" w:pos="4320"/>
        </w:tabs>
        <w:ind w:left="4320" w:hanging="180"/>
      </w:pPr>
    </w:lvl>
    <w:lvl w:ilvl="6" w:tplc="519C62F8" w:tentative="1">
      <w:start w:val="1"/>
      <w:numFmt w:val="decimal"/>
      <w:lvlText w:val="%7."/>
      <w:lvlJc w:val="left"/>
      <w:pPr>
        <w:tabs>
          <w:tab w:val="num" w:pos="5040"/>
        </w:tabs>
        <w:ind w:left="5040" w:hanging="360"/>
      </w:pPr>
    </w:lvl>
    <w:lvl w:ilvl="7" w:tplc="4D6CB722" w:tentative="1">
      <w:start w:val="1"/>
      <w:numFmt w:val="lowerLetter"/>
      <w:lvlText w:val="%8."/>
      <w:lvlJc w:val="left"/>
      <w:pPr>
        <w:tabs>
          <w:tab w:val="num" w:pos="5760"/>
        </w:tabs>
        <w:ind w:left="5760" w:hanging="360"/>
      </w:pPr>
    </w:lvl>
    <w:lvl w:ilvl="8" w:tplc="4802D44C" w:tentative="1">
      <w:start w:val="1"/>
      <w:numFmt w:val="lowerRoman"/>
      <w:lvlText w:val="%9."/>
      <w:lvlJc w:val="right"/>
      <w:pPr>
        <w:tabs>
          <w:tab w:val="num" w:pos="6480"/>
        </w:tabs>
        <w:ind w:left="6480" w:hanging="180"/>
      </w:pPr>
    </w:lvl>
  </w:abstractNum>
  <w:abstractNum w:abstractNumId="195">
    <w:nsid w:val="000000DB"/>
    <w:multiLevelType w:val="hybridMultilevel"/>
    <w:tmpl w:val="B4DAA854"/>
    <w:lvl w:ilvl="0" w:tplc="D764C482">
      <w:start w:val="1"/>
      <w:numFmt w:val="bullet"/>
      <w:pStyle w:val="Level1Bullet-BarcRA44"/>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4D80BF5C">
      <w:start w:val="1"/>
      <w:numFmt w:val="bullet"/>
      <w:lvlText w:val="o"/>
      <w:lvlJc w:val="left"/>
      <w:pPr>
        <w:tabs>
          <w:tab w:val="num" w:pos="306"/>
        </w:tabs>
        <w:ind w:left="306" w:hanging="360"/>
      </w:pPr>
      <w:rPr>
        <w:rFonts w:ascii="Courier New" w:hAnsi="Courier New" w:hint="default"/>
      </w:rPr>
    </w:lvl>
    <w:lvl w:ilvl="2" w:tplc="D4FC8678">
      <w:numFmt w:val="bullet"/>
      <w:lvlText w:val="-"/>
      <w:lvlJc w:val="left"/>
      <w:pPr>
        <w:tabs>
          <w:tab w:val="num" w:pos="1401"/>
        </w:tabs>
        <w:ind w:left="1401" w:hanging="735"/>
      </w:pPr>
      <w:rPr>
        <w:rFonts w:ascii="Barclays Serif" w:eastAsia="Times New Roman" w:hAnsi="Barclays Serif" w:cs="Times New Roman" w:hint="default"/>
      </w:rPr>
    </w:lvl>
    <w:lvl w:ilvl="3" w:tplc="3DDEF17C" w:tentative="1">
      <w:start w:val="1"/>
      <w:numFmt w:val="bullet"/>
      <w:lvlText w:val=""/>
      <w:lvlJc w:val="left"/>
      <w:pPr>
        <w:tabs>
          <w:tab w:val="num" w:pos="1746"/>
        </w:tabs>
        <w:ind w:left="1746" w:hanging="360"/>
      </w:pPr>
      <w:rPr>
        <w:rFonts w:ascii="Symbol" w:hAnsi="Symbol" w:hint="default"/>
      </w:rPr>
    </w:lvl>
    <w:lvl w:ilvl="4" w:tplc="DBD40690" w:tentative="1">
      <w:start w:val="1"/>
      <w:numFmt w:val="bullet"/>
      <w:lvlText w:val="o"/>
      <w:lvlJc w:val="left"/>
      <w:pPr>
        <w:tabs>
          <w:tab w:val="num" w:pos="2466"/>
        </w:tabs>
        <w:ind w:left="2466" w:hanging="360"/>
      </w:pPr>
      <w:rPr>
        <w:rFonts w:ascii="Courier New" w:hAnsi="Courier New" w:hint="default"/>
      </w:rPr>
    </w:lvl>
    <w:lvl w:ilvl="5" w:tplc="3E6C310E" w:tentative="1">
      <w:start w:val="1"/>
      <w:numFmt w:val="bullet"/>
      <w:lvlText w:val=""/>
      <w:lvlJc w:val="left"/>
      <w:pPr>
        <w:tabs>
          <w:tab w:val="num" w:pos="3186"/>
        </w:tabs>
        <w:ind w:left="3186" w:hanging="360"/>
      </w:pPr>
      <w:rPr>
        <w:rFonts w:ascii="Wingdings" w:hAnsi="Wingdings" w:hint="default"/>
      </w:rPr>
    </w:lvl>
    <w:lvl w:ilvl="6" w:tplc="7470874E" w:tentative="1">
      <w:start w:val="1"/>
      <w:numFmt w:val="bullet"/>
      <w:lvlText w:val=""/>
      <w:lvlJc w:val="left"/>
      <w:pPr>
        <w:tabs>
          <w:tab w:val="num" w:pos="3906"/>
        </w:tabs>
        <w:ind w:left="3906" w:hanging="360"/>
      </w:pPr>
      <w:rPr>
        <w:rFonts w:ascii="Symbol" w:hAnsi="Symbol" w:hint="default"/>
      </w:rPr>
    </w:lvl>
    <w:lvl w:ilvl="7" w:tplc="220A652C" w:tentative="1">
      <w:start w:val="1"/>
      <w:numFmt w:val="bullet"/>
      <w:lvlText w:val="o"/>
      <w:lvlJc w:val="left"/>
      <w:pPr>
        <w:tabs>
          <w:tab w:val="num" w:pos="4626"/>
        </w:tabs>
        <w:ind w:left="4626" w:hanging="360"/>
      </w:pPr>
      <w:rPr>
        <w:rFonts w:ascii="Courier New" w:hAnsi="Courier New" w:hint="default"/>
      </w:rPr>
    </w:lvl>
    <w:lvl w:ilvl="8" w:tplc="D73A5A08" w:tentative="1">
      <w:start w:val="1"/>
      <w:numFmt w:val="bullet"/>
      <w:lvlText w:val=""/>
      <w:lvlJc w:val="left"/>
      <w:pPr>
        <w:tabs>
          <w:tab w:val="num" w:pos="5346"/>
        </w:tabs>
        <w:ind w:left="5346" w:hanging="360"/>
      </w:pPr>
      <w:rPr>
        <w:rFonts w:ascii="Wingdings" w:hAnsi="Wingdings" w:hint="default"/>
      </w:rPr>
    </w:lvl>
  </w:abstractNum>
  <w:abstractNum w:abstractNumId="196">
    <w:nsid w:val="000000DC"/>
    <w:multiLevelType w:val="hybridMultilevel"/>
    <w:tmpl w:val="3F46D7DE"/>
    <w:lvl w:ilvl="0" w:tplc="DE760F2E">
      <w:start w:val="1"/>
      <w:numFmt w:val="decimal"/>
      <w:pStyle w:val="NoteandSourceText-BarcRA28"/>
      <w:lvlText w:val="%1"/>
      <w:lvlJc w:val="left"/>
      <w:pPr>
        <w:ind w:left="644" w:hanging="360"/>
      </w:pPr>
      <w:rPr>
        <w:rFonts w:hint="default"/>
      </w:rPr>
    </w:lvl>
    <w:lvl w:ilvl="1" w:tplc="AFB685DE" w:tentative="1">
      <w:start w:val="1"/>
      <w:numFmt w:val="lowerLetter"/>
      <w:lvlText w:val="%2."/>
      <w:lvlJc w:val="left"/>
      <w:pPr>
        <w:ind w:left="1364" w:hanging="360"/>
      </w:pPr>
    </w:lvl>
    <w:lvl w:ilvl="2" w:tplc="2024801C" w:tentative="1">
      <w:start w:val="1"/>
      <w:numFmt w:val="lowerRoman"/>
      <w:lvlText w:val="%3."/>
      <w:lvlJc w:val="right"/>
      <w:pPr>
        <w:ind w:left="2084" w:hanging="180"/>
      </w:pPr>
    </w:lvl>
    <w:lvl w:ilvl="3" w:tplc="2A508BD6" w:tentative="1">
      <w:start w:val="1"/>
      <w:numFmt w:val="decimal"/>
      <w:lvlText w:val="%4."/>
      <w:lvlJc w:val="left"/>
      <w:pPr>
        <w:ind w:left="2804" w:hanging="360"/>
      </w:pPr>
    </w:lvl>
    <w:lvl w:ilvl="4" w:tplc="14AA1274" w:tentative="1">
      <w:start w:val="1"/>
      <w:numFmt w:val="lowerLetter"/>
      <w:lvlText w:val="%5."/>
      <w:lvlJc w:val="left"/>
      <w:pPr>
        <w:ind w:left="3524" w:hanging="360"/>
      </w:pPr>
    </w:lvl>
    <w:lvl w:ilvl="5" w:tplc="5E7C0EAE" w:tentative="1">
      <w:start w:val="1"/>
      <w:numFmt w:val="lowerRoman"/>
      <w:lvlText w:val="%6."/>
      <w:lvlJc w:val="right"/>
      <w:pPr>
        <w:ind w:left="4244" w:hanging="180"/>
      </w:pPr>
    </w:lvl>
    <w:lvl w:ilvl="6" w:tplc="AFC0FB7A" w:tentative="1">
      <w:start w:val="1"/>
      <w:numFmt w:val="decimal"/>
      <w:lvlText w:val="%7."/>
      <w:lvlJc w:val="left"/>
      <w:pPr>
        <w:ind w:left="4964" w:hanging="360"/>
      </w:pPr>
    </w:lvl>
    <w:lvl w:ilvl="7" w:tplc="12CC8954" w:tentative="1">
      <w:start w:val="1"/>
      <w:numFmt w:val="lowerLetter"/>
      <w:lvlText w:val="%8."/>
      <w:lvlJc w:val="left"/>
      <w:pPr>
        <w:ind w:left="5684" w:hanging="360"/>
      </w:pPr>
    </w:lvl>
    <w:lvl w:ilvl="8" w:tplc="C0422066" w:tentative="1">
      <w:start w:val="1"/>
      <w:numFmt w:val="lowerRoman"/>
      <w:lvlText w:val="%9."/>
      <w:lvlJc w:val="right"/>
      <w:pPr>
        <w:ind w:left="6404" w:hanging="180"/>
      </w:pPr>
    </w:lvl>
  </w:abstractNum>
  <w:abstractNum w:abstractNumId="197">
    <w:nsid w:val="000000DD"/>
    <w:multiLevelType w:val="hybridMultilevel"/>
    <w:tmpl w:val="3F46D7DE"/>
    <w:lvl w:ilvl="0" w:tplc="E668BA4C">
      <w:start w:val="1"/>
      <w:numFmt w:val="decimal"/>
      <w:pStyle w:val="NoteandSourceText-BarcRA260"/>
      <w:lvlText w:val="%1"/>
      <w:lvlJc w:val="left"/>
      <w:pPr>
        <w:ind w:left="644" w:hanging="360"/>
      </w:pPr>
    </w:lvl>
    <w:lvl w:ilvl="1" w:tplc="899CCE46">
      <w:start w:val="1"/>
      <w:numFmt w:val="decimal"/>
      <w:lvlText w:val="%2."/>
      <w:lvlJc w:val="left"/>
      <w:pPr>
        <w:tabs>
          <w:tab w:val="num" w:pos="1440"/>
        </w:tabs>
        <w:ind w:left="1440" w:hanging="360"/>
      </w:pPr>
    </w:lvl>
    <w:lvl w:ilvl="2" w:tplc="ED34A4B6">
      <w:start w:val="1"/>
      <w:numFmt w:val="decimal"/>
      <w:lvlText w:val="%3."/>
      <w:lvlJc w:val="left"/>
      <w:pPr>
        <w:tabs>
          <w:tab w:val="num" w:pos="2160"/>
        </w:tabs>
        <w:ind w:left="2160" w:hanging="360"/>
      </w:pPr>
    </w:lvl>
    <w:lvl w:ilvl="3" w:tplc="5C7A10BE">
      <w:start w:val="1"/>
      <w:numFmt w:val="decimal"/>
      <w:lvlText w:val="%4."/>
      <w:lvlJc w:val="left"/>
      <w:pPr>
        <w:tabs>
          <w:tab w:val="num" w:pos="2880"/>
        </w:tabs>
        <w:ind w:left="2880" w:hanging="360"/>
      </w:pPr>
    </w:lvl>
    <w:lvl w:ilvl="4" w:tplc="BD4CA8E8">
      <w:start w:val="1"/>
      <w:numFmt w:val="decimal"/>
      <w:lvlText w:val="%5."/>
      <w:lvlJc w:val="left"/>
      <w:pPr>
        <w:tabs>
          <w:tab w:val="num" w:pos="3600"/>
        </w:tabs>
        <w:ind w:left="3600" w:hanging="360"/>
      </w:pPr>
    </w:lvl>
    <w:lvl w:ilvl="5" w:tplc="563E0058">
      <w:start w:val="1"/>
      <w:numFmt w:val="decimal"/>
      <w:lvlText w:val="%6."/>
      <w:lvlJc w:val="left"/>
      <w:pPr>
        <w:tabs>
          <w:tab w:val="num" w:pos="4320"/>
        </w:tabs>
        <w:ind w:left="4320" w:hanging="360"/>
      </w:pPr>
    </w:lvl>
    <w:lvl w:ilvl="6" w:tplc="7D2435C2">
      <w:start w:val="1"/>
      <w:numFmt w:val="decimal"/>
      <w:lvlText w:val="%7."/>
      <w:lvlJc w:val="left"/>
      <w:pPr>
        <w:tabs>
          <w:tab w:val="num" w:pos="5040"/>
        </w:tabs>
        <w:ind w:left="5040" w:hanging="360"/>
      </w:pPr>
    </w:lvl>
    <w:lvl w:ilvl="7" w:tplc="A6FCA4F2">
      <w:start w:val="1"/>
      <w:numFmt w:val="decimal"/>
      <w:lvlText w:val="%8."/>
      <w:lvlJc w:val="left"/>
      <w:pPr>
        <w:tabs>
          <w:tab w:val="num" w:pos="5760"/>
        </w:tabs>
        <w:ind w:left="5760" w:hanging="360"/>
      </w:pPr>
    </w:lvl>
    <w:lvl w:ilvl="8" w:tplc="76F034D4">
      <w:start w:val="1"/>
      <w:numFmt w:val="decimal"/>
      <w:lvlText w:val="%9."/>
      <w:lvlJc w:val="left"/>
      <w:pPr>
        <w:tabs>
          <w:tab w:val="num" w:pos="6480"/>
        </w:tabs>
        <w:ind w:left="6480" w:hanging="360"/>
      </w:pPr>
    </w:lvl>
  </w:abstractNum>
  <w:abstractNum w:abstractNumId="198">
    <w:nsid w:val="000000DE"/>
    <w:multiLevelType w:val="hybridMultilevel"/>
    <w:tmpl w:val="3F46D7DE"/>
    <w:lvl w:ilvl="0" w:tplc="475AC3DC">
      <w:start w:val="1"/>
      <w:numFmt w:val="decimal"/>
      <w:pStyle w:val="NoteandSourceText-BarcRA29"/>
      <w:lvlText w:val="%1"/>
      <w:lvlJc w:val="left"/>
      <w:pPr>
        <w:ind w:left="720" w:hanging="360"/>
      </w:pPr>
      <w:rPr>
        <w:rFonts w:hint="default"/>
      </w:rPr>
    </w:lvl>
    <w:lvl w:ilvl="1" w:tplc="7F8A2E0A" w:tentative="1">
      <w:start w:val="1"/>
      <w:numFmt w:val="lowerLetter"/>
      <w:lvlText w:val="%2."/>
      <w:lvlJc w:val="left"/>
      <w:pPr>
        <w:ind w:left="1440" w:hanging="360"/>
      </w:pPr>
    </w:lvl>
    <w:lvl w:ilvl="2" w:tplc="79A42A8E" w:tentative="1">
      <w:start w:val="1"/>
      <w:numFmt w:val="lowerRoman"/>
      <w:lvlText w:val="%3."/>
      <w:lvlJc w:val="right"/>
      <w:pPr>
        <w:ind w:left="2160" w:hanging="180"/>
      </w:pPr>
    </w:lvl>
    <w:lvl w:ilvl="3" w:tplc="19042C48" w:tentative="1">
      <w:start w:val="1"/>
      <w:numFmt w:val="decimal"/>
      <w:lvlText w:val="%4."/>
      <w:lvlJc w:val="left"/>
      <w:pPr>
        <w:ind w:left="2880" w:hanging="360"/>
      </w:pPr>
    </w:lvl>
    <w:lvl w:ilvl="4" w:tplc="46942E26" w:tentative="1">
      <w:start w:val="1"/>
      <w:numFmt w:val="lowerLetter"/>
      <w:lvlText w:val="%5."/>
      <w:lvlJc w:val="left"/>
      <w:pPr>
        <w:ind w:left="3600" w:hanging="360"/>
      </w:pPr>
    </w:lvl>
    <w:lvl w:ilvl="5" w:tplc="E272B168" w:tentative="1">
      <w:start w:val="1"/>
      <w:numFmt w:val="lowerRoman"/>
      <w:lvlText w:val="%6."/>
      <w:lvlJc w:val="right"/>
      <w:pPr>
        <w:ind w:left="4320" w:hanging="180"/>
      </w:pPr>
    </w:lvl>
    <w:lvl w:ilvl="6" w:tplc="78ACF5A2" w:tentative="1">
      <w:start w:val="1"/>
      <w:numFmt w:val="decimal"/>
      <w:lvlText w:val="%7."/>
      <w:lvlJc w:val="left"/>
      <w:pPr>
        <w:ind w:left="5040" w:hanging="360"/>
      </w:pPr>
    </w:lvl>
    <w:lvl w:ilvl="7" w:tplc="CAC0B9A2" w:tentative="1">
      <w:start w:val="1"/>
      <w:numFmt w:val="lowerLetter"/>
      <w:lvlText w:val="%8."/>
      <w:lvlJc w:val="left"/>
      <w:pPr>
        <w:ind w:left="5760" w:hanging="360"/>
      </w:pPr>
    </w:lvl>
    <w:lvl w:ilvl="8" w:tplc="EC983048" w:tentative="1">
      <w:start w:val="1"/>
      <w:numFmt w:val="lowerRoman"/>
      <w:lvlText w:val="%9."/>
      <w:lvlJc w:val="right"/>
      <w:pPr>
        <w:ind w:left="6480" w:hanging="180"/>
      </w:pPr>
    </w:lvl>
  </w:abstractNum>
  <w:abstractNum w:abstractNumId="199">
    <w:nsid w:val="000000DF"/>
    <w:multiLevelType w:val="hybridMultilevel"/>
    <w:tmpl w:val="7C0E81CA"/>
    <w:lvl w:ilvl="0" w:tplc="616E14F6">
      <w:start w:val="1"/>
      <w:numFmt w:val="bullet"/>
      <w:pStyle w:val="BulletsLevel1-AR"/>
      <w:lvlText w:val=""/>
      <w:lvlJc w:val="left"/>
      <w:pPr>
        <w:ind w:left="131" w:hanging="360"/>
      </w:pPr>
      <w:rPr>
        <w:rFonts w:ascii="Symbol" w:hAnsi="Symbol" w:hint="default"/>
        <w:b w:val="0"/>
        <w:color w:val="auto"/>
      </w:rPr>
    </w:lvl>
    <w:lvl w:ilvl="1" w:tplc="A49C7398">
      <w:start w:val="1"/>
      <w:numFmt w:val="decimal"/>
      <w:lvlText w:val="%2."/>
      <w:lvlJc w:val="left"/>
      <w:pPr>
        <w:tabs>
          <w:tab w:val="num" w:pos="927"/>
        </w:tabs>
        <w:ind w:left="927" w:hanging="360"/>
      </w:pPr>
    </w:lvl>
    <w:lvl w:ilvl="2" w:tplc="EA706A80">
      <w:start w:val="1"/>
      <w:numFmt w:val="decimal"/>
      <w:lvlText w:val="%3."/>
      <w:lvlJc w:val="left"/>
      <w:pPr>
        <w:tabs>
          <w:tab w:val="num" w:pos="1647"/>
        </w:tabs>
        <w:ind w:left="1647" w:hanging="360"/>
      </w:pPr>
    </w:lvl>
    <w:lvl w:ilvl="3" w:tplc="28165C56">
      <w:start w:val="1"/>
      <w:numFmt w:val="decimal"/>
      <w:lvlText w:val="%4."/>
      <w:lvlJc w:val="left"/>
      <w:pPr>
        <w:tabs>
          <w:tab w:val="num" w:pos="2367"/>
        </w:tabs>
        <w:ind w:left="2367" w:hanging="360"/>
      </w:pPr>
    </w:lvl>
    <w:lvl w:ilvl="4" w:tplc="CFC0A2CA">
      <w:start w:val="1"/>
      <w:numFmt w:val="decimal"/>
      <w:lvlText w:val="%5."/>
      <w:lvlJc w:val="left"/>
      <w:pPr>
        <w:tabs>
          <w:tab w:val="num" w:pos="3087"/>
        </w:tabs>
        <w:ind w:left="3087" w:hanging="360"/>
      </w:pPr>
    </w:lvl>
    <w:lvl w:ilvl="5" w:tplc="98A21188">
      <w:start w:val="1"/>
      <w:numFmt w:val="decimal"/>
      <w:lvlText w:val="%6."/>
      <w:lvlJc w:val="left"/>
      <w:pPr>
        <w:tabs>
          <w:tab w:val="num" w:pos="3807"/>
        </w:tabs>
        <w:ind w:left="3807" w:hanging="360"/>
      </w:pPr>
    </w:lvl>
    <w:lvl w:ilvl="6" w:tplc="F29259E8">
      <w:start w:val="1"/>
      <w:numFmt w:val="decimal"/>
      <w:lvlText w:val="%7."/>
      <w:lvlJc w:val="left"/>
      <w:pPr>
        <w:tabs>
          <w:tab w:val="num" w:pos="4527"/>
        </w:tabs>
        <w:ind w:left="4527" w:hanging="360"/>
      </w:pPr>
    </w:lvl>
    <w:lvl w:ilvl="7" w:tplc="943E78CA">
      <w:start w:val="1"/>
      <w:numFmt w:val="decimal"/>
      <w:lvlText w:val="%8."/>
      <w:lvlJc w:val="left"/>
      <w:pPr>
        <w:tabs>
          <w:tab w:val="num" w:pos="5247"/>
        </w:tabs>
        <w:ind w:left="5247" w:hanging="360"/>
      </w:pPr>
    </w:lvl>
    <w:lvl w:ilvl="8" w:tplc="617AE2BE">
      <w:start w:val="1"/>
      <w:numFmt w:val="decimal"/>
      <w:lvlText w:val="%9."/>
      <w:lvlJc w:val="left"/>
      <w:pPr>
        <w:tabs>
          <w:tab w:val="num" w:pos="5967"/>
        </w:tabs>
        <w:ind w:left="5967" w:hanging="360"/>
      </w:pPr>
    </w:lvl>
  </w:abstractNum>
  <w:abstractNum w:abstractNumId="200">
    <w:nsid w:val="000000E0"/>
    <w:multiLevelType w:val="hybridMultilevel"/>
    <w:tmpl w:val="3F46D7DE"/>
    <w:lvl w:ilvl="0" w:tplc="B0C02538">
      <w:start w:val="1"/>
      <w:numFmt w:val="decimal"/>
      <w:pStyle w:val="NoteandSourceText-BarcRA30"/>
      <w:lvlText w:val="%1"/>
      <w:lvlJc w:val="left"/>
      <w:pPr>
        <w:ind w:left="720" w:hanging="360"/>
      </w:pPr>
      <w:rPr>
        <w:rFonts w:hint="default"/>
      </w:rPr>
    </w:lvl>
    <w:lvl w:ilvl="1" w:tplc="59C68CBC" w:tentative="1">
      <w:start w:val="1"/>
      <w:numFmt w:val="lowerLetter"/>
      <w:lvlText w:val="%2."/>
      <w:lvlJc w:val="left"/>
      <w:pPr>
        <w:ind w:left="1440" w:hanging="360"/>
      </w:pPr>
    </w:lvl>
    <w:lvl w:ilvl="2" w:tplc="76761DBA" w:tentative="1">
      <w:start w:val="1"/>
      <w:numFmt w:val="lowerRoman"/>
      <w:lvlText w:val="%3."/>
      <w:lvlJc w:val="right"/>
      <w:pPr>
        <w:ind w:left="2160" w:hanging="180"/>
      </w:pPr>
    </w:lvl>
    <w:lvl w:ilvl="3" w:tplc="C17A1D3E" w:tentative="1">
      <w:start w:val="1"/>
      <w:numFmt w:val="decimal"/>
      <w:lvlText w:val="%4."/>
      <w:lvlJc w:val="left"/>
      <w:pPr>
        <w:ind w:left="2880" w:hanging="360"/>
      </w:pPr>
    </w:lvl>
    <w:lvl w:ilvl="4" w:tplc="43CC6752" w:tentative="1">
      <w:start w:val="1"/>
      <w:numFmt w:val="lowerLetter"/>
      <w:lvlText w:val="%5."/>
      <w:lvlJc w:val="left"/>
      <w:pPr>
        <w:ind w:left="3600" w:hanging="360"/>
      </w:pPr>
    </w:lvl>
    <w:lvl w:ilvl="5" w:tplc="52CE0C14" w:tentative="1">
      <w:start w:val="1"/>
      <w:numFmt w:val="lowerRoman"/>
      <w:lvlText w:val="%6."/>
      <w:lvlJc w:val="right"/>
      <w:pPr>
        <w:ind w:left="4320" w:hanging="180"/>
      </w:pPr>
    </w:lvl>
    <w:lvl w:ilvl="6" w:tplc="DEBEA74E" w:tentative="1">
      <w:start w:val="1"/>
      <w:numFmt w:val="decimal"/>
      <w:lvlText w:val="%7."/>
      <w:lvlJc w:val="left"/>
      <w:pPr>
        <w:ind w:left="5040" w:hanging="360"/>
      </w:pPr>
    </w:lvl>
    <w:lvl w:ilvl="7" w:tplc="E83CFBB0" w:tentative="1">
      <w:start w:val="1"/>
      <w:numFmt w:val="lowerLetter"/>
      <w:lvlText w:val="%8."/>
      <w:lvlJc w:val="left"/>
      <w:pPr>
        <w:ind w:left="5760" w:hanging="360"/>
      </w:pPr>
    </w:lvl>
    <w:lvl w:ilvl="8" w:tplc="1F94C162" w:tentative="1">
      <w:start w:val="1"/>
      <w:numFmt w:val="lowerRoman"/>
      <w:lvlText w:val="%9."/>
      <w:lvlJc w:val="right"/>
      <w:pPr>
        <w:ind w:left="6480" w:hanging="180"/>
      </w:pPr>
    </w:lvl>
  </w:abstractNum>
  <w:abstractNum w:abstractNumId="201">
    <w:nsid w:val="000000E1"/>
    <w:multiLevelType w:val="hybridMultilevel"/>
    <w:tmpl w:val="4C26AE9E"/>
    <w:lvl w:ilvl="0" w:tplc="45D6B63C">
      <w:start w:val="1"/>
      <w:numFmt w:val="decimal"/>
      <w:lvlText w:val="%1"/>
      <w:lvlJc w:val="left"/>
      <w:pPr>
        <w:ind w:left="720" w:hanging="360"/>
      </w:pPr>
      <w:rPr>
        <w:rFonts w:hint="default"/>
        <w:b w:val="0"/>
        <w:bCs w:val="0"/>
        <w:i w:val="0"/>
        <w:iCs w:val="0"/>
        <w:color w:val="auto"/>
        <w:spacing w:val="0"/>
        <w:w w:val="100"/>
        <w:position w:val="0"/>
        <w:sz w:val="14"/>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nsid w:val="000000E4"/>
    <w:multiLevelType w:val="hybridMultilevel"/>
    <w:tmpl w:val="3F46D7DE"/>
    <w:lvl w:ilvl="0" w:tplc="2800F150">
      <w:start w:val="1"/>
      <w:numFmt w:val="decimal"/>
      <w:pStyle w:val="NoteandSourceText-BarcRA31"/>
      <w:lvlText w:val="%1"/>
      <w:lvlJc w:val="left"/>
      <w:pPr>
        <w:ind w:left="720" w:hanging="360"/>
      </w:pPr>
      <w:rPr>
        <w:rFonts w:hint="default"/>
      </w:rPr>
    </w:lvl>
    <w:lvl w:ilvl="1" w:tplc="11C27F66" w:tentative="1">
      <w:start w:val="1"/>
      <w:numFmt w:val="lowerLetter"/>
      <w:lvlText w:val="%2."/>
      <w:lvlJc w:val="left"/>
      <w:pPr>
        <w:ind w:left="1440" w:hanging="360"/>
      </w:pPr>
    </w:lvl>
    <w:lvl w:ilvl="2" w:tplc="ECB453CE" w:tentative="1">
      <w:start w:val="1"/>
      <w:numFmt w:val="lowerRoman"/>
      <w:lvlText w:val="%3."/>
      <w:lvlJc w:val="right"/>
      <w:pPr>
        <w:ind w:left="2160" w:hanging="180"/>
      </w:pPr>
    </w:lvl>
    <w:lvl w:ilvl="3" w:tplc="5DFE6456" w:tentative="1">
      <w:start w:val="1"/>
      <w:numFmt w:val="decimal"/>
      <w:lvlText w:val="%4."/>
      <w:lvlJc w:val="left"/>
      <w:pPr>
        <w:ind w:left="2880" w:hanging="360"/>
      </w:pPr>
    </w:lvl>
    <w:lvl w:ilvl="4" w:tplc="D3FCEBCE" w:tentative="1">
      <w:start w:val="1"/>
      <w:numFmt w:val="lowerLetter"/>
      <w:lvlText w:val="%5."/>
      <w:lvlJc w:val="left"/>
      <w:pPr>
        <w:ind w:left="3600" w:hanging="360"/>
      </w:pPr>
    </w:lvl>
    <w:lvl w:ilvl="5" w:tplc="FDB0D0AA" w:tentative="1">
      <w:start w:val="1"/>
      <w:numFmt w:val="lowerRoman"/>
      <w:lvlText w:val="%6."/>
      <w:lvlJc w:val="right"/>
      <w:pPr>
        <w:ind w:left="4320" w:hanging="180"/>
      </w:pPr>
    </w:lvl>
    <w:lvl w:ilvl="6" w:tplc="C8367036" w:tentative="1">
      <w:start w:val="1"/>
      <w:numFmt w:val="decimal"/>
      <w:lvlText w:val="%7."/>
      <w:lvlJc w:val="left"/>
      <w:pPr>
        <w:ind w:left="5040" w:hanging="360"/>
      </w:pPr>
    </w:lvl>
    <w:lvl w:ilvl="7" w:tplc="3BF0D292" w:tentative="1">
      <w:start w:val="1"/>
      <w:numFmt w:val="lowerLetter"/>
      <w:lvlText w:val="%8."/>
      <w:lvlJc w:val="left"/>
      <w:pPr>
        <w:ind w:left="5760" w:hanging="360"/>
      </w:pPr>
    </w:lvl>
    <w:lvl w:ilvl="8" w:tplc="B2D67312" w:tentative="1">
      <w:start w:val="1"/>
      <w:numFmt w:val="lowerRoman"/>
      <w:lvlText w:val="%9."/>
      <w:lvlJc w:val="right"/>
      <w:pPr>
        <w:ind w:left="6480" w:hanging="180"/>
      </w:pPr>
    </w:lvl>
  </w:abstractNum>
  <w:abstractNum w:abstractNumId="203">
    <w:nsid w:val="000000E5"/>
    <w:multiLevelType w:val="hybridMultilevel"/>
    <w:tmpl w:val="67106A94"/>
    <w:lvl w:ilvl="0" w:tplc="B938084C">
      <w:start w:val="1"/>
      <w:numFmt w:val="decimal"/>
      <w:lvlText w:val="%1"/>
      <w:lvlJc w:val="left"/>
      <w:pPr>
        <w:ind w:left="720" w:hanging="360"/>
      </w:pPr>
      <w:rPr>
        <w:rFonts w:hint="default"/>
        <w:i/>
        <w:sz w:val="14"/>
        <w:szCs w:val="14"/>
      </w:rPr>
    </w:lvl>
    <w:lvl w:ilvl="1" w:tplc="9C447842" w:tentative="1">
      <w:start w:val="1"/>
      <w:numFmt w:val="lowerLetter"/>
      <w:lvlText w:val="%2."/>
      <w:lvlJc w:val="left"/>
      <w:pPr>
        <w:ind w:left="1440" w:hanging="360"/>
      </w:pPr>
    </w:lvl>
    <w:lvl w:ilvl="2" w:tplc="0C06C056" w:tentative="1">
      <w:start w:val="1"/>
      <w:numFmt w:val="lowerRoman"/>
      <w:lvlText w:val="%3."/>
      <w:lvlJc w:val="right"/>
      <w:pPr>
        <w:ind w:left="2160" w:hanging="180"/>
      </w:pPr>
    </w:lvl>
    <w:lvl w:ilvl="3" w:tplc="1B280F56" w:tentative="1">
      <w:start w:val="1"/>
      <w:numFmt w:val="decimal"/>
      <w:lvlText w:val="%4."/>
      <w:lvlJc w:val="left"/>
      <w:pPr>
        <w:ind w:left="2880" w:hanging="360"/>
      </w:pPr>
    </w:lvl>
    <w:lvl w:ilvl="4" w:tplc="B7B0486A" w:tentative="1">
      <w:start w:val="1"/>
      <w:numFmt w:val="lowerLetter"/>
      <w:lvlText w:val="%5."/>
      <w:lvlJc w:val="left"/>
      <w:pPr>
        <w:ind w:left="3600" w:hanging="360"/>
      </w:pPr>
    </w:lvl>
    <w:lvl w:ilvl="5" w:tplc="57409832" w:tentative="1">
      <w:start w:val="1"/>
      <w:numFmt w:val="lowerRoman"/>
      <w:lvlText w:val="%6."/>
      <w:lvlJc w:val="right"/>
      <w:pPr>
        <w:ind w:left="4320" w:hanging="180"/>
      </w:pPr>
    </w:lvl>
    <w:lvl w:ilvl="6" w:tplc="40D0E224" w:tentative="1">
      <w:start w:val="1"/>
      <w:numFmt w:val="decimal"/>
      <w:lvlText w:val="%7."/>
      <w:lvlJc w:val="left"/>
      <w:pPr>
        <w:ind w:left="5040" w:hanging="360"/>
      </w:pPr>
    </w:lvl>
    <w:lvl w:ilvl="7" w:tplc="36E8DFBC" w:tentative="1">
      <w:start w:val="1"/>
      <w:numFmt w:val="lowerLetter"/>
      <w:lvlText w:val="%8."/>
      <w:lvlJc w:val="left"/>
      <w:pPr>
        <w:ind w:left="5760" w:hanging="360"/>
      </w:pPr>
    </w:lvl>
    <w:lvl w:ilvl="8" w:tplc="F3C2FA9A" w:tentative="1">
      <w:start w:val="1"/>
      <w:numFmt w:val="lowerRoman"/>
      <w:lvlText w:val="%9."/>
      <w:lvlJc w:val="right"/>
      <w:pPr>
        <w:ind w:left="6480" w:hanging="180"/>
      </w:pPr>
    </w:lvl>
  </w:abstractNum>
  <w:abstractNum w:abstractNumId="204">
    <w:nsid w:val="000000E6"/>
    <w:multiLevelType w:val="hybridMultilevel"/>
    <w:tmpl w:val="3F46D7DE"/>
    <w:lvl w:ilvl="0" w:tplc="467699EE">
      <w:start w:val="1"/>
      <w:numFmt w:val="decimal"/>
      <w:pStyle w:val="NoteandSourceText-BarcRA230"/>
      <w:lvlText w:val="%1"/>
      <w:lvlJc w:val="left"/>
      <w:pPr>
        <w:ind w:left="720" w:hanging="360"/>
      </w:pPr>
    </w:lvl>
    <w:lvl w:ilvl="1" w:tplc="D8B88746">
      <w:start w:val="1"/>
      <w:numFmt w:val="decimal"/>
      <w:lvlText w:val="%2."/>
      <w:lvlJc w:val="left"/>
      <w:pPr>
        <w:tabs>
          <w:tab w:val="num" w:pos="1440"/>
        </w:tabs>
        <w:ind w:left="1440" w:hanging="360"/>
      </w:pPr>
    </w:lvl>
    <w:lvl w:ilvl="2" w:tplc="10DC3F54">
      <w:start w:val="1"/>
      <w:numFmt w:val="decimal"/>
      <w:lvlText w:val="%3."/>
      <w:lvlJc w:val="left"/>
      <w:pPr>
        <w:tabs>
          <w:tab w:val="num" w:pos="2160"/>
        </w:tabs>
        <w:ind w:left="2160" w:hanging="360"/>
      </w:pPr>
    </w:lvl>
    <w:lvl w:ilvl="3" w:tplc="DE0889A8">
      <w:start w:val="1"/>
      <w:numFmt w:val="decimal"/>
      <w:lvlText w:val="%4."/>
      <w:lvlJc w:val="left"/>
      <w:pPr>
        <w:tabs>
          <w:tab w:val="num" w:pos="2880"/>
        </w:tabs>
        <w:ind w:left="2880" w:hanging="360"/>
      </w:pPr>
    </w:lvl>
    <w:lvl w:ilvl="4" w:tplc="98905398">
      <w:start w:val="1"/>
      <w:numFmt w:val="decimal"/>
      <w:lvlText w:val="%5."/>
      <w:lvlJc w:val="left"/>
      <w:pPr>
        <w:tabs>
          <w:tab w:val="num" w:pos="3600"/>
        </w:tabs>
        <w:ind w:left="3600" w:hanging="360"/>
      </w:pPr>
    </w:lvl>
    <w:lvl w:ilvl="5" w:tplc="49C2204C">
      <w:start w:val="1"/>
      <w:numFmt w:val="decimal"/>
      <w:lvlText w:val="%6."/>
      <w:lvlJc w:val="left"/>
      <w:pPr>
        <w:tabs>
          <w:tab w:val="num" w:pos="4320"/>
        </w:tabs>
        <w:ind w:left="4320" w:hanging="360"/>
      </w:pPr>
    </w:lvl>
    <w:lvl w:ilvl="6" w:tplc="88EAF1AC">
      <w:start w:val="1"/>
      <w:numFmt w:val="decimal"/>
      <w:lvlText w:val="%7."/>
      <w:lvlJc w:val="left"/>
      <w:pPr>
        <w:tabs>
          <w:tab w:val="num" w:pos="5040"/>
        </w:tabs>
        <w:ind w:left="5040" w:hanging="360"/>
      </w:pPr>
    </w:lvl>
    <w:lvl w:ilvl="7" w:tplc="D460EF76">
      <w:start w:val="1"/>
      <w:numFmt w:val="decimal"/>
      <w:lvlText w:val="%8."/>
      <w:lvlJc w:val="left"/>
      <w:pPr>
        <w:tabs>
          <w:tab w:val="num" w:pos="5760"/>
        </w:tabs>
        <w:ind w:left="5760" w:hanging="360"/>
      </w:pPr>
    </w:lvl>
    <w:lvl w:ilvl="8" w:tplc="2F36B6C6">
      <w:start w:val="1"/>
      <w:numFmt w:val="decimal"/>
      <w:lvlText w:val="%9."/>
      <w:lvlJc w:val="left"/>
      <w:pPr>
        <w:tabs>
          <w:tab w:val="num" w:pos="6480"/>
        </w:tabs>
        <w:ind w:left="6480" w:hanging="360"/>
      </w:pPr>
    </w:lvl>
  </w:abstractNum>
  <w:abstractNum w:abstractNumId="205">
    <w:nsid w:val="0B9223B1"/>
    <w:multiLevelType w:val="hybridMultilevel"/>
    <w:tmpl w:val="67106A94"/>
    <w:lvl w:ilvl="0" w:tplc="BCA8F7C4">
      <w:start w:val="1"/>
      <w:numFmt w:val="decimal"/>
      <w:lvlText w:val="%1"/>
      <w:lvlJc w:val="left"/>
      <w:pPr>
        <w:ind w:left="720" w:hanging="360"/>
      </w:pPr>
      <w:rPr>
        <w:i/>
        <w:sz w:val="14"/>
        <w:szCs w:val="14"/>
      </w:rPr>
    </w:lvl>
    <w:lvl w:ilvl="1" w:tplc="AC3E3D28">
      <w:start w:val="1"/>
      <w:numFmt w:val="decimal"/>
      <w:lvlText w:val="%2."/>
      <w:lvlJc w:val="left"/>
      <w:pPr>
        <w:tabs>
          <w:tab w:val="num" w:pos="1440"/>
        </w:tabs>
        <w:ind w:left="1440" w:hanging="360"/>
      </w:pPr>
    </w:lvl>
    <w:lvl w:ilvl="2" w:tplc="8F623A50">
      <w:start w:val="1"/>
      <w:numFmt w:val="decimal"/>
      <w:lvlText w:val="%3."/>
      <w:lvlJc w:val="left"/>
      <w:pPr>
        <w:tabs>
          <w:tab w:val="num" w:pos="2160"/>
        </w:tabs>
        <w:ind w:left="2160" w:hanging="360"/>
      </w:pPr>
    </w:lvl>
    <w:lvl w:ilvl="3" w:tplc="6426686C">
      <w:start w:val="1"/>
      <w:numFmt w:val="decimal"/>
      <w:lvlText w:val="%4."/>
      <w:lvlJc w:val="left"/>
      <w:pPr>
        <w:tabs>
          <w:tab w:val="num" w:pos="2880"/>
        </w:tabs>
        <w:ind w:left="2880" w:hanging="360"/>
      </w:pPr>
    </w:lvl>
    <w:lvl w:ilvl="4" w:tplc="888CD95E">
      <w:start w:val="1"/>
      <w:numFmt w:val="decimal"/>
      <w:lvlText w:val="%5."/>
      <w:lvlJc w:val="left"/>
      <w:pPr>
        <w:tabs>
          <w:tab w:val="num" w:pos="3600"/>
        </w:tabs>
        <w:ind w:left="3600" w:hanging="360"/>
      </w:pPr>
    </w:lvl>
    <w:lvl w:ilvl="5" w:tplc="AAD8AFBA">
      <w:start w:val="1"/>
      <w:numFmt w:val="decimal"/>
      <w:lvlText w:val="%6."/>
      <w:lvlJc w:val="left"/>
      <w:pPr>
        <w:tabs>
          <w:tab w:val="num" w:pos="4320"/>
        </w:tabs>
        <w:ind w:left="4320" w:hanging="360"/>
      </w:pPr>
    </w:lvl>
    <w:lvl w:ilvl="6" w:tplc="E2686C8E">
      <w:start w:val="1"/>
      <w:numFmt w:val="decimal"/>
      <w:lvlText w:val="%7."/>
      <w:lvlJc w:val="left"/>
      <w:pPr>
        <w:tabs>
          <w:tab w:val="num" w:pos="5040"/>
        </w:tabs>
        <w:ind w:left="5040" w:hanging="360"/>
      </w:pPr>
    </w:lvl>
    <w:lvl w:ilvl="7" w:tplc="E7F06DDC">
      <w:start w:val="1"/>
      <w:numFmt w:val="decimal"/>
      <w:lvlText w:val="%8."/>
      <w:lvlJc w:val="left"/>
      <w:pPr>
        <w:tabs>
          <w:tab w:val="num" w:pos="5760"/>
        </w:tabs>
        <w:ind w:left="5760" w:hanging="360"/>
      </w:pPr>
    </w:lvl>
    <w:lvl w:ilvl="8" w:tplc="F0E0550A">
      <w:start w:val="1"/>
      <w:numFmt w:val="decimal"/>
      <w:lvlText w:val="%9."/>
      <w:lvlJc w:val="left"/>
      <w:pPr>
        <w:tabs>
          <w:tab w:val="num" w:pos="6480"/>
        </w:tabs>
        <w:ind w:left="6480" w:hanging="360"/>
      </w:pPr>
    </w:lvl>
  </w:abstractNum>
  <w:abstractNum w:abstractNumId="206">
    <w:nsid w:val="1AFF6812"/>
    <w:multiLevelType w:val="hybridMultilevel"/>
    <w:tmpl w:val="3F46D7DE"/>
    <w:lvl w:ilvl="0" w:tplc="935A829E">
      <w:start w:val="1"/>
      <w:numFmt w:val="decimal"/>
      <w:lvlText w:val="%1"/>
      <w:lvlJc w:val="left"/>
      <w:pPr>
        <w:ind w:left="360" w:hanging="360"/>
      </w:pPr>
      <w:rPr>
        <w:rFonts w:hint="default"/>
      </w:rPr>
    </w:lvl>
    <w:lvl w:ilvl="1" w:tplc="79FE600C">
      <w:start w:val="1"/>
      <w:numFmt w:val="lowerLetter"/>
      <w:lvlText w:val="%2."/>
      <w:lvlJc w:val="left"/>
      <w:pPr>
        <w:ind w:left="1080" w:hanging="360"/>
      </w:pPr>
    </w:lvl>
    <w:lvl w:ilvl="2" w:tplc="073CD8DE" w:tentative="1">
      <w:start w:val="1"/>
      <w:numFmt w:val="lowerRoman"/>
      <w:lvlText w:val="%3."/>
      <w:lvlJc w:val="right"/>
      <w:pPr>
        <w:ind w:left="1800" w:hanging="180"/>
      </w:pPr>
    </w:lvl>
    <w:lvl w:ilvl="3" w:tplc="5414D372" w:tentative="1">
      <w:start w:val="1"/>
      <w:numFmt w:val="decimal"/>
      <w:lvlText w:val="%4."/>
      <w:lvlJc w:val="left"/>
      <w:pPr>
        <w:ind w:left="2520" w:hanging="360"/>
      </w:pPr>
    </w:lvl>
    <w:lvl w:ilvl="4" w:tplc="31F27240" w:tentative="1">
      <w:start w:val="1"/>
      <w:numFmt w:val="lowerLetter"/>
      <w:lvlText w:val="%5."/>
      <w:lvlJc w:val="left"/>
      <w:pPr>
        <w:ind w:left="3240" w:hanging="360"/>
      </w:pPr>
    </w:lvl>
    <w:lvl w:ilvl="5" w:tplc="69EC1DE0" w:tentative="1">
      <w:start w:val="1"/>
      <w:numFmt w:val="lowerRoman"/>
      <w:lvlText w:val="%6."/>
      <w:lvlJc w:val="right"/>
      <w:pPr>
        <w:ind w:left="3960" w:hanging="180"/>
      </w:pPr>
    </w:lvl>
    <w:lvl w:ilvl="6" w:tplc="A4A6DDF2" w:tentative="1">
      <w:start w:val="1"/>
      <w:numFmt w:val="decimal"/>
      <w:lvlText w:val="%7."/>
      <w:lvlJc w:val="left"/>
      <w:pPr>
        <w:ind w:left="4680" w:hanging="360"/>
      </w:pPr>
    </w:lvl>
    <w:lvl w:ilvl="7" w:tplc="32A090C4" w:tentative="1">
      <w:start w:val="1"/>
      <w:numFmt w:val="lowerLetter"/>
      <w:lvlText w:val="%8."/>
      <w:lvlJc w:val="left"/>
      <w:pPr>
        <w:ind w:left="5400" w:hanging="360"/>
      </w:pPr>
    </w:lvl>
    <w:lvl w:ilvl="8" w:tplc="53F65D02" w:tentative="1">
      <w:start w:val="1"/>
      <w:numFmt w:val="lowerRoman"/>
      <w:lvlText w:val="%9."/>
      <w:lvlJc w:val="right"/>
      <w:pPr>
        <w:ind w:left="6120" w:hanging="180"/>
      </w:pPr>
    </w:lvl>
  </w:abstractNum>
  <w:abstractNum w:abstractNumId="207">
    <w:nsid w:val="1FEA0543"/>
    <w:multiLevelType w:val="hybridMultilevel"/>
    <w:tmpl w:val="67106A94"/>
    <w:lvl w:ilvl="0" w:tplc="075A5752">
      <w:start w:val="1"/>
      <w:numFmt w:val="decimal"/>
      <w:lvlText w:val="%1"/>
      <w:lvlJc w:val="left"/>
      <w:pPr>
        <w:ind w:left="720" w:hanging="360"/>
      </w:pPr>
      <w:rPr>
        <w:rFonts w:hint="default"/>
        <w:i/>
        <w:sz w:val="14"/>
        <w:szCs w:val="14"/>
      </w:rPr>
    </w:lvl>
    <w:lvl w:ilvl="1" w:tplc="6220D9C2" w:tentative="1">
      <w:start w:val="1"/>
      <w:numFmt w:val="lowerLetter"/>
      <w:lvlText w:val="%2."/>
      <w:lvlJc w:val="left"/>
      <w:pPr>
        <w:ind w:left="1440" w:hanging="360"/>
      </w:pPr>
    </w:lvl>
    <w:lvl w:ilvl="2" w:tplc="8488ECDA" w:tentative="1">
      <w:start w:val="1"/>
      <w:numFmt w:val="lowerRoman"/>
      <w:lvlText w:val="%3."/>
      <w:lvlJc w:val="right"/>
      <w:pPr>
        <w:ind w:left="2160" w:hanging="180"/>
      </w:pPr>
    </w:lvl>
    <w:lvl w:ilvl="3" w:tplc="2416CA2E" w:tentative="1">
      <w:start w:val="1"/>
      <w:numFmt w:val="decimal"/>
      <w:lvlText w:val="%4."/>
      <w:lvlJc w:val="left"/>
      <w:pPr>
        <w:ind w:left="2880" w:hanging="360"/>
      </w:pPr>
    </w:lvl>
    <w:lvl w:ilvl="4" w:tplc="ED8A660A" w:tentative="1">
      <w:start w:val="1"/>
      <w:numFmt w:val="lowerLetter"/>
      <w:lvlText w:val="%5."/>
      <w:lvlJc w:val="left"/>
      <w:pPr>
        <w:ind w:left="3600" w:hanging="360"/>
      </w:pPr>
    </w:lvl>
    <w:lvl w:ilvl="5" w:tplc="0FF819DA" w:tentative="1">
      <w:start w:val="1"/>
      <w:numFmt w:val="lowerRoman"/>
      <w:lvlText w:val="%6."/>
      <w:lvlJc w:val="right"/>
      <w:pPr>
        <w:ind w:left="4320" w:hanging="180"/>
      </w:pPr>
    </w:lvl>
    <w:lvl w:ilvl="6" w:tplc="1D8249FC" w:tentative="1">
      <w:start w:val="1"/>
      <w:numFmt w:val="decimal"/>
      <w:lvlText w:val="%7."/>
      <w:lvlJc w:val="left"/>
      <w:pPr>
        <w:ind w:left="5040" w:hanging="360"/>
      </w:pPr>
    </w:lvl>
    <w:lvl w:ilvl="7" w:tplc="CA9A0316" w:tentative="1">
      <w:start w:val="1"/>
      <w:numFmt w:val="lowerLetter"/>
      <w:lvlText w:val="%8."/>
      <w:lvlJc w:val="left"/>
      <w:pPr>
        <w:ind w:left="5760" w:hanging="360"/>
      </w:pPr>
    </w:lvl>
    <w:lvl w:ilvl="8" w:tplc="D4CC58AC" w:tentative="1">
      <w:start w:val="1"/>
      <w:numFmt w:val="lowerRoman"/>
      <w:lvlText w:val="%9."/>
      <w:lvlJc w:val="right"/>
      <w:pPr>
        <w:ind w:left="6480" w:hanging="180"/>
      </w:pPr>
    </w:lvl>
  </w:abstractNum>
  <w:abstractNum w:abstractNumId="208">
    <w:nsid w:val="255E33E5"/>
    <w:multiLevelType w:val="hybridMultilevel"/>
    <w:tmpl w:val="67106A94"/>
    <w:lvl w:ilvl="0" w:tplc="BCA8F7C4">
      <w:start w:val="1"/>
      <w:numFmt w:val="decimal"/>
      <w:lvlText w:val="%1"/>
      <w:lvlJc w:val="left"/>
      <w:pPr>
        <w:ind w:left="720" w:hanging="360"/>
      </w:pPr>
      <w:rPr>
        <w:i/>
        <w:sz w:val="14"/>
        <w:szCs w:val="14"/>
      </w:rPr>
    </w:lvl>
    <w:lvl w:ilvl="1" w:tplc="AC3E3D28">
      <w:start w:val="1"/>
      <w:numFmt w:val="decimal"/>
      <w:lvlText w:val="%2."/>
      <w:lvlJc w:val="left"/>
      <w:pPr>
        <w:tabs>
          <w:tab w:val="num" w:pos="1440"/>
        </w:tabs>
        <w:ind w:left="1440" w:hanging="360"/>
      </w:pPr>
    </w:lvl>
    <w:lvl w:ilvl="2" w:tplc="8F623A50">
      <w:start w:val="1"/>
      <w:numFmt w:val="decimal"/>
      <w:lvlText w:val="%3."/>
      <w:lvlJc w:val="left"/>
      <w:pPr>
        <w:tabs>
          <w:tab w:val="num" w:pos="2160"/>
        </w:tabs>
        <w:ind w:left="2160" w:hanging="360"/>
      </w:pPr>
    </w:lvl>
    <w:lvl w:ilvl="3" w:tplc="6426686C">
      <w:start w:val="1"/>
      <w:numFmt w:val="decimal"/>
      <w:lvlText w:val="%4."/>
      <w:lvlJc w:val="left"/>
      <w:pPr>
        <w:tabs>
          <w:tab w:val="num" w:pos="2880"/>
        </w:tabs>
        <w:ind w:left="2880" w:hanging="360"/>
      </w:pPr>
    </w:lvl>
    <w:lvl w:ilvl="4" w:tplc="888CD95E">
      <w:start w:val="1"/>
      <w:numFmt w:val="decimal"/>
      <w:lvlText w:val="%5."/>
      <w:lvlJc w:val="left"/>
      <w:pPr>
        <w:tabs>
          <w:tab w:val="num" w:pos="3600"/>
        </w:tabs>
        <w:ind w:left="3600" w:hanging="360"/>
      </w:pPr>
    </w:lvl>
    <w:lvl w:ilvl="5" w:tplc="AAD8AFBA">
      <w:start w:val="1"/>
      <w:numFmt w:val="decimal"/>
      <w:lvlText w:val="%6."/>
      <w:lvlJc w:val="left"/>
      <w:pPr>
        <w:tabs>
          <w:tab w:val="num" w:pos="4320"/>
        </w:tabs>
        <w:ind w:left="4320" w:hanging="360"/>
      </w:pPr>
    </w:lvl>
    <w:lvl w:ilvl="6" w:tplc="E2686C8E">
      <w:start w:val="1"/>
      <w:numFmt w:val="decimal"/>
      <w:lvlText w:val="%7."/>
      <w:lvlJc w:val="left"/>
      <w:pPr>
        <w:tabs>
          <w:tab w:val="num" w:pos="5040"/>
        </w:tabs>
        <w:ind w:left="5040" w:hanging="360"/>
      </w:pPr>
    </w:lvl>
    <w:lvl w:ilvl="7" w:tplc="E7F06DDC">
      <w:start w:val="1"/>
      <w:numFmt w:val="decimal"/>
      <w:lvlText w:val="%8."/>
      <w:lvlJc w:val="left"/>
      <w:pPr>
        <w:tabs>
          <w:tab w:val="num" w:pos="5760"/>
        </w:tabs>
        <w:ind w:left="5760" w:hanging="360"/>
      </w:pPr>
    </w:lvl>
    <w:lvl w:ilvl="8" w:tplc="F0E0550A">
      <w:start w:val="1"/>
      <w:numFmt w:val="decimal"/>
      <w:lvlText w:val="%9."/>
      <w:lvlJc w:val="left"/>
      <w:pPr>
        <w:tabs>
          <w:tab w:val="num" w:pos="6480"/>
        </w:tabs>
        <w:ind w:left="6480" w:hanging="360"/>
      </w:pPr>
    </w:lvl>
  </w:abstractNum>
  <w:abstractNum w:abstractNumId="209">
    <w:nsid w:val="29667254"/>
    <w:multiLevelType w:val="hybridMultilevel"/>
    <w:tmpl w:val="8A6CD8B2"/>
    <w:lvl w:ilvl="0" w:tplc="FFFFFFFF">
      <w:start w:val="1"/>
      <w:numFmt w:val="bullet"/>
      <w:pStyle w:val="Level1Bullet-BarcRA33"/>
      <w:lvlText w:val=""/>
      <w:lvlJc w:val="left"/>
      <w:pPr>
        <w:tabs>
          <w:tab w:val="num" w:pos="568"/>
        </w:tabs>
        <w:ind w:left="568" w:hanging="284"/>
      </w:pPr>
      <w:rPr>
        <w:rFonts w:ascii="Wingdings 2" w:hAnsi="Wingdings 2" w:cs="Wingdings 2" w:hint="default"/>
        <w:b w:val="0"/>
        <w:bCs w:val="0"/>
        <w:i w:val="0"/>
        <w:iCs w:val="0"/>
        <w:color w:val="auto"/>
        <w:spacing w:val="0"/>
        <w:w w:val="100"/>
        <w:position w:val="0"/>
        <w:sz w:val="18"/>
        <w:szCs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0">
    <w:nsid w:val="33D4159A"/>
    <w:multiLevelType w:val="hybridMultilevel"/>
    <w:tmpl w:val="D3F88CB0"/>
    <w:lvl w:ilvl="0" w:tplc="1F4AA56A">
      <w:start w:val="1"/>
      <w:numFmt w:val="bullet"/>
      <w:lvlText w:val=""/>
      <w:lvlJc w:val="left"/>
      <w:pPr>
        <w:tabs>
          <w:tab w:val="num" w:pos="284"/>
        </w:tabs>
        <w:ind w:left="284" w:hanging="284"/>
      </w:pPr>
      <w:rPr>
        <w:rFonts w:ascii="Wingdings 2" w:hAnsi="Wingdings 2" w:cs="Wingdings 2" w:hint="default"/>
        <w:b w:val="0"/>
        <w:bCs w:val="0"/>
        <w:i w:val="0"/>
        <w:iCs w:val="0"/>
        <w:color w:val="auto"/>
        <w:spacing w:val="0"/>
        <w:w w:val="100"/>
        <w:position w:val="0"/>
        <w:sz w:val="18"/>
        <w:szCs w:val="18"/>
      </w:rPr>
    </w:lvl>
    <w:lvl w:ilvl="1" w:tplc="08090003">
      <w:start w:val="1"/>
      <w:numFmt w:val="bullet"/>
      <w:lvlText w:val="o"/>
      <w:lvlJc w:val="left"/>
      <w:pPr>
        <w:tabs>
          <w:tab w:val="num" w:pos="306"/>
        </w:tabs>
        <w:ind w:left="306" w:hanging="360"/>
      </w:pPr>
      <w:rPr>
        <w:rFonts w:ascii="Courier New" w:hAnsi="Courier New" w:hint="default"/>
      </w:rPr>
    </w:lvl>
    <w:lvl w:ilvl="2" w:tplc="BE0ED746">
      <w:numFmt w:val="bullet"/>
      <w:pStyle w:val="Level2Bullet-BarcRA"/>
      <w:lvlText w:val="–"/>
      <w:lvlJc w:val="left"/>
      <w:pPr>
        <w:tabs>
          <w:tab w:val="num" w:pos="1401"/>
        </w:tabs>
        <w:ind w:left="1401" w:hanging="735"/>
      </w:pPr>
      <w:rPr>
        <w:rFonts w:ascii="Arial" w:eastAsia="Times New Roman" w:hAnsi="Arial"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211">
    <w:nsid w:val="3A784500"/>
    <w:multiLevelType w:val="hybridMultilevel"/>
    <w:tmpl w:val="BF802A52"/>
    <w:lvl w:ilvl="0" w:tplc="08090001">
      <w:start w:val="1"/>
      <w:numFmt w:val="bullet"/>
      <w:lvlText w:val=""/>
      <w:lvlJc w:val="left"/>
      <w:pPr>
        <w:ind w:left="720" w:hanging="360"/>
      </w:pPr>
      <w:rPr>
        <w:rFonts w:ascii="Symbol" w:hAnsi="Symbol" w:hint="default"/>
      </w:rPr>
    </w:lvl>
    <w:lvl w:ilvl="1" w:tplc="A68499CC">
      <w:start w:val="1"/>
      <w:numFmt w:val="bullet"/>
      <w:lvlText w:val="o"/>
      <w:lvlJc w:val="left"/>
      <w:pPr>
        <w:ind w:left="1440" w:hanging="360"/>
      </w:pPr>
      <w:rPr>
        <w:rFonts w:ascii="Courier New" w:hAnsi="Courier New" w:cs="Courier New" w:hint="default"/>
      </w:rPr>
    </w:lvl>
    <w:lvl w:ilvl="2" w:tplc="A0D0CB82">
      <w:start w:val="1"/>
      <w:numFmt w:val="bullet"/>
      <w:lvlText w:val=""/>
      <w:lvlJc w:val="left"/>
      <w:pPr>
        <w:ind w:left="2160" w:hanging="360"/>
      </w:pPr>
      <w:rPr>
        <w:rFonts w:ascii="Wingdings" w:hAnsi="Wingdings" w:hint="default"/>
      </w:rPr>
    </w:lvl>
    <w:lvl w:ilvl="3" w:tplc="F994459E">
      <w:start w:val="1"/>
      <w:numFmt w:val="bullet"/>
      <w:lvlText w:val=""/>
      <w:lvlJc w:val="left"/>
      <w:pPr>
        <w:ind w:left="2880" w:hanging="360"/>
      </w:pPr>
      <w:rPr>
        <w:rFonts w:ascii="Symbol" w:hAnsi="Symbol" w:hint="default"/>
      </w:rPr>
    </w:lvl>
    <w:lvl w:ilvl="4" w:tplc="1B4C9976">
      <w:start w:val="1"/>
      <w:numFmt w:val="bullet"/>
      <w:lvlText w:val="o"/>
      <w:lvlJc w:val="left"/>
      <w:pPr>
        <w:ind w:left="3600" w:hanging="360"/>
      </w:pPr>
      <w:rPr>
        <w:rFonts w:ascii="Courier New" w:hAnsi="Courier New" w:cs="Courier New" w:hint="default"/>
      </w:rPr>
    </w:lvl>
    <w:lvl w:ilvl="5" w:tplc="EAFECD6E">
      <w:start w:val="1"/>
      <w:numFmt w:val="bullet"/>
      <w:lvlText w:val=""/>
      <w:lvlJc w:val="left"/>
      <w:pPr>
        <w:ind w:left="4320" w:hanging="360"/>
      </w:pPr>
      <w:rPr>
        <w:rFonts w:ascii="Wingdings" w:hAnsi="Wingdings" w:hint="default"/>
      </w:rPr>
    </w:lvl>
    <w:lvl w:ilvl="6" w:tplc="A94AFC98">
      <w:start w:val="1"/>
      <w:numFmt w:val="bullet"/>
      <w:lvlText w:val=""/>
      <w:lvlJc w:val="left"/>
      <w:pPr>
        <w:ind w:left="5040" w:hanging="360"/>
      </w:pPr>
      <w:rPr>
        <w:rFonts w:ascii="Symbol" w:hAnsi="Symbol" w:hint="default"/>
      </w:rPr>
    </w:lvl>
    <w:lvl w:ilvl="7" w:tplc="FE8AB7D2">
      <w:start w:val="1"/>
      <w:numFmt w:val="bullet"/>
      <w:lvlText w:val="o"/>
      <w:lvlJc w:val="left"/>
      <w:pPr>
        <w:ind w:left="5760" w:hanging="360"/>
      </w:pPr>
      <w:rPr>
        <w:rFonts w:ascii="Courier New" w:hAnsi="Courier New" w:cs="Courier New" w:hint="default"/>
      </w:rPr>
    </w:lvl>
    <w:lvl w:ilvl="8" w:tplc="6A2A3884">
      <w:start w:val="1"/>
      <w:numFmt w:val="bullet"/>
      <w:lvlText w:val=""/>
      <w:lvlJc w:val="left"/>
      <w:pPr>
        <w:ind w:left="6480" w:hanging="360"/>
      </w:pPr>
      <w:rPr>
        <w:rFonts w:ascii="Wingdings" w:hAnsi="Wingdings" w:hint="default"/>
      </w:rPr>
    </w:lvl>
  </w:abstractNum>
  <w:abstractNum w:abstractNumId="212">
    <w:nsid w:val="3C112362"/>
    <w:multiLevelType w:val="hybridMultilevel"/>
    <w:tmpl w:val="877C1600"/>
    <w:lvl w:ilvl="0" w:tplc="BB82EB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3">
    <w:nsid w:val="45853CFA"/>
    <w:multiLevelType w:val="hybridMultilevel"/>
    <w:tmpl w:val="3F46D7DE"/>
    <w:lvl w:ilvl="0" w:tplc="0EF893E4">
      <w:start w:val="1"/>
      <w:numFmt w:val="decimal"/>
      <w:pStyle w:val="NoteandSourceText-BarcR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nsid w:val="657625D3"/>
    <w:multiLevelType w:val="hybridMultilevel"/>
    <w:tmpl w:val="D6E6B9AA"/>
    <w:lvl w:ilvl="0" w:tplc="8AF2EE8C">
      <w:start w:val="1"/>
      <w:numFmt w:val="decimal"/>
      <w:lvlText w:val="%1"/>
      <w:lvlJc w:val="left"/>
      <w:pPr>
        <w:ind w:left="360" w:hanging="360"/>
      </w:pPr>
      <w:rPr>
        <w:rFonts w:hint="default"/>
      </w:rPr>
    </w:lvl>
    <w:lvl w:ilvl="1" w:tplc="FE0CE110" w:tentative="1">
      <w:start w:val="1"/>
      <w:numFmt w:val="lowerLetter"/>
      <w:lvlText w:val="%2."/>
      <w:lvlJc w:val="left"/>
      <w:pPr>
        <w:ind w:left="1080" w:hanging="360"/>
      </w:pPr>
    </w:lvl>
    <w:lvl w:ilvl="2" w:tplc="9CD2918C" w:tentative="1">
      <w:start w:val="1"/>
      <w:numFmt w:val="lowerRoman"/>
      <w:lvlText w:val="%3."/>
      <w:lvlJc w:val="right"/>
      <w:pPr>
        <w:ind w:left="1800" w:hanging="180"/>
      </w:pPr>
    </w:lvl>
    <w:lvl w:ilvl="3" w:tplc="2C4A882E" w:tentative="1">
      <w:start w:val="1"/>
      <w:numFmt w:val="decimal"/>
      <w:lvlText w:val="%4."/>
      <w:lvlJc w:val="left"/>
      <w:pPr>
        <w:ind w:left="2520" w:hanging="360"/>
      </w:pPr>
    </w:lvl>
    <w:lvl w:ilvl="4" w:tplc="F4E488EA" w:tentative="1">
      <w:start w:val="1"/>
      <w:numFmt w:val="lowerLetter"/>
      <w:lvlText w:val="%5."/>
      <w:lvlJc w:val="left"/>
      <w:pPr>
        <w:ind w:left="3240" w:hanging="360"/>
      </w:pPr>
    </w:lvl>
    <w:lvl w:ilvl="5" w:tplc="D82830F4" w:tentative="1">
      <w:start w:val="1"/>
      <w:numFmt w:val="lowerRoman"/>
      <w:lvlText w:val="%6."/>
      <w:lvlJc w:val="right"/>
      <w:pPr>
        <w:ind w:left="3960" w:hanging="180"/>
      </w:pPr>
    </w:lvl>
    <w:lvl w:ilvl="6" w:tplc="70CCD814" w:tentative="1">
      <w:start w:val="1"/>
      <w:numFmt w:val="decimal"/>
      <w:lvlText w:val="%7."/>
      <w:lvlJc w:val="left"/>
      <w:pPr>
        <w:ind w:left="4680" w:hanging="360"/>
      </w:pPr>
    </w:lvl>
    <w:lvl w:ilvl="7" w:tplc="26F61FEA" w:tentative="1">
      <w:start w:val="1"/>
      <w:numFmt w:val="lowerLetter"/>
      <w:lvlText w:val="%8."/>
      <w:lvlJc w:val="left"/>
      <w:pPr>
        <w:ind w:left="5400" w:hanging="360"/>
      </w:pPr>
    </w:lvl>
    <w:lvl w:ilvl="8" w:tplc="B5A03E32" w:tentative="1">
      <w:start w:val="1"/>
      <w:numFmt w:val="lowerRoman"/>
      <w:lvlText w:val="%9."/>
      <w:lvlJc w:val="right"/>
      <w:pPr>
        <w:ind w:left="6120" w:hanging="180"/>
      </w:pPr>
    </w:lvl>
  </w:abstractNum>
  <w:abstractNum w:abstractNumId="215">
    <w:nsid w:val="680973C5"/>
    <w:multiLevelType w:val="hybridMultilevel"/>
    <w:tmpl w:val="3F46D7DE"/>
    <w:lvl w:ilvl="0" w:tplc="443AB636">
      <w:start w:val="1"/>
      <w:numFmt w:val="decimal"/>
      <w:lvlText w:val="%1"/>
      <w:lvlJc w:val="left"/>
      <w:pPr>
        <w:ind w:left="720" w:hanging="360"/>
      </w:pPr>
      <w:rPr>
        <w:rFonts w:hint="default"/>
      </w:rPr>
    </w:lvl>
    <w:lvl w:ilvl="1" w:tplc="C9B00102" w:tentative="1">
      <w:start w:val="1"/>
      <w:numFmt w:val="lowerLetter"/>
      <w:lvlText w:val="%2."/>
      <w:lvlJc w:val="left"/>
      <w:pPr>
        <w:ind w:left="1440" w:hanging="360"/>
      </w:pPr>
    </w:lvl>
    <w:lvl w:ilvl="2" w:tplc="ED0A5E8E" w:tentative="1">
      <w:start w:val="1"/>
      <w:numFmt w:val="lowerRoman"/>
      <w:lvlText w:val="%3."/>
      <w:lvlJc w:val="right"/>
      <w:pPr>
        <w:ind w:left="2160" w:hanging="180"/>
      </w:pPr>
    </w:lvl>
    <w:lvl w:ilvl="3" w:tplc="D148762C" w:tentative="1">
      <w:start w:val="1"/>
      <w:numFmt w:val="decimal"/>
      <w:lvlText w:val="%4."/>
      <w:lvlJc w:val="left"/>
      <w:pPr>
        <w:ind w:left="2880" w:hanging="360"/>
      </w:pPr>
    </w:lvl>
    <w:lvl w:ilvl="4" w:tplc="EF2400D2" w:tentative="1">
      <w:start w:val="1"/>
      <w:numFmt w:val="lowerLetter"/>
      <w:lvlText w:val="%5."/>
      <w:lvlJc w:val="left"/>
      <w:pPr>
        <w:ind w:left="3600" w:hanging="360"/>
      </w:pPr>
    </w:lvl>
    <w:lvl w:ilvl="5" w:tplc="B5C6FA80" w:tentative="1">
      <w:start w:val="1"/>
      <w:numFmt w:val="lowerRoman"/>
      <w:lvlText w:val="%6."/>
      <w:lvlJc w:val="right"/>
      <w:pPr>
        <w:ind w:left="4320" w:hanging="180"/>
      </w:pPr>
    </w:lvl>
    <w:lvl w:ilvl="6" w:tplc="896C5F12" w:tentative="1">
      <w:start w:val="1"/>
      <w:numFmt w:val="decimal"/>
      <w:lvlText w:val="%7."/>
      <w:lvlJc w:val="left"/>
      <w:pPr>
        <w:ind w:left="5040" w:hanging="360"/>
      </w:pPr>
    </w:lvl>
    <w:lvl w:ilvl="7" w:tplc="8A5C7DD6" w:tentative="1">
      <w:start w:val="1"/>
      <w:numFmt w:val="lowerLetter"/>
      <w:lvlText w:val="%8."/>
      <w:lvlJc w:val="left"/>
      <w:pPr>
        <w:ind w:left="5760" w:hanging="360"/>
      </w:pPr>
    </w:lvl>
    <w:lvl w:ilvl="8" w:tplc="14649DC4" w:tentative="1">
      <w:start w:val="1"/>
      <w:numFmt w:val="lowerRoman"/>
      <w:lvlText w:val="%9."/>
      <w:lvlJc w:val="right"/>
      <w:pPr>
        <w:ind w:left="6480" w:hanging="180"/>
      </w:pPr>
    </w:lvl>
  </w:abstractNum>
  <w:abstractNum w:abstractNumId="216">
    <w:nsid w:val="6F487973"/>
    <w:multiLevelType w:val="hybridMultilevel"/>
    <w:tmpl w:val="3F46D7DE"/>
    <w:lvl w:ilvl="0" w:tplc="F344F8DE">
      <w:start w:val="1"/>
      <w:numFmt w:val="decimal"/>
      <w:lvlText w:val="%1"/>
      <w:lvlJc w:val="left"/>
      <w:pPr>
        <w:ind w:left="720" w:hanging="360"/>
      </w:pPr>
      <w:rPr>
        <w:rFonts w:hint="default"/>
      </w:rPr>
    </w:lvl>
    <w:lvl w:ilvl="1" w:tplc="FE689E24" w:tentative="1">
      <w:start w:val="1"/>
      <w:numFmt w:val="lowerLetter"/>
      <w:lvlText w:val="%2."/>
      <w:lvlJc w:val="left"/>
      <w:pPr>
        <w:ind w:left="1440" w:hanging="360"/>
      </w:pPr>
    </w:lvl>
    <w:lvl w:ilvl="2" w:tplc="3A24D670" w:tentative="1">
      <w:start w:val="1"/>
      <w:numFmt w:val="lowerRoman"/>
      <w:lvlText w:val="%3."/>
      <w:lvlJc w:val="right"/>
      <w:pPr>
        <w:ind w:left="2160" w:hanging="180"/>
      </w:pPr>
    </w:lvl>
    <w:lvl w:ilvl="3" w:tplc="05E43A88" w:tentative="1">
      <w:start w:val="1"/>
      <w:numFmt w:val="decimal"/>
      <w:lvlText w:val="%4."/>
      <w:lvlJc w:val="left"/>
      <w:pPr>
        <w:ind w:left="2880" w:hanging="360"/>
      </w:pPr>
    </w:lvl>
    <w:lvl w:ilvl="4" w:tplc="D24653D4" w:tentative="1">
      <w:start w:val="1"/>
      <w:numFmt w:val="lowerLetter"/>
      <w:lvlText w:val="%5."/>
      <w:lvlJc w:val="left"/>
      <w:pPr>
        <w:ind w:left="3600" w:hanging="360"/>
      </w:pPr>
    </w:lvl>
    <w:lvl w:ilvl="5" w:tplc="669CE630" w:tentative="1">
      <w:start w:val="1"/>
      <w:numFmt w:val="lowerRoman"/>
      <w:lvlText w:val="%6."/>
      <w:lvlJc w:val="right"/>
      <w:pPr>
        <w:ind w:left="4320" w:hanging="180"/>
      </w:pPr>
    </w:lvl>
    <w:lvl w:ilvl="6" w:tplc="6F8A82C4" w:tentative="1">
      <w:start w:val="1"/>
      <w:numFmt w:val="decimal"/>
      <w:lvlText w:val="%7."/>
      <w:lvlJc w:val="left"/>
      <w:pPr>
        <w:ind w:left="5040" w:hanging="360"/>
      </w:pPr>
    </w:lvl>
    <w:lvl w:ilvl="7" w:tplc="0A76C8E4" w:tentative="1">
      <w:start w:val="1"/>
      <w:numFmt w:val="lowerLetter"/>
      <w:lvlText w:val="%8."/>
      <w:lvlJc w:val="left"/>
      <w:pPr>
        <w:ind w:left="5760" w:hanging="360"/>
      </w:pPr>
    </w:lvl>
    <w:lvl w:ilvl="8" w:tplc="570CF638" w:tentative="1">
      <w:start w:val="1"/>
      <w:numFmt w:val="lowerRoman"/>
      <w:lvlText w:val="%9."/>
      <w:lvlJc w:val="right"/>
      <w:pPr>
        <w:ind w:left="6480" w:hanging="180"/>
      </w:pPr>
    </w:lvl>
  </w:abstractNum>
  <w:abstractNum w:abstractNumId="217">
    <w:nsid w:val="71470A35"/>
    <w:multiLevelType w:val="hybridMultilevel"/>
    <w:tmpl w:val="3F46D7DE"/>
    <w:lvl w:ilvl="0" w:tplc="935A829E">
      <w:start w:val="1"/>
      <w:numFmt w:val="decimal"/>
      <w:lvlText w:val="%1"/>
      <w:lvlJc w:val="left"/>
      <w:pPr>
        <w:ind w:left="360" w:hanging="360"/>
      </w:pPr>
      <w:rPr>
        <w:rFonts w:hint="default"/>
      </w:rPr>
    </w:lvl>
    <w:lvl w:ilvl="1" w:tplc="79FE600C">
      <w:start w:val="1"/>
      <w:numFmt w:val="lowerLetter"/>
      <w:lvlText w:val="%2."/>
      <w:lvlJc w:val="left"/>
      <w:pPr>
        <w:ind w:left="1080" w:hanging="360"/>
      </w:pPr>
    </w:lvl>
    <w:lvl w:ilvl="2" w:tplc="073CD8DE" w:tentative="1">
      <w:start w:val="1"/>
      <w:numFmt w:val="lowerRoman"/>
      <w:lvlText w:val="%3."/>
      <w:lvlJc w:val="right"/>
      <w:pPr>
        <w:ind w:left="1800" w:hanging="180"/>
      </w:pPr>
    </w:lvl>
    <w:lvl w:ilvl="3" w:tplc="5414D372" w:tentative="1">
      <w:start w:val="1"/>
      <w:numFmt w:val="decimal"/>
      <w:lvlText w:val="%4."/>
      <w:lvlJc w:val="left"/>
      <w:pPr>
        <w:ind w:left="2520" w:hanging="360"/>
      </w:pPr>
    </w:lvl>
    <w:lvl w:ilvl="4" w:tplc="31F27240" w:tentative="1">
      <w:start w:val="1"/>
      <w:numFmt w:val="lowerLetter"/>
      <w:lvlText w:val="%5."/>
      <w:lvlJc w:val="left"/>
      <w:pPr>
        <w:ind w:left="3240" w:hanging="360"/>
      </w:pPr>
    </w:lvl>
    <w:lvl w:ilvl="5" w:tplc="69EC1DE0" w:tentative="1">
      <w:start w:val="1"/>
      <w:numFmt w:val="lowerRoman"/>
      <w:lvlText w:val="%6."/>
      <w:lvlJc w:val="right"/>
      <w:pPr>
        <w:ind w:left="3960" w:hanging="180"/>
      </w:pPr>
    </w:lvl>
    <w:lvl w:ilvl="6" w:tplc="A4A6DDF2" w:tentative="1">
      <w:start w:val="1"/>
      <w:numFmt w:val="decimal"/>
      <w:lvlText w:val="%7."/>
      <w:lvlJc w:val="left"/>
      <w:pPr>
        <w:ind w:left="4680" w:hanging="360"/>
      </w:pPr>
    </w:lvl>
    <w:lvl w:ilvl="7" w:tplc="32A090C4" w:tentative="1">
      <w:start w:val="1"/>
      <w:numFmt w:val="lowerLetter"/>
      <w:lvlText w:val="%8."/>
      <w:lvlJc w:val="left"/>
      <w:pPr>
        <w:ind w:left="5400" w:hanging="360"/>
      </w:pPr>
    </w:lvl>
    <w:lvl w:ilvl="8" w:tplc="53F65D02" w:tentative="1">
      <w:start w:val="1"/>
      <w:numFmt w:val="lowerRoman"/>
      <w:lvlText w:val="%9."/>
      <w:lvlJc w:val="right"/>
      <w:pPr>
        <w:ind w:left="6120" w:hanging="180"/>
      </w:pPr>
    </w:lvl>
  </w:abstractNum>
  <w:abstractNum w:abstractNumId="218">
    <w:nsid w:val="75A9149E"/>
    <w:multiLevelType w:val="hybridMultilevel"/>
    <w:tmpl w:val="18AAB8D8"/>
    <w:lvl w:ilvl="0" w:tplc="45D6B63C">
      <w:start w:val="1"/>
      <w:numFmt w:val="decimal"/>
      <w:lvlText w:val="%1"/>
      <w:lvlJc w:val="left"/>
      <w:pPr>
        <w:tabs>
          <w:tab w:val="num" w:pos="284"/>
        </w:tabs>
        <w:ind w:left="284" w:hanging="284"/>
      </w:pPr>
      <w:rPr>
        <w:rFonts w:hint="default"/>
        <w:b w:val="0"/>
        <w:bCs w:val="0"/>
        <w:i w:val="0"/>
        <w:iCs w:val="0"/>
        <w:color w:val="auto"/>
        <w:spacing w:val="0"/>
        <w:w w:val="100"/>
        <w:position w:val="0"/>
        <w:sz w:val="14"/>
        <w:szCs w:val="18"/>
      </w:rPr>
    </w:lvl>
    <w:lvl w:ilvl="1" w:tplc="FFFFFFFF">
      <w:start w:val="1"/>
      <w:numFmt w:val="bullet"/>
      <w:lvlText w:val="o"/>
      <w:lvlJc w:val="left"/>
      <w:pPr>
        <w:tabs>
          <w:tab w:val="num" w:pos="306"/>
        </w:tabs>
        <w:ind w:left="306" w:hanging="360"/>
      </w:pPr>
      <w:rPr>
        <w:rFonts w:ascii="Courier New" w:hAnsi="Courier New" w:cs="Times New Roman" w:hint="default"/>
      </w:rPr>
    </w:lvl>
    <w:lvl w:ilvl="2" w:tplc="FFFFFFFF">
      <w:numFmt w:val="bullet"/>
      <w:lvlText w:val="-"/>
      <w:lvlJc w:val="left"/>
      <w:pPr>
        <w:tabs>
          <w:tab w:val="num" w:pos="1401"/>
        </w:tabs>
        <w:ind w:left="1401" w:hanging="735"/>
      </w:pPr>
      <w:rPr>
        <w:rFonts w:ascii="Barclays Serif" w:eastAsia="Times New Roman" w:hAnsi="Barclays Serif"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9">
    <w:nsid w:val="785A6541"/>
    <w:multiLevelType w:val="hybridMultilevel"/>
    <w:tmpl w:val="3F46D7DE"/>
    <w:lvl w:ilvl="0" w:tplc="443AB636">
      <w:start w:val="1"/>
      <w:numFmt w:val="decimal"/>
      <w:lvlText w:val="%1"/>
      <w:lvlJc w:val="left"/>
      <w:pPr>
        <w:ind w:left="720" w:hanging="360"/>
      </w:pPr>
      <w:rPr>
        <w:rFonts w:hint="default"/>
      </w:rPr>
    </w:lvl>
    <w:lvl w:ilvl="1" w:tplc="C9B00102" w:tentative="1">
      <w:start w:val="1"/>
      <w:numFmt w:val="lowerLetter"/>
      <w:lvlText w:val="%2."/>
      <w:lvlJc w:val="left"/>
      <w:pPr>
        <w:ind w:left="1440" w:hanging="360"/>
      </w:pPr>
    </w:lvl>
    <w:lvl w:ilvl="2" w:tplc="ED0A5E8E" w:tentative="1">
      <w:start w:val="1"/>
      <w:numFmt w:val="lowerRoman"/>
      <w:lvlText w:val="%3."/>
      <w:lvlJc w:val="right"/>
      <w:pPr>
        <w:ind w:left="2160" w:hanging="180"/>
      </w:pPr>
    </w:lvl>
    <w:lvl w:ilvl="3" w:tplc="D148762C" w:tentative="1">
      <w:start w:val="1"/>
      <w:numFmt w:val="decimal"/>
      <w:lvlText w:val="%4."/>
      <w:lvlJc w:val="left"/>
      <w:pPr>
        <w:ind w:left="2880" w:hanging="360"/>
      </w:pPr>
    </w:lvl>
    <w:lvl w:ilvl="4" w:tplc="EF2400D2" w:tentative="1">
      <w:start w:val="1"/>
      <w:numFmt w:val="lowerLetter"/>
      <w:lvlText w:val="%5."/>
      <w:lvlJc w:val="left"/>
      <w:pPr>
        <w:ind w:left="3600" w:hanging="360"/>
      </w:pPr>
    </w:lvl>
    <w:lvl w:ilvl="5" w:tplc="B5C6FA80" w:tentative="1">
      <w:start w:val="1"/>
      <w:numFmt w:val="lowerRoman"/>
      <w:lvlText w:val="%6."/>
      <w:lvlJc w:val="right"/>
      <w:pPr>
        <w:ind w:left="4320" w:hanging="180"/>
      </w:pPr>
    </w:lvl>
    <w:lvl w:ilvl="6" w:tplc="896C5F12" w:tentative="1">
      <w:start w:val="1"/>
      <w:numFmt w:val="decimal"/>
      <w:lvlText w:val="%7."/>
      <w:lvlJc w:val="left"/>
      <w:pPr>
        <w:ind w:left="5040" w:hanging="360"/>
      </w:pPr>
    </w:lvl>
    <w:lvl w:ilvl="7" w:tplc="8A5C7DD6" w:tentative="1">
      <w:start w:val="1"/>
      <w:numFmt w:val="lowerLetter"/>
      <w:lvlText w:val="%8."/>
      <w:lvlJc w:val="left"/>
      <w:pPr>
        <w:ind w:left="5760" w:hanging="360"/>
      </w:pPr>
    </w:lvl>
    <w:lvl w:ilvl="8" w:tplc="14649DC4" w:tentative="1">
      <w:start w:val="1"/>
      <w:numFmt w:val="lowerRoman"/>
      <w:lvlText w:val="%9."/>
      <w:lvlJc w:val="right"/>
      <w:pPr>
        <w:ind w:left="6480" w:hanging="180"/>
      </w:pPr>
    </w:lvl>
  </w:abstractNum>
  <w:abstractNum w:abstractNumId="220">
    <w:nsid w:val="78994B13"/>
    <w:multiLevelType w:val="hybridMultilevel"/>
    <w:tmpl w:val="67106A94"/>
    <w:lvl w:ilvl="0" w:tplc="BCA8F7C4">
      <w:start w:val="1"/>
      <w:numFmt w:val="decimal"/>
      <w:lvlText w:val="%1"/>
      <w:lvlJc w:val="left"/>
      <w:pPr>
        <w:ind w:left="720" w:hanging="360"/>
      </w:pPr>
      <w:rPr>
        <w:i/>
        <w:sz w:val="14"/>
        <w:szCs w:val="14"/>
      </w:rPr>
    </w:lvl>
    <w:lvl w:ilvl="1" w:tplc="AC3E3D28">
      <w:start w:val="1"/>
      <w:numFmt w:val="decimal"/>
      <w:lvlText w:val="%2."/>
      <w:lvlJc w:val="left"/>
      <w:pPr>
        <w:tabs>
          <w:tab w:val="num" w:pos="1440"/>
        </w:tabs>
        <w:ind w:left="1440" w:hanging="360"/>
      </w:pPr>
    </w:lvl>
    <w:lvl w:ilvl="2" w:tplc="8F623A50">
      <w:start w:val="1"/>
      <w:numFmt w:val="decimal"/>
      <w:lvlText w:val="%3."/>
      <w:lvlJc w:val="left"/>
      <w:pPr>
        <w:tabs>
          <w:tab w:val="num" w:pos="2160"/>
        </w:tabs>
        <w:ind w:left="2160" w:hanging="360"/>
      </w:pPr>
    </w:lvl>
    <w:lvl w:ilvl="3" w:tplc="6426686C">
      <w:start w:val="1"/>
      <w:numFmt w:val="decimal"/>
      <w:lvlText w:val="%4."/>
      <w:lvlJc w:val="left"/>
      <w:pPr>
        <w:tabs>
          <w:tab w:val="num" w:pos="2880"/>
        </w:tabs>
        <w:ind w:left="2880" w:hanging="360"/>
      </w:pPr>
    </w:lvl>
    <w:lvl w:ilvl="4" w:tplc="888CD95E">
      <w:start w:val="1"/>
      <w:numFmt w:val="decimal"/>
      <w:lvlText w:val="%5."/>
      <w:lvlJc w:val="left"/>
      <w:pPr>
        <w:tabs>
          <w:tab w:val="num" w:pos="3600"/>
        </w:tabs>
        <w:ind w:left="3600" w:hanging="360"/>
      </w:pPr>
    </w:lvl>
    <w:lvl w:ilvl="5" w:tplc="AAD8AFBA">
      <w:start w:val="1"/>
      <w:numFmt w:val="decimal"/>
      <w:lvlText w:val="%6."/>
      <w:lvlJc w:val="left"/>
      <w:pPr>
        <w:tabs>
          <w:tab w:val="num" w:pos="4320"/>
        </w:tabs>
        <w:ind w:left="4320" w:hanging="360"/>
      </w:pPr>
    </w:lvl>
    <w:lvl w:ilvl="6" w:tplc="E2686C8E">
      <w:start w:val="1"/>
      <w:numFmt w:val="decimal"/>
      <w:lvlText w:val="%7."/>
      <w:lvlJc w:val="left"/>
      <w:pPr>
        <w:tabs>
          <w:tab w:val="num" w:pos="5040"/>
        </w:tabs>
        <w:ind w:left="5040" w:hanging="360"/>
      </w:pPr>
    </w:lvl>
    <w:lvl w:ilvl="7" w:tplc="E7F06DDC">
      <w:start w:val="1"/>
      <w:numFmt w:val="decimal"/>
      <w:lvlText w:val="%8."/>
      <w:lvlJc w:val="left"/>
      <w:pPr>
        <w:tabs>
          <w:tab w:val="num" w:pos="5760"/>
        </w:tabs>
        <w:ind w:left="5760" w:hanging="360"/>
      </w:pPr>
    </w:lvl>
    <w:lvl w:ilvl="8" w:tplc="F0E0550A">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num>
  <w:num w:numId="2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9"/>
  </w:num>
  <w:num w:numId="45">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7"/>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50"/>
  </w:num>
  <w:num w:numId="58">
    <w:abstractNumId w:val="51"/>
  </w:num>
  <w:num w:numId="59">
    <w:abstractNumId w:val="52"/>
  </w:num>
  <w:num w:numId="60">
    <w:abstractNumId w:val="53"/>
  </w:num>
  <w:num w:numId="61">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lvlOverride w:ilvl="0"/>
    <w:lvlOverride w:ilvl="1">
      <w:startOverride w:val="1"/>
    </w:lvlOverride>
    <w:lvlOverride w:ilvl="2"/>
    <w:lvlOverride w:ilvl="3"/>
    <w:lvlOverride w:ilvl="4"/>
    <w:lvlOverride w:ilvl="5"/>
    <w:lvlOverride w:ilvl="6"/>
    <w:lvlOverride w:ilvl="7"/>
    <w:lvlOverride w:ilvl="8"/>
  </w:num>
  <w:num w:numId="66">
    <w:abstractNumId w:val="59"/>
    <w:lvlOverride w:ilvl="0"/>
    <w:lvlOverride w:ilvl="1">
      <w:startOverride w:val="1"/>
    </w:lvlOverride>
    <w:lvlOverride w:ilvl="2"/>
    <w:lvlOverride w:ilvl="3"/>
    <w:lvlOverride w:ilvl="4"/>
    <w:lvlOverride w:ilvl="5"/>
    <w:lvlOverride w:ilvl="6"/>
    <w:lvlOverride w:ilvl="7"/>
    <w:lvlOverride w:ilvl="8"/>
  </w:num>
  <w:num w:numId="67">
    <w:abstractNumId w:val="5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num>
  <w:num w:numId="69">
    <w:abstractNumId w:val="61"/>
  </w:num>
  <w:num w:numId="70">
    <w:abstractNumId w:val="6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7"/>
  </w:num>
  <w:num w:numId="76">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num>
  <w:num w:numId="78">
    <w:abstractNumId w:val="69"/>
  </w:num>
  <w:num w:numId="79">
    <w:abstractNumId w:val="6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num>
  <w:num w:numId="8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3"/>
  </w:num>
  <w:num w:numId="84">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0"/>
  </w:num>
  <w:num w:numId="91">
    <w:abstractNumId w:val="81"/>
  </w:num>
  <w:num w:numId="92">
    <w:abstractNumId w:val="82"/>
  </w:num>
  <w:num w:numId="93">
    <w:abstractNumId w:val="83"/>
  </w:num>
  <w:num w:numId="9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9"/>
  </w:num>
  <w:num w:numId="100">
    <w:abstractNumId w:val="90"/>
  </w:num>
  <w:num w:numId="101">
    <w:abstractNumId w:val="91"/>
  </w:num>
  <w:num w:numId="102">
    <w:abstractNumId w:val="92"/>
  </w:num>
  <w:num w:numId="103">
    <w:abstractNumId w:val="93"/>
  </w:num>
  <w:num w:numId="104">
    <w:abstractNumId w:val="94"/>
  </w:num>
  <w:num w:numId="1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6"/>
  </w:num>
  <w:num w:numId="107">
    <w:abstractNumId w:val="97"/>
  </w:num>
  <w:num w:numId="10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1"/>
  </w:num>
  <w:num w:numId="112">
    <w:abstractNumId w:val="10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3"/>
  </w:num>
  <w:num w:numId="114">
    <w:abstractNumId w:val="104"/>
  </w:num>
  <w:num w:numId="115">
    <w:abstractNumId w:val="105"/>
  </w:num>
  <w:num w:numId="116">
    <w:abstractNumId w:val="10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7"/>
  </w:num>
  <w:num w:numId="11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9"/>
  </w:num>
  <w:num w:numId="120">
    <w:abstractNumId w:val="110"/>
  </w:num>
  <w:num w:numId="121">
    <w:abstractNumId w:val="111"/>
  </w:num>
  <w:num w:numId="122">
    <w:abstractNumId w:val="112"/>
  </w:num>
  <w:num w:numId="123">
    <w:abstractNumId w:val="1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5"/>
  </w:num>
  <w:num w:numId="126">
    <w:abstractNumId w:val="116"/>
  </w:num>
  <w:num w:numId="127">
    <w:abstractNumId w:val="117"/>
  </w:num>
  <w:num w:numId="128">
    <w:abstractNumId w:val="118"/>
  </w:num>
  <w:num w:numId="129">
    <w:abstractNumId w:val="119"/>
  </w:num>
  <w:num w:numId="130">
    <w:abstractNumId w:val="1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1"/>
  </w:num>
  <w:num w:numId="132">
    <w:abstractNumId w:val="122"/>
  </w:num>
  <w:num w:numId="133">
    <w:abstractNumId w:val="1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3"/>
  </w:num>
  <w:num w:numId="135">
    <w:abstractNumId w:val="1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4"/>
  </w:num>
  <w:num w:numId="137">
    <w:abstractNumId w:val="1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2"/>
  </w:num>
  <w:num w:numId="146">
    <w:abstractNumId w:val="133"/>
  </w:num>
  <w:num w:numId="14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num>
  <w:num w:numId="152">
    <w:abstractNumId w:val="1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0"/>
  </w:num>
  <w:num w:numId="155">
    <w:abstractNumId w:val="1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3"/>
  </w:num>
  <w:num w:numId="159">
    <w:abstractNumId w:val="144"/>
  </w:num>
  <w:num w:numId="160">
    <w:abstractNumId w:val="1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48"/>
  </w:num>
  <w:num w:numId="164">
    <w:abstractNumId w:val="149"/>
  </w:num>
  <w:num w:numId="165">
    <w:abstractNumId w:val="150"/>
  </w:num>
  <w:num w:numId="166">
    <w:abstractNumId w:val="151"/>
  </w:num>
  <w:num w:numId="167">
    <w:abstractNumId w:val="151"/>
  </w:num>
  <w:num w:numId="168">
    <w:abstractNumId w:val="1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3"/>
  </w:num>
  <w:num w:numId="170">
    <w:abstractNumId w:val="1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7"/>
  </w:num>
  <w:num w:numId="174">
    <w:abstractNumId w:val="15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3"/>
  </w:num>
  <w:num w:numId="182">
    <w:abstractNumId w:val="164"/>
  </w:num>
  <w:num w:numId="183">
    <w:abstractNumId w:val="1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65"/>
  </w:num>
  <w:num w:numId="18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7"/>
  </w:num>
  <w:num w:numId="188">
    <w:abstractNumId w:val="1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8"/>
  </w:num>
  <w:num w:numId="190">
    <w:abstractNumId w:val="1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69"/>
  </w:num>
  <w:num w:numId="192">
    <w:abstractNumId w:val="170"/>
  </w:num>
  <w:num w:numId="193">
    <w:abstractNumId w:val="171"/>
  </w:num>
  <w:num w:numId="194">
    <w:abstractNumId w:val="17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72"/>
  </w:num>
  <w:num w:numId="196">
    <w:abstractNumId w:val="17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73"/>
  </w:num>
  <w:num w:numId="19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74"/>
  </w:num>
  <w:num w:numId="200">
    <w:abstractNumId w:val="1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75"/>
  </w:num>
  <w:num w:numId="202">
    <w:abstractNumId w:val="17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76"/>
  </w:num>
  <w:num w:numId="20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77"/>
  </w:num>
  <w:num w:numId="206">
    <w:abstractNumId w:val="17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7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8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8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8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82"/>
  </w:num>
  <w:num w:numId="212">
    <w:abstractNumId w:val="184"/>
  </w:num>
  <w:num w:numId="213">
    <w:abstractNumId w:val="1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89"/>
  </w:num>
  <w:num w:numId="216">
    <w:abstractNumId w:val="190"/>
  </w:num>
  <w:num w:numId="217">
    <w:abstractNumId w:val="191"/>
  </w:num>
  <w:num w:numId="21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93"/>
  </w:num>
  <w:num w:numId="220">
    <w:abstractNumId w:val="194"/>
  </w:num>
  <w:num w:numId="221">
    <w:abstractNumId w:val="195"/>
  </w:num>
  <w:num w:numId="222">
    <w:abstractNumId w:val="196"/>
  </w:num>
  <w:num w:numId="22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8"/>
  </w:num>
  <w:num w:numId="22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00"/>
  </w:num>
  <w:num w:numId="228">
    <w:abstractNumId w:val="201"/>
  </w:num>
  <w:num w:numId="229">
    <w:abstractNumId w:val="202"/>
  </w:num>
  <w:num w:numId="230">
    <w:abstractNumId w:val="203"/>
  </w:num>
  <w:num w:numId="231">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12"/>
  </w:num>
  <w:num w:numId="233">
    <w:abstractNumId w:val="0"/>
  </w:num>
  <w:num w:numId="234">
    <w:abstractNumId w:val="209"/>
  </w:num>
  <w:num w:numId="235">
    <w:abstractNumId w:val="210"/>
  </w:num>
  <w:num w:numId="236">
    <w:abstractNumId w:val="213"/>
  </w:num>
  <w:num w:numId="237">
    <w:abstractNumId w:val="217"/>
  </w:num>
  <w:num w:numId="238">
    <w:abstractNumId w:val="206"/>
  </w:num>
  <w:num w:numId="2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16"/>
  </w:num>
  <w:num w:numId="241">
    <w:abstractNumId w:val="75"/>
    <w:lvlOverride w:ilvl="0">
      <w:startOverride w:val="1"/>
    </w:lvlOverride>
  </w:num>
  <w:num w:numId="242">
    <w:abstractNumId w:val="188"/>
    <w:lvlOverride w:ilvl="0">
      <w:startOverride w:val="1"/>
    </w:lvlOverride>
  </w:num>
  <w:num w:numId="243">
    <w:abstractNumId w:val="185"/>
    <w:lvlOverride w:ilvl="0">
      <w:startOverride w:val="1"/>
    </w:lvlOverride>
  </w:num>
  <w:num w:numId="244">
    <w:abstractNumId w:val="183"/>
  </w:num>
  <w:num w:numId="245">
    <w:abstractNumId w:val="183"/>
    <w:lvlOverride w:ilvl="0">
      <w:startOverride w:val="2"/>
    </w:lvlOverride>
  </w:num>
  <w:num w:numId="246">
    <w:abstractNumId w:val="215"/>
  </w:num>
  <w:num w:numId="247">
    <w:abstractNumId w:val="218"/>
  </w:num>
  <w:num w:numId="248">
    <w:abstractNumId w:val="183"/>
    <w:lvlOverride w:ilvl="0">
      <w:startOverride w:val="1"/>
    </w:lvlOverride>
  </w:num>
  <w:num w:numId="249">
    <w:abstractNumId w:val="207"/>
  </w:num>
  <w:num w:numId="250">
    <w:abstractNumId w:val="183"/>
    <w:lvlOverride w:ilvl="0">
      <w:startOverride w:val="2"/>
    </w:lvlOverride>
  </w:num>
  <w:num w:numId="251">
    <w:abstractNumId w:val="183"/>
    <w:lvlOverride w:ilvl="0">
      <w:startOverride w:val="1"/>
    </w:lvlOverride>
  </w:num>
  <w:num w:numId="252">
    <w:abstractNumId w:val="183"/>
    <w:lvlOverride w:ilvl="0">
      <w:startOverride w:val="1"/>
    </w:lvlOverride>
  </w:num>
  <w:num w:numId="25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9"/>
  </w:num>
  <w:num w:numId="255">
    <w:abstractNumId w:val="214"/>
  </w:num>
  <w:num w:numId="256">
    <w:abstractNumId w:val="211"/>
  </w:num>
  <w:num w:numId="257">
    <w:abstractNumId w:val="95"/>
    <w:lvlOverride w:ilvl="0">
      <w:startOverride w:val="1"/>
    </w:lvlOverride>
  </w:num>
  <w:num w:numId="258">
    <w:abstractNumId w:val="2"/>
  </w:num>
  <w:num w:numId="259">
    <w:abstractNumId w:val="5"/>
  </w:num>
  <w:num w:numId="260">
    <w:abstractNumId w:val="208"/>
  </w:num>
  <w:num w:numId="261">
    <w:abstractNumId w:val="205"/>
  </w:num>
  <w:num w:numId="262">
    <w:abstractNumId w:val="220"/>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6374"/>
    <w:rsid w:val="00020023"/>
    <w:rsid w:val="000211B7"/>
    <w:rsid w:val="0003723A"/>
    <w:rsid w:val="00044040"/>
    <w:rsid w:val="000464EA"/>
    <w:rsid w:val="00062D75"/>
    <w:rsid w:val="0007202F"/>
    <w:rsid w:val="000732DD"/>
    <w:rsid w:val="00073B17"/>
    <w:rsid w:val="00075A30"/>
    <w:rsid w:val="00081127"/>
    <w:rsid w:val="00083BD6"/>
    <w:rsid w:val="0009324F"/>
    <w:rsid w:val="00093576"/>
    <w:rsid w:val="00093A31"/>
    <w:rsid w:val="000A77B6"/>
    <w:rsid w:val="000B1BD5"/>
    <w:rsid w:val="000B3F05"/>
    <w:rsid w:val="000B44AD"/>
    <w:rsid w:val="000B4D41"/>
    <w:rsid w:val="000B4E89"/>
    <w:rsid w:val="000D1659"/>
    <w:rsid w:val="000D26E1"/>
    <w:rsid w:val="000D76A8"/>
    <w:rsid w:val="000D7DF2"/>
    <w:rsid w:val="000E33D1"/>
    <w:rsid w:val="000E4F19"/>
    <w:rsid w:val="000F04F8"/>
    <w:rsid w:val="000F2DD4"/>
    <w:rsid w:val="001025BA"/>
    <w:rsid w:val="0010458E"/>
    <w:rsid w:val="00105EF1"/>
    <w:rsid w:val="00111BFE"/>
    <w:rsid w:val="001171E3"/>
    <w:rsid w:val="00120476"/>
    <w:rsid w:val="00124B97"/>
    <w:rsid w:val="00131A67"/>
    <w:rsid w:val="0014022B"/>
    <w:rsid w:val="00161467"/>
    <w:rsid w:val="00167EB2"/>
    <w:rsid w:val="0019055F"/>
    <w:rsid w:val="00195064"/>
    <w:rsid w:val="001B0DD0"/>
    <w:rsid w:val="001B4AA7"/>
    <w:rsid w:val="001C2283"/>
    <w:rsid w:val="001D4113"/>
    <w:rsid w:val="001E1EAB"/>
    <w:rsid w:val="001E7AF6"/>
    <w:rsid w:val="001F5689"/>
    <w:rsid w:val="0020665D"/>
    <w:rsid w:val="00206F8B"/>
    <w:rsid w:val="0021631B"/>
    <w:rsid w:val="002253D7"/>
    <w:rsid w:val="00226D06"/>
    <w:rsid w:val="00236B93"/>
    <w:rsid w:val="00270C54"/>
    <w:rsid w:val="002721AA"/>
    <w:rsid w:val="00281AA7"/>
    <w:rsid w:val="00285FBB"/>
    <w:rsid w:val="00287B99"/>
    <w:rsid w:val="00297700"/>
    <w:rsid w:val="002A2490"/>
    <w:rsid w:val="002A3C92"/>
    <w:rsid w:val="002A5B40"/>
    <w:rsid w:val="002C068B"/>
    <w:rsid w:val="002C5837"/>
    <w:rsid w:val="002D6B71"/>
    <w:rsid w:val="002F0500"/>
    <w:rsid w:val="002F743F"/>
    <w:rsid w:val="002F744A"/>
    <w:rsid w:val="002F7ADF"/>
    <w:rsid w:val="00325F4E"/>
    <w:rsid w:val="00326170"/>
    <w:rsid w:val="00333D40"/>
    <w:rsid w:val="00334755"/>
    <w:rsid w:val="00337CAB"/>
    <w:rsid w:val="003518B4"/>
    <w:rsid w:val="00355851"/>
    <w:rsid w:val="00367C90"/>
    <w:rsid w:val="003711E8"/>
    <w:rsid w:val="003739FE"/>
    <w:rsid w:val="0038365D"/>
    <w:rsid w:val="00391981"/>
    <w:rsid w:val="0039794C"/>
    <w:rsid w:val="003A11E9"/>
    <w:rsid w:val="003A77C8"/>
    <w:rsid w:val="003B0FEB"/>
    <w:rsid w:val="003B15B6"/>
    <w:rsid w:val="003C1565"/>
    <w:rsid w:val="003C28AA"/>
    <w:rsid w:val="003C4FCA"/>
    <w:rsid w:val="003D13AC"/>
    <w:rsid w:val="003D20E2"/>
    <w:rsid w:val="003D6023"/>
    <w:rsid w:val="003D70A2"/>
    <w:rsid w:val="003E1CDE"/>
    <w:rsid w:val="003F4ECB"/>
    <w:rsid w:val="003F55C4"/>
    <w:rsid w:val="004016B0"/>
    <w:rsid w:val="00423909"/>
    <w:rsid w:val="00450356"/>
    <w:rsid w:val="00464814"/>
    <w:rsid w:val="004850E8"/>
    <w:rsid w:val="0048581C"/>
    <w:rsid w:val="00491918"/>
    <w:rsid w:val="00492E29"/>
    <w:rsid w:val="004A2896"/>
    <w:rsid w:val="004B5AFB"/>
    <w:rsid w:val="004E2F9B"/>
    <w:rsid w:val="004E77D0"/>
    <w:rsid w:val="004F5513"/>
    <w:rsid w:val="005061A5"/>
    <w:rsid w:val="00510D2C"/>
    <w:rsid w:val="00513E37"/>
    <w:rsid w:val="00514B3B"/>
    <w:rsid w:val="00527749"/>
    <w:rsid w:val="005469D9"/>
    <w:rsid w:val="00547BC6"/>
    <w:rsid w:val="00560D72"/>
    <w:rsid w:val="005751AA"/>
    <w:rsid w:val="00586D52"/>
    <w:rsid w:val="005921C2"/>
    <w:rsid w:val="005B62BE"/>
    <w:rsid w:val="005C1A22"/>
    <w:rsid w:val="005C1B78"/>
    <w:rsid w:val="005C1F19"/>
    <w:rsid w:val="005C31D8"/>
    <w:rsid w:val="005D50C7"/>
    <w:rsid w:val="005E31C4"/>
    <w:rsid w:val="005E323A"/>
    <w:rsid w:val="006063F7"/>
    <w:rsid w:val="00606655"/>
    <w:rsid w:val="006156EE"/>
    <w:rsid w:val="006253A6"/>
    <w:rsid w:val="00631C3C"/>
    <w:rsid w:val="00634E85"/>
    <w:rsid w:val="0063762F"/>
    <w:rsid w:val="00640437"/>
    <w:rsid w:val="00642EA9"/>
    <w:rsid w:val="006453C0"/>
    <w:rsid w:val="00662C16"/>
    <w:rsid w:val="00696E75"/>
    <w:rsid w:val="006A734B"/>
    <w:rsid w:val="006C0EE3"/>
    <w:rsid w:val="006C2A38"/>
    <w:rsid w:val="006C2F43"/>
    <w:rsid w:val="006C6704"/>
    <w:rsid w:val="006D6380"/>
    <w:rsid w:val="006E3C4C"/>
    <w:rsid w:val="006F2294"/>
    <w:rsid w:val="00705060"/>
    <w:rsid w:val="00706EA9"/>
    <w:rsid w:val="0070784B"/>
    <w:rsid w:val="00722D3A"/>
    <w:rsid w:val="00743F6E"/>
    <w:rsid w:val="0075012B"/>
    <w:rsid w:val="00751636"/>
    <w:rsid w:val="00755796"/>
    <w:rsid w:val="00755E76"/>
    <w:rsid w:val="007606C2"/>
    <w:rsid w:val="0076224A"/>
    <w:rsid w:val="0076348B"/>
    <w:rsid w:val="00763C12"/>
    <w:rsid w:val="007661DE"/>
    <w:rsid w:val="00787966"/>
    <w:rsid w:val="007A5948"/>
    <w:rsid w:val="007B03FF"/>
    <w:rsid w:val="007B11DE"/>
    <w:rsid w:val="007B7BA3"/>
    <w:rsid w:val="007C4783"/>
    <w:rsid w:val="007C5CC7"/>
    <w:rsid w:val="007D1F2F"/>
    <w:rsid w:val="007D257D"/>
    <w:rsid w:val="007D7716"/>
    <w:rsid w:val="007E73F3"/>
    <w:rsid w:val="007F31E2"/>
    <w:rsid w:val="007F60BA"/>
    <w:rsid w:val="00803F36"/>
    <w:rsid w:val="00813593"/>
    <w:rsid w:val="008156AC"/>
    <w:rsid w:val="00816D19"/>
    <w:rsid w:val="00822955"/>
    <w:rsid w:val="0084238A"/>
    <w:rsid w:val="00844B98"/>
    <w:rsid w:val="008503A2"/>
    <w:rsid w:val="00854CB7"/>
    <w:rsid w:val="00890D81"/>
    <w:rsid w:val="008A3FCB"/>
    <w:rsid w:val="008B0681"/>
    <w:rsid w:val="008B0AE7"/>
    <w:rsid w:val="008B3BCD"/>
    <w:rsid w:val="008C206C"/>
    <w:rsid w:val="008D57F2"/>
    <w:rsid w:val="008D6001"/>
    <w:rsid w:val="008F540E"/>
    <w:rsid w:val="00902906"/>
    <w:rsid w:val="00902C2C"/>
    <w:rsid w:val="009145D8"/>
    <w:rsid w:val="00934C72"/>
    <w:rsid w:val="00940C64"/>
    <w:rsid w:val="009456FD"/>
    <w:rsid w:val="00955D35"/>
    <w:rsid w:val="009620C5"/>
    <w:rsid w:val="00962ABB"/>
    <w:rsid w:val="00966B6D"/>
    <w:rsid w:val="0097106C"/>
    <w:rsid w:val="00975918"/>
    <w:rsid w:val="00975BA8"/>
    <w:rsid w:val="00980A87"/>
    <w:rsid w:val="009824EA"/>
    <w:rsid w:val="00993AA4"/>
    <w:rsid w:val="009966D3"/>
    <w:rsid w:val="009A0513"/>
    <w:rsid w:val="009B1067"/>
    <w:rsid w:val="009B67BB"/>
    <w:rsid w:val="009E537D"/>
    <w:rsid w:val="009E6048"/>
    <w:rsid w:val="00A10F86"/>
    <w:rsid w:val="00A177DB"/>
    <w:rsid w:val="00A2085E"/>
    <w:rsid w:val="00A24BF9"/>
    <w:rsid w:val="00A24F51"/>
    <w:rsid w:val="00A54343"/>
    <w:rsid w:val="00A63FF8"/>
    <w:rsid w:val="00A64EB1"/>
    <w:rsid w:val="00A71D4E"/>
    <w:rsid w:val="00A77B3E"/>
    <w:rsid w:val="00AB4211"/>
    <w:rsid w:val="00AC5571"/>
    <w:rsid w:val="00AC6CE4"/>
    <w:rsid w:val="00AD366C"/>
    <w:rsid w:val="00AD446D"/>
    <w:rsid w:val="00AE7D5F"/>
    <w:rsid w:val="00B251B9"/>
    <w:rsid w:val="00B32310"/>
    <w:rsid w:val="00B52C1E"/>
    <w:rsid w:val="00B54618"/>
    <w:rsid w:val="00B54AC3"/>
    <w:rsid w:val="00B73094"/>
    <w:rsid w:val="00B83A8B"/>
    <w:rsid w:val="00B862F0"/>
    <w:rsid w:val="00B87EC7"/>
    <w:rsid w:val="00B91E4A"/>
    <w:rsid w:val="00B94D55"/>
    <w:rsid w:val="00B95045"/>
    <w:rsid w:val="00B96E19"/>
    <w:rsid w:val="00B97B26"/>
    <w:rsid w:val="00BB6C59"/>
    <w:rsid w:val="00BC07B1"/>
    <w:rsid w:val="00BC2391"/>
    <w:rsid w:val="00BD0560"/>
    <w:rsid w:val="00BD68CA"/>
    <w:rsid w:val="00BF7F6E"/>
    <w:rsid w:val="00C10958"/>
    <w:rsid w:val="00C217C8"/>
    <w:rsid w:val="00C24897"/>
    <w:rsid w:val="00C3775D"/>
    <w:rsid w:val="00C462EC"/>
    <w:rsid w:val="00C5152E"/>
    <w:rsid w:val="00C53E60"/>
    <w:rsid w:val="00C564A7"/>
    <w:rsid w:val="00C6264A"/>
    <w:rsid w:val="00C80BB5"/>
    <w:rsid w:val="00C827BD"/>
    <w:rsid w:val="00C8461B"/>
    <w:rsid w:val="00C84688"/>
    <w:rsid w:val="00C84E05"/>
    <w:rsid w:val="00CA1F78"/>
    <w:rsid w:val="00CB3E2C"/>
    <w:rsid w:val="00CB7479"/>
    <w:rsid w:val="00CC41A9"/>
    <w:rsid w:val="00CC7F01"/>
    <w:rsid w:val="00CC7FA0"/>
    <w:rsid w:val="00CD39D9"/>
    <w:rsid w:val="00CE2452"/>
    <w:rsid w:val="00CE3C82"/>
    <w:rsid w:val="00CE62B3"/>
    <w:rsid w:val="00D04DCA"/>
    <w:rsid w:val="00D07A2E"/>
    <w:rsid w:val="00D11E1E"/>
    <w:rsid w:val="00D13F0A"/>
    <w:rsid w:val="00D21200"/>
    <w:rsid w:val="00D31F32"/>
    <w:rsid w:val="00D33794"/>
    <w:rsid w:val="00D423D0"/>
    <w:rsid w:val="00D44A73"/>
    <w:rsid w:val="00D4757C"/>
    <w:rsid w:val="00D51F48"/>
    <w:rsid w:val="00D53836"/>
    <w:rsid w:val="00D64EEF"/>
    <w:rsid w:val="00D679C7"/>
    <w:rsid w:val="00D848E0"/>
    <w:rsid w:val="00D91827"/>
    <w:rsid w:val="00D9311C"/>
    <w:rsid w:val="00DA356B"/>
    <w:rsid w:val="00DA6B51"/>
    <w:rsid w:val="00DB18B5"/>
    <w:rsid w:val="00DB55AB"/>
    <w:rsid w:val="00DB725D"/>
    <w:rsid w:val="00DC613A"/>
    <w:rsid w:val="00DD3185"/>
    <w:rsid w:val="00DE4EF3"/>
    <w:rsid w:val="00DF2657"/>
    <w:rsid w:val="00DF44D1"/>
    <w:rsid w:val="00E01EAC"/>
    <w:rsid w:val="00E05735"/>
    <w:rsid w:val="00E10494"/>
    <w:rsid w:val="00E13878"/>
    <w:rsid w:val="00E20089"/>
    <w:rsid w:val="00E24395"/>
    <w:rsid w:val="00E24786"/>
    <w:rsid w:val="00E25213"/>
    <w:rsid w:val="00E26508"/>
    <w:rsid w:val="00E30C29"/>
    <w:rsid w:val="00E3394A"/>
    <w:rsid w:val="00E52698"/>
    <w:rsid w:val="00E81AF5"/>
    <w:rsid w:val="00E87BA7"/>
    <w:rsid w:val="00E9782A"/>
    <w:rsid w:val="00EA2FF9"/>
    <w:rsid w:val="00EA3F9D"/>
    <w:rsid w:val="00EA42D2"/>
    <w:rsid w:val="00EA4D39"/>
    <w:rsid w:val="00EA5710"/>
    <w:rsid w:val="00EB48CB"/>
    <w:rsid w:val="00EC11E5"/>
    <w:rsid w:val="00EC729A"/>
    <w:rsid w:val="00ED6287"/>
    <w:rsid w:val="00F0387A"/>
    <w:rsid w:val="00F1538E"/>
    <w:rsid w:val="00F306C0"/>
    <w:rsid w:val="00F31D37"/>
    <w:rsid w:val="00F32242"/>
    <w:rsid w:val="00F33DF1"/>
    <w:rsid w:val="00F473A3"/>
    <w:rsid w:val="00F60301"/>
    <w:rsid w:val="00F64BD4"/>
    <w:rsid w:val="00F72E29"/>
    <w:rsid w:val="00F75C4C"/>
    <w:rsid w:val="00F77797"/>
    <w:rsid w:val="00F84A40"/>
    <w:rsid w:val="00F92E6D"/>
    <w:rsid w:val="00FA03B5"/>
    <w:rsid w:val="00FC5BCB"/>
    <w:rsid w:val="00FE23F8"/>
    <w:rsid w:val="00FE5C4F"/>
    <w:rsid w:val="00FF1768"/>
    <w:rsid w:val="00FF5B67"/>
    <w:rsid w:val="00FF70F8"/>
    <w:rsid w:val="00FF7A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40E"/>
    <w:rPr>
      <w:rFonts w:ascii="Expert Sans Regular" w:eastAsia="Expert Sans Regular" w:hAnsi="Expert Sans Regular" w:cs="Expert Sans Regular"/>
      <w:sz w:val="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arcRA">
    <w:name w:val="Body Text - Barc RA"/>
    <w:link w:val="BodyText-BarcRAChar"/>
    <w:qFormat/>
    <w:rsid w:val="005D52ED"/>
    <w:pPr>
      <w:spacing w:before="180" w:after="180"/>
      <w:jc w:val="both"/>
    </w:pPr>
    <w:rPr>
      <w:rFonts w:ascii="Expert Sans Regular" w:hAnsi="Expert Sans Regular"/>
      <w:sz w:val="18"/>
      <w:lang w:eastAsia="en-US"/>
    </w:rPr>
  </w:style>
  <w:style w:type="character" w:customStyle="1" w:styleId="BodyText-BarcRAChar">
    <w:name w:val="Body Text - Barc RA Char"/>
    <w:basedOn w:val="DefaultParagraphFont"/>
    <w:link w:val="BodyText-BarcRA"/>
    <w:rsid w:val="005D52ED"/>
    <w:rPr>
      <w:rFonts w:ascii="Expert Sans Regular" w:hAnsi="Expert Sans Regular"/>
      <w:sz w:val="18"/>
      <w:lang w:val="en-GB" w:eastAsia="en-US" w:bidi="ar-SA"/>
    </w:rPr>
  </w:style>
  <w:style w:type="paragraph" w:customStyle="1" w:styleId="Normal0">
    <w:name w:val="Normal_0"/>
    <w:qFormat/>
    <w:rsid w:val="009705AC"/>
    <w:rPr>
      <w:rFonts w:ascii="Expert Sans Regular" w:hAnsi="Expert Sans Regular"/>
      <w:sz w:val="18"/>
      <w:szCs w:val="24"/>
      <w:lang w:eastAsia="en-US"/>
    </w:rPr>
  </w:style>
  <w:style w:type="paragraph" w:customStyle="1" w:styleId="MyLastParagraph">
    <w:name w:val="MyLastParagraph"/>
    <w:rsid w:val="008F540E"/>
    <w:rPr>
      <w:sz w:val="4"/>
    </w:rPr>
  </w:style>
  <w:style w:type="paragraph" w:customStyle="1" w:styleId="Normal1">
    <w:name w:val="Normal_1"/>
    <w:qFormat/>
    <w:rsid w:val="009705AC"/>
    <w:rPr>
      <w:rFonts w:ascii="Expert Sans Regular" w:hAnsi="Expert Sans Regular"/>
      <w:sz w:val="18"/>
      <w:szCs w:val="24"/>
      <w:lang w:eastAsia="en-US"/>
    </w:rPr>
  </w:style>
  <w:style w:type="paragraph" w:customStyle="1" w:styleId="BodyText-BarcRA0">
    <w:name w:val="Body Text - Barc RA_0"/>
    <w:link w:val="BodyText-BarcRAChar0"/>
    <w:qFormat/>
    <w:rsid w:val="005D52ED"/>
    <w:pPr>
      <w:spacing w:before="180" w:after="180"/>
      <w:jc w:val="both"/>
    </w:pPr>
    <w:rPr>
      <w:rFonts w:ascii="Expert Sans Regular" w:hAnsi="Expert Sans Regular"/>
      <w:sz w:val="18"/>
      <w:lang w:eastAsia="en-US"/>
    </w:rPr>
  </w:style>
  <w:style w:type="character" w:customStyle="1" w:styleId="BodyText-BarcRAChar0">
    <w:name w:val="Body Text - Barc RA Char_0"/>
    <w:basedOn w:val="DefaultParagraphFont"/>
    <w:link w:val="BodyText-BarcRA0"/>
    <w:rsid w:val="005D52ED"/>
    <w:rPr>
      <w:rFonts w:ascii="Expert Sans Regular" w:hAnsi="Expert Sans Regular"/>
      <w:sz w:val="18"/>
      <w:lang w:val="en-GB" w:eastAsia="en-US" w:bidi="ar-SA"/>
    </w:rPr>
  </w:style>
  <w:style w:type="paragraph" w:customStyle="1" w:styleId="DocumentTitle-BarcRA">
    <w:name w:val="Document Title - Barc RA"/>
    <w:basedOn w:val="Normal1"/>
    <w:rsid w:val="00492E08"/>
    <w:pPr>
      <w:jc w:val="center"/>
    </w:pPr>
    <w:rPr>
      <w:b/>
      <w:bCs/>
      <w:sz w:val="48"/>
      <w:szCs w:val="20"/>
    </w:rPr>
  </w:style>
  <w:style w:type="paragraph" w:customStyle="1" w:styleId="DocumentTitleDetails-BarcRA">
    <w:name w:val="Document Title Details - Barc RA"/>
    <w:basedOn w:val="Normal1"/>
    <w:rsid w:val="00492E08"/>
    <w:pPr>
      <w:jc w:val="center"/>
    </w:pPr>
    <w:rPr>
      <w:sz w:val="24"/>
      <w:szCs w:val="20"/>
    </w:rPr>
  </w:style>
  <w:style w:type="paragraph" w:customStyle="1" w:styleId="Normal10">
    <w:name w:val="Normal_1_0"/>
    <w:qFormat/>
    <w:rsid w:val="00953D99"/>
    <w:rPr>
      <w:rFonts w:ascii="Expert Sans Regular" w:hAnsi="Expert Sans Regular"/>
      <w:sz w:val="18"/>
      <w:szCs w:val="24"/>
      <w:lang w:eastAsia="en-US"/>
    </w:rPr>
  </w:style>
  <w:style w:type="paragraph" w:customStyle="1" w:styleId="BodyText-BarcRA1">
    <w:name w:val="Body Text - Barc RA_1"/>
    <w:qFormat/>
    <w:rsid w:val="00F60A0D"/>
    <w:pPr>
      <w:spacing w:before="180" w:after="180"/>
      <w:jc w:val="both"/>
    </w:pPr>
    <w:rPr>
      <w:rFonts w:ascii="Expert Sans Regular" w:hAnsi="Expert Sans Regular"/>
      <w:sz w:val="18"/>
      <w:lang w:eastAsia="en-US"/>
    </w:rPr>
  </w:style>
  <w:style w:type="paragraph" w:customStyle="1" w:styleId="Normal2">
    <w:name w:val="Normal_2"/>
    <w:qFormat/>
    <w:rsid w:val="00F60A0D"/>
    <w:rPr>
      <w:rFonts w:ascii="Expert Sans Regular" w:hAnsi="Expert Sans Regular"/>
      <w:sz w:val="18"/>
      <w:szCs w:val="24"/>
      <w:lang w:eastAsia="en-US"/>
    </w:rPr>
  </w:style>
  <w:style w:type="paragraph" w:customStyle="1" w:styleId="HeadingLevel1-BarcRA">
    <w:name w:val="Heading Level 1 - Barc RA"/>
    <w:basedOn w:val="BodyText-BarcRA2"/>
    <w:next w:val="BodyText-BarcRA2"/>
    <w:link w:val="HeadingLevel1-BarcRAChar"/>
    <w:rsid w:val="002611B5"/>
    <w:pPr>
      <w:spacing w:before="0"/>
    </w:pPr>
    <w:rPr>
      <w:b/>
      <w:bCs/>
      <w:color w:val="000000"/>
      <w:sz w:val="24"/>
      <w:lang w:val="la-Latn"/>
    </w:rPr>
  </w:style>
  <w:style w:type="paragraph" w:customStyle="1" w:styleId="BodyText-BarcRA2">
    <w:name w:val="Body Text - Barc RA_2"/>
    <w:link w:val="BodyText-BarcRAChar1"/>
    <w:qFormat/>
    <w:rsid w:val="005D52ED"/>
    <w:pPr>
      <w:spacing w:before="180" w:after="180"/>
      <w:jc w:val="both"/>
    </w:pPr>
    <w:rPr>
      <w:rFonts w:ascii="Expert Sans Regular" w:hAnsi="Expert Sans Regular"/>
      <w:sz w:val="18"/>
      <w:lang w:eastAsia="en-US"/>
    </w:rPr>
  </w:style>
  <w:style w:type="character" w:customStyle="1" w:styleId="BodyText-BarcRAChar1">
    <w:name w:val="Body Text - Barc RA Char_1"/>
    <w:basedOn w:val="DefaultParagraphFont"/>
    <w:link w:val="BodyText-BarcRA2"/>
    <w:rsid w:val="005D52ED"/>
    <w:rPr>
      <w:rFonts w:ascii="Expert Sans Regular" w:hAnsi="Expert Sans Regular"/>
      <w:sz w:val="18"/>
      <w:lang w:val="en-GB" w:eastAsia="en-US" w:bidi="ar-SA"/>
    </w:rPr>
  </w:style>
  <w:style w:type="character" w:customStyle="1" w:styleId="HeadingLevel1-BarcRAChar">
    <w:name w:val="Heading Level 1 - Barc RA Char"/>
    <w:basedOn w:val="DefaultParagraphFont"/>
    <w:link w:val="HeadingLevel1-BarcRA"/>
    <w:rsid w:val="009705AC"/>
    <w:rPr>
      <w:rFonts w:ascii="Expert Sans Regular" w:hAnsi="Expert Sans Regular"/>
      <w:b/>
      <w:bCs/>
      <w:color w:val="000000"/>
      <w:sz w:val="24"/>
      <w:lang w:val="la-Latn"/>
    </w:rPr>
  </w:style>
  <w:style w:type="paragraph" w:customStyle="1" w:styleId="HeaderSpacerwithLine-BarcRA">
    <w:name w:val="Header Spacer with Line - Barc RA"/>
    <w:basedOn w:val="BodyText-BarcRA2"/>
    <w:link w:val="HeaderSpacerwithLine-BarcRAChar"/>
    <w:rsid w:val="00016DD8"/>
    <w:pPr>
      <w:pBdr>
        <w:top w:val="single" w:sz="4" w:space="1" w:color="auto"/>
      </w:pBdr>
      <w:spacing w:before="0" w:after="0"/>
    </w:pPr>
    <w:rPr>
      <w:sz w:val="10"/>
      <w:szCs w:val="10"/>
    </w:rPr>
  </w:style>
  <w:style w:type="character" w:customStyle="1" w:styleId="HeaderSpacerwithLine-BarcRAChar">
    <w:name w:val="Header Spacer with Line - Barc RA Char"/>
    <w:basedOn w:val="BodyText-BarcRAChar1"/>
    <w:link w:val="HeaderSpacerwithLine-BarcRA"/>
    <w:rsid w:val="000E2451"/>
    <w:rPr>
      <w:rFonts w:ascii="Expert Sans Regular" w:hAnsi="Expert Sans Regular"/>
      <w:sz w:val="10"/>
      <w:szCs w:val="10"/>
      <w:lang w:val="en-GB" w:eastAsia="en-US" w:bidi="ar-SA"/>
    </w:rPr>
  </w:style>
  <w:style w:type="paragraph" w:customStyle="1" w:styleId="Level1Bullet-BarcRA">
    <w:name w:val="Level 1 Bullet - Barc RA"/>
    <w:basedOn w:val="BodyText-BarcRA2"/>
    <w:link w:val="Level1Bullet-BarcRAChar"/>
    <w:qFormat/>
    <w:rsid w:val="00A85CEE"/>
    <w:pPr>
      <w:numPr>
        <w:numId w:val="2"/>
      </w:numPr>
    </w:pPr>
    <w:rPr>
      <w:lang w:val="la-Latn"/>
    </w:rPr>
  </w:style>
  <w:style w:type="character" w:customStyle="1" w:styleId="Level1Bullet-BarcRAChar">
    <w:name w:val="Level 1 Bullet - Barc RA Char"/>
    <w:basedOn w:val="BodyText-BarcRAChar1"/>
    <w:link w:val="Level1Bullet-BarcRA"/>
    <w:rsid w:val="00A85CEE"/>
    <w:rPr>
      <w:rFonts w:ascii="Expert Sans Regular" w:hAnsi="Expert Sans Regular"/>
      <w:sz w:val="18"/>
      <w:lang w:val="la-Latn" w:eastAsia="en-US" w:bidi="ar-SA"/>
    </w:rPr>
  </w:style>
  <w:style w:type="paragraph" w:customStyle="1" w:styleId="Level2Bullet-BarcRA">
    <w:name w:val="Level 2 Bullet - Barc RA"/>
    <w:basedOn w:val="Level1Bullet-BarcRA"/>
    <w:qFormat/>
    <w:rsid w:val="007049EF"/>
    <w:pPr>
      <w:numPr>
        <w:ilvl w:val="2"/>
        <w:numId w:val="235"/>
      </w:numPr>
      <w:tabs>
        <w:tab w:val="left" w:pos="567"/>
      </w:tabs>
    </w:pPr>
  </w:style>
  <w:style w:type="paragraph" w:customStyle="1" w:styleId="TableFormat-BarcRA">
    <w:name w:val="Table Format - Barc RA"/>
    <w:basedOn w:val="BodyText-BarcRA2"/>
    <w:qFormat/>
    <w:rsid w:val="006D068D"/>
    <w:pPr>
      <w:spacing w:before="15" w:after="15"/>
      <w:jc w:val="left"/>
    </w:pPr>
    <w:rPr>
      <w:sz w:val="16"/>
      <w:lang w:eastAsia="en-GB"/>
    </w:rPr>
  </w:style>
  <w:style w:type="paragraph" w:customStyle="1" w:styleId="Special1-BarcRA">
    <w:name w:val="Special 1 - Barc RA"/>
    <w:basedOn w:val="BodyText-BarcRA2"/>
    <w:rsid w:val="00B87FAE"/>
    <w:pPr>
      <w:jc w:val="center"/>
    </w:pPr>
    <w:rPr>
      <w:sz w:val="12"/>
    </w:rPr>
  </w:style>
  <w:style w:type="paragraph" w:customStyle="1" w:styleId="HeadingLevel1-BarcRA0">
    <w:name w:val="Heading Level 1 - Barc RA_0"/>
    <w:basedOn w:val="BodyText-BarcRA3"/>
    <w:next w:val="BodyText-BarcRA3"/>
    <w:rsid w:val="00B86BA5"/>
    <w:pPr>
      <w:spacing w:before="0"/>
    </w:pPr>
    <w:rPr>
      <w:b/>
      <w:bCs/>
      <w:color w:val="000000"/>
      <w:sz w:val="24"/>
      <w:lang w:val="la-Latn"/>
    </w:rPr>
  </w:style>
  <w:style w:type="paragraph" w:customStyle="1" w:styleId="BodyText-BarcRA3">
    <w:name w:val="Body Text - Barc RA_3"/>
    <w:qFormat/>
    <w:rsid w:val="00B86BA5"/>
    <w:pPr>
      <w:spacing w:before="180" w:after="180"/>
      <w:jc w:val="both"/>
    </w:pPr>
    <w:rPr>
      <w:rFonts w:ascii="Expert Sans Regular" w:hAnsi="Expert Sans Regular"/>
      <w:sz w:val="18"/>
      <w:lang w:eastAsia="en-US"/>
    </w:rPr>
  </w:style>
  <w:style w:type="paragraph" w:customStyle="1" w:styleId="Normal3">
    <w:name w:val="Normal_3"/>
    <w:qFormat/>
    <w:rsid w:val="00136BB1"/>
    <w:rPr>
      <w:rFonts w:ascii="Expert Sans Regular" w:hAnsi="Expert Sans Regular"/>
      <w:sz w:val="18"/>
      <w:szCs w:val="24"/>
      <w:lang w:eastAsia="en-US"/>
    </w:rPr>
  </w:style>
  <w:style w:type="paragraph" w:customStyle="1" w:styleId="Normal4">
    <w:name w:val="Normal_4"/>
    <w:qFormat/>
    <w:rsid w:val="00435B3F"/>
    <w:rPr>
      <w:rFonts w:ascii="Expert Sans Regular" w:hAnsi="Expert Sans Regular"/>
      <w:sz w:val="18"/>
      <w:szCs w:val="24"/>
      <w:lang w:eastAsia="en-US"/>
    </w:rPr>
  </w:style>
  <w:style w:type="paragraph" w:customStyle="1" w:styleId="BodyText-BarcRA30">
    <w:name w:val="Body Text - Barc RA_3_0"/>
    <w:link w:val="BodyText-BarcRAChar2"/>
    <w:qFormat/>
    <w:rsid w:val="0049196A"/>
    <w:pPr>
      <w:spacing w:before="180" w:after="180"/>
      <w:jc w:val="both"/>
    </w:pPr>
    <w:rPr>
      <w:rFonts w:ascii="Expert Sans Regular" w:hAnsi="Expert Sans Regular"/>
      <w:sz w:val="18"/>
      <w:lang w:eastAsia="en-US"/>
    </w:rPr>
  </w:style>
  <w:style w:type="character" w:customStyle="1" w:styleId="BodyText-BarcRAChar2">
    <w:name w:val="Body Text - Barc RA Char_2"/>
    <w:basedOn w:val="DefaultParagraphFont"/>
    <w:link w:val="BodyText-BarcRA30"/>
    <w:locked/>
    <w:rsid w:val="0049196A"/>
    <w:rPr>
      <w:rFonts w:ascii="Expert Sans Regular" w:hAnsi="Expert Sans Regular"/>
      <w:sz w:val="18"/>
      <w:lang w:val="en-GB" w:eastAsia="en-US" w:bidi="ar-SA"/>
    </w:rPr>
  </w:style>
  <w:style w:type="paragraph" w:customStyle="1" w:styleId="HeadingLevel1-BarcRA1">
    <w:name w:val="Heading Level 1 - Barc RA_1"/>
    <w:basedOn w:val="Normal5"/>
    <w:next w:val="Normal5"/>
    <w:rsid w:val="00951185"/>
    <w:pPr>
      <w:spacing w:after="180"/>
      <w:jc w:val="both"/>
    </w:pPr>
    <w:rPr>
      <w:rFonts w:ascii="Expert Sans Regular" w:hAnsi="Expert Sans Regular"/>
      <w:b/>
      <w:bCs/>
      <w:color w:val="000000"/>
      <w:szCs w:val="20"/>
      <w:lang w:val="la-Latn" w:eastAsia="en-US"/>
    </w:rPr>
  </w:style>
  <w:style w:type="paragraph" w:customStyle="1" w:styleId="Normal5">
    <w:name w:val="Normal_5"/>
    <w:qFormat/>
    <w:rsid w:val="00772C0C"/>
    <w:rPr>
      <w:sz w:val="24"/>
      <w:szCs w:val="24"/>
    </w:rPr>
  </w:style>
  <w:style w:type="paragraph" w:customStyle="1" w:styleId="HeaderSpacerwithLine-BarcRA0">
    <w:name w:val="Header Spacer with Line - Barc RA_0"/>
    <w:basedOn w:val="Normal5"/>
    <w:rsid w:val="00951185"/>
    <w:pPr>
      <w:pBdr>
        <w:top w:val="single" w:sz="4" w:space="1" w:color="auto"/>
      </w:pBdr>
      <w:jc w:val="both"/>
    </w:pPr>
    <w:rPr>
      <w:rFonts w:ascii="Expert Sans Regular" w:hAnsi="Expert Sans Regular"/>
      <w:sz w:val="10"/>
      <w:szCs w:val="10"/>
      <w:lang w:eastAsia="en-US"/>
    </w:rPr>
  </w:style>
  <w:style w:type="paragraph" w:customStyle="1" w:styleId="BodyText-BarcRA4">
    <w:name w:val="Body Text - Barc RA_4"/>
    <w:qFormat/>
    <w:rsid w:val="007A0707"/>
    <w:pPr>
      <w:spacing w:before="180" w:after="180"/>
      <w:jc w:val="both"/>
    </w:pPr>
    <w:rPr>
      <w:rFonts w:ascii="Expert Sans Regular" w:hAnsi="Expert Sans Regular"/>
      <w:sz w:val="18"/>
      <w:lang w:eastAsia="en-US"/>
    </w:rPr>
  </w:style>
  <w:style w:type="paragraph" w:customStyle="1" w:styleId="Normal6">
    <w:name w:val="Normal_6"/>
    <w:qFormat/>
    <w:rsid w:val="007A0707"/>
    <w:rPr>
      <w:rFonts w:ascii="Expert Sans Regular" w:hAnsi="Expert Sans Regular"/>
      <w:sz w:val="18"/>
      <w:szCs w:val="24"/>
      <w:lang w:eastAsia="en-US"/>
    </w:rPr>
  </w:style>
  <w:style w:type="paragraph" w:customStyle="1" w:styleId="Normal60">
    <w:name w:val="Normal_6_0"/>
    <w:qFormat/>
    <w:rsid w:val="00235AA0"/>
    <w:rPr>
      <w:rFonts w:ascii="Expert Sans Regular" w:hAnsi="Expert Sans Regular"/>
      <w:sz w:val="18"/>
      <w:szCs w:val="24"/>
      <w:lang w:eastAsia="en-US"/>
    </w:rPr>
  </w:style>
  <w:style w:type="paragraph" w:customStyle="1" w:styleId="Level1Bullet-BarcRA1">
    <w:name w:val="Level 1 Bullet - Barc RA_1"/>
    <w:basedOn w:val="Normal7"/>
    <w:rsid w:val="007B7155"/>
    <w:pPr>
      <w:numPr>
        <w:numId w:val="3"/>
      </w:numPr>
      <w:spacing w:before="180" w:after="180"/>
      <w:jc w:val="both"/>
    </w:pPr>
    <w:rPr>
      <w:szCs w:val="20"/>
      <w:lang w:val="la-Latn"/>
    </w:rPr>
  </w:style>
  <w:style w:type="paragraph" w:customStyle="1" w:styleId="Normal7">
    <w:name w:val="Normal_7"/>
    <w:qFormat/>
    <w:rsid w:val="00435B3F"/>
    <w:rPr>
      <w:rFonts w:ascii="Expert Sans Regular" w:hAnsi="Expert Sans Regular"/>
      <w:sz w:val="18"/>
      <w:szCs w:val="24"/>
      <w:lang w:eastAsia="en-US"/>
    </w:rPr>
  </w:style>
  <w:style w:type="paragraph" w:customStyle="1" w:styleId="Level1Bullet-BarcRA11">
    <w:name w:val="Level 1 Bullet - Barc RA_11"/>
    <w:basedOn w:val="Normal7"/>
    <w:rsid w:val="007B7155"/>
    <w:pPr>
      <w:numPr>
        <w:numId w:val="4"/>
      </w:numPr>
      <w:spacing w:before="180" w:after="180"/>
      <w:jc w:val="both"/>
    </w:pPr>
    <w:rPr>
      <w:rFonts w:eastAsia="Calibri"/>
      <w:szCs w:val="18"/>
      <w:lang w:eastAsia="en-GB"/>
    </w:rPr>
  </w:style>
  <w:style w:type="paragraph" w:customStyle="1" w:styleId="Normal8">
    <w:name w:val="Normal_8"/>
    <w:qFormat/>
    <w:rsid w:val="00772C0C"/>
    <w:rPr>
      <w:sz w:val="24"/>
      <w:szCs w:val="24"/>
    </w:rPr>
  </w:style>
  <w:style w:type="character" w:styleId="Hyperlink">
    <w:name w:val="Hyperlink"/>
    <w:basedOn w:val="DefaultParagraphFont"/>
    <w:rsid w:val="009C260C"/>
    <w:rPr>
      <w:color w:val="0000FF"/>
      <w:u w:val="single"/>
    </w:rPr>
  </w:style>
  <w:style w:type="paragraph" w:customStyle="1" w:styleId="Normal70">
    <w:name w:val="Normal_7_0"/>
    <w:qFormat/>
    <w:rsid w:val="00EC0DB8"/>
    <w:rPr>
      <w:sz w:val="24"/>
      <w:szCs w:val="24"/>
    </w:rPr>
  </w:style>
  <w:style w:type="paragraph" w:customStyle="1" w:styleId="HeadingLevel1-BarcRA2">
    <w:name w:val="Heading Level 1 - Barc RA_2"/>
    <w:basedOn w:val="BodyText-BarcRA5"/>
    <w:next w:val="BodyText-BarcRA5"/>
    <w:rsid w:val="005530F1"/>
    <w:pPr>
      <w:spacing w:before="0"/>
    </w:pPr>
    <w:rPr>
      <w:b/>
      <w:bCs/>
      <w:color w:val="000000"/>
      <w:sz w:val="24"/>
      <w:lang w:val="la-Latn"/>
    </w:rPr>
  </w:style>
  <w:style w:type="paragraph" w:customStyle="1" w:styleId="BodyText-BarcRA5">
    <w:name w:val="Body Text - Barc RA_5"/>
    <w:qFormat/>
    <w:rsid w:val="005530F1"/>
    <w:pPr>
      <w:spacing w:before="180" w:after="180"/>
      <w:jc w:val="both"/>
    </w:pPr>
    <w:rPr>
      <w:rFonts w:ascii="Expert Sans Regular" w:hAnsi="Expert Sans Regular"/>
      <w:sz w:val="18"/>
      <w:lang w:eastAsia="en-US"/>
    </w:rPr>
  </w:style>
  <w:style w:type="paragraph" w:customStyle="1" w:styleId="HeaderSpacerwithLine-BarcRA1">
    <w:name w:val="Header Spacer with Line - Barc RA_1"/>
    <w:basedOn w:val="BodyText-BarcRA5"/>
    <w:rsid w:val="005530F1"/>
    <w:pPr>
      <w:pBdr>
        <w:top w:val="single" w:sz="4" w:space="1" w:color="auto"/>
      </w:pBdr>
      <w:spacing w:before="0" w:after="0"/>
    </w:pPr>
    <w:rPr>
      <w:sz w:val="10"/>
      <w:szCs w:val="10"/>
    </w:rPr>
  </w:style>
  <w:style w:type="paragraph" w:customStyle="1" w:styleId="Normal11">
    <w:name w:val="Normal_1_1"/>
    <w:qFormat/>
    <w:rsid w:val="000B3EC7"/>
    <w:rPr>
      <w:rFonts w:ascii="Expert Sans Regular" w:hAnsi="Expert Sans Regular"/>
      <w:sz w:val="18"/>
      <w:szCs w:val="24"/>
      <w:lang w:eastAsia="en-US"/>
    </w:rPr>
  </w:style>
  <w:style w:type="paragraph" w:customStyle="1" w:styleId="Normal600">
    <w:name w:val="Normal_6_0_0"/>
    <w:qFormat/>
    <w:rsid w:val="000B3EC7"/>
    <w:rPr>
      <w:rFonts w:ascii="Expert Sans Regular" w:hAnsi="Expert Sans Regular"/>
      <w:sz w:val="18"/>
      <w:szCs w:val="24"/>
      <w:lang w:eastAsia="en-US"/>
    </w:rPr>
  </w:style>
  <w:style w:type="paragraph" w:customStyle="1" w:styleId="HeadingLevel1-BarcRA3">
    <w:name w:val="Heading Level 1 - Barc RA_3"/>
    <w:basedOn w:val="BodyText-BarcRA6"/>
    <w:next w:val="BodyText-BarcRA6"/>
    <w:rsid w:val="00C747B7"/>
    <w:pPr>
      <w:spacing w:before="0"/>
    </w:pPr>
    <w:rPr>
      <w:b/>
      <w:bCs/>
      <w:color w:val="000000"/>
      <w:sz w:val="24"/>
      <w:lang w:val="la-Latn"/>
    </w:rPr>
  </w:style>
  <w:style w:type="paragraph" w:customStyle="1" w:styleId="BodyText-BarcRA6">
    <w:name w:val="Body Text - Barc RA_6"/>
    <w:qFormat/>
    <w:rsid w:val="00C747B7"/>
    <w:pPr>
      <w:spacing w:before="180" w:after="180"/>
      <w:jc w:val="both"/>
    </w:pPr>
    <w:rPr>
      <w:rFonts w:ascii="Expert Sans Regular" w:hAnsi="Expert Sans Regular"/>
      <w:sz w:val="18"/>
      <w:lang w:eastAsia="en-US"/>
    </w:rPr>
  </w:style>
  <w:style w:type="paragraph" w:customStyle="1" w:styleId="HeaderSpacerwithLine-BarcRA2">
    <w:name w:val="Header Spacer with Line - Barc RA_2"/>
    <w:basedOn w:val="BodyText-BarcRA6"/>
    <w:rsid w:val="00C747B7"/>
    <w:pPr>
      <w:pBdr>
        <w:top w:val="single" w:sz="4" w:space="1" w:color="auto"/>
      </w:pBdr>
      <w:spacing w:before="0" w:after="0"/>
    </w:pPr>
    <w:rPr>
      <w:sz w:val="10"/>
      <w:szCs w:val="10"/>
    </w:rPr>
  </w:style>
  <w:style w:type="paragraph" w:customStyle="1" w:styleId="HeadingLevel1-BarcRA7">
    <w:name w:val="Heading Level 1 - Barc RA_7"/>
    <w:basedOn w:val="Normal9"/>
    <w:next w:val="Normal9"/>
    <w:link w:val="HeadingLevel1-BarcRAChar0"/>
    <w:rsid w:val="0084588A"/>
    <w:pPr>
      <w:spacing w:after="180"/>
      <w:jc w:val="both"/>
    </w:pPr>
    <w:rPr>
      <w:b/>
      <w:bCs/>
      <w:color w:val="000000"/>
      <w:sz w:val="24"/>
      <w:szCs w:val="20"/>
      <w:lang w:val="la-Latn"/>
    </w:rPr>
  </w:style>
  <w:style w:type="paragraph" w:customStyle="1" w:styleId="Normal9">
    <w:name w:val="Normal_9"/>
    <w:qFormat/>
    <w:rsid w:val="00130880"/>
    <w:rPr>
      <w:rFonts w:ascii="Expert Sans Regular" w:hAnsi="Expert Sans Regular"/>
      <w:sz w:val="18"/>
      <w:szCs w:val="24"/>
      <w:lang w:eastAsia="en-US"/>
    </w:rPr>
  </w:style>
  <w:style w:type="character" w:customStyle="1" w:styleId="HeadingLevel1-BarcRAChar0">
    <w:name w:val="Heading Level 1 - Barc RA Char_0"/>
    <w:basedOn w:val="DefaultParagraphFont"/>
    <w:link w:val="HeadingLevel1-BarcRA7"/>
    <w:locked/>
    <w:rsid w:val="007B5B26"/>
    <w:rPr>
      <w:rFonts w:ascii="Expert Sans Regular" w:hAnsi="Expert Sans Regular"/>
      <w:b/>
      <w:bCs/>
      <w:color w:val="000000"/>
      <w:sz w:val="24"/>
      <w:lang w:val="la-Latn" w:eastAsia="en-US"/>
    </w:rPr>
  </w:style>
  <w:style w:type="paragraph" w:customStyle="1" w:styleId="Level1Bullet-BarcRA03">
    <w:name w:val="Level 1 Bullet - Barc RA_0_3"/>
    <w:basedOn w:val="Normal9"/>
    <w:rsid w:val="007B5B26"/>
    <w:pPr>
      <w:numPr>
        <w:numId w:val="6"/>
      </w:numPr>
      <w:spacing w:before="180" w:after="180"/>
      <w:jc w:val="both"/>
    </w:pPr>
    <w:rPr>
      <w:szCs w:val="20"/>
      <w:lang w:val="la-Latn"/>
    </w:rPr>
  </w:style>
  <w:style w:type="paragraph" w:customStyle="1" w:styleId="Level1Bullet-BarcRA02">
    <w:name w:val="Level 1 Bullet - Barc RA_0_2"/>
    <w:basedOn w:val="Normal9"/>
    <w:rsid w:val="007B5B26"/>
    <w:pPr>
      <w:numPr>
        <w:numId w:val="7"/>
      </w:numPr>
      <w:spacing w:before="180" w:after="180"/>
      <w:jc w:val="both"/>
    </w:pPr>
    <w:rPr>
      <w:szCs w:val="20"/>
      <w:lang w:val="la-Latn"/>
    </w:rPr>
  </w:style>
  <w:style w:type="paragraph" w:customStyle="1" w:styleId="Level1Bullet-BarcRA700">
    <w:name w:val="Level 1 Bullet - Barc RA_7_0_0"/>
    <w:basedOn w:val="Normal9"/>
    <w:rsid w:val="00DD6FD0"/>
    <w:pPr>
      <w:tabs>
        <w:tab w:val="num" w:pos="284"/>
      </w:tabs>
      <w:spacing w:before="180" w:after="180"/>
      <w:ind w:left="284" w:hanging="284"/>
      <w:jc w:val="both"/>
    </w:pPr>
    <w:rPr>
      <w:szCs w:val="20"/>
      <w:lang w:val="la-Latn"/>
    </w:rPr>
  </w:style>
  <w:style w:type="paragraph" w:customStyle="1" w:styleId="Level1Bullet-BarcRA20">
    <w:name w:val="Level 1 Bullet - Barc RA_2_0"/>
    <w:basedOn w:val="Normal9"/>
    <w:uiPriority w:val="99"/>
    <w:rsid w:val="001111B8"/>
    <w:pPr>
      <w:numPr>
        <w:numId w:val="9"/>
      </w:numPr>
      <w:spacing w:before="180" w:after="180"/>
      <w:jc w:val="both"/>
    </w:pPr>
    <w:rPr>
      <w:szCs w:val="20"/>
      <w:lang w:val="la-Latn"/>
    </w:rPr>
  </w:style>
  <w:style w:type="paragraph" w:customStyle="1" w:styleId="Level2Bullet-BarcRA0">
    <w:name w:val="Level 2 Bullet - Barc RA_0"/>
    <w:basedOn w:val="Normal9"/>
    <w:qFormat/>
    <w:rsid w:val="00F33652"/>
    <w:pPr>
      <w:numPr>
        <w:ilvl w:val="2"/>
        <w:numId w:val="10"/>
      </w:numPr>
      <w:spacing w:before="180" w:after="180"/>
      <w:jc w:val="both"/>
    </w:pPr>
    <w:rPr>
      <w:szCs w:val="20"/>
      <w:lang w:val="la-Latn"/>
    </w:rPr>
  </w:style>
  <w:style w:type="paragraph" w:customStyle="1" w:styleId="HeadingLevel1-BarcRA4">
    <w:name w:val="Heading Level 1 - Barc RA_4"/>
    <w:basedOn w:val="BodyText-BarcRA7"/>
    <w:next w:val="BodyText-BarcRA7"/>
    <w:link w:val="HeadingLevel1-BarcRAChar1"/>
    <w:rsid w:val="00130880"/>
    <w:pPr>
      <w:spacing w:before="0"/>
    </w:pPr>
    <w:rPr>
      <w:b/>
      <w:bCs/>
      <w:color w:val="000000"/>
      <w:sz w:val="24"/>
      <w:lang w:val="la-Latn"/>
    </w:rPr>
  </w:style>
  <w:style w:type="paragraph" w:customStyle="1" w:styleId="BodyText-BarcRA7">
    <w:name w:val="Body Text - Barc RA_7"/>
    <w:qFormat/>
    <w:rsid w:val="00130880"/>
    <w:pPr>
      <w:spacing w:before="180" w:after="180"/>
      <w:jc w:val="both"/>
    </w:pPr>
    <w:rPr>
      <w:rFonts w:ascii="Expert Sans Regular" w:hAnsi="Expert Sans Regular"/>
      <w:sz w:val="18"/>
      <w:lang w:eastAsia="en-US"/>
    </w:rPr>
  </w:style>
  <w:style w:type="character" w:customStyle="1" w:styleId="HeadingLevel1-BarcRAChar1">
    <w:name w:val="Heading Level 1 - Barc RA Char_1"/>
    <w:basedOn w:val="DefaultParagraphFont"/>
    <w:link w:val="HeadingLevel1-BarcRA4"/>
    <w:rsid w:val="00AC3BF6"/>
    <w:rPr>
      <w:rFonts w:ascii="Expert Sans Regular" w:hAnsi="Expert Sans Regular"/>
      <w:b/>
      <w:bCs/>
      <w:color w:val="000000"/>
      <w:sz w:val="24"/>
      <w:lang w:val="la-Latn" w:eastAsia="en-US"/>
    </w:rPr>
  </w:style>
  <w:style w:type="paragraph" w:customStyle="1" w:styleId="Level1Bullet-BarcRA0">
    <w:name w:val="Level 1 Bullet - Barc RA_0"/>
    <w:basedOn w:val="BodyText-BarcRA7"/>
    <w:link w:val="Level1Bullet-BarcRAChar0"/>
    <w:qFormat/>
    <w:rsid w:val="00130880"/>
    <w:pPr>
      <w:numPr>
        <w:numId w:val="11"/>
      </w:numPr>
    </w:pPr>
    <w:rPr>
      <w:lang w:val="la-Latn"/>
    </w:rPr>
  </w:style>
  <w:style w:type="character" w:customStyle="1" w:styleId="Level1Bullet-BarcRAChar0">
    <w:name w:val="Level 1 Bullet - Barc RA Char_0"/>
    <w:basedOn w:val="DefaultParagraphFont"/>
    <w:link w:val="Level1Bullet-BarcRA0"/>
    <w:rsid w:val="00AC3BF6"/>
    <w:rPr>
      <w:rFonts w:ascii="Expert Sans Regular" w:hAnsi="Expert Sans Regular"/>
      <w:sz w:val="18"/>
      <w:lang w:val="la-Latn" w:eastAsia="en-US"/>
    </w:rPr>
  </w:style>
  <w:style w:type="paragraph" w:customStyle="1" w:styleId="HeadingLevel1-BarcRA5">
    <w:name w:val="Heading Level 1 - Barc RA_5"/>
    <w:basedOn w:val="BodyText-BarcRA8"/>
    <w:next w:val="BodyText-BarcRA8"/>
    <w:rsid w:val="00130880"/>
    <w:pPr>
      <w:spacing w:before="0"/>
    </w:pPr>
    <w:rPr>
      <w:b/>
      <w:bCs/>
      <w:color w:val="000000"/>
      <w:sz w:val="24"/>
      <w:lang w:val="la-Latn"/>
    </w:rPr>
  </w:style>
  <w:style w:type="paragraph" w:customStyle="1" w:styleId="BodyText-BarcRA8">
    <w:name w:val="Body Text - Barc RA_8"/>
    <w:qFormat/>
    <w:rsid w:val="00130880"/>
    <w:pPr>
      <w:spacing w:before="180" w:after="180"/>
      <w:jc w:val="both"/>
    </w:pPr>
    <w:rPr>
      <w:rFonts w:ascii="Expert Sans Regular" w:hAnsi="Expert Sans Regular"/>
      <w:sz w:val="18"/>
      <w:lang w:eastAsia="en-US"/>
    </w:rPr>
  </w:style>
  <w:style w:type="paragraph" w:customStyle="1" w:styleId="Level1Bullet-BarcRA2">
    <w:name w:val="Level 1 Bullet - Barc RA_2"/>
    <w:basedOn w:val="Normal100"/>
    <w:link w:val="Level1Bullet-BarcRAChar1"/>
    <w:qFormat/>
    <w:rsid w:val="002B1053"/>
    <w:pPr>
      <w:numPr>
        <w:numId w:val="13"/>
      </w:numPr>
      <w:spacing w:before="180" w:after="180"/>
      <w:jc w:val="both"/>
    </w:pPr>
    <w:rPr>
      <w:szCs w:val="20"/>
      <w:lang w:val="la-Latn"/>
    </w:rPr>
  </w:style>
  <w:style w:type="paragraph" w:customStyle="1" w:styleId="Normal100">
    <w:name w:val="Normal_10"/>
    <w:qFormat/>
    <w:rsid w:val="00130880"/>
    <w:rPr>
      <w:rFonts w:ascii="Expert Sans Regular" w:hAnsi="Expert Sans Regular"/>
      <w:sz w:val="18"/>
      <w:szCs w:val="24"/>
      <w:lang w:eastAsia="en-US"/>
    </w:rPr>
  </w:style>
  <w:style w:type="character" w:customStyle="1" w:styleId="Level1Bullet-BarcRAChar1">
    <w:name w:val="Level 1 Bullet - Barc RA Char_1"/>
    <w:basedOn w:val="DefaultParagraphFont"/>
    <w:link w:val="Level1Bullet-BarcRA2"/>
    <w:locked/>
    <w:rsid w:val="002B1053"/>
    <w:rPr>
      <w:rFonts w:ascii="Expert Sans Regular" w:hAnsi="Expert Sans Regular"/>
      <w:sz w:val="18"/>
      <w:lang w:val="la-Latn" w:eastAsia="en-US"/>
    </w:rPr>
  </w:style>
  <w:style w:type="paragraph" w:customStyle="1" w:styleId="HeadingLevel1-BarcRA6">
    <w:name w:val="Heading Level 1 - Barc RA_6"/>
    <w:basedOn w:val="BodyText-BarcRA9"/>
    <w:next w:val="BodyText-BarcRA9"/>
    <w:link w:val="HeadingLevel1-BarcRAChar2"/>
    <w:qFormat/>
    <w:rsid w:val="002611B5"/>
    <w:pPr>
      <w:spacing w:before="0"/>
    </w:pPr>
    <w:rPr>
      <w:b/>
      <w:bCs/>
      <w:color w:val="000000"/>
      <w:sz w:val="24"/>
      <w:lang w:val="la-Latn"/>
    </w:rPr>
  </w:style>
  <w:style w:type="paragraph" w:customStyle="1" w:styleId="BodyText-BarcRA9">
    <w:name w:val="Body Text - Barc RA_9"/>
    <w:link w:val="BodyText-BarcRAChar3"/>
    <w:qFormat/>
    <w:rsid w:val="005D52ED"/>
    <w:pPr>
      <w:spacing w:before="180" w:after="180"/>
      <w:jc w:val="both"/>
    </w:pPr>
    <w:rPr>
      <w:rFonts w:ascii="Expert Sans Regular" w:hAnsi="Expert Sans Regular"/>
      <w:sz w:val="18"/>
      <w:lang w:eastAsia="en-US"/>
    </w:rPr>
  </w:style>
  <w:style w:type="character" w:customStyle="1" w:styleId="BodyText-BarcRAChar3">
    <w:name w:val="Body Text - Barc RA Char_3"/>
    <w:basedOn w:val="DefaultParagraphFont"/>
    <w:link w:val="BodyText-BarcRA9"/>
    <w:rsid w:val="005D52ED"/>
    <w:rPr>
      <w:rFonts w:ascii="Expert Sans Regular" w:hAnsi="Expert Sans Regular"/>
      <w:sz w:val="18"/>
      <w:lang w:val="en-GB" w:eastAsia="en-US" w:bidi="ar-SA"/>
    </w:rPr>
  </w:style>
  <w:style w:type="character" w:customStyle="1" w:styleId="HeadingLevel1-BarcRAChar2">
    <w:name w:val="Heading Level 1 - Barc RA Char_2"/>
    <w:basedOn w:val="DefaultParagraphFont"/>
    <w:link w:val="HeadingLevel1-BarcRA6"/>
    <w:rsid w:val="009705AC"/>
    <w:rPr>
      <w:rFonts w:ascii="Expert Sans Regular" w:hAnsi="Expert Sans Regular"/>
      <w:b/>
      <w:bCs/>
      <w:color w:val="000000"/>
      <w:sz w:val="24"/>
      <w:lang w:val="la-Latn"/>
    </w:rPr>
  </w:style>
  <w:style w:type="paragraph" w:customStyle="1" w:styleId="Level1Bullet-BarcRA300">
    <w:name w:val="Level 1 Bullet - Barc RA_3_0_0"/>
    <w:basedOn w:val="Normal110"/>
    <w:qFormat/>
    <w:rsid w:val="000F0306"/>
    <w:pPr>
      <w:numPr>
        <w:numId w:val="15"/>
      </w:numPr>
      <w:spacing w:before="180" w:after="180"/>
      <w:jc w:val="both"/>
    </w:pPr>
    <w:rPr>
      <w:szCs w:val="20"/>
      <w:lang w:val="la-Latn"/>
    </w:rPr>
  </w:style>
  <w:style w:type="paragraph" w:customStyle="1" w:styleId="Normal110">
    <w:name w:val="Normal_11"/>
    <w:qFormat/>
    <w:rsid w:val="009705AC"/>
    <w:rPr>
      <w:rFonts w:ascii="Expert Sans Regular" w:hAnsi="Expert Sans Regular"/>
      <w:sz w:val="18"/>
      <w:szCs w:val="24"/>
      <w:lang w:eastAsia="en-US"/>
    </w:rPr>
  </w:style>
  <w:style w:type="paragraph" w:customStyle="1" w:styleId="Level1Bullet-BarcRA4">
    <w:name w:val="Level 1 Bullet - Barc RA_4"/>
    <w:basedOn w:val="Normal110"/>
    <w:link w:val="Level1Bullet-BarcRAChar3"/>
    <w:qFormat/>
    <w:rsid w:val="00367191"/>
    <w:pPr>
      <w:numPr>
        <w:numId w:val="16"/>
      </w:numPr>
      <w:spacing w:before="180" w:after="180"/>
      <w:jc w:val="both"/>
    </w:pPr>
    <w:rPr>
      <w:szCs w:val="20"/>
      <w:lang w:val="la-Latn"/>
    </w:rPr>
  </w:style>
  <w:style w:type="character" w:customStyle="1" w:styleId="Level1Bullet-BarcRAChar3">
    <w:name w:val="Level 1 Bullet - Barc RA Char_3"/>
    <w:basedOn w:val="DefaultParagraphFont"/>
    <w:link w:val="Level1Bullet-BarcRA4"/>
    <w:locked/>
    <w:rsid w:val="00367191"/>
    <w:rPr>
      <w:rFonts w:ascii="Expert Sans Regular" w:hAnsi="Expert Sans Regular"/>
      <w:sz w:val="18"/>
      <w:lang w:val="la-Latn" w:eastAsia="en-US"/>
    </w:rPr>
  </w:style>
  <w:style w:type="paragraph" w:customStyle="1" w:styleId="Level1Bullet-BarcRA0300">
    <w:name w:val="Level 1 Bullet - Barc RA_0_3_0_0"/>
    <w:basedOn w:val="Normal110"/>
    <w:rsid w:val="00195FA9"/>
    <w:pPr>
      <w:tabs>
        <w:tab w:val="num" w:pos="284"/>
      </w:tabs>
      <w:spacing w:before="180" w:after="180"/>
      <w:ind w:left="284" w:hanging="284"/>
      <w:jc w:val="both"/>
    </w:pPr>
    <w:rPr>
      <w:szCs w:val="20"/>
      <w:lang w:val="la-Latn"/>
    </w:rPr>
  </w:style>
  <w:style w:type="paragraph" w:customStyle="1" w:styleId="Level1Bullet-BarcRA030">
    <w:name w:val="Level 1 Bullet - Barc RA_0_3_0"/>
    <w:basedOn w:val="Normal110"/>
    <w:rsid w:val="000F0306"/>
    <w:pPr>
      <w:numPr>
        <w:numId w:val="17"/>
      </w:numPr>
      <w:spacing w:before="180" w:after="180"/>
      <w:jc w:val="both"/>
    </w:pPr>
    <w:rPr>
      <w:szCs w:val="20"/>
      <w:lang w:val="la-Latn"/>
    </w:rPr>
  </w:style>
  <w:style w:type="paragraph" w:customStyle="1" w:styleId="HeadingLevel2-BarcRA">
    <w:name w:val="Heading Level 2 - Barc RA"/>
    <w:basedOn w:val="HeadingLevel1-BarcRA8"/>
    <w:next w:val="BodyText-BarcRA10"/>
    <w:qFormat/>
    <w:rsid w:val="00130880"/>
    <w:pPr>
      <w:spacing w:before="240" w:after="0"/>
    </w:pPr>
    <w:rPr>
      <w:sz w:val="20"/>
    </w:rPr>
  </w:style>
  <w:style w:type="paragraph" w:customStyle="1" w:styleId="HeadingLevel1-BarcRA8">
    <w:name w:val="Heading Level 1 - Barc RA_8"/>
    <w:basedOn w:val="BodyText-BarcRA10"/>
    <w:next w:val="BodyText-BarcRA10"/>
    <w:rsid w:val="00130880"/>
    <w:pPr>
      <w:spacing w:before="0"/>
    </w:pPr>
    <w:rPr>
      <w:b/>
      <w:bCs/>
      <w:color w:val="000000"/>
      <w:sz w:val="24"/>
      <w:lang w:val="la-Latn"/>
    </w:rPr>
  </w:style>
  <w:style w:type="paragraph" w:customStyle="1" w:styleId="BodyText-BarcRA10">
    <w:name w:val="Body Text - Barc RA_10"/>
    <w:qFormat/>
    <w:rsid w:val="00130880"/>
    <w:pPr>
      <w:spacing w:before="180" w:after="180"/>
      <w:jc w:val="both"/>
    </w:pPr>
    <w:rPr>
      <w:rFonts w:ascii="Expert Sans Regular" w:hAnsi="Expert Sans Regular"/>
      <w:sz w:val="18"/>
      <w:lang w:eastAsia="en-US"/>
    </w:rPr>
  </w:style>
  <w:style w:type="paragraph" w:customStyle="1" w:styleId="Level1Bullet-BarcRA1110">
    <w:name w:val="Level 1 Bullet - Barc RA_11_1_0"/>
    <w:basedOn w:val="Normal13"/>
    <w:rsid w:val="000A4DBC"/>
    <w:pPr>
      <w:tabs>
        <w:tab w:val="num" w:pos="284"/>
      </w:tabs>
      <w:spacing w:before="180" w:after="180"/>
      <w:ind w:left="284" w:hanging="284"/>
      <w:jc w:val="both"/>
    </w:pPr>
    <w:rPr>
      <w:szCs w:val="20"/>
      <w:lang w:val="la-Latn"/>
    </w:rPr>
  </w:style>
  <w:style w:type="paragraph" w:customStyle="1" w:styleId="Normal13">
    <w:name w:val="Normal_13"/>
    <w:qFormat/>
    <w:rsid w:val="000A4DBC"/>
    <w:rPr>
      <w:rFonts w:ascii="Expert Sans Regular" w:hAnsi="Expert Sans Regular"/>
      <w:sz w:val="18"/>
      <w:szCs w:val="24"/>
      <w:lang w:eastAsia="en-US"/>
    </w:rPr>
  </w:style>
  <w:style w:type="paragraph" w:customStyle="1" w:styleId="Level1Bullet-BarcRA5">
    <w:name w:val="Level 1 Bullet - Barc RA_5"/>
    <w:basedOn w:val="Normal12"/>
    <w:qFormat/>
    <w:rsid w:val="00506D54"/>
    <w:pPr>
      <w:numPr>
        <w:numId w:val="18"/>
      </w:numPr>
      <w:spacing w:before="180" w:after="180"/>
      <w:jc w:val="both"/>
    </w:pPr>
    <w:rPr>
      <w:szCs w:val="20"/>
      <w:lang w:val="la-Latn"/>
    </w:rPr>
  </w:style>
  <w:style w:type="paragraph" w:customStyle="1" w:styleId="Normal12">
    <w:name w:val="Normal_12"/>
    <w:qFormat/>
    <w:rsid w:val="00130880"/>
    <w:rPr>
      <w:rFonts w:ascii="Expert Sans Regular" w:hAnsi="Expert Sans Regular"/>
      <w:sz w:val="18"/>
      <w:szCs w:val="24"/>
      <w:lang w:eastAsia="en-US"/>
    </w:rPr>
  </w:style>
  <w:style w:type="paragraph" w:customStyle="1" w:styleId="Level1Bullet-BarcRA111">
    <w:name w:val="Level 1 Bullet - Barc RA_11_1"/>
    <w:basedOn w:val="Normal12"/>
    <w:rsid w:val="00E140CE"/>
    <w:pPr>
      <w:numPr>
        <w:numId w:val="20"/>
      </w:numPr>
      <w:spacing w:before="180" w:after="180"/>
      <w:jc w:val="both"/>
    </w:pPr>
    <w:rPr>
      <w:szCs w:val="20"/>
      <w:lang w:val="la-Latn"/>
    </w:rPr>
  </w:style>
  <w:style w:type="paragraph" w:customStyle="1" w:styleId="HeadingLevel2-BarcRA0">
    <w:name w:val="Heading Level 2 - Barc RA_0"/>
    <w:basedOn w:val="Normal12"/>
    <w:next w:val="Normal12"/>
    <w:qFormat/>
    <w:rsid w:val="000A4DBC"/>
    <w:pPr>
      <w:spacing w:before="240"/>
      <w:jc w:val="both"/>
    </w:pPr>
    <w:rPr>
      <w:b/>
      <w:bCs/>
      <w:color w:val="000000"/>
      <w:sz w:val="20"/>
      <w:szCs w:val="20"/>
      <w:lang w:val="la-Latn"/>
    </w:rPr>
  </w:style>
  <w:style w:type="paragraph" w:customStyle="1" w:styleId="Level1Bullet-BarcRA100">
    <w:name w:val="Level 1 Bullet - Barc RA_10_0"/>
    <w:basedOn w:val="Normal12"/>
    <w:uiPriority w:val="99"/>
    <w:rsid w:val="000A4DBC"/>
    <w:pPr>
      <w:numPr>
        <w:numId w:val="21"/>
      </w:numPr>
      <w:spacing w:before="180" w:after="180"/>
      <w:jc w:val="both"/>
    </w:pPr>
    <w:rPr>
      <w:rFonts w:eastAsia="Calibri"/>
      <w:szCs w:val="18"/>
      <w:lang w:eastAsia="en-GB"/>
    </w:rPr>
  </w:style>
  <w:style w:type="paragraph" w:customStyle="1" w:styleId="Level2Bullet-BarcRA30">
    <w:name w:val="Level 2 Bullet - Barc RA_3_0"/>
    <w:basedOn w:val="Normal12"/>
    <w:qFormat/>
    <w:rsid w:val="000A4DBC"/>
    <w:pPr>
      <w:numPr>
        <w:ilvl w:val="2"/>
        <w:numId w:val="22"/>
      </w:numPr>
      <w:spacing w:before="180" w:after="180"/>
      <w:jc w:val="both"/>
    </w:pPr>
    <w:rPr>
      <w:szCs w:val="20"/>
      <w:lang w:val="la-Latn"/>
    </w:rPr>
  </w:style>
  <w:style w:type="paragraph" w:customStyle="1" w:styleId="HeadingLevel2-BarcRA5">
    <w:name w:val="Heading Level 2 - Barc RA_5"/>
    <w:basedOn w:val="Normal12"/>
    <w:next w:val="Normal12"/>
    <w:qFormat/>
    <w:rsid w:val="000A4DBC"/>
    <w:pPr>
      <w:spacing w:before="240"/>
      <w:jc w:val="both"/>
    </w:pPr>
    <w:rPr>
      <w:b/>
      <w:bCs/>
      <w:color w:val="000000"/>
      <w:sz w:val="20"/>
      <w:szCs w:val="20"/>
      <w:lang w:val="la-Latn"/>
    </w:rPr>
  </w:style>
  <w:style w:type="paragraph" w:customStyle="1" w:styleId="HeadingLevel1-BarcRA9">
    <w:name w:val="Heading Level 1 - Barc RA_9"/>
    <w:basedOn w:val="BodyText-BarcRA11"/>
    <w:next w:val="BodyText-BarcRA11"/>
    <w:rsid w:val="00C747B7"/>
    <w:pPr>
      <w:spacing w:before="0"/>
    </w:pPr>
    <w:rPr>
      <w:b/>
      <w:bCs/>
      <w:color w:val="000000"/>
      <w:sz w:val="24"/>
      <w:lang w:val="la-Latn"/>
    </w:rPr>
  </w:style>
  <w:style w:type="paragraph" w:customStyle="1" w:styleId="BodyText-BarcRA11">
    <w:name w:val="Body Text - Barc RA_11"/>
    <w:qFormat/>
    <w:rsid w:val="00C747B7"/>
    <w:pPr>
      <w:spacing w:before="180" w:after="180"/>
      <w:jc w:val="both"/>
    </w:pPr>
    <w:rPr>
      <w:rFonts w:ascii="Expert Sans Regular" w:hAnsi="Expert Sans Regular"/>
      <w:sz w:val="18"/>
      <w:lang w:eastAsia="en-US"/>
    </w:rPr>
  </w:style>
  <w:style w:type="paragraph" w:customStyle="1" w:styleId="HeaderSpacerwithLine-BarcRA3">
    <w:name w:val="Header Spacer with Line - Barc RA_3"/>
    <w:basedOn w:val="BodyText-BarcRA11"/>
    <w:rsid w:val="00C747B7"/>
    <w:pPr>
      <w:pBdr>
        <w:top w:val="single" w:sz="4" w:space="1" w:color="auto"/>
      </w:pBdr>
      <w:spacing w:before="0" w:after="0"/>
    </w:pPr>
    <w:rPr>
      <w:sz w:val="10"/>
      <w:szCs w:val="10"/>
    </w:rPr>
  </w:style>
  <w:style w:type="paragraph" w:customStyle="1" w:styleId="HeadingLevel1-BarcRA10">
    <w:name w:val="Heading Level 1 - Barc RA_10"/>
    <w:basedOn w:val="BodyText-BarcRA12"/>
    <w:next w:val="BodyText-BarcRA12"/>
    <w:rsid w:val="00B05725"/>
    <w:pPr>
      <w:spacing w:before="0"/>
    </w:pPr>
    <w:rPr>
      <w:b/>
      <w:bCs/>
      <w:color w:val="000000"/>
      <w:sz w:val="24"/>
      <w:lang w:val="la-Latn"/>
    </w:rPr>
  </w:style>
  <w:style w:type="paragraph" w:customStyle="1" w:styleId="BodyText-BarcRA12">
    <w:name w:val="Body Text - Barc RA_12"/>
    <w:qFormat/>
    <w:rsid w:val="00B05725"/>
    <w:pPr>
      <w:spacing w:before="180" w:after="180"/>
      <w:jc w:val="both"/>
    </w:pPr>
    <w:rPr>
      <w:rFonts w:ascii="Expert Sans Regular" w:hAnsi="Expert Sans Regular"/>
      <w:sz w:val="18"/>
      <w:lang w:eastAsia="en-US"/>
    </w:rPr>
  </w:style>
  <w:style w:type="paragraph" w:customStyle="1" w:styleId="HeaderSpacerwithLine-BarcRA4">
    <w:name w:val="Header Spacer with Line - Barc RA_4"/>
    <w:basedOn w:val="BodyText-BarcRA12"/>
    <w:rsid w:val="00B05725"/>
    <w:pPr>
      <w:pBdr>
        <w:top w:val="single" w:sz="4" w:space="1" w:color="auto"/>
      </w:pBdr>
      <w:spacing w:before="0" w:after="0"/>
    </w:pPr>
    <w:rPr>
      <w:sz w:val="10"/>
      <w:szCs w:val="10"/>
    </w:rPr>
  </w:style>
  <w:style w:type="paragraph" w:customStyle="1" w:styleId="Normal14">
    <w:name w:val="Normal_14"/>
    <w:qFormat/>
    <w:rsid w:val="001F0FD5"/>
    <w:rPr>
      <w:rFonts w:ascii="Expert Sans Regular" w:eastAsia="Expert Sans Regular" w:hAnsi="Expert Sans Regular" w:cs="Expert Sans Regular"/>
      <w:sz w:val="2"/>
      <w:szCs w:val="24"/>
      <w:lang w:val="en-US" w:eastAsia="en-US"/>
    </w:rPr>
  </w:style>
  <w:style w:type="paragraph" w:customStyle="1" w:styleId="Normal15">
    <w:name w:val="Normal_15"/>
    <w:qFormat/>
    <w:rsid w:val="00772C0C"/>
    <w:rPr>
      <w:sz w:val="24"/>
      <w:szCs w:val="24"/>
    </w:rPr>
  </w:style>
  <w:style w:type="paragraph" w:customStyle="1" w:styleId="Normal16">
    <w:name w:val="Normal_16"/>
    <w:qFormat/>
    <w:rsid w:val="00772C0C"/>
    <w:rPr>
      <w:sz w:val="24"/>
      <w:szCs w:val="24"/>
    </w:rPr>
  </w:style>
  <w:style w:type="paragraph" w:customStyle="1" w:styleId="Normal17">
    <w:name w:val="Normal_17"/>
    <w:qFormat/>
    <w:rsid w:val="00E074F3"/>
    <w:rPr>
      <w:sz w:val="24"/>
      <w:szCs w:val="24"/>
    </w:rPr>
  </w:style>
  <w:style w:type="paragraph" w:customStyle="1" w:styleId="Normal18">
    <w:name w:val="Normal_18"/>
    <w:qFormat/>
    <w:rsid w:val="00772C0C"/>
    <w:rPr>
      <w:sz w:val="24"/>
      <w:szCs w:val="24"/>
    </w:rPr>
  </w:style>
  <w:style w:type="paragraph" w:customStyle="1" w:styleId="HeaderSpacerwithLine-BarcRA5">
    <w:name w:val="Header Spacer with Line - Barc RA_5"/>
    <w:basedOn w:val="BodyText-BarcRA13"/>
    <w:rsid w:val="007C3A38"/>
    <w:pPr>
      <w:pBdr>
        <w:top w:val="single" w:sz="4" w:space="1" w:color="auto"/>
      </w:pBdr>
      <w:spacing w:before="0" w:after="0"/>
    </w:pPr>
    <w:rPr>
      <w:sz w:val="10"/>
      <w:szCs w:val="10"/>
    </w:rPr>
  </w:style>
  <w:style w:type="paragraph" w:customStyle="1" w:styleId="BodyText-BarcRA13">
    <w:name w:val="Body Text - Barc RA_13"/>
    <w:qFormat/>
    <w:rsid w:val="007C3A38"/>
    <w:pPr>
      <w:spacing w:before="180" w:after="180"/>
      <w:jc w:val="both"/>
    </w:pPr>
    <w:rPr>
      <w:rFonts w:ascii="Expert Sans Regular" w:hAnsi="Expert Sans Regular"/>
      <w:sz w:val="18"/>
      <w:lang w:eastAsia="en-US"/>
    </w:rPr>
  </w:style>
  <w:style w:type="paragraph" w:customStyle="1" w:styleId="Normal19">
    <w:name w:val="Normal_19"/>
    <w:qFormat/>
    <w:rsid w:val="00C3107E"/>
    <w:rPr>
      <w:rFonts w:ascii="Expert Sans Regular" w:hAnsi="Expert Sans Regular"/>
      <w:sz w:val="18"/>
      <w:szCs w:val="24"/>
      <w:lang w:eastAsia="en-US"/>
    </w:rPr>
  </w:style>
  <w:style w:type="paragraph" w:customStyle="1" w:styleId="HeadingLevel1-BarcRA11">
    <w:name w:val="Heading Level 1 - Barc RA_11"/>
    <w:basedOn w:val="BodyText-BarcRA14"/>
    <w:next w:val="BodyText-BarcRA14"/>
    <w:rsid w:val="001D6E1D"/>
    <w:pPr>
      <w:spacing w:before="0"/>
    </w:pPr>
    <w:rPr>
      <w:b/>
      <w:bCs/>
      <w:color w:val="000000"/>
      <w:sz w:val="24"/>
      <w:lang w:val="la-Latn"/>
    </w:rPr>
  </w:style>
  <w:style w:type="paragraph" w:customStyle="1" w:styleId="BodyText-BarcRA14">
    <w:name w:val="Body Text - Barc RA_14"/>
    <w:qFormat/>
    <w:rsid w:val="001D6E1D"/>
    <w:pPr>
      <w:spacing w:before="180" w:after="180"/>
      <w:jc w:val="both"/>
    </w:pPr>
    <w:rPr>
      <w:rFonts w:ascii="Expert Sans Regular" w:hAnsi="Expert Sans Regular"/>
      <w:sz w:val="18"/>
      <w:lang w:eastAsia="en-US"/>
    </w:rPr>
  </w:style>
  <w:style w:type="paragraph" w:customStyle="1" w:styleId="Level1Bullet-BarcRA200">
    <w:name w:val="Level 1 Bullet - Barc RA_2_0_0"/>
    <w:basedOn w:val="Normal19"/>
    <w:uiPriority w:val="99"/>
    <w:rsid w:val="0014599A"/>
    <w:pPr>
      <w:numPr>
        <w:numId w:val="25"/>
      </w:numPr>
      <w:spacing w:before="180" w:after="180"/>
      <w:jc w:val="both"/>
    </w:pPr>
    <w:rPr>
      <w:szCs w:val="20"/>
      <w:lang w:val="la-Latn"/>
    </w:rPr>
  </w:style>
  <w:style w:type="paragraph" w:customStyle="1" w:styleId="Level1Bullet-BarcRA20300">
    <w:name w:val="Level 1 Bullet - Barc RA_2_0_3_0_0"/>
    <w:basedOn w:val="Normal19"/>
    <w:rsid w:val="004B7041"/>
    <w:pPr>
      <w:tabs>
        <w:tab w:val="num" w:pos="284"/>
      </w:tabs>
      <w:spacing w:before="180" w:after="180"/>
      <w:ind w:left="284" w:hanging="284"/>
      <w:jc w:val="both"/>
    </w:pPr>
    <w:rPr>
      <w:szCs w:val="20"/>
      <w:lang w:val="la-Latn"/>
    </w:rPr>
  </w:style>
  <w:style w:type="paragraph" w:customStyle="1" w:styleId="Level1Bullet-BarcRA3000">
    <w:name w:val="Level 1 Bullet - Barc RA_3_0_0_0"/>
    <w:basedOn w:val="Normal19"/>
    <w:uiPriority w:val="99"/>
    <w:rsid w:val="00A12A45"/>
    <w:pPr>
      <w:numPr>
        <w:numId w:val="27"/>
      </w:numPr>
      <w:spacing w:before="180" w:after="180"/>
      <w:jc w:val="both"/>
    </w:pPr>
    <w:rPr>
      <w:szCs w:val="20"/>
      <w:lang w:val="la-Latn"/>
    </w:rPr>
  </w:style>
  <w:style w:type="paragraph" w:customStyle="1" w:styleId="Level2Bullet-BarcRA300">
    <w:name w:val="Level 2 Bullet - Barc RA_3_0_0"/>
    <w:basedOn w:val="Normal19"/>
    <w:qFormat/>
    <w:rsid w:val="004B7041"/>
    <w:pPr>
      <w:numPr>
        <w:ilvl w:val="2"/>
        <w:numId w:val="28"/>
      </w:numPr>
      <w:spacing w:before="180" w:after="180"/>
      <w:jc w:val="both"/>
    </w:pPr>
    <w:rPr>
      <w:szCs w:val="20"/>
      <w:lang w:val="la-Latn"/>
    </w:rPr>
  </w:style>
  <w:style w:type="paragraph" w:customStyle="1" w:styleId="Default">
    <w:name w:val="Default"/>
    <w:rsid w:val="001D6E1D"/>
    <w:pPr>
      <w:widowControl w:val="0"/>
      <w:autoSpaceDE w:val="0"/>
      <w:autoSpaceDN w:val="0"/>
      <w:adjustRightInd w:val="0"/>
    </w:pPr>
    <w:rPr>
      <w:rFonts w:ascii="Expert Serif Regular" w:hAnsi="Expert Serif Regular" w:cs="Expert Serif Regular"/>
      <w:color w:val="000000"/>
      <w:sz w:val="24"/>
      <w:szCs w:val="24"/>
    </w:rPr>
  </w:style>
  <w:style w:type="paragraph" w:customStyle="1" w:styleId="Level1Bullet-BarcRA2000">
    <w:name w:val="Level 1 Bullet - Barc RA_2_0_0_0"/>
    <w:basedOn w:val="Normal19"/>
    <w:uiPriority w:val="99"/>
    <w:rsid w:val="00A01F96"/>
    <w:pPr>
      <w:numPr>
        <w:numId w:val="29"/>
      </w:numPr>
      <w:spacing w:before="180" w:after="180"/>
      <w:jc w:val="both"/>
    </w:pPr>
    <w:rPr>
      <w:szCs w:val="20"/>
      <w:lang w:val="la-Latn"/>
    </w:rPr>
  </w:style>
  <w:style w:type="paragraph" w:customStyle="1" w:styleId="Level1Bullet-BarcRA20301">
    <w:name w:val="Level 1 Bullet - Barc RA_2_0_3_0_1"/>
    <w:basedOn w:val="Normal19"/>
    <w:rsid w:val="00A01F96"/>
    <w:pPr>
      <w:numPr>
        <w:numId w:val="30"/>
      </w:numPr>
      <w:spacing w:before="180" w:after="180"/>
      <w:jc w:val="both"/>
    </w:pPr>
    <w:rPr>
      <w:szCs w:val="20"/>
      <w:lang w:val="la-Latn"/>
    </w:rPr>
  </w:style>
  <w:style w:type="paragraph" w:customStyle="1" w:styleId="Normal20">
    <w:name w:val="Normal_20"/>
    <w:qFormat/>
    <w:rsid w:val="009705AC"/>
    <w:rPr>
      <w:rFonts w:ascii="Expert Sans Regular" w:hAnsi="Expert Sans Regular"/>
      <w:sz w:val="18"/>
      <w:szCs w:val="24"/>
      <w:lang w:eastAsia="en-US"/>
    </w:rPr>
  </w:style>
  <w:style w:type="paragraph" w:customStyle="1" w:styleId="Level1Bullet-BarcRA20010">
    <w:name w:val="Level 1 Bullet - Barc RA_2_0_0_1"/>
    <w:basedOn w:val="Normal20"/>
    <w:uiPriority w:val="99"/>
    <w:rsid w:val="00A01A13"/>
    <w:pPr>
      <w:tabs>
        <w:tab w:val="num" w:pos="284"/>
      </w:tabs>
      <w:spacing w:before="180" w:after="180"/>
      <w:ind w:left="284" w:hanging="284"/>
      <w:jc w:val="both"/>
    </w:pPr>
    <w:rPr>
      <w:szCs w:val="20"/>
      <w:lang w:val="la-Latn"/>
    </w:rPr>
  </w:style>
  <w:style w:type="paragraph" w:customStyle="1" w:styleId="Level1Bullet-BarcRA40">
    <w:name w:val="Level 1 Bullet - Barc RA_4_0"/>
    <w:basedOn w:val="Normal20"/>
    <w:link w:val="Level1Bullet-BarcRAChar10"/>
    <w:qFormat/>
    <w:rsid w:val="00FE05B8"/>
    <w:pPr>
      <w:numPr>
        <w:numId w:val="32"/>
      </w:numPr>
      <w:spacing w:before="180" w:after="180"/>
      <w:jc w:val="both"/>
    </w:pPr>
    <w:rPr>
      <w:szCs w:val="20"/>
      <w:lang w:val="la-Latn"/>
    </w:rPr>
  </w:style>
  <w:style w:type="character" w:customStyle="1" w:styleId="Level1Bullet-BarcRAChar10">
    <w:name w:val="Level 1 Bullet - Barc RA Char_1_0"/>
    <w:link w:val="Level1Bullet-BarcRA40"/>
    <w:locked/>
    <w:rsid w:val="00FE05B8"/>
    <w:rPr>
      <w:rFonts w:ascii="Expert Sans Regular" w:hAnsi="Expert Sans Regular"/>
      <w:sz w:val="18"/>
      <w:lang w:val="la-Latn" w:eastAsia="en-US"/>
    </w:rPr>
  </w:style>
  <w:style w:type="paragraph" w:customStyle="1" w:styleId="Level2Bullet-BarcRA301">
    <w:name w:val="Level 2 Bullet - Barc RA_3_0_1"/>
    <w:basedOn w:val="Normal20"/>
    <w:qFormat/>
    <w:rsid w:val="00357F3B"/>
    <w:pPr>
      <w:numPr>
        <w:ilvl w:val="2"/>
        <w:numId w:val="33"/>
      </w:numPr>
      <w:spacing w:before="180" w:after="180"/>
      <w:jc w:val="both"/>
    </w:pPr>
    <w:rPr>
      <w:szCs w:val="20"/>
      <w:lang w:val="la-Latn"/>
    </w:rPr>
  </w:style>
  <w:style w:type="paragraph" w:customStyle="1" w:styleId="Level1Bullet-BarcRA400">
    <w:name w:val="Level 1 Bullet - Barc RA_4_0_0"/>
    <w:basedOn w:val="Normal20"/>
    <w:link w:val="Level1Bullet-BarcRAChar100"/>
    <w:qFormat/>
    <w:rsid w:val="00E47305"/>
    <w:pPr>
      <w:numPr>
        <w:numId w:val="34"/>
      </w:numPr>
      <w:spacing w:before="180" w:after="180"/>
      <w:jc w:val="both"/>
    </w:pPr>
    <w:rPr>
      <w:szCs w:val="20"/>
      <w:lang w:val="la-Latn"/>
    </w:rPr>
  </w:style>
  <w:style w:type="character" w:customStyle="1" w:styleId="Level1Bullet-BarcRAChar100">
    <w:name w:val="Level 1 Bullet - Barc RA Char_1_0_0"/>
    <w:link w:val="Level1Bullet-BarcRA400"/>
    <w:locked/>
    <w:rsid w:val="00E47305"/>
    <w:rPr>
      <w:rFonts w:ascii="Expert Sans Regular" w:hAnsi="Expert Sans Regular"/>
      <w:sz w:val="18"/>
      <w:lang w:val="la-Latn" w:eastAsia="en-US"/>
    </w:rPr>
  </w:style>
  <w:style w:type="paragraph" w:customStyle="1" w:styleId="Level1Bullet-BarcRA3001">
    <w:name w:val="Level 1 Bullet - Barc RA_3_0_0_1"/>
    <w:basedOn w:val="Normal20"/>
    <w:uiPriority w:val="99"/>
    <w:rsid w:val="006720E9"/>
    <w:pPr>
      <w:tabs>
        <w:tab w:val="num" w:pos="284"/>
      </w:tabs>
      <w:spacing w:before="180" w:after="180"/>
      <w:ind w:left="284" w:hanging="284"/>
      <w:jc w:val="both"/>
    </w:pPr>
    <w:rPr>
      <w:szCs w:val="20"/>
      <w:lang w:val="la-Latn"/>
    </w:rPr>
  </w:style>
  <w:style w:type="paragraph" w:customStyle="1" w:styleId="Level1Bullet-BarcRA41">
    <w:name w:val="Level 1 Bullet - Barc RA_4_1"/>
    <w:basedOn w:val="Normal20"/>
    <w:rsid w:val="00740D2E"/>
    <w:pPr>
      <w:numPr>
        <w:numId w:val="35"/>
      </w:numPr>
      <w:spacing w:before="180" w:after="180"/>
      <w:jc w:val="both"/>
    </w:pPr>
    <w:rPr>
      <w:szCs w:val="20"/>
      <w:lang w:val="la-Latn"/>
    </w:rPr>
  </w:style>
  <w:style w:type="paragraph" w:customStyle="1" w:styleId="Level1Bullet-BarcRA3002">
    <w:name w:val="Level 1 Bullet - Barc RA_3_0_0_2"/>
    <w:basedOn w:val="Normal20"/>
    <w:qFormat/>
    <w:rsid w:val="00E25A58"/>
    <w:pPr>
      <w:numPr>
        <w:numId w:val="36"/>
      </w:numPr>
      <w:spacing w:before="180" w:after="180"/>
      <w:jc w:val="both"/>
    </w:pPr>
    <w:rPr>
      <w:szCs w:val="20"/>
      <w:lang w:val="la-Latn"/>
    </w:rPr>
  </w:style>
  <w:style w:type="paragraph" w:customStyle="1" w:styleId="Level1Bullet-BarcRA4000">
    <w:name w:val="Level 1 Bullet - Barc RA_4_0_0_0"/>
    <w:basedOn w:val="Normal20"/>
    <w:link w:val="Level1Bullet-BarcRAChar1000"/>
    <w:rsid w:val="00A01A13"/>
    <w:pPr>
      <w:tabs>
        <w:tab w:val="num" w:pos="284"/>
      </w:tabs>
      <w:spacing w:before="180" w:after="180"/>
      <w:ind w:left="284" w:hanging="284"/>
      <w:jc w:val="both"/>
    </w:pPr>
    <w:rPr>
      <w:szCs w:val="20"/>
      <w:lang w:val="la-Latn"/>
    </w:rPr>
  </w:style>
  <w:style w:type="character" w:customStyle="1" w:styleId="Level1Bullet-BarcRAChar1000">
    <w:name w:val="Level 1 Bullet - Barc RA Char_1_0_0_0"/>
    <w:link w:val="Level1Bullet-BarcRA4000"/>
    <w:locked/>
    <w:rsid w:val="00A01A13"/>
    <w:rPr>
      <w:rFonts w:ascii="Expert Sans Regular" w:hAnsi="Expert Sans Regular"/>
      <w:sz w:val="18"/>
      <w:lang w:val="la-Latn" w:eastAsia="en-US"/>
    </w:rPr>
  </w:style>
  <w:style w:type="paragraph" w:customStyle="1" w:styleId="Level1Bullet-BarcRA40000">
    <w:name w:val="Level 1 Bullet - Barc RA_4_0_0_0_0"/>
    <w:basedOn w:val="Normal20"/>
    <w:link w:val="Level1Bullet-BarcRAChar10000"/>
    <w:uiPriority w:val="99"/>
    <w:rsid w:val="006720E9"/>
    <w:pPr>
      <w:tabs>
        <w:tab w:val="num" w:pos="284"/>
      </w:tabs>
      <w:spacing w:before="180" w:after="180"/>
      <w:ind w:left="284" w:hanging="284"/>
      <w:jc w:val="both"/>
    </w:pPr>
    <w:rPr>
      <w:szCs w:val="20"/>
      <w:lang w:val="la-Latn"/>
    </w:rPr>
  </w:style>
  <w:style w:type="character" w:customStyle="1" w:styleId="Level1Bullet-BarcRAChar10000">
    <w:name w:val="Level 1 Bullet - Barc RA Char_1_0_0_0_0"/>
    <w:link w:val="Level1Bullet-BarcRA40000"/>
    <w:uiPriority w:val="99"/>
    <w:locked/>
    <w:rsid w:val="006720E9"/>
    <w:rPr>
      <w:rFonts w:ascii="Expert Sans Regular" w:hAnsi="Expert Sans Regular"/>
      <w:sz w:val="18"/>
      <w:lang w:val="la-Latn" w:eastAsia="en-US"/>
    </w:rPr>
  </w:style>
  <w:style w:type="paragraph" w:customStyle="1" w:styleId="Level1Bullet-BarcRA31">
    <w:name w:val="Level 1 Bullet - Barc RA_3_1"/>
    <w:basedOn w:val="Normal20"/>
    <w:uiPriority w:val="99"/>
    <w:rsid w:val="00E25A58"/>
    <w:pPr>
      <w:numPr>
        <w:numId w:val="37"/>
      </w:numPr>
      <w:spacing w:before="180" w:after="180"/>
      <w:jc w:val="both"/>
    </w:pPr>
    <w:rPr>
      <w:szCs w:val="20"/>
      <w:lang w:val="la-Latn"/>
    </w:rPr>
  </w:style>
  <w:style w:type="paragraph" w:customStyle="1" w:styleId="Normal21">
    <w:name w:val="Normal_21"/>
    <w:qFormat/>
    <w:rsid w:val="009705AC"/>
    <w:rPr>
      <w:rFonts w:ascii="Expert Sans Regular" w:hAnsi="Expert Sans Regular"/>
      <w:sz w:val="18"/>
      <w:szCs w:val="24"/>
      <w:lang w:eastAsia="en-US"/>
    </w:rPr>
  </w:style>
  <w:style w:type="paragraph" w:customStyle="1" w:styleId="Level1Bullet-BarcRA40001">
    <w:name w:val="Level 1 Bullet - Barc RA_4_0_0_0_1"/>
    <w:basedOn w:val="Normal21"/>
    <w:link w:val="Level1Bullet-BarcRAChar10001"/>
    <w:rsid w:val="00B51316"/>
    <w:pPr>
      <w:numPr>
        <w:numId w:val="39"/>
      </w:numPr>
      <w:spacing w:before="180" w:after="180"/>
      <w:jc w:val="both"/>
    </w:pPr>
    <w:rPr>
      <w:szCs w:val="20"/>
      <w:lang w:val="la-Latn"/>
    </w:rPr>
  </w:style>
  <w:style w:type="character" w:customStyle="1" w:styleId="Level1Bullet-BarcRAChar10001">
    <w:name w:val="Level 1 Bullet - Barc RA Char_1_0_0_0_1"/>
    <w:link w:val="Level1Bullet-BarcRA40001"/>
    <w:locked/>
    <w:rsid w:val="00B51316"/>
    <w:rPr>
      <w:rFonts w:ascii="Expert Sans Regular" w:hAnsi="Expert Sans Regular"/>
      <w:sz w:val="18"/>
      <w:lang w:val="la-Latn" w:eastAsia="en-US"/>
    </w:rPr>
  </w:style>
  <w:style w:type="paragraph" w:customStyle="1" w:styleId="Normal22">
    <w:name w:val="Normal_22"/>
    <w:qFormat/>
    <w:rsid w:val="009705AC"/>
    <w:rPr>
      <w:rFonts w:ascii="Expert Sans Regular" w:hAnsi="Expert Sans Regular"/>
      <w:sz w:val="18"/>
      <w:szCs w:val="24"/>
      <w:lang w:eastAsia="en-US"/>
    </w:rPr>
  </w:style>
  <w:style w:type="paragraph" w:customStyle="1" w:styleId="Level1Bullet-BarcRA2010">
    <w:name w:val="Level 1 Bullet - Barc RA_2_0_1"/>
    <w:basedOn w:val="Normal22"/>
    <w:uiPriority w:val="99"/>
    <w:rsid w:val="00B51316"/>
    <w:pPr>
      <w:tabs>
        <w:tab w:val="num" w:pos="284"/>
      </w:tabs>
      <w:spacing w:before="180" w:after="180"/>
      <w:ind w:left="284" w:hanging="284"/>
      <w:jc w:val="both"/>
    </w:pPr>
    <w:rPr>
      <w:szCs w:val="20"/>
      <w:lang w:val="la-Latn"/>
    </w:rPr>
  </w:style>
  <w:style w:type="paragraph" w:customStyle="1" w:styleId="Level2Bullet-BarcRA3010">
    <w:name w:val="Level 2 Bullet - Barc RA_3_0_1_0"/>
    <w:basedOn w:val="Normal22"/>
    <w:qFormat/>
    <w:rsid w:val="005B28F3"/>
    <w:pPr>
      <w:tabs>
        <w:tab w:val="num" w:pos="1401"/>
      </w:tabs>
      <w:spacing w:before="180" w:after="180"/>
      <w:ind w:left="1401" w:hanging="735"/>
      <w:jc w:val="both"/>
    </w:pPr>
    <w:rPr>
      <w:szCs w:val="20"/>
      <w:lang w:val="la-Latn"/>
    </w:rPr>
  </w:style>
  <w:style w:type="paragraph" w:customStyle="1" w:styleId="Level2Bullet-BarcRA302">
    <w:name w:val="Level 2 Bullet - Barc RA_3_0_2"/>
    <w:basedOn w:val="Normal22"/>
    <w:qFormat/>
    <w:rsid w:val="005B28F3"/>
    <w:pPr>
      <w:numPr>
        <w:ilvl w:val="2"/>
        <w:numId w:val="40"/>
      </w:numPr>
      <w:spacing w:before="180" w:after="180"/>
      <w:jc w:val="both"/>
    </w:pPr>
    <w:rPr>
      <w:szCs w:val="20"/>
      <w:lang w:val="la-Latn"/>
    </w:rPr>
  </w:style>
  <w:style w:type="paragraph" w:customStyle="1" w:styleId="Level1Bullet-BarcRA400000">
    <w:name w:val="Level 1 Bullet - Barc RA_4_0_0_0_0_0"/>
    <w:basedOn w:val="Normal22"/>
    <w:link w:val="Level1Bullet-BarcRAChar100000"/>
    <w:rsid w:val="005A40F4"/>
    <w:pPr>
      <w:numPr>
        <w:numId w:val="41"/>
      </w:numPr>
      <w:spacing w:before="180" w:after="180"/>
      <w:jc w:val="both"/>
    </w:pPr>
    <w:rPr>
      <w:szCs w:val="20"/>
      <w:lang w:val="la-Latn"/>
    </w:rPr>
  </w:style>
  <w:style w:type="character" w:customStyle="1" w:styleId="Level1Bullet-BarcRAChar100000">
    <w:name w:val="Level 1 Bullet - Barc RA Char_1_0_0_0_0_0"/>
    <w:link w:val="Level1Bullet-BarcRA400000"/>
    <w:locked/>
    <w:rsid w:val="005A40F4"/>
    <w:rPr>
      <w:rFonts w:ascii="Expert Sans Regular" w:hAnsi="Expert Sans Regular"/>
      <w:sz w:val="18"/>
      <w:lang w:val="la-Latn" w:eastAsia="en-US"/>
    </w:rPr>
  </w:style>
  <w:style w:type="paragraph" w:customStyle="1" w:styleId="Level1Bullet-BarcRA4001">
    <w:name w:val="Level 1 Bullet - Barc RA_4_0_0_1"/>
    <w:basedOn w:val="Normal22"/>
    <w:link w:val="Level1Bullet-BarcRAChar1001"/>
    <w:rsid w:val="00DA3A2A"/>
    <w:pPr>
      <w:tabs>
        <w:tab w:val="num" w:pos="284"/>
      </w:tabs>
      <w:spacing w:before="180" w:after="180"/>
      <w:ind w:left="284" w:hanging="284"/>
      <w:jc w:val="both"/>
    </w:pPr>
    <w:rPr>
      <w:szCs w:val="20"/>
      <w:lang w:val="la-Latn"/>
    </w:rPr>
  </w:style>
  <w:style w:type="character" w:customStyle="1" w:styleId="Level1Bullet-BarcRAChar1001">
    <w:name w:val="Level 1 Bullet - Barc RA Char_1_0_0_1"/>
    <w:link w:val="Level1Bullet-BarcRA4001"/>
    <w:locked/>
    <w:rsid w:val="00B25211"/>
    <w:rPr>
      <w:rFonts w:ascii="Expert Sans Regular" w:hAnsi="Expert Sans Regular"/>
      <w:sz w:val="18"/>
      <w:lang w:val="la-Latn" w:eastAsia="en-US"/>
    </w:rPr>
  </w:style>
  <w:style w:type="paragraph" w:customStyle="1" w:styleId="Level2Bullet-BarcRA3011">
    <w:name w:val="Level 2 Bullet - Barc RA_3_0_1_1"/>
    <w:basedOn w:val="Normal22"/>
    <w:qFormat/>
    <w:rsid w:val="00B25211"/>
    <w:pPr>
      <w:numPr>
        <w:ilvl w:val="2"/>
        <w:numId w:val="42"/>
      </w:numPr>
      <w:spacing w:before="180" w:after="180"/>
      <w:jc w:val="both"/>
    </w:pPr>
    <w:rPr>
      <w:szCs w:val="20"/>
      <w:lang w:val="la-Latn"/>
    </w:rPr>
  </w:style>
  <w:style w:type="paragraph" w:customStyle="1" w:styleId="Level2Bullet-BarcRA303">
    <w:name w:val="Level 2 Bullet - Barc RA_3_0_3"/>
    <w:basedOn w:val="Normal22"/>
    <w:qFormat/>
    <w:rsid w:val="00DA3A2A"/>
    <w:pPr>
      <w:numPr>
        <w:ilvl w:val="2"/>
        <w:numId w:val="43"/>
      </w:numPr>
      <w:spacing w:before="180" w:after="180"/>
      <w:jc w:val="both"/>
    </w:pPr>
    <w:rPr>
      <w:szCs w:val="20"/>
      <w:lang w:val="la-Latn"/>
    </w:rPr>
  </w:style>
  <w:style w:type="paragraph" w:customStyle="1" w:styleId="Normal23">
    <w:name w:val="Normal_23"/>
    <w:qFormat/>
    <w:rsid w:val="009705AC"/>
    <w:rPr>
      <w:rFonts w:ascii="Expert Sans Regular" w:hAnsi="Expert Sans Regular"/>
      <w:sz w:val="18"/>
      <w:szCs w:val="24"/>
      <w:lang w:eastAsia="en-US"/>
    </w:rPr>
  </w:style>
  <w:style w:type="paragraph" w:customStyle="1" w:styleId="Level1Bullet-BarcRA202">
    <w:name w:val="Level 1 Bullet - Barc RA_2_0_2"/>
    <w:basedOn w:val="Normal23"/>
    <w:uiPriority w:val="99"/>
    <w:rsid w:val="00892373"/>
    <w:pPr>
      <w:tabs>
        <w:tab w:val="num" w:pos="284"/>
      </w:tabs>
      <w:spacing w:before="180" w:after="180"/>
      <w:ind w:left="284" w:hanging="284"/>
      <w:jc w:val="both"/>
    </w:pPr>
    <w:rPr>
      <w:szCs w:val="20"/>
      <w:lang w:val="la-Latn"/>
    </w:rPr>
  </w:style>
  <w:style w:type="paragraph" w:customStyle="1" w:styleId="Level1Bullet-BarcRA203000">
    <w:name w:val="Level 1 Bullet - Barc RA_2_0_3_0_0_0"/>
    <w:basedOn w:val="Normal23"/>
    <w:rsid w:val="00C107A7"/>
    <w:pPr>
      <w:numPr>
        <w:numId w:val="45"/>
      </w:numPr>
      <w:spacing w:before="180" w:after="180"/>
      <w:jc w:val="both"/>
    </w:pPr>
    <w:rPr>
      <w:szCs w:val="20"/>
      <w:lang w:val="la-Latn"/>
    </w:rPr>
  </w:style>
  <w:style w:type="paragraph" w:customStyle="1" w:styleId="Level2Bullet-BarcRA304">
    <w:name w:val="Level 2 Bullet - Barc RA_3_0_4"/>
    <w:basedOn w:val="Normal23"/>
    <w:qFormat/>
    <w:rsid w:val="006023F1"/>
    <w:pPr>
      <w:numPr>
        <w:ilvl w:val="2"/>
        <w:numId w:val="46"/>
      </w:numPr>
      <w:spacing w:before="180" w:after="180"/>
      <w:jc w:val="both"/>
    </w:pPr>
    <w:rPr>
      <w:szCs w:val="20"/>
      <w:lang w:val="la-Latn"/>
    </w:rPr>
  </w:style>
  <w:style w:type="paragraph" w:customStyle="1" w:styleId="Level1Bullet-BarcRA2030">
    <w:name w:val="Level 1 Bullet - Barc RA_2_0_3_0"/>
    <w:basedOn w:val="Normal23"/>
    <w:rsid w:val="006023F1"/>
    <w:pPr>
      <w:numPr>
        <w:numId w:val="47"/>
      </w:numPr>
      <w:spacing w:before="180" w:after="180"/>
      <w:jc w:val="both"/>
    </w:pPr>
    <w:rPr>
      <w:szCs w:val="20"/>
      <w:lang w:val="la-Latn"/>
    </w:rPr>
  </w:style>
  <w:style w:type="paragraph" w:customStyle="1" w:styleId="Level2Bullet-BarcRA3000">
    <w:name w:val="Level 2 Bullet - Barc RA_3_0_0_0"/>
    <w:basedOn w:val="Normal23"/>
    <w:qFormat/>
    <w:rsid w:val="003A5F8C"/>
    <w:pPr>
      <w:numPr>
        <w:ilvl w:val="2"/>
        <w:numId w:val="48"/>
      </w:numPr>
      <w:spacing w:before="180" w:after="180"/>
      <w:jc w:val="both"/>
    </w:pPr>
    <w:rPr>
      <w:szCs w:val="20"/>
      <w:lang w:val="la-Latn"/>
    </w:rPr>
  </w:style>
  <w:style w:type="paragraph" w:customStyle="1" w:styleId="Normal24">
    <w:name w:val="Normal_24"/>
    <w:qFormat/>
    <w:rsid w:val="006E56A6"/>
    <w:rPr>
      <w:rFonts w:ascii="Expert Sans Regular" w:hAnsi="Expert Sans Regular"/>
      <w:sz w:val="18"/>
      <w:szCs w:val="24"/>
      <w:lang w:eastAsia="en-US"/>
    </w:rPr>
  </w:style>
  <w:style w:type="paragraph" w:customStyle="1" w:styleId="HeadingLevel1-BarcRA12">
    <w:name w:val="Heading Level 1 - Barc RA_12"/>
    <w:basedOn w:val="BodyText-BarcRA15"/>
    <w:next w:val="BodyText-BarcRA15"/>
    <w:link w:val="HeadingLevel1-BarcRAChar3"/>
    <w:rsid w:val="002611B5"/>
    <w:pPr>
      <w:spacing w:before="0"/>
    </w:pPr>
    <w:rPr>
      <w:b/>
      <w:bCs/>
      <w:color w:val="000000"/>
      <w:sz w:val="24"/>
      <w:lang w:val="la-Latn"/>
    </w:rPr>
  </w:style>
  <w:style w:type="paragraph" w:customStyle="1" w:styleId="BodyText-BarcRA15">
    <w:name w:val="Body Text - Barc RA_15"/>
    <w:link w:val="BodyText-BarcRAChar4"/>
    <w:qFormat/>
    <w:rsid w:val="005D52ED"/>
    <w:pPr>
      <w:spacing w:before="180" w:after="180"/>
      <w:jc w:val="both"/>
    </w:pPr>
    <w:rPr>
      <w:rFonts w:ascii="Expert Sans Regular" w:hAnsi="Expert Sans Regular"/>
      <w:sz w:val="18"/>
      <w:lang w:eastAsia="en-US"/>
    </w:rPr>
  </w:style>
  <w:style w:type="character" w:customStyle="1" w:styleId="BodyText-BarcRAChar4">
    <w:name w:val="Body Text - Barc RA Char_4"/>
    <w:basedOn w:val="DefaultParagraphFont"/>
    <w:link w:val="BodyText-BarcRA15"/>
    <w:rsid w:val="005D52ED"/>
    <w:rPr>
      <w:rFonts w:ascii="Expert Sans Regular" w:hAnsi="Expert Sans Regular"/>
      <w:sz w:val="18"/>
      <w:lang w:val="en-GB" w:eastAsia="en-US" w:bidi="ar-SA"/>
    </w:rPr>
  </w:style>
  <w:style w:type="character" w:customStyle="1" w:styleId="HeadingLevel1-BarcRAChar3">
    <w:name w:val="Heading Level 1 - Barc RA Char_3"/>
    <w:basedOn w:val="DefaultParagraphFont"/>
    <w:link w:val="HeadingLevel1-BarcRA12"/>
    <w:rsid w:val="009705AC"/>
    <w:rPr>
      <w:rFonts w:ascii="Expert Sans Regular" w:hAnsi="Expert Sans Regular"/>
      <w:b/>
      <w:bCs/>
      <w:color w:val="000000"/>
      <w:sz w:val="24"/>
      <w:lang w:val="la-Latn"/>
    </w:rPr>
  </w:style>
  <w:style w:type="paragraph" w:customStyle="1" w:styleId="Level1Bullet-BarcRA70">
    <w:name w:val="Level 1 Bullet - Barc RA_7_0"/>
    <w:basedOn w:val="Normal25"/>
    <w:rsid w:val="00886C43"/>
    <w:pPr>
      <w:numPr>
        <w:numId w:val="50"/>
      </w:numPr>
      <w:spacing w:before="180" w:after="180"/>
      <w:jc w:val="both"/>
    </w:pPr>
    <w:rPr>
      <w:szCs w:val="20"/>
      <w:lang w:val="la-Latn"/>
    </w:rPr>
  </w:style>
  <w:style w:type="paragraph" w:customStyle="1" w:styleId="Normal25">
    <w:name w:val="Normal_25"/>
    <w:qFormat/>
    <w:rsid w:val="009705AC"/>
    <w:rPr>
      <w:rFonts w:ascii="Expert Sans Regular" w:hAnsi="Expert Sans Regular"/>
      <w:sz w:val="18"/>
      <w:szCs w:val="24"/>
      <w:lang w:eastAsia="en-US"/>
    </w:rPr>
  </w:style>
  <w:style w:type="paragraph" w:customStyle="1" w:styleId="Normal26">
    <w:name w:val="Normal_26"/>
    <w:qFormat/>
    <w:rsid w:val="009705AC"/>
    <w:rPr>
      <w:rFonts w:ascii="Expert Sans Regular" w:hAnsi="Expert Sans Regular"/>
      <w:sz w:val="18"/>
      <w:szCs w:val="24"/>
      <w:lang w:eastAsia="en-US"/>
    </w:rPr>
  </w:style>
  <w:style w:type="paragraph" w:customStyle="1" w:styleId="Level1Bullet-BarcRA7000">
    <w:name w:val="Level 1 Bullet - Barc RA_7_0_0_0"/>
    <w:basedOn w:val="Normal26"/>
    <w:rsid w:val="00732067"/>
    <w:pPr>
      <w:tabs>
        <w:tab w:val="num" w:pos="284"/>
      </w:tabs>
      <w:spacing w:before="180" w:after="180"/>
      <w:ind w:left="284" w:hanging="284"/>
      <w:jc w:val="both"/>
    </w:pPr>
    <w:rPr>
      <w:szCs w:val="20"/>
      <w:lang w:val="la-Latn"/>
    </w:rPr>
  </w:style>
  <w:style w:type="paragraph" w:customStyle="1" w:styleId="Level2Bullet-BarcRA3">
    <w:name w:val="Level 2 Bullet - Barc RA_3"/>
    <w:basedOn w:val="Level1Bullet-BarcRA7"/>
    <w:qFormat/>
    <w:rsid w:val="004A43C8"/>
    <w:pPr>
      <w:numPr>
        <w:ilvl w:val="2"/>
        <w:numId w:val="52"/>
      </w:numPr>
    </w:pPr>
  </w:style>
  <w:style w:type="paragraph" w:customStyle="1" w:styleId="Level1Bullet-BarcRA7">
    <w:name w:val="Level 1 Bullet - Barc RA_7"/>
    <w:basedOn w:val="Normal26"/>
    <w:rsid w:val="004A43C8"/>
    <w:pPr>
      <w:numPr>
        <w:numId w:val="53"/>
      </w:numPr>
      <w:spacing w:before="180" w:after="180"/>
      <w:jc w:val="both"/>
    </w:pPr>
    <w:rPr>
      <w:szCs w:val="20"/>
      <w:lang w:val="la-Latn"/>
    </w:rPr>
  </w:style>
  <w:style w:type="paragraph" w:customStyle="1" w:styleId="HeadingLevel1-BarcRA15">
    <w:name w:val="Heading Level 1 - Barc RA_15"/>
    <w:basedOn w:val="Normal27"/>
    <w:next w:val="Normal27"/>
    <w:link w:val="HeadingLevel1-BarcRAChar4"/>
    <w:rsid w:val="008E5E48"/>
    <w:pPr>
      <w:spacing w:after="180"/>
      <w:jc w:val="both"/>
    </w:pPr>
    <w:rPr>
      <w:b/>
      <w:bCs/>
      <w:color w:val="000000"/>
      <w:szCs w:val="20"/>
      <w:lang w:val="la-Latn"/>
    </w:rPr>
  </w:style>
  <w:style w:type="paragraph" w:customStyle="1" w:styleId="Normal27">
    <w:name w:val="Normal_27"/>
    <w:qFormat/>
    <w:rsid w:val="006E56A6"/>
    <w:rPr>
      <w:rFonts w:ascii="Expert Sans Regular" w:hAnsi="Expert Sans Regular"/>
      <w:sz w:val="18"/>
      <w:szCs w:val="24"/>
      <w:lang w:eastAsia="en-US"/>
    </w:rPr>
  </w:style>
  <w:style w:type="character" w:customStyle="1" w:styleId="HeadingLevel1-BarcRAChar4">
    <w:name w:val="Heading Level 1 - Barc RA Char_4"/>
    <w:basedOn w:val="DefaultParagraphFont"/>
    <w:link w:val="HeadingLevel1-BarcRA15"/>
    <w:locked/>
    <w:rsid w:val="008E5E48"/>
    <w:rPr>
      <w:rFonts w:ascii="Expert Sans Regular" w:hAnsi="Expert Sans Regular"/>
      <w:b/>
      <w:bCs/>
      <w:color w:val="000000"/>
      <w:sz w:val="24"/>
      <w:lang w:val="la-Latn" w:eastAsia="en-US"/>
    </w:rPr>
  </w:style>
  <w:style w:type="paragraph" w:customStyle="1" w:styleId="HeadingLevel1-BarcRA13">
    <w:name w:val="Heading Level 1 - Barc RA_13"/>
    <w:basedOn w:val="BodyText-BarcRA16"/>
    <w:next w:val="BodyText-BarcRA16"/>
    <w:link w:val="HeadingLevel1-BarcRAChar5"/>
    <w:rsid w:val="002611B5"/>
    <w:pPr>
      <w:spacing w:before="0"/>
    </w:pPr>
    <w:rPr>
      <w:b/>
      <w:bCs/>
      <w:color w:val="000000"/>
      <w:sz w:val="24"/>
      <w:lang w:val="la-Latn"/>
    </w:rPr>
  </w:style>
  <w:style w:type="paragraph" w:customStyle="1" w:styleId="BodyText-BarcRA16">
    <w:name w:val="Body Text - Barc RA_16"/>
    <w:link w:val="BodyText-BarcRAChar5"/>
    <w:qFormat/>
    <w:rsid w:val="005D52ED"/>
    <w:pPr>
      <w:spacing w:before="180" w:after="180"/>
      <w:jc w:val="both"/>
    </w:pPr>
    <w:rPr>
      <w:rFonts w:ascii="Expert Sans Regular" w:hAnsi="Expert Sans Regular"/>
      <w:sz w:val="18"/>
      <w:lang w:eastAsia="en-US"/>
    </w:rPr>
  </w:style>
  <w:style w:type="character" w:customStyle="1" w:styleId="BodyText-BarcRAChar5">
    <w:name w:val="Body Text - Barc RA Char_5"/>
    <w:basedOn w:val="DefaultParagraphFont"/>
    <w:link w:val="BodyText-BarcRA16"/>
    <w:rsid w:val="005D52ED"/>
    <w:rPr>
      <w:rFonts w:ascii="Expert Sans Regular" w:hAnsi="Expert Sans Regular"/>
      <w:sz w:val="18"/>
      <w:lang w:val="en-GB" w:eastAsia="en-US" w:bidi="ar-SA"/>
    </w:rPr>
  </w:style>
  <w:style w:type="character" w:customStyle="1" w:styleId="HeadingLevel1-BarcRAChar5">
    <w:name w:val="Heading Level 1 - Barc RA Char_5"/>
    <w:basedOn w:val="DefaultParagraphFont"/>
    <w:link w:val="HeadingLevel1-BarcRA13"/>
    <w:rsid w:val="009705AC"/>
    <w:rPr>
      <w:rFonts w:ascii="Expert Sans Regular" w:hAnsi="Expert Sans Regular"/>
      <w:b/>
      <w:bCs/>
      <w:color w:val="000000"/>
      <w:sz w:val="24"/>
      <w:lang w:val="la-Latn"/>
    </w:rPr>
  </w:style>
  <w:style w:type="paragraph" w:customStyle="1" w:styleId="Level1Bullet-BarcRA7001">
    <w:name w:val="Level 1 Bullet - Barc RA_7_0_0_1"/>
    <w:basedOn w:val="Normal28"/>
    <w:rsid w:val="00732067"/>
    <w:pPr>
      <w:tabs>
        <w:tab w:val="num" w:pos="284"/>
      </w:tabs>
      <w:spacing w:before="180" w:after="180"/>
      <w:ind w:left="284" w:hanging="284"/>
      <w:jc w:val="both"/>
    </w:pPr>
    <w:rPr>
      <w:szCs w:val="20"/>
      <w:lang w:val="la-Latn"/>
    </w:rPr>
  </w:style>
  <w:style w:type="paragraph" w:customStyle="1" w:styleId="Normal28">
    <w:name w:val="Normal_28"/>
    <w:qFormat/>
    <w:rsid w:val="009705AC"/>
    <w:rPr>
      <w:rFonts w:ascii="Expert Sans Regular" w:hAnsi="Expert Sans Regular"/>
      <w:sz w:val="18"/>
      <w:szCs w:val="24"/>
      <w:lang w:eastAsia="en-US"/>
    </w:rPr>
  </w:style>
  <w:style w:type="paragraph" w:customStyle="1" w:styleId="Level2Bullet-BarcRA31">
    <w:name w:val="Level 2 Bullet - Barc RA_3_1"/>
    <w:basedOn w:val="Level1Bullet-BarcRA71"/>
    <w:qFormat/>
    <w:rsid w:val="004A43C8"/>
    <w:pPr>
      <w:numPr>
        <w:ilvl w:val="2"/>
        <w:numId w:val="56"/>
      </w:numPr>
    </w:pPr>
  </w:style>
  <w:style w:type="paragraph" w:customStyle="1" w:styleId="Level1Bullet-BarcRA71">
    <w:name w:val="Level 1 Bullet - Barc RA_7_1"/>
    <w:basedOn w:val="Normal28"/>
    <w:rsid w:val="004A43C8"/>
    <w:pPr>
      <w:numPr>
        <w:numId w:val="57"/>
      </w:numPr>
      <w:spacing w:before="180" w:after="180"/>
      <w:jc w:val="both"/>
    </w:pPr>
    <w:rPr>
      <w:szCs w:val="20"/>
      <w:lang w:val="la-Latn"/>
    </w:rPr>
  </w:style>
  <w:style w:type="paragraph" w:customStyle="1" w:styleId="Level1Bullet-BarcRA70000">
    <w:name w:val="Level 1 Bullet - Barc RA_7_0_0_0_0"/>
    <w:basedOn w:val="Normal28"/>
    <w:rsid w:val="00F83CE1"/>
    <w:pPr>
      <w:tabs>
        <w:tab w:val="num" w:pos="284"/>
      </w:tabs>
      <w:spacing w:before="180" w:after="180"/>
      <w:ind w:left="284" w:hanging="284"/>
      <w:jc w:val="both"/>
    </w:pPr>
    <w:rPr>
      <w:szCs w:val="20"/>
      <w:lang w:val="la-Latn"/>
    </w:rPr>
  </w:style>
  <w:style w:type="paragraph" w:customStyle="1" w:styleId="BodyText-BarcRA17">
    <w:name w:val="Body Text - Barc RA_17"/>
    <w:link w:val="BodyText-BarcRAChar6"/>
    <w:qFormat/>
    <w:rsid w:val="00466E7E"/>
    <w:pPr>
      <w:spacing w:before="180" w:after="180"/>
      <w:jc w:val="both"/>
    </w:pPr>
    <w:rPr>
      <w:rFonts w:ascii="Expert Sans Regular" w:hAnsi="Expert Sans Regular"/>
      <w:sz w:val="18"/>
      <w:lang w:eastAsia="en-US"/>
    </w:rPr>
  </w:style>
  <w:style w:type="character" w:customStyle="1" w:styleId="BodyText-BarcRAChar6">
    <w:name w:val="Body Text - Barc RA Char_6"/>
    <w:basedOn w:val="DefaultParagraphFont"/>
    <w:link w:val="BodyText-BarcRA17"/>
    <w:rsid w:val="00466E7E"/>
    <w:rPr>
      <w:rFonts w:ascii="Expert Sans Regular" w:hAnsi="Expert Sans Regular"/>
      <w:sz w:val="18"/>
      <w:lang w:val="en-GB" w:eastAsia="en-US" w:bidi="ar-SA"/>
    </w:rPr>
  </w:style>
  <w:style w:type="paragraph" w:customStyle="1" w:styleId="HeadingLevel1-BarcRA14">
    <w:name w:val="Heading Level 1 - Barc RA_14"/>
    <w:basedOn w:val="BodyText-BarcRA17"/>
    <w:next w:val="BodyText-BarcRA17"/>
    <w:link w:val="HeadingLevel1-BarcRAChar6"/>
    <w:rsid w:val="00466E7E"/>
    <w:pPr>
      <w:spacing w:before="0"/>
    </w:pPr>
    <w:rPr>
      <w:b/>
      <w:bCs/>
      <w:color w:val="000000"/>
      <w:sz w:val="24"/>
      <w:lang w:val="la-Latn"/>
    </w:rPr>
  </w:style>
  <w:style w:type="character" w:customStyle="1" w:styleId="HeadingLevel1-BarcRAChar6">
    <w:name w:val="Heading Level 1 - Barc RA Char_6"/>
    <w:basedOn w:val="DefaultParagraphFont"/>
    <w:link w:val="HeadingLevel1-BarcRA14"/>
    <w:rsid w:val="00466E7E"/>
    <w:rPr>
      <w:rFonts w:ascii="Expert Sans Regular" w:hAnsi="Expert Sans Regular"/>
      <w:b/>
      <w:bCs/>
      <w:color w:val="000000"/>
      <w:sz w:val="24"/>
      <w:lang w:val="la-Latn" w:eastAsia="en-US"/>
    </w:rPr>
  </w:style>
  <w:style w:type="paragraph" w:customStyle="1" w:styleId="BodyText-BarcRA18">
    <w:name w:val="Body Text - Barc RA_18"/>
    <w:link w:val="BodyText-BarcRAChar7"/>
    <w:qFormat/>
    <w:rsid w:val="00466E7E"/>
    <w:pPr>
      <w:spacing w:before="180" w:after="180"/>
      <w:jc w:val="both"/>
    </w:pPr>
    <w:rPr>
      <w:rFonts w:ascii="Expert Sans Regular" w:hAnsi="Expert Sans Regular"/>
      <w:sz w:val="18"/>
      <w:lang w:eastAsia="en-US"/>
    </w:rPr>
  </w:style>
  <w:style w:type="character" w:customStyle="1" w:styleId="BodyText-BarcRAChar7">
    <w:name w:val="Body Text - Barc RA Char_7"/>
    <w:basedOn w:val="DefaultParagraphFont"/>
    <w:link w:val="BodyText-BarcRA18"/>
    <w:rsid w:val="00466E7E"/>
    <w:rPr>
      <w:rFonts w:ascii="Expert Sans Regular" w:hAnsi="Expert Sans Regular"/>
      <w:sz w:val="18"/>
      <w:lang w:val="en-GB" w:eastAsia="en-US" w:bidi="ar-SA"/>
    </w:rPr>
  </w:style>
  <w:style w:type="paragraph" w:customStyle="1" w:styleId="HeadingLevel1-BarcRA16">
    <w:name w:val="Heading Level 1 - Barc RA_16"/>
    <w:basedOn w:val="BodyText-BarcRA18"/>
    <w:next w:val="BodyText-BarcRA18"/>
    <w:link w:val="HeadingLevel1-BarcRAChar7"/>
    <w:rsid w:val="00466E7E"/>
    <w:pPr>
      <w:spacing w:before="0"/>
    </w:pPr>
    <w:rPr>
      <w:b/>
      <w:bCs/>
      <w:color w:val="000000"/>
      <w:sz w:val="24"/>
      <w:lang w:val="la-Latn"/>
    </w:rPr>
  </w:style>
  <w:style w:type="character" w:customStyle="1" w:styleId="HeadingLevel1-BarcRAChar7">
    <w:name w:val="Heading Level 1 - Barc RA Char_7"/>
    <w:basedOn w:val="DefaultParagraphFont"/>
    <w:link w:val="HeadingLevel1-BarcRA16"/>
    <w:rsid w:val="00466E7E"/>
    <w:rPr>
      <w:rFonts w:ascii="Expert Sans Regular" w:hAnsi="Expert Sans Regular"/>
      <w:b/>
      <w:bCs/>
      <w:color w:val="000000"/>
      <w:sz w:val="24"/>
      <w:lang w:val="la-Latn" w:eastAsia="en-US"/>
    </w:rPr>
  </w:style>
  <w:style w:type="paragraph" w:customStyle="1" w:styleId="HeadingLevel1-BarcRA17">
    <w:name w:val="Heading Level 1 - Barc RA_17"/>
    <w:basedOn w:val="BodyText-BarcRA19"/>
    <w:next w:val="BodyText-BarcRA19"/>
    <w:link w:val="HeadingLevel1-BarcRAChar8"/>
    <w:rsid w:val="002611B5"/>
    <w:pPr>
      <w:spacing w:before="0"/>
    </w:pPr>
    <w:rPr>
      <w:b/>
      <w:bCs/>
      <w:color w:val="000000"/>
      <w:sz w:val="24"/>
      <w:lang w:val="la-Latn"/>
    </w:rPr>
  </w:style>
  <w:style w:type="paragraph" w:customStyle="1" w:styleId="BodyText-BarcRA19">
    <w:name w:val="Body Text - Barc RA_19"/>
    <w:link w:val="BodyText-BarcRAChar8"/>
    <w:qFormat/>
    <w:rsid w:val="005D52ED"/>
    <w:pPr>
      <w:spacing w:before="180" w:after="180"/>
      <w:jc w:val="both"/>
    </w:pPr>
    <w:rPr>
      <w:rFonts w:ascii="Expert Sans Regular" w:hAnsi="Expert Sans Regular"/>
      <w:sz w:val="18"/>
      <w:lang w:eastAsia="en-US"/>
    </w:rPr>
  </w:style>
  <w:style w:type="character" w:customStyle="1" w:styleId="BodyText-BarcRAChar8">
    <w:name w:val="Body Text - Barc RA Char_8"/>
    <w:basedOn w:val="DefaultParagraphFont"/>
    <w:link w:val="BodyText-BarcRA19"/>
    <w:rsid w:val="005D52ED"/>
    <w:rPr>
      <w:rFonts w:ascii="Expert Sans Regular" w:hAnsi="Expert Sans Regular"/>
      <w:sz w:val="18"/>
      <w:lang w:val="en-GB" w:eastAsia="en-US" w:bidi="ar-SA"/>
    </w:rPr>
  </w:style>
  <w:style w:type="character" w:customStyle="1" w:styleId="HeadingLevel1-BarcRAChar8">
    <w:name w:val="Heading Level 1 - Barc RA Char_8"/>
    <w:basedOn w:val="DefaultParagraphFont"/>
    <w:link w:val="HeadingLevel1-BarcRA17"/>
    <w:rsid w:val="009705AC"/>
    <w:rPr>
      <w:rFonts w:ascii="Expert Sans Regular" w:hAnsi="Expert Sans Regular"/>
      <w:b/>
      <w:bCs/>
      <w:color w:val="000000"/>
      <w:sz w:val="24"/>
      <w:lang w:val="la-Latn"/>
    </w:rPr>
  </w:style>
  <w:style w:type="paragraph" w:customStyle="1" w:styleId="Normal29">
    <w:name w:val="Normal_29"/>
    <w:qFormat/>
    <w:rsid w:val="009705AC"/>
    <w:rPr>
      <w:rFonts w:ascii="Expert Sans Regular" w:hAnsi="Expert Sans Regular"/>
      <w:sz w:val="18"/>
      <w:szCs w:val="24"/>
      <w:lang w:eastAsia="en-US"/>
    </w:rPr>
  </w:style>
  <w:style w:type="paragraph" w:customStyle="1" w:styleId="Level1Bullet-BarcRA203001">
    <w:name w:val="Level 1 Bullet - Barc RA_2_0_3_0_0_1"/>
    <w:basedOn w:val="Normal29"/>
    <w:rsid w:val="004271B9"/>
    <w:pPr>
      <w:tabs>
        <w:tab w:val="num" w:pos="284"/>
      </w:tabs>
      <w:spacing w:before="180" w:after="180"/>
      <w:ind w:left="284" w:hanging="284"/>
      <w:jc w:val="both"/>
    </w:pPr>
    <w:rPr>
      <w:szCs w:val="20"/>
      <w:lang w:val="la-Latn"/>
    </w:rPr>
  </w:style>
  <w:style w:type="paragraph" w:customStyle="1" w:styleId="Level1Bullet-BarcRA30000">
    <w:name w:val="Level 1 Bullet - Barc RA_3_0_0_0_0"/>
    <w:basedOn w:val="Normal29"/>
    <w:uiPriority w:val="99"/>
    <w:rsid w:val="004271B9"/>
    <w:pPr>
      <w:numPr>
        <w:numId w:val="61"/>
      </w:numPr>
      <w:spacing w:before="180" w:after="180"/>
      <w:jc w:val="both"/>
    </w:pPr>
    <w:rPr>
      <w:szCs w:val="20"/>
      <w:lang w:val="la-Latn"/>
    </w:rPr>
  </w:style>
  <w:style w:type="paragraph" w:customStyle="1" w:styleId="Level1Bullet-BarcRA300000">
    <w:name w:val="Level 1 Bullet - Barc RA_3_0_0_0_0_0"/>
    <w:basedOn w:val="Normal29"/>
    <w:uiPriority w:val="99"/>
    <w:rsid w:val="00D35114"/>
    <w:pPr>
      <w:numPr>
        <w:numId w:val="62"/>
      </w:numPr>
      <w:spacing w:before="180" w:after="180"/>
      <w:jc w:val="both"/>
    </w:pPr>
    <w:rPr>
      <w:szCs w:val="20"/>
      <w:lang w:val="la-Latn"/>
    </w:rPr>
  </w:style>
  <w:style w:type="paragraph" w:customStyle="1" w:styleId="Level2Bullet-BarcRA00">
    <w:name w:val="Level 2 Bullet - Barc RA_0_0"/>
    <w:basedOn w:val="Normal29"/>
    <w:qFormat/>
    <w:rsid w:val="004271B9"/>
    <w:pPr>
      <w:numPr>
        <w:ilvl w:val="2"/>
        <w:numId w:val="63"/>
      </w:numPr>
      <w:spacing w:before="180" w:after="180"/>
      <w:jc w:val="both"/>
    </w:pPr>
    <w:rPr>
      <w:szCs w:val="20"/>
      <w:lang w:val="la-Latn"/>
    </w:rPr>
  </w:style>
  <w:style w:type="paragraph" w:customStyle="1" w:styleId="Level1Bullet-BarcRA20302">
    <w:name w:val="Level 1 Bullet - Barc RA_2_0_3_0_2"/>
    <w:basedOn w:val="Normal29"/>
    <w:rsid w:val="002B501B"/>
    <w:pPr>
      <w:numPr>
        <w:numId w:val="64"/>
      </w:numPr>
      <w:spacing w:before="180" w:after="180"/>
      <w:jc w:val="both"/>
    </w:pPr>
    <w:rPr>
      <w:szCs w:val="20"/>
      <w:lang w:val="la-Latn"/>
    </w:rPr>
  </w:style>
  <w:style w:type="paragraph" w:customStyle="1" w:styleId="Level1Bullet-BarcRA9">
    <w:name w:val="Level 1 Bullet - Barc RA_9"/>
    <w:basedOn w:val="Normal29"/>
    <w:link w:val="Level1Bullet-BarcRAChar5"/>
    <w:qFormat/>
    <w:rsid w:val="0080420C"/>
    <w:pPr>
      <w:numPr>
        <w:numId w:val="65"/>
      </w:numPr>
      <w:spacing w:before="180" w:after="180"/>
      <w:jc w:val="both"/>
    </w:pPr>
    <w:rPr>
      <w:szCs w:val="20"/>
      <w:lang w:val="la-Latn"/>
    </w:rPr>
  </w:style>
  <w:style w:type="character" w:customStyle="1" w:styleId="Level1Bullet-BarcRAChar5">
    <w:name w:val="Level 1 Bullet - Barc RA Char_5"/>
    <w:basedOn w:val="DefaultParagraphFont"/>
    <w:link w:val="Level1Bullet-BarcRA9"/>
    <w:locked/>
    <w:rsid w:val="0080420C"/>
    <w:rPr>
      <w:rFonts w:ascii="Expert Sans Regular" w:hAnsi="Expert Sans Regular"/>
      <w:sz w:val="18"/>
      <w:lang w:val="la-Latn" w:eastAsia="en-US"/>
    </w:rPr>
  </w:style>
  <w:style w:type="paragraph" w:customStyle="1" w:styleId="Level2Bullet-BarcRA4">
    <w:name w:val="Level 2 Bullet - Barc RA_4"/>
    <w:basedOn w:val="Normal29"/>
    <w:qFormat/>
    <w:rsid w:val="00440361"/>
    <w:pPr>
      <w:numPr>
        <w:ilvl w:val="2"/>
        <w:numId w:val="67"/>
      </w:numPr>
      <w:spacing w:before="180" w:after="180"/>
      <w:jc w:val="both"/>
    </w:pPr>
    <w:rPr>
      <w:szCs w:val="20"/>
      <w:lang w:val="la-Latn"/>
    </w:rPr>
  </w:style>
  <w:style w:type="paragraph" w:customStyle="1" w:styleId="HeadingLevel1-BarcRA18">
    <w:name w:val="Heading Level 1 - Barc RA_18"/>
    <w:basedOn w:val="BodyText-BarcRA20"/>
    <w:next w:val="BodyText-BarcRA20"/>
    <w:link w:val="HeadingLevel1-BarcRAChar9"/>
    <w:rsid w:val="002611B5"/>
    <w:pPr>
      <w:spacing w:before="0"/>
    </w:pPr>
    <w:rPr>
      <w:b/>
      <w:bCs/>
      <w:color w:val="000000"/>
      <w:sz w:val="24"/>
      <w:lang w:val="la-Latn"/>
    </w:rPr>
  </w:style>
  <w:style w:type="paragraph" w:customStyle="1" w:styleId="BodyText-BarcRA20">
    <w:name w:val="Body Text - Barc RA_20"/>
    <w:link w:val="BodyText-BarcRAChar9"/>
    <w:qFormat/>
    <w:rsid w:val="005D52ED"/>
    <w:pPr>
      <w:spacing w:before="180" w:after="180"/>
      <w:jc w:val="both"/>
    </w:pPr>
    <w:rPr>
      <w:rFonts w:ascii="Expert Sans Regular" w:hAnsi="Expert Sans Regular"/>
      <w:sz w:val="18"/>
      <w:lang w:eastAsia="en-US"/>
    </w:rPr>
  </w:style>
  <w:style w:type="character" w:customStyle="1" w:styleId="BodyText-BarcRAChar9">
    <w:name w:val="Body Text - Barc RA Char_9"/>
    <w:basedOn w:val="DefaultParagraphFont"/>
    <w:link w:val="BodyText-BarcRA20"/>
    <w:rsid w:val="005D52ED"/>
    <w:rPr>
      <w:rFonts w:ascii="Expert Sans Regular" w:hAnsi="Expert Sans Regular"/>
      <w:sz w:val="18"/>
      <w:lang w:val="en-GB" w:eastAsia="en-US" w:bidi="ar-SA"/>
    </w:rPr>
  </w:style>
  <w:style w:type="character" w:customStyle="1" w:styleId="HeadingLevel1-BarcRAChar9">
    <w:name w:val="Heading Level 1 - Barc RA Char_9"/>
    <w:basedOn w:val="DefaultParagraphFont"/>
    <w:link w:val="HeadingLevel1-BarcRA18"/>
    <w:rsid w:val="009705AC"/>
    <w:rPr>
      <w:rFonts w:ascii="Expert Sans Regular" w:hAnsi="Expert Sans Regular"/>
      <w:b/>
      <w:bCs/>
      <w:color w:val="000000"/>
      <w:sz w:val="24"/>
      <w:lang w:val="la-Latn"/>
    </w:rPr>
  </w:style>
  <w:style w:type="paragraph" w:customStyle="1" w:styleId="Normal30">
    <w:name w:val="Normal_30"/>
    <w:qFormat/>
    <w:rsid w:val="009705AC"/>
    <w:rPr>
      <w:rFonts w:ascii="Expert Sans Regular" w:hAnsi="Expert Sans Regular"/>
      <w:sz w:val="18"/>
      <w:szCs w:val="24"/>
      <w:lang w:eastAsia="en-US"/>
    </w:rPr>
  </w:style>
  <w:style w:type="paragraph" w:customStyle="1" w:styleId="Level1Bullet-BarcRA8">
    <w:name w:val="Level 1 Bullet - Barc RA_8"/>
    <w:basedOn w:val="Normal30"/>
    <w:link w:val="Level1Bullet-BarcRAChar6"/>
    <w:qFormat/>
    <w:rsid w:val="004F6481"/>
    <w:pPr>
      <w:numPr>
        <w:numId w:val="69"/>
      </w:numPr>
      <w:spacing w:before="180" w:after="180"/>
      <w:jc w:val="both"/>
    </w:pPr>
    <w:rPr>
      <w:szCs w:val="20"/>
      <w:lang w:val="la-Latn"/>
    </w:rPr>
  </w:style>
  <w:style w:type="character" w:customStyle="1" w:styleId="Level1Bullet-BarcRAChar6">
    <w:name w:val="Level 1 Bullet - Barc RA Char_6"/>
    <w:basedOn w:val="DefaultParagraphFont"/>
    <w:link w:val="Level1Bullet-BarcRA8"/>
    <w:rsid w:val="004F6481"/>
    <w:rPr>
      <w:rFonts w:ascii="Expert Sans Regular" w:hAnsi="Expert Sans Regular"/>
      <w:sz w:val="18"/>
      <w:lang w:val="la-Latn" w:eastAsia="en-US"/>
    </w:rPr>
  </w:style>
  <w:style w:type="paragraph" w:customStyle="1" w:styleId="Level2Bullet-BarcRA40">
    <w:name w:val="Level 2 Bullet - Barc RA_4_0"/>
    <w:basedOn w:val="Normal30"/>
    <w:qFormat/>
    <w:rsid w:val="00657249"/>
    <w:pPr>
      <w:numPr>
        <w:ilvl w:val="2"/>
        <w:numId w:val="70"/>
      </w:numPr>
      <w:spacing w:before="180" w:after="180"/>
      <w:jc w:val="both"/>
    </w:pPr>
    <w:rPr>
      <w:szCs w:val="20"/>
      <w:lang w:val="la-Latn"/>
    </w:rPr>
  </w:style>
  <w:style w:type="paragraph" w:customStyle="1" w:styleId="Level1Bullet-BarcRA300001">
    <w:name w:val="Level 1 Bullet - Barc RA_3_0_0_0_0_1"/>
    <w:basedOn w:val="Normal30"/>
    <w:uiPriority w:val="99"/>
    <w:rsid w:val="004950DA"/>
    <w:pPr>
      <w:numPr>
        <w:numId w:val="71"/>
      </w:numPr>
      <w:spacing w:before="180" w:after="180"/>
      <w:jc w:val="both"/>
    </w:pPr>
    <w:rPr>
      <w:szCs w:val="20"/>
      <w:lang w:val="la-Latn"/>
    </w:rPr>
  </w:style>
  <w:style w:type="paragraph" w:customStyle="1" w:styleId="Level2Bullet-BarcRA01">
    <w:name w:val="Level 2 Bullet - Barc RA_0_1"/>
    <w:basedOn w:val="Normal30"/>
    <w:qFormat/>
    <w:rsid w:val="004950DA"/>
    <w:pPr>
      <w:numPr>
        <w:ilvl w:val="2"/>
        <w:numId w:val="72"/>
      </w:numPr>
      <w:spacing w:before="180" w:after="180"/>
      <w:jc w:val="both"/>
    </w:pPr>
    <w:rPr>
      <w:szCs w:val="20"/>
      <w:lang w:val="la-Latn"/>
    </w:rPr>
  </w:style>
  <w:style w:type="paragraph" w:customStyle="1" w:styleId="BarclaysFooterText">
    <w:name w:val="Barclays Footer Text"/>
    <w:basedOn w:val="Normal31"/>
    <w:rsid w:val="00B04DC7"/>
    <w:pPr>
      <w:spacing w:before="120" w:after="120"/>
      <w:jc w:val="both"/>
    </w:pPr>
    <w:rPr>
      <w:b/>
      <w:bCs/>
      <w:sz w:val="16"/>
      <w:szCs w:val="16"/>
    </w:rPr>
  </w:style>
  <w:style w:type="paragraph" w:customStyle="1" w:styleId="Normal31">
    <w:name w:val="Normal_31"/>
    <w:qFormat/>
    <w:rsid w:val="009705AC"/>
    <w:rPr>
      <w:rFonts w:ascii="Expert Sans Regular" w:hAnsi="Expert Sans Regular"/>
      <w:sz w:val="18"/>
      <w:szCs w:val="24"/>
      <w:lang w:eastAsia="en-US"/>
    </w:rPr>
  </w:style>
  <w:style w:type="paragraph" w:customStyle="1" w:styleId="Level1Bullet-BarcRA203">
    <w:name w:val="Level 1 Bullet - Barc RA_2_0_3"/>
    <w:basedOn w:val="Normal32"/>
    <w:rsid w:val="00127031"/>
    <w:pPr>
      <w:numPr>
        <w:numId w:val="73"/>
      </w:numPr>
      <w:spacing w:before="180" w:after="180"/>
      <w:jc w:val="both"/>
    </w:pPr>
    <w:rPr>
      <w:szCs w:val="20"/>
      <w:lang w:val="la-Latn"/>
    </w:rPr>
  </w:style>
  <w:style w:type="paragraph" w:customStyle="1" w:styleId="Normal32">
    <w:name w:val="Normal_32"/>
    <w:qFormat/>
    <w:rsid w:val="009705AC"/>
    <w:rPr>
      <w:rFonts w:ascii="Expert Sans Regular" w:hAnsi="Expert Sans Regular"/>
      <w:sz w:val="18"/>
      <w:szCs w:val="24"/>
      <w:lang w:eastAsia="en-US"/>
    </w:rPr>
  </w:style>
  <w:style w:type="paragraph" w:customStyle="1" w:styleId="Level1Bullet-BarcRA80">
    <w:name w:val="Level 1 Bullet - Barc RA_8_0"/>
    <w:basedOn w:val="Normal32"/>
    <w:rsid w:val="00365813"/>
    <w:pPr>
      <w:numPr>
        <w:numId w:val="74"/>
      </w:numPr>
      <w:spacing w:before="180" w:after="180"/>
      <w:jc w:val="both"/>
    </w:pPr>
    <w:rPr>
      <w:szCs w:val="20"/>
      <w:lang w:val="la-Latn"/>
    </w:rPr>
  </w:style>
  <w:style w:type="paragraph" w:customStyle="1" w:styleId="Level2Bullet-BarcRA100">
    <w:name w:val="Level 2 Bullet - Barc RA_1_0_0"/>
    <w:basedOn w:val="Normal32"/>
    <w:qFormat/>
    <w:rsid w:val="00305611"/>
    <w:pPr>
      <w:numPr>
        <w:ilvl w:val="2"/>
        <w:numId w:val="76"/>
      </w:numPr>
      <w:tabs>
        <w:tab w:val="num" w:pos="567"/>
      </w:tabs>
      <w:spacing w:before="180" w:after="180"/>
      <w:ind w:left="567" w:hanging="283"/>
      <w:jc w:val="both"/>
    </w:pPr>
    <w:rPr>
      <w:szCs w:val="20"/>
      <w:lang w:val="la-Latn"/>
    </w:rPr>
  </w:style>
  <w:style w:type="paragraph" w:customStyle="1" w:styleId="Level1Bullet-BarcRA81">
    <w:name w:val="Level 1 Bullet - Barc RA_8_1"/>
    <w:basedOn w:val="Normal32"/>
    <w:link w:val="Level1Bullet-BarcRAChar4"/>
    <w:rsid w:val="00305611"/>
    <w:pPr>
      <w:numPr>
        <w:numId w:val="77"/>
      </w:numPr>
      <w:spacing w:before="180" w:after="180"/>
      <w:jc w:val="both"/>
    </w:pPr>
    <w:rPr>
      <w:szCs w:val="20"/>
      <w:lang w:val="la-Latn"/>
    </w:rPr>
  </w:style>
  <w:style w:type="character" w:customStyle="1" w:styleId="Level1Bullet-BarcRAChar4">
    <w:name w:val="Level 1 Bullet - Barc RA Char_4"/>
    <w:basedOn w:val="DefaultParagraphFont"/>
    <w:link w:val="Level1Bullet-BarcRA81"/>
    <w:rsid w:val="00305611"/>
    <w:rPr>
      <w:rFonts w:ascii="Expert Sans Regular" w:hAnsi="Expert Sans Regular"/>
      <w:sz w:val="18"/>
      <w:lang w:val="la-Latn" w:eastAsia="en-US"/>
    </w:rPr>
  </w:style>
  <w:style w:type="paragraph" w:customStyle="1" w:styleId="Level2Bullet-BarcRA20">
    <w:name w:val="Level 2 Bullet - Barc RA_2_0"/>
    <w:basedOn w:val="Normal32"/>
    <w:uiPriority w:val="99"/>
    <w:qFormat/>
    <w:rsid w:val="00305611"/>
    <w:pPr>
      <w:numPr>
        <w:ilvl w:val="2"/>
        <w:numId w:val="79"/>
      </w:numPr>
      <w:tabs>
        <w:tab w:val="clear" w:pos="1401"/>
        <w:tab w:val="num" w:pos="360"/>
        <w:tab w:val="num" w:pos="567"/>
      </w:tabs>
      <w:spacing w:before="180" w:after="180"/>
      <w:ind w:left="567" w:hanging="283"/>
      <w:jc w:val="both"/>
    </w:pPr>
    <w:rPr>
      <w:szCs w:val="20"/>
      <w:lang w:val="la-Latn"/>
    </w:rPr>
  </w:style>
  <w:style w:type="paragraph" w:customStyle="1" w:styleId="Level1Bullet-BarcRA203002">
    <w:name w:val="Level 1 Bullet - Barc RA_2_0_3_0_0_2"/>
    <w:basedOn w:val="Normal32"/>
    <w:rsid w:val="00305611"/>
    <w:pPr>
      <w:tabs>
        <w:tab w:val="num" w:pos="284"/>
      </w:tabs>
      <w:spacing w:before="180" w:after="180"/>
      <w:ind w:left="284" w:hanging="284"/>
      <w:jc w:val="both"/>
    </w:pPr>
    <w:rPr>
      <w:szCs w:val="20"/>
      <w:lang w:val="la-Latn"/>
    </w:rPr>
  </w:style>
  <w:style w:type="paragraph" w:customStyle="1" w:styleId="HeadingLevel1-BarcRA19">
    <w:name w:val="Heading Level 1 - Barc RA_19"/>
    <w:basedOn w:val="BodyText-BarcRA21"/>
    <w:next w:val="BodyText-BarcRA21"/>
    <w:link w:val="HeadingLevel1-BarcRAChar10"/>
    <w:rsid w:val="002611B5"/>
    <w:pPr>
      <w:spacing w:before="0"/>
    </w:pPr>
    <w:rPr>
      <w:b/>
      <w:bCs/>
      <w:color w:val="000000"/>
      <w:sz w:val="24"/>
      <w:lang w:val="la-Latn"/>
    </w:rPr>
  </w:style>
  <w:style w:type="paragraph" w:customStyle="1" w:styleId="BodyText-BarcRA21">
    <w:name w:val="Body Text - Barc RA_21"/>
    <w:link w:val="BodyText-BarcRAChar10"/>
    <w:qFormat/>
    <w:rsid w:val="005D52ED"/>
    <w:pPr>
      <w:spacing w:before="180" w:after="180"/>
      <w:jc w:val="both"/>
    </w:pPr>
    <w:rPr>
      <w:rFonts w:ascii="Expert Sans Regular" w:hAnsi="Expert Sans Regular"/>
      <w:sz w:val="18"/>
      <w:lang w:eastAsia="en-US"/>
    </w:rPr>
  </w:style>
  <w:style w:type="character" w:customStyle="1" w:styleId="BodyText-BarcRAChar10">
    <w:name w:val="Body Text - Barc RA Char_10"/>
    <w:basedOn w:val="DefaultParagraphFont"/>
    <w:link w:val="BodyText-BarcRA21"/>
    <w:rsid w:val="005D52ED"/>
    <w:rPr>
      <w:rFonts w:ascii="Expert Sans Regular" w:hAnsi="Expert Sans Regular"/>
      <w:sz w:val="18"/>
      <w:lang w:val="en-GB" w:eastAsia="en-US" w:bidi="ar-SA"/>
    </w:rPr>
  </w:style>
  <w:style w:type="character" w:customStyle="1" w:styleId="HeadingLevel1-BarcRAChar10">
    <w:name w:val="Heading Level 1 - Barc RA Char_10"/>
    <w:basedOn w:val="DefaultParagraphFont"/>
    <w:link w:val="HeadingLevel1-BarcRA19"/>
    <w:rsid w:val="009705AC"/>
    <w:rPr>
      <w:rFonts w:ascii="Expert Sans Regular" w:hAnsi="Expert Sans Regular"/>
      <w:b/>
      <w:bCs/>
      <w:color w:val="000000"/>
      <w:sz w:val="24"/>
      <w:lang w:val="la-Latn"/>
    </w:rPr>
  </w:style>
  <w:style w:type="paragraph" w:customStyle="1" w:styleId="HeaderSpacerwithLine-BarcRA6">
    <w:name w:val="Header Spacer with Line - Barc RA_6"/>
    <w:basedOn w:val="BodyText-BarcRA21"/>
    <w:link w:val="HeaderSpacerwithLine-BarcRAChar0"/>
    <w:rsid w:val="00016DD8"/>
    <w:pPr>
      <w:pBdr>
        <w:top w:val="single" w:sz="4" w:space="1" w:color="auto"/>
      </w:pBdr>
      <w:spacing w:before="0" w:after="0"/>
    </w:pPr>
    <w:rPr>
      <w:sz w:val="10"/>
      <w:szCs w:val="10"/>
    </w:rPr>
  </w:style>
  <w:style w:type="character" w:customStyle="1" w:styleId="HeaderSpacerwithLine-BarcRAChar0">
    <w:name w:val="Header Spacer with Line - Barc RA Char_0"/>
    <w:basedOn w:val="BodyText-BarcRAChar10"/>
    <w:link w:val="HeaderSpacerwithLine-BarcRA6"/>
    <w:rsid w:val="000E2451"/>
    <w:rPr>
      <w:rFonts w:ascii="Expert Sans Regular" w:hAnsi="Expert Sans Regular"/>
      <w:sz w:val="10"/>
      <w:szCs w:val="10"/>
      <w:lang w:val="en-GB" w:eastAsia="en-US" w:bidi="ar-SA"/>
    </w:rPr>
  </w:style>
  <w:style w:type="paragraph" w:customStyle="1" w:styleId="HeadingLevel1-BarcRA20">
    <w:name w:val="Heading Level 1 - Barc RA_20"/>
    <w:basedOn w:val="BodyText-BarcRA22"/>
    <w:next w:val="BodyText-BarcRA22"/>
    <w:link w:val="HeadingLevel1-BarcRAChar11"/>
    <w:rsid w:val="002611B5"/>
    <w:pPr>
      <w:spacing w:before="0"/>
    </w:pPr>
    <w:rPr>
      <w:b/>
      <w:bCs/>
      <w:color w:val="000000"/>
      <w:sz w:val="24"/>
      <w:lang w:val="la-Latn"/>
    </w:rPr>
  </w:style>
  <w:style w:type="paragraph" w:customStyle="1" w:styleId="BodyText-BarcRA22">
    <w:name w:val="Body Text - Barc RA_22"/>
    <w:link w:val="BodyText-BarcRAChar11"/>
    <w:qFormat/>
    <w:rsid w:val="005D52ED"/>
    <w:pPr>
      <w:spacing w:before="180" w:after="180"/>
      <w:jc w:val="both"/>
    </w:pPr>
    <w:rPr>
      <w:rFonts w:ascii="Expert Sans Regular" w:hAnsi="Expert Sans Regular"/>
      <w:sz w:val="18"/>
      <w:lang w:eastAsia="en-US"/>
    </w:rPr>
  </w:style>
  <w:style w:type="character" w:customStyle="1" w:styleId="BodyText-BarcRAChar11">
    <w:name w:val="Body Text - Barc RA Char_11"/>
    <w:basedOn w:val="DefaultParagraphFont"/>
    <w:link w:val="BodyText-BarcRA22"/>
    <w:rsid w:val="005D52ED"/>
    <w:rPr>
      <w:rFonts w:ascii="Expert Sans Regular" w:hAnsi="Expert Sans Regular"/>
      <w:sz w:val="18"/>
      <w:lang w:val="en-GB" w:eastAsia="en-US" w:bidi="ar-SA"/>
    </w:rPr>
  </w:style>
  <w:style w:type="character" w:customStyle="1" w:styleId="HeadingLevel1-BarcRAChar11">
    <w:name w:val="Heading Level 1 - Barc RA Char_11"/>
    <w:basedOn w:val="DefaultParagraphFont"/>
    <w:link w:val="HeadingLevel1-BarcRA20"/>
    <w:rsid w:val="009705AC"/>
    <w:rPr>
      <w:rFonts w:ascii="Expert Sans Regular" w:hAnsi="Expert Sans Regular"/>
      <w:b/>
      <w:bCs/>
      <w:color w:val="000000"/>
      <w:sz w:val="24"/>
      <w:lang w:val="la-Latn"/>
    </w:rPr>
  </w:style>
  <w:style w:type="paragraph" w:customStyle="1" w:styleId="HeaderSpacerwithLine-BarcRA7">
    <w:name w:val="Header Spacer with Line - Barc RA_7"/>
    <w:basedOn w:val="BodyText-BarcRA22"/>
    <w:link w:val="HeaderSpacerwithLine-BarcRAChar1"/>
    <w:rsid w:val="00016DD8"/>
    <w:pPr>
      <w:pBdr>
        <w:top w:val="single" w:sz="4" w:space="1" w:color="auto"/>
      </w:pBdr>
      <w:spacing w:before="0" w:after="0"/>
    </w:pPr>
    <w:rPr>
      <w:sz w:val="10"/>
      <w:szCs w:val="10"/>
    </w:rPr>
  </w:style>
  <w:style w:type="character" w:customStyle="1" w:styleId="HeaderSpacerwithLine-BarcRAChar1">
    <w:name w:val="Header Spacer with Line - Barc RA Char_1"/>
    <w:basedOn w:val="BodyText-BarcRAChar11"/>
    <w:link w:val="HeaderSpacerwithLine-BarcRA7"/>
    <w:rsid w:val="000E2451"/>
    <w:rPr>
      <w:rFonts w:ascii="Expert Sans Regular" w:hAnsi="Expert Sans Regular"/>
      <w:sz w:val="10"/>
      <w:szCs w:val="10"/>
      <w:lang w:val="en-GB" w:eastAsia="en-US" w:bidi="ar-SA"/>
    </w:rPr>
  </w:style>
  <w:style w:type="paragraph" w:customStyle="1" w:styleId="HeadingLevel1-BarcRA21">
    <w:name w:val="Heading Level 1 - Barc RA_21"/>
    <w:basedOn w:val="BodyText-BarcRA23"/>
    <w:next w:val="BodyText-BarcRA23"/>
    <w:link w:val="HeadingLevel1-BarcRAChar12"/>
    <w:rsid w:val="002611B5"/>
    <w:pPr>
      <w:spacing w:before="0"/>
    </w:pPr>
    <w:rPr>
      <w:b/>
      <w:bCs/>
      <w:color w:val="000000"/>
      <w:sz w:val="24"/>
      <w:lang w:val="la-Latn"/>
    </w:rPr>
  </w:style>
  <w:style w:type="paragraph" w:customStyle="1" w:styleId="BodyText-BarcRA23">
    <w:name w:val="Body Text - Barc RA_23"/>
    <w:link w:val="BodyText-BarcRAChar12"/>
    <w:qFormat/>
    <w:rsid w:val="005D52ED"/>
    <w:pPr>
      <w:spacing w:before="180" w:after="180"/>
      <w:jc w:val="both"/>
    </w:pPr>
    <w:rPr>
      <w:rFonts w:ascii="Expert Sans Regular" w:hAnsi="Expert Sans Regular"/>
      <w:sz w:val="18"/>
      <w:lang w:eastAsia="en-US"/>
    </w:rPr>
  </w:style>
  <w:style w:type="character" w:customStyle="1" w:styleId="BodyText-BarcRAChar12">
    <w:name w:val="Body Text - Barc RA Char_12"/>
    <w:basedOn w:val="DefaultParagraphFont"/>
    <w:link w:val="BodyText-BarcRA23"/>
    <w:rsid w:val="005D52ED"/>
    <w:rPr>
      <w:rFonts w:ascii="Expert Sans Regular" w:hAnsi="Expert Sans Regular"/>
      <w:sz w:val="18"/>
      <w:lang w:val="en-GB" w:eastAsia="en-US" w:bidi="ar-SA"/>
    </w:rPr>
  </w:style>
  <w:style w:type="character" w:customStyle="1" w:styleId="HeadingLevel1-BarcRAChar12">
    <w:name w:val="Heading Level 1 - Barc RA Char_12"/>
    <w:basedOn w:val="DefaultParagraphFont"/>
    <w:link w:val="HeadingLevel1-BarcRA21"/>
    <w:rsid w:val="009705AC"/>
    <w:rPr>
      <w:rFonts w:ascii="Expert Sans Regular" w:hAnsi="Expert Sans Regular"/>
      <w:b/>
      <w:bCs/>
      <w:color w:val="000000"/>
      <w:sz w:val="24"/>
      <w:lang w:val="la-Latn"/>
    </w:rPr>
  </w:style>
  <w:style w:type="paragraph" w:customStyle="1" w:styleId="Normal33">
    <w:name w:val="Normal_33"/>
    <w:qFormat/>
    <w:rsid w:val="009A5C82"/>
    <w:rPr>
      <w:rFonts w:ascii="Expert Sans Regular" w:eastAsia="Expert Sans Regular" w:hAnsi="Expert Sans Regular" w:cs="Expert Sans Regular"/>
      <w:sz w:val="2"/>
      <w:szCs w:val="24"/>
      <w:lang w:val="en-US" w:eastAsia="en-US"/>
    </w:rPr>
  </w:style>
  <w:style w:type="paragraph" w:customStyle="1" w:styleId="NoteandSourceText-BarcRA">
    <w:name w:val="Note and Source Text - Barc RA"/>
    <w:basedOn w:val="Normal33"/>
    <w:qFormat/>
    <w:rsid w:val="007A5E16"/>
    <w:pPr>
      <w:numPr>
        <w:numId w:val="236"/>
      </w:numPr>
      <w:tabs>
        <w:tab w:val="left" w:pos="284"/>
      </w:tabs>
      <w:spacing w:before="20" w:after="20"/>
      <w:jc w:val="both"/>
    </w:pPr>
    <w:rPr>
      <w:rFonts w:eastAsia="Times New Roman" w:cs="Times New Roman"/>
      <w:i/>
      <w:iCs/>
      <w:sz w:val="14"/>
      <w:szCs w:val="14"/>
      <w:lang w:val="en-GB"/>
    </w:rPr>
  </w:style>
  <w:style w:type="paragraph" w:customStyle="1" w:styleId="Normal34">
    <w:name w:val="Normal_34"/>
    <w:qFormat/>
    <w:rsid w:val="009A5C82"/>
    <w:rPr>
      <w:rFonts w:ascii="Expert Sans Regular" w:eastAsia="Expert Sans Regular" w:hAnsi="Expert Sans Regular" w:cs="Expert Sans Regular"/>
      <w:sz w:val="2"/>
      <w:szCs w:val="24"/>
      <w:lang w:val="en-US" w:eastAsia="en-US"/>
    </w:rPr>
  </w:style>
  <w:style w:type="paragraph" w:customStyle="1" w:styleId="NoteandSourceText-BarcRA0">
    <w:name w:val="Note and Source Text - Barc RA_0"/>
    <w:basedOn w:val="Normal34"/>
    <w:qFormat/>
    <w:rsid w:val="007A5E16"/>
    <w:pPr>
      <w:numPr>
        <w:numId w:val="80"/>
      </w:numPr>
      <w:tabs>
        <w:tab w:val="left" w:pos="284"/>
      </w:tabs>
      <w:spacing w:before="20" w:after="20"/>
      <w:jc w:val="both"/>
    </w:pPr>
    <w:rPr>
      <w:rFonts w:eastAsia="Times New Roman" w:cs="Times New Roman"/>
      <w:i/>
      <w:iCs/>
      <w:sz w:val="14"/>
      <w:szCs w:val="14"/>
      <w:lang w:val="en-GB"/>
    </w:rPr>
  </w:style>
  <w:style w:type="paragraph" w:customStyle="1" w:styleId="HeadingLevel1-BarcRA200">
    <w:name w:val="Heading Level 1 - Barc RA_20_0"/>
    <w:basedOn w:val="Normal35"/>
    <w:next w:val="Normal35"/>
    <w:link w:val="HeadingLevel1-BarcRAChar90"/>
    <w:rsid w:val="00651805"/>
    <w:pPr>
      <w:spacing w:after="180"/>
      <w:jc w:val="both"/>
    </w:pPr>
    <w:rPr>
      <w:b/>
      <w:bCs/>
      <w:color w:val="000000"/>
      <w:sz w:val="24"/>
      <w:szCs w:val="20"/>
      <w:lang w:val="la-Latn"/>
    </w:rPr>
  </w:style>
  <w:style w:type="paragraph" w:customStyle="1" w:styleId="Normal35">
    <w:name w:val="Normal_35"/>
    <w:qFormat/>
    <w:rsid w:val="009705AC"/>
    <w:rPr>
      <w:rFonts w:ascii="Expert Sans Regular" w:hAnsi="Expert Sans Regular"/>
      <w:sz w:val="18"/>
      <w:szCs w:val="24"/>
      <w:lang w:eastAsia="en-US"/>
    </w:rPr>
  </w:style>
  <w:style w:type="character" w:customStyle="1" w:styleId="HeadingLevel1-BarcRAChar90">
    <w:name w:val="Heading Level 1 - Barc RA Char_9_0"/>
    <w:basedOn w:val="DefaultParagraphFont"/>
    <w:link w:val="HeadingLevel1-BarcRA200"/>
    <w:locked/>
    <w:rsid w:val="00651805"/>
    <w:rPr>
      <w:rFonts w:ascii="Expert Sans Regular" w:hAnsi="Expert Sans Regular"/>
      <w:b/>
      <w:bCs/>
      <w:color w:val="000000"/>
      <w:sz w:val="24"/>
      <w:lang w:val="la-Latn" w:eastAsia="en-US"/>
    </w:rPr>
  </w:style>
  <w:style w:type="paragraph" w:customStyle="1" w:styleId="HeadingLevel1-BarcRA22">
    <w:name w:val="Heading Level 1 - Barc RA_22"/>
    <w:basedOn w:val="BodyText-BarcRA24"/>
    <w:next w:val="BodyText-BarcRA24"/>
    <w:link w:val="HeadingLevel1-BarcRAChar13"/>
    <w:rsid w:val="002611B5"/>
    <w:pPr>
      <w:spacing w:before="0"/>
    </w:pPr>
    <w:rPr>
      <w:b/>
      <w:bCs/>
      <w:color w:val="000000"/>
      <w:sz w:val="24"/>
      <w:lang w:val="la-Latn"/>
    </w:rPr>
  </w:style>
  <w:style w:type="paragraph" w:customStyle="1" w:styleId="BodyText-BarcRA24">
    <w:name w:val="Body Text - Barc RA_24"/>
    <w:link w:val="BodyText-BarcRAChar13"/>
    <w:qFormat/>
    <w:rsid w:val="005D52ED"/>
    <w:pPr>
      <w:spacing w:before="180" w:after="180"/>
      <w:jc w:val="both"/>
    </w:pPr>
    <w:rPr>
      <w:rFonts w:ascii="Expert Sans Regular" w:hAnsi="Expert Sans Regular"/>
      <w:sz w:val="18"/>
      <w:lang w:eastAsia="en-US"/>
    </w:rPr>
  </w:style>
  <w:style w:type="character" w:customStyle="1" w:styleId="BodyText-BarcRAChar13">
    <w:name w:val="Body Text - Barc RA Char_13"/>
    <w:basedOn w:val="DefaultParagraphFont"/>
    <w:link w:val="BodyText-BarcRA24"/>
    <w:rsid w:val="005D52ED"/>
    <w:rPr>
      <w:rFonts w:ascii="Expert Sans Regular" w:hAnsi="Expert Sans Regular"/>
      <w:sz w:val="18"/>
      <w:lang w:val="en-GB" w:eastAsia="en-US" w:bidi="ar-SA"/>
    </w:rPr>
  </w:style>
  <w:style w:type="character" w:customStyle="1" w:styleId="HeadingLevel1-BarcRAChar13">
    <w:name w:val="Heading Level 1 - Barc RA Char_13"/>
    <w:basedOn w:val="DefaultParagraphFont"/>
    <w:link w:val="HeadingLevel1-BarcRA22"/>
    <w:rsid w:val="009705AC"/>
    <w:rPr>
      <w:rFonts w:ascii="Expert Sans Regular" w:hAnsi="Expert Sans Regular"/>
      <w:b/>
      <w:bCs/>
      <w:color w:val="000000"/>
      <w:sz w:val="24"/>
      <w:lang w:val="la-Latn"/>
    </w:rPr>
  </w:style>
  <w:style w:type="paragraph" w:customStyle="1" w:styleId="BodyText-BarcRA640">
    <w:name w:val="Body Text - Barc RA_64_0"/>
    <w:link w:val="BodyText-BarcRAChar470"/>
    <w:qFormat/>
    <w:rsid w:val="00727C99"/>
    <w:pPr>
      <w:spacing w:before="180" w:after="180"/>
      <w:jc w:val="both"/>
    </w:pPr>
    <w:rPr>
      <w:rFonts w:ascii="Expert Sans Regular" w:hAnsi="Expert Sans Regular"/>
      <w:sz w:val="18"/>
      <w:lang w:eastAsia="en-US"/>
    </w:rPr>
  </w:style>
  <w:style w:type="character" w:customStyle="1" w:styleId="BodyText-BarcRAChar470">
    <w:name w:val="Body Text - Barc RA Char_47_0"/>
    <w:basedOn w:val="DefaultParagraphFont"/>
    <w:link w:val="BodyText-BarcRA640"/>
    <w:locked/>
    <w:rsid w:val="00727C99"/>
    <w:rPr>
      <w:rFonts w:ascii="Expert Sans Regular" w:hAnsi="Expert Sans Regular"/>
      <w:sz w:val="18"/>
      <w:lang w:val="en-GB" w:eastAsia="en-US" w:bidi="ar-SA"/>
    </w:rPr>
  </w:style>
  <w:style w:type="paragraph" w:customStyle="1" w:styleId="Normal36">
    <w:name w:val="Normal_36"/>
    <w:qFormat/>
    <w:rsid w:val="009705AC"/>
    <w:rPr>
      <w:rFonts w:ascii="Expert Sans Regular" w:hAnsi="Expert Sans Regular"/>
      <w:sz w:val="18"/>
      <w:szCs w:val="24"/>
      <w:lang w:eastAsia="en-US"/>
    </w:rPr>
  </w:style>
  <w:style w:type="paragraph" w:styleId="ListParagraph">
    <w:name w:val="List Paragraph"/>
    <w:basedOn w:val="Normal36"/>
    <w:uiPriority w:val="34"/>
    <w:qFormat/>
    <w:rsid w:val="001F7D5F"/>
    <w:pPr>
      <w:ind w:left="720"/>
    </w:pPr>
  </w:style>
  <w:style w:type="paragraph" w:customStyle="1" w:styleId="NoteandSourceText-BarcRA1">
    <w:name w:val="Note and Source Text - Barc RA_1"/>
    <w:basedOn w:val="Normal36"/>
    <w:qFormat/>
    <w:rsid w:val="001F7D5F"/>
    <w:pPr>
      <w:numPr>
        <w:numId w:val="82"/>
      </w:numPr>
      <w:tabs>
        <w:tab w:val="left" w:pos="284"/>
      </w:tabs>
      <w:spacing w:before="20" w:after="20"/>
      <w:jc w:val="both"/>
    </w:pPr>
    <w:rPr>
      <w:i/>
      <w:iCs/>
      <w:sz w:val="14"/>
      <w:szCs w:val="14"/>
    </w:rPr>
  </w:style>
  <w:style w:type="paragraph" w:customStyle="1" w:styleId="HeadingLevel2-BarcRA1">
    <w:name w:val="Heading Level 2 - Barc RA_1"/>
    <w:basedOn w:val="HeadingLevel1-BarcRA23"/>
    <w:next w:val="BodyText-BarcRA25"/>
    <w:qFormat/>
    <w:rsid w:val="00EE71E7"/>
    <w:pPr>
      <w:spacing w:before="240" w:after="0"/>
    </w:pPr>
    <w:rPr>
      <w:sz w:val="20"/>
    </w:rPr>
  </w:style>
  <w:style w:type="paragraph" w:customStyle="1" w:styleId="HeadingLevel1-BarcRA23">
    <w:name w:val="Heading Level 1 - Barc RA_23"/>
    <w:basedOn w:val="BodyText-BarcRA25"/>
    <w:next w:val="BodyText-BarcRA25"/>
    <w:link w:val="HeadingLevel1-BarcRAChar14"/>
    <w:qFormat/>
    <w:rsid w:val="002611B5"/>
    <w:pPr>
      <w:spacing w:before="0"/>
    </w:pPr>
    <w:rPr>
      <w:b/>
      <w:bCs/>
      <w:color w:val="000000"/>
      <w:sz w:val="24"/>
      <w:lang w:val="la-Latn"/>
    </w:rPr>
  </w:style>
  <w:style w:type="paragraph" w:customStyle="1" w:styleId="BodyText-BarcRA25">
    <w:name w:val="Body Text - Barc RA_25"/>
    <w:link w:val="BodyText-BarcRAChar14"/>
    <w:qFormat/>
    <w:rsid w:val="005D52ED"/>
    <w:pPr>
      <w:spacing w:before="180" w:after="180"/>
      <w:jc w:val="both"/>
    </w:pPr>
    <w:rPr>
      <w:rFonts w:ascii="Expert Sans Regular" w:hAnsi="Expert Sans Regular"/>
      <w:sz w:val="18"/>
      <w:lang w:eastAsia="en-US"/>
    </w:rPr>
  </w:style>
  <w:style w:type="character" w:customStyle="1" w:styleId="BodyText-BarcRAChar14">
    <w:name w:val="Body Text - Barc RA Char_14"/>
    <w:basedOn w:val="DefaultParagraphFont"/>
    <w:link w:val="BodyText-BarcRA25"/>
    <w:rsid w:val="005D52ED"/>
    <w:rPr>
      <w:rFonts w:ascii="Expert Sans Regular" w:hAnsi="Expert Sans Regular"/>
      <w:sz w:val="18"/>
      <w:lang w:val="en-GB" w:eastAsia="en-US" w:bidi="ar-SA"/>
    </w:rPr>
  </w:style>
  <w:style w:type="character" w:customStyle="1" w:styleId="HeadingLevel1-BarcRAChar14">
    <w:name w:val="Heading Level 1 - Barc RA Char_14"/>
    <w:basedOn w:val="DefaultParagraphFont"/>
    <w:link w:val="HeadingLevel1-BarcRA23"/>
    <w:rsid w:val="009705AC"/>
    <w:rPr>
      <w:rFonts w:ascii="Expert Sans Regular" w:hAnsi="Expert Sans Regular"/>
      <w:b/>
      <w:bCs/>
      <w:color w:val="000000"/>
      <w:sz w:val="24"/>
      <w:lang w:val="la-Latn"/>
    </w:rPr>
  </w:style>
  <w:style w:type="paragraph" w:customStyle="1" w:styleId="BodyText-BarcRA100">
    <w:name w:val="Body Text - Barc RA_1_0"/>
    <w:link w:val="BodyText-BarcRAChar100"/>
    <w:qFormat/>
    <w:rsid w:val="00B77487"/>
    <w:pPr>
      <w:spacing w:before="180" w:after="180"/>
      <w:jc w:val="both"/>
    </w:pPr>
    <w:rPr>
      <w:rFonts w:ascii="Expert Sans Regular" w:hAnsi="Expert Sans Regular"/>
      <w:sz w:val="18"/>
      <w:lang w:eastAsia="en-US"/>
    </w:rPr>
  </w:style>
  <w:style w:type="character" w:customStyle="1" w:styleId="BodyText-BarcRAChar100">
    <w:name w:val="Body Text - Barc RA Char_1_0"/>
    <w:link w:val="BodyText-BarcRA100"/>
    <w:locked/>
    <w:rsid w:val="00B77487"/>
    <w:rPr>
      <w:rFonts w:ascii="Expert Sans Regular" w:hAnsi="Expert Sans Regular"/>
      <w:sz w:val="18"/>
      <w:lang w:eastAsia="en-US" w:bidi="ar-SA"/>
    </w:rPr>
  </w:style>
  <w:style w:type="paragraph" w:customStyle="1" w:styleId="BodyText-BarcRA33">
    <w:name w:val="Body Text - Barc RA_33"/>
    <w:link w:val="BodyText-BarcRAChar19"/>
    <w:qFormat/>
    <w:rsid w:val="004C4B34"/>
    <w:pPr>
      <w:spacing w:before="180" w:after="180"/>
      <w:jc w:val="both"/>
    </w:pPr>
    <w:rPr>
      <w:rFonts w:ascii="Expert Sans Regular" w:hAnsi="Expert Sans Regular"/>
      <w:sz w:val="18"/>
      <w:lang w:eastAsia="en-US"/>
    </w:rPr>
  </w:style>
  <w:style w:type="character" w:customStyle="1" w:styleId="BodyText-BarcRAChar19">
    <w:name w:val="Body Text - Barc RA Char_19"/>
    <w:basedOn w:val="DefaultParagraphFont"/>
    <w:link w:val="BodyText-BarcRA33"/>
    <w:locked/>
    <w:rsid w:val="004C4B34"/>
    <w:rPr>
      <w:rFonts w:ascii="Expert Sans Regular" w:hAnsi="Expert Sans Regular"/>
      <w:sz w:val="18"/>
      <w:lang w:val="en-GB" w:eastAsia="en-US" w:bidi="ar-SA"/>
    </w:rPr>
  </w:style>
  <w:style w:type="paragraph" w:customStyle="1" w:styleId="Level1Bullet-BarcRA3">
    <w:name w:val="Level 1 Bullet - Barc RA_3"/>
    <w:basedOn w:val="BodyText-BarcRA25"/>
    <w:link w:val="Level1Bullet-BarcRAChar2"/>
    <w:qFormat/>
    <w:rsid w:val="00A85CEE"/>
    <w:pPr>
      <w:numPr>
        <w:numId w:val="83"/>
      </w:numPr>
    </w:pPr>
    <w:rPr>
      <w:lang w:val="la-Latn"/>
    </w:rPr>
  </w:style>
  <w:style w:type="character" w:customStyle="1" w:styleId="Level1Bullet-BarcRAChar2">
    <w:name w:val="Level 1 Bullet - Barc RA Char_2"/>
    <w:basedOn w:val="BodyText-BarcRAChar14"/>
    <w:link w:val="Level1Bullet-BarcRA3"/>
    <w:rsid w:val="00A85CEE"/>
    <w:rPr>
      <w:rFonts w:ascii="Expert Sans Regular" w:hAnsi="Expert Sans Regular"/>
      <w:sz w:val="18"/>
      <w:lang w:val="la-Latn" w:eastAsia="en-US" w:bidi="ar-SA"/>
    </w:rPr>
  </w:style>
  <w:style w:type="paragraph" w:customStyle="1" w:styleId="Level1Bullet-BarcRA13">
    <w:name w:val="Level 1 Bullet - Barc RA_13"/>
    <w:basedOn w:val="Normal37"/>
    <w:link w:val="Level1Bullet-BarcRAChar7"/>
    <w:qFormat/>
    <w:rsid w:val="00462422"/>
    <w:pPr>
      <w:numPr>
        <w:numId w:val="84"/>
      </w:numPr>
      <w:spacing w:before="180" w:after="180"/>
      <w:jc w:val="both"/>
    </w:pPr>
    <w:rPr>
      <w:szCs w:val="20"/>
      <w:lang w:val="la-Latn"/>
    </w:rPr>
  </w:style>
  <w:style w:type="paragraph" w:customStyle="1" w:styleId="Normal37">
    <w:name w:val="Normal_37"/>
    <w:qFormat/>
    <w:rsid w:val="009705AC"/>
    <w:rPr>
      <w:rFonts w:ascii="Expert Sans Regular" w:hAnsi="Expert Sans Regular"/>
      <w:sz w:val="18"/>
      <w:szCs w:val="24"/>
      <w:lang w:eastAsia="en-US"/>
    </w:rPr>
  </w:style>
  <w:style w:type="character" w:customStyle="1" w:styleId="Level1Bullet-BarcRAChar7">
    <w:name w:val="Level 1 Bullet - Barc RA Char_7"/>
    <w:basedOn w:val="DefaultParagraphFont"/>
    <w:link w:val="Level1Bullet-BarcRA13"/>
    <w:locked/>
    <w:rsid w:val="00462422"/>
    <w:rPr>
      <w:rFonts w:ascii="Expert Sans Regular" w:hAnsi="Expert Sans Regular"/>
      <w:sz w:val="18"/>
      <w:lang w:val="la-Latn" w:eastAsia="en-US"/>
    </w:rPr>
  </w:style>
  <w:style w:type="paragraph" w:customStyle="1" w:styleId="NoteandSourceText-BarcRA100">
    <w:name w:val="Note and Source Text - Barc RA_1_0"/>
    <w:basedOn w:val="Normal37"/>
    <w:qFormat/>
    <w:rsid w:val="00B77487"/>
    <w:pPr>
      <w:numPr>
        <w:numId w:val="244"/>
      </w:numPr>
      <w:spacing w:before="20" w:after="20"/>
      <w:jc w:val="both"/>
    </w:pPr>
    <w:rPr>
      <w:i/>
      <w:iCs/>
      <w:sz w:val="14"/>
      <w:szCs w:val="14"/>
    </w:rPr>
  </w:style>
  <w:style w:type="paragraph" w:customStyle="1" w:styleId="HeadingLevel1-BarcRA24">
    <w:name w:val="Heading Level 1 - Barc RA_24"/>
    <w:basedOn w:val="BodyText-BarcRA26"/>
    <w:next w:val="BodyText-BarcRA26"/>
    <w:link w:val="HeadingLevel1-BarcRAChar15"/>
    <w:rsid w:val="002611B5"/>
    <w:pPr>
      <w:spacing w:before="0"/>
    </w:pPr>
    <w:rPr>
      <w:b/>
      <w:bCs/>
      <w:color w:val="000000"/>
      <w:sz w:val="24"/>
      <w:lang w:val="la-Latn"/>
    </w:rPr>
  </w:style>
  <w:style w:type="paragraph" w:customStyle="1" w:styleId="BodyText-BarcRA26">
    <w:name w:val="Body Text - Barc RA_26"/>
    <w:link w:val="BodyText-BarcRAChar15"/>
    <w:qFormat/>
    <w:rsid w:val="005D52ED"/>
    <w:pPr>
      <w:spacing w:before="180" w:after="180"/>
      <w:jc w:val="both"/>
    </w:pPr>
    <w:rPr>
      <w:rFonts w:ascii="Expert Sans Regular" w:hAnsi="Expert Sans Regular"/>
      <w:sz w:val="18"/>
      <w:lang w:eastAsia="en-US"/>
    </w:rPr>
  </w:style>
  <w:style w:type="character" w:customStyle="1" w:styleId="BodyText-BarcRAChar15">
    <w:name w:val="Body Text - Barc RA Char_15"/>
    <w:basedOn w:val="DefaultParagraphFont"/>
    <w:link w:val="BodyText-BarcRA26"/>
    <w:rsid w:val="005D52ED"/>
    <w:rPr>
      <w:rFonts w:ascii="Expert Sans Regular" w:hAnsi="Expert Sans Regular"/>
      <w:sz w:val="18"/>
      <w:lang w:val="en-GB" w:eastAsia="en-US" w:bidi="ar-SA"/>
    </w:rPr>
  </w:style>
  <w:style w:type="character" w:customStyle="1" w:styleId="HeadingLevel1-BarcRAChar15">
    <w:name w:val="Heading Level 1 - Barc RA Char_15"/>
    <w:basedOn w:val="DefaultParagraphFont"/>
    <w:link w:val="HeadingLevel1-BarcRA24"/>
    <w:rsid w:val="009705AC"/>
    <w:rPr>
      <w:rFonts w:ascii="Expert Sans Regular" w:hAnsi="Expert Sans Regular"/>
      <w:b/>
      <w:bCs/>
      <w:color w:val="000000"/>
      <w:sz w:val="24"/>
      <w:lang w:val="la-Latn"/>
    </w:rPr>
  </w:style>
  <w:style w:type="paragraph" w:customStyle="1" w:styleId="HeaderSpacerwithLine-BarcRA8">
    <w:name w:val="Header Spacer with Line - Barc RA_8"/>
    <w:basedOn w:val="BodyText-BarcRA26"/>
    <w:link w:val="HeaderSpacerwithLine-BarcRAChar2"/>
    <w:rsid w:val="00016DD8"/>
    <w:pPr>
      <w:pBdr>
        <w:top w:val="single" w:sz="4" w:space="1" w:color="auto"/>
      </w:pBdr>
      <w:spacing w:before="0" w:after="0"/>
    </w:pPr>
    <w:rPr>
      <w:sz w:val="10"/>
      <w:szCs w:val="10"/>
    </w:rPr>
  </w:style>
  <w:style w:type="character" w:customStyle="1" w:styleId="HeaderSpacerwithLine-BarcRAChar2">
    <w:name w:val="Header Spacer with Line - Barc RA Char_2"/>
    <w:basedOn w:val="BodyText-BarcRAChar15"/>
    <w:link w:val="HeaderSpacerwithLine-BarcRA8"/>
    <w:rsid w:val="000E2451"/>
    <w:rPr>
      <w:rFonts w:ascii="Expert Sans Regular" w:hAnsi="Expert Sans Regular"/>
      <w:sz w:val="10"/>
      <w:szCs w:val="10"/>
      <w:lang w:val="en-GB" w:eastAsia="en-US" w:bidi="ar-SA"/>
    </w:rPr>
  </w:style>
  <w:style w:type="paragraph" w:customStyle="1" w:styleId="HeadingLevel1-BarcRA25">
    <w:name w:val="Heading Level 1 - Barc RA_25"/>
    <w:basedOn w:val="BodyText-BarcRA27"/>
    <w:next w:val="BodyText-BarcRA27"/>
    <w:link w:val="HeadingLevel1-BarcRAChar16"/>
    <w:rsid w:val="002611B5"/>
    <w:pPr>
      <w:spacing w:before="0"/>
    </w:pPr>
    <w:rPr>
      <w:b/>
      <w:bCs/>
      <w:color w:val="000000"/>
      <w:sz w:val="24"/>
      <w:lang w:val="la-Latn"/>
    </w:rPr>
  </w:style>
  <w:style w:type="paragraph" w:customStyle="1" w:styleId="BodyText-BarcRA27">
    <w:name w:val="Body Text - Barc RA_27"/>
    <w:link w:val="BodyText-BarcRAChar16"/>
    <w:qFormat/>
    <w:rsid w:val="005D52ED"/>
    <w:pPr>
      <w:spacing w:before="180" w:after="180"/>
      <w:jc w:val="both"/>
    </w:pPr>
    <w:rPr>
      <w:rFonts w:ascii="Expert Sans Regular" w:hAnsi="Expert Sans Regular"/>
      <w:sz w:val="18"/>
      <w:lang w:eastAsia="en-US"/>
    </w:rPr>
  </w:style>
  <w:style w:type="character" w:customStyle="1" w:styleId="BodyText-BarcRAChar16">
    <w:name w:val="Body Text - Barc RA Char_16"/>
    <w:basedOn w:val="DefaultParagraphFont"/>
    <w:link w:val="BodyText-BarcRA27"/>
    <w:rsid w:val="005D52ED"/>
    <w:rPr>
      <w:rFonts w:ascii="Expert Sans Regular" w:hAnsi="Expert Sans Regular"/>
      <w:sz w:val="18"/>
      <w:lang w:val="en-GB" w:eastAsia="en-US" w:bidi="ar-SA"/>
    </w:rPr>
  </w:style>
  <w:style w:type="character" w:customStyle="1" w:styleId="HeadingLevel1-BarcRAChar16">
    <w:name w:val="Heading Level 1 - Barc RA Char_16"/>
    <w:basedOn w:val="DefaultParagraphFont"/>
    <w:link w:val="HeadingLevel1-BarcRA25"/>
    <w:rsid w:val="009705AC"/>
    <w:rPr>
      <w:rFonts w:ascii="Expert Sans Regular" w:hAnsi="Expert Sans Regular"/>
      <w:b/>
      <w:bCs/>
      <w:color w:val="000000"/>
      <w:sz w:val="24"/>
      <w:lang w:val="la-Latn"/>
    </w:rPr>
  </w:style>
  <w:style w:type="paragraph" w:customStyle="1" w:styleId="BodyText-BarcRA29">
    <w:name w:val="Body Text - Barc RA_29"/>
    <w:link w:val="BodyText-BarcRAChar160"/>
    <w:qFormat/>
    <w:rsid w:val="00E646E5"/>
    <w:pPr>
      <w:spacing w:before="180" w:after="180"/>
      <w:jc w:val="both"/>
    </w:pPr>
    <w:rPr>
      <w:rFonts w:ascii="Expert Sans Regular" w:hAnsi="Expert Sans Regular"/>
      <w:sz w:val="18"/>
      <w:lang w:eastAsia="en-US"/>
    </w:rPr>
  </w:style>
  <w:style w:type="character" w:customStyle="1" w:styleId="BodyText-BarcRAChar160">
    <w:name w:val="Body Text - Barc RA Char_16_0"/>
    <w:basedOn w:val="DefaultParagraphFont"/>
    <w:link w:val="BodyText-BarcRA29"/>
    <w:rsid w:val="00E646E5"/>
    <w:rPr>
      <w:rFonts w:ascii="Expert Sans Regular" w:hAnsi="Expert Sans Regular"/>
      <w:sz w:val="18"/>
      <w:lang w:val="en-GB" w:eastAsia="en-US" w:bidi="ar-SA"/>
    </w:rPr>
  </w:style>
  <w:style w:type="paragraph" w:customStyle="1" w:styleId="BodyText-BarcRA290">
    <w:name w:val="Body Text - Barc RA_29_0"/>
    <w:link w:val="BodyText-BarcRAChar1600"/>
    <w:qFormat/>
    <w:rsid w:val="00C31509"/>
    <w:pPr>
      <w:spacing w:before="180" w:after="180"/>
      <w:jc w:val="both"/>
    </w:pPr>
    <w:rPr>
      <w:rFonts w:ascii="Expert Sans Regular" w:hAnsi="Expert Sans Regular"/>
      <w:sz w:val="18"/>
      <w:lang w:eastAsia="en-US"/>
    </w:rPr>
  </w:style>
  <w:style w:type="character" w:customStyle="1" w:styleId="BodyText-BarcRAChar1600">
    <w:name w:val="Body Text - Barc RA Char_16_0_0"/>
    <w:basedOn w:val="DefaultParagraphFont"/>
    <w:link w:val="BodyText-BarcRA290"/>
    <w:rsid w:val="00C31509"/>
    <w:rPr>
      <w:rFonts w:ascii="Expert Sans Regular" w:hAnsi="Expert Sans Regular"/>
      <w:sz w:val="18"/>
      <w:lang w:val="en-GB" w:eastAsia="en-US" w:bidi="ar-SA"/>
    </w:rPr>
  </w:style>
  <w:style w:type="paragraph" w:customStyle="1" w:styleId="Level1Bullet-BarcRA130">
    <w:name w:val="Level 1 Bullet - Barc RA_13_0"/>
    <w:basedOn w:val="BodyText-BarcRA290"/>
    <w:link w:val="Level1Bullet-BarcRAChar90"/>
    <w:rsid w:val="00A10E0B"/>
    <w:pPr>
      <w:tabs>
        <w:tab w:val="num" w:pos="284"/>
      </w:tabs>
      <w:ind w:left="284" w:hanging="284"/>
    </w:pPr>
    <w:rPr>
      <w:lang w:val="la-Latn"/>
    </w:rPr>
  </w:style>
  <w:style w:type="character" w:customStyle="1" w:styleId="Level1Bullet-BarcRAChar90">
    <w:name w:val="Level 1 Bullet - Barc RA Char_9_0"/>
    <w:basedOn w:val="BodyText-BarcRAChar1600"/>
    <w:link w:val="Level1Bullet-BarcRA130"/>
    <w:locked/>
    <w:rsid w:val="00A10E0B"/>
    <w:rPr>
      <w:rFonts w:ascii="Expert Sans Regular" w:hAnsi="Expert Sans Regular"/>
      <w:sz w:val="18"/>
      <w:lang w:val="la-Latn" w:eastAsia="en-US" w:bidi="ar-SA"/>
    </w:rPr>
  </w:style>
  <w:style w:type="paragraph" w:customStyle="1" w:styleId="Level1Bullet-BarcRA1300">
    <w:name w:val="Level 1 Bullet - Barc RA_13_0_0"/>
    <w:basedOn w:val="Normal38"/>
    <w:rsid w:val="00791A47"/>
    <w:pPr>
      <w:tabs>
        <w:tab w:val="num" w:pos="284"/>
      </w:tabs>
      <w:spacing w:before="180" w:after="180"/>
      <w:ind w:left="284" w:hanging="284"/>
      <w:jc w:val="both"/>
    </w:pPr>
    <w:rPr>
      <w:szCs w:val="20"/>
      <w:lang w:val="la-Latn"/>
    </w:rPr>
  </w:style>
  <w:style w:type="paragraph" w:customStyle="1" w:styleId="Normal38">
    <w:name w:val="Normal_38"/>
    <w:qFormat/>
    <w:rsid w:val="009705AC"/>
    <w:rPr>
      <w:rFonts w:ascii="Expert Sans Regular" w:hAnsi="Expert Sans Regular"/>
      <w:sz w:val="18"/>
      <w:szCs w:val="24"/>
      <w:lang w:eastAsia="en-US"/>
    </w:rPr>
  </w:style>
  <w:style w:type="character" w:customStyle="1" w:styleId="Hyperlink0">
    <w:name w:val="Hyperlink_0"/>
    <w:basedOn w:val="DefaultParagraphFont"/>
    <w:semiHidden/>
    <w:rsid w:val="00C21A02"/>
    <w:rPr>
      <w:color w:val="0000FF"/>
      <w:u w:val="single"/>
    </w:rPr>
  </w:style>
  <w:style w:type="paragraph" w:customStyle="1" w:styleId="Normal1100">
    <w:name w:val="Normal_11_0"/>
    <w:qFormat/>
    <w:rsid w:val="00A10E0B"/>
    <w:rPr>
      <w:rFonts w:ascii="Expert Sans Regular" w:hAnsi="Expert Sans Regular"/>
      <w:sz w:val="18"/>
      <w:szCs w:val="24"/>
      <w:lang w:eastAsia="en-US"/>
    </w:rPr>
  </w:style>
  <w:style w:type="paragraph" w:customStyle="1" w:styleId="HeadingLevel1-BarcRA26">
    <w:name w:val="Heading Level 1 - Barc RA_26"/>
    <w:basedOn w:val="BodyText-BarcRA28"/>
    <w:next w:val="BodyText-BarcRA28"/>
    <w:link w:val="HeadingLevel1-BarcRAChar17"/>
    <w:rsid w:val="002611B5"/>
    <w:pPr>
      <w:spacing w:before="0"/>
    </w:pPr>
    <w:rPr>
      <w:b/>
      <w:bCs/>
      <w:color w:val="000000"/>
      <w:sz w:val="24"/>
      <w:lang w:val="la-Latn"/>
    </w:rPr>
  </w:style>
  <w:style w:type="paragraph" w:customStyle="1" w:styleId="BodyText-BarcRA28">
    <w:name w:val="Body Text - Barc RA_28"/>
    <w:link w:val="BodyText-BarcRAChar17"/>
    <w:qFormat/>
    <w:rsid w:val="005D52ED"/>
    <w:pPr>
      <w:spacing w:before="180" w:after="180"/>
      <w:jc w:val="both"/>
    </w:pPr>
    <w:rPr>
      <w:rFonts w:ascii="Expert Sans Regular" w:hAnsi="Expert Sans Regular"/>
      <w:sz w:val="18"/>
      <w:lang w:eastAsia="en-US"/>
    </w:rPr>
  </w:style>
  <w:style w:type="character" w:customStyle="1" w:styleId="BodyText-BarcRAChar17">
    <w:name w:val="Body Text - Barc RA Char_17"/>
    <w:basedOn w:val="DefaultParagraphFont"/>
    <w:link w:val="BodyText-BarcRA28"/>
    <w:rsid w:val="005D52ED"/>
    <w:rPr>
      <w:rFonts w:ascii="Expert Sans Regular" w:hAnsi="Expert Sans Regular"/>
      <w:sz w:val="18"/>
      <w:lang w:val="en-GB" w:eastAsia="en-US" w:bidi="ar-SA"/>
    </w:rPr>
  </w:style>
  <w:style w:type="character" w:customStyle="1" w:styleId="HeadingLevel1-BarcRAChar17">
    <w:name w:val="Heading Level 1 - Barc RA Char_17"/>
    <w:basedOn w:val="DefaultParagraphFont"/>
    <w:link w:val="HeadingLevel1-BarcRA26"/>
    <w:rsid w:val="009705AC"/>
    <w:rPr>
      <w:rFonts w:ascii="Expert Sans Regular" w:hAnsi="Expert Sans Regular"/>
      <w:b/>
      <w:bCs/>
      <w:color w:val="000000"/>
      <w:sz w:val="24"/>
      <w:lang w:val="la-Latn"/>
    </w:rPr>
  </w:style>
  <w:style w:type="paragraph" w:customStyle="1" w:styleId="HeaderSpacerwithLine-BarcRA9">
    <w:name w:val="Header Spacer with Line - Barc RA_9"/>
    <w:basedOn w:val="BodyText-BarcRA28"/>
    <w:link w:val="HeaderSpacerwithLine-BarcRAChar3"/>
    <w:rsid w:val="00016DD8"/>
    <w:pPr>
      <w:pBdr>
        <w:top w:val="single" w:sz="4" w:space="1" w:color="auto"/>
      </w:pBdr>
      <w:spacing w:before="0" w:after="0"/>
    </w:pPr>
    <w:rPr>
      <w:sz w:val="10"/>
      <w:szCs w:val="10"/>
    </w:rPr>
  </w:style>
  <w:style w:type="character" w:customStyle="1" w:styleId="HeaderSpacerwithLine-BarcRAChar3">
    <w:name w:val="Header Spacer with Line - Barc RA Char_3"/>
    <w:basedOn w:val="BodyText-BarcRAChar17"/>
    <w:link w:val="HeaderSpacerwithLine-BarcRA9"/>
    <w:rsid w:val="000E2451"/>
    <w:rPr>
      <w:rFonts w:ascii="Expert Sans Regular" w:hAnsi="Expert Sans Regular"/>
      <w:sz w:val="10"/>
      <w:szCs w:val="10"/>
      <w:lang w:val="en-GB" w:eastAsia="en-US" w:bidi="ar-SA"/>
    </w:rPr>
  </w:style>
  <w:style w:type="paragraph" w:customStyle="1" w:styleId="Level1Bullet-BarcRA6">
    <w:name w:val="Level 1 Bullet - Barc RA_6"/>
    <w:basedOn w:val="BodyText-BarcRA300"/>
    <w:link w:val="Level1Bullet-BarcRAChar8"/>
    <w:qFormat/>
    <w:rsid w:val="00A85CEE"/>
    <w:pPr>
      <w:numPr>
        <w:numId w:val="91"/>
      </w:numPr>
    </w:pPr>
    <w:rPr>
      <w:lang w:val="la-Latn"/>
    </w:rPr>
  </w:style>
  <w:style w:type="paragraph" w:customStyle="1" w:styleId="BodyText-BarcRA300">
    <w:name w:val="Body Text - Barc RA_30"/>
    <w:link w:val="BodyText-BarcRAChar18"/>
    <w:qFormat/>
    <w:rsid w:val="005D52ED"/>
    <w:pPr>
      <w:spacing w:before="180" w:after="180"/>
      <w:jc w:val="both"/>
    </w:pPr>
    <w:rPr>
      <w:rFonts w:ascii="Expert Sans Regular" w:hAnsi="Expert Sans Regular"/>
      <w:sz w:val="18"/>
      <w:lang w:eastAsia="en-US"/>
    </w:rPr>
  </w:style>
  <w:style w:type="character" w:customStyle="1" w:styleId="BodyText-BarcRAChar18">
    <w:name w:val="Body Text - Barc RA Char_18"/>
    <w:basedOn w:val="DefaultParagraphFont"/>
    <w:link w:val="BodyText-BarcRA300"/>
    <w:rsid w:val="005D52ED"/>
    <w:rPr>
      <w:rFonts w:ascii="Expert Sans Regular" w:hAnsi="Expert Sans Regular"/>
      <w:sz w:val="18"/>
      <w:lang w:val="en-GB" w:eastAsia="en-US" w:bidi="ar-SA"/>
    </w:rPr>
  </w:style>
  <w:style w:type="character" w:customStyle="1" w:styleId="Level1Bullet-BarcRAChar8">
    <w:name w:val="Level 1 Bullet - Barc RA Char_8"/>
    <w:basedOn w:val="BodyText-BarcRAChar18"/>
    <w:link w:val="Level1Bullet-BarcRA6"/>
    <w:rsid w:val="00A85CEE"/>
    <w:rPr>
      <w:rFonts w:ascii="Expert Sans Regular" w:hAnsi="Expert Sans Regular"/>
      <w:sz w:val="18"/>
      <w:lang w:val="la-Latn" w:eastAsia="en-US" w:bidi="ar-SA"/>
    </w:rPr>
  </w:style>
  <w:style w:type="paragraph" w:customStyle="1" w:styleId="Level2Bullet-BarcRA1">
    <w:name w:val="Level 2 Bullet - Barc RA_1"/>
    <w:basedOn w:val="Level1Bullet-BarcRA6"/>
    <w:qFormat/>
    <w:rsid w:val="00A85CEE"/>
    <w:pPr>
      <w:numPr>
        <w:ilvl w:val="2"/>
        <w:numId w:val="92"/>
      </w:numPr>
    </w:pPr>
  </w:style>
  <w:style w:type="paragraph" w:customStyle="1" w:styleId="NoteandSourceText-BarcRA2">
    <w:name w:val="Note and Source Text - Barc RA_2"/>
    <w:basedOn w:val="Normal39"/>
    <w:qFormat/>
    <w:rsid w:val="001B0076"/>
    <w:pPr>
      <w:numPr>
        <w:numId w:val="93"/>
      </w:numPr>
      <w:tabs>
        <w:tab w:val="left" w:pos="284"/>
      </w:tabs>
      <w:spacing w:before="20" w:after="20"/>
      <w:jc w:val="both"/>
    </w:pPr>
    <w:rPr>
      <w:i/>
      <w:iCs/>
      <w:sz w:val="14"/>
      <w:szCs w:val="14"/>
    </w:rPr>
  </w:style>
  <w:style w:type="paragraph" w:customStyle="1" w:styleId="Normal39">
    <w:name w:val="Normal_39"/>
    <w:qFormat/>
    <w:rsid w:val="009705AC"/>
    <w:rPr>
      <w:rFonts w:ascii="Expert Sans Regular" w:hAnsi="Expert Sans Regular"/>
      <w:sz w:val="18"/>
      <w:szCs w:val="24"/>
      <w:lang w:eastAsia="en-US"/>
    </w:rPr>
  </w:style>
  <w:style w:type="paragraph" w:customStyle="1" w:styleId="Normal40">
    <w:name w:val="Normal_40"/>
    <w:qFormat/>
    <w:rsid w:val="009705AC"/>
    <w:rPr>
      <w:rFonts w:ascii="Expert Sans Regular" w:hAnsi="Expert Sans Regular"/>
      <w:sz w:val="18"/>
      <w:szCs w:val="24"/>
      <w:lang w:eastAsia="en-US"/>
    </w:rPr>
  </w:style>
  <w:style w:type="paragraph" w:customStyle="1" w:styleId="Default0">
    <w:name w:val="Default_0"/>
    <w:rsid w:val="00186496"/>
    <w:pPr>
      <w:widowControl w:val="0"/>
      <w:autoSpaceDE w:val="0"/>
      <w:autoSpaceDN w:val="0"/>
      <w:adjustRightInd w:val="0"/>
    </w:pPr>
    <w:rPr>
      <w:rFonts w:ascii="Expert Serif Regular" w:hAnsi="Expert Serif Regular" w:cs="Expert Serif Regular"/>
      <w:color w:val="000000"/>
      <w:sz w:val="24"/>
      <w:szCs w:val="24"/>
    </w:rPr>
  </w:style>
  <w:style w:type="paragraph" w:customStyle="1" w:styleId="ListParagraph0">
    <w:name w:val="List Paragraph_0"/>
    <w:basedOn w:val="Normal40"/>
    <w:uiPriority w:val="34"/>
    <w:qFormat/>
    <w:rsid w:val="004151CF"/>
    <w:pPr>
      <w:ind w:left="720"/>
    </w:pPr>
  </w:style>
  <w:style w:type="paragraph" w:customStyle="1" w:styleId="HeadingLevel1-AR">
    <w:name w:val="Heading Level 1 - AR"/>
    <w:basedOn w:val="Normal41"/>
    <w:qFormat/>
    <w:rsid w:val="00BE6A65"/>
    <w:rPr>
      <w:rFonts w:eastAsia="Calibri"/>
      <w:b/>
      <w:sz w:val="20"/>
      <w:szCs w:val="22"/>
    </w:rPr>
  </w:style>
  <w:style w:type="paragraph" w:customStyle="1" w:styleId="Normal41">
    <w:name w:val="Normal_41"/>
    <w:qFormat/>
    <w:rsid w:val="009705AC"/>
    <w:rPr>
      <w:rFonts w:ascii="Expert Sans Regular" w:hAnsi="Expert Sans Regular"/>
      <w:sz w:val="18"/>
      <w:szCs w:val="24"/>
      <w:lang w:eastAsia="en-US"/>
    </w:rPr>
  </w:style>
  <w:style w:type="paragraph" w:customStyle="1" w:styleId="Level1Bullet-BarcRA00">
    <w:name w:val="Level 1 Bullet - Barc RA_0_0"/>
    <w:basedOn w:val="BodyText-BarcRA110"/>
    <w:link w:val="Level1Bullet-BarcRAChar00"/>
    <w:qFormat/>
    <w:rsid w:val="0069771B"/>
    <w:pPr>
      <w:numPr>
        <w:numId w:val="96"/>
      </w:numPr>
    </w:pPr>
    <w:rPr>
      <w:lang w:val="la-Latn"/>
    </w:rPr>
  </w:style>
  <w:style w:type="paragraph" w:customStyle="1" w:styleId="BodyText-BarcRA110">
    <w:name w:val="Body Text - Barc RA_1_1"/>
    <w:link w:val="BodyText-BarcRAChar110"/>
    <w:qFormat/>
    <w:rsid w:val="0069771B"/>
    <w:pPr>
      <w:spacing w:before="180" w:after="180"/>
      <w:jc w:val="both"/>
    </w:pPr>
    <w:rPr>
      <w:rFonts w:ascii="Expert Sans Regular" w:hAnsi="Expert Sans Regular"/>
      <w:sz w:val="18"/>
      <w:lang w:eastAsia="en-US"/>
    </w:rPr>
  </w:style>
  <w:style w:type="character" w:customStyle="1" w:styleId="BodyText-BarcRAChar110">
    <w:name w:val="Body Text - Barc RA Char_1_1"/>
    <w:basedOn w:val="DefaultParagraphFont"/>
    <w:link w:val="BodyText-BarcRA110"/>
    <w:locked/>
    <w:rsid w:val="0069771B"/>
    <w:rPr>
      <w:rFonts w:ascii="Expert Sans Regular" w:hAnsi="Expert Sans Regular"/>
      <w:sz w:val="18"/>
      <w:lang w:val="en-GB" w:eastAsia="en-US" w:bidi="ar-SA"/>
    </w:rPr>
  </w:style>
  <w:style w:type="character" w:customStyle="1" w:styleId="Level1Bullet-BarcRAChar00">
    <w:name w:val="Level 1 Bullet - Barc RA Char_0_0"/>
    <w:basedOn w:val="BodyText-BarcRAChar110"/>
    <w:link w:val="Level1Bullet-BarcRA00"/>
    <w:locked/>
    <w:rsid w:val="0069771B"/>
    <w:rPr>
      <w:rFonts w:ascii="Expert Sans Regular" w:hAnsi="Expert Sans Regular"/>
      <w:sz w:val="18"/>
      <w:lang w:val="la-Latn" w:eastAsia="en-US" w:bidi="ar-SA"/>
    </w:rPr>
  </w:style>
  <w:style w:type="paragraph" w:customStyle="1" w:styleId="HeadingLevel3-AR26">
    <w:name w:val="Heading Level 3 - AR_26"/>
    <w:basedOn w:val="Normal42"/>
    <w:qFormat/>
    <w:rsid w:val="0013082A"/>
    <w:rPr>
      <w:rFonts w:eastAsia="Expert Sans Regular" w:cs="Expert Sans Regular"/>
      <w:b/>
      <w:color w:val="00B0F0"/>
      <w:sz w:val="16"/>
      <w:szCs w:val="22"/>
    </w:rPr>
  </w:style>
  <w:style w:type="paragraph" w:customStyle="1" w:styleId="Normal42">
    <w:name w:val="Normal_42"/>
    <w:qFormat/>
    <w:rsid w:val="009705AC"/>
    <w:rPr>
      <w:rFonts w:ascii="Expert Sans Regular" w:hAnsi="Expert Sans Regular"/>
      <w:sz w:val="18"/>
      <w:szCs w:val="24"/>
      <w:lang w:eastAsia="en-US"/>
    </w:rPr>
  </w:style>
  <w:style w:type="paragraph" w:customStyle="1" w:styleId="HeadingLevel2-BarcRA2">
    <w:name w:val="Heading Level 2 - Barc RA_2"/>
    <w:basedOn w:val="HeadingLevel1-BarcRA27"/>
    <w:next w:val="BodyText-BarcRA31"/>
    <w:qFormat/>
    <w:rsid w:val="00EE71E7"/>
    <w:pPr>
      <w:spacing w:before="240" w:after="0"/>
    </w:pPr>
    <w:rPr>
      <w:sz w:val="20"/>
    </w:rPr>
  </w:style>
  <w:style w:type="paragraph" w:customStyle="1" w:styleId="HeadingLevel1-BarcRA27">
    <w:name w:val="Heading Level 1 - Barc RA_27"/>
    <w:basedOn w:val="BodyText-BarcRA31"/>
    <w:next w:val="BodyText-BarcRA31"/>
    <w:link w:val="HeadingLevel1-BarcRAChar18"/>
    <w:qFormat/>
    <w:rsid w:val="002611B5"/>
    <w:pPr>
      <w:spacing w:before="0"/>
    </w:pPr>
    <w:rPr>
      <w:b/>
      <w:bCs/>
      <w:color w:val="000000"/>
      <w:sz w:val="24"/>
      <w:lang w:val="la-Latn"/>
    </w:rPr>
  </w:style>
  <w:style w:type="paragraph" w:customStyle="1" w:styleId="BodyText-BarcRA31">
    <w:name w:val="Body Text - Barc RA_31"/>
    <w:link w:val="BodyText-BarcRAChar20"/>
    <w:qFormat/>
    <w:rsid w:val="005D52ED"/>
    <w:pPr>
      <w:spacing w:before="180" w:after="180"/>
      <w:jc w:val="both"/>
    </w:pPr>
    <w:rPr>
      <w:rFonts w:ascii="Expert Sans Regular" w:hAnsi="Expert Sans Regular"/>
      <w:sz w:val="18"/>
      <w:lang w:eastAsia="en-US"/>
    </w:rPr>
  </w:style>
  <w:style w:type="character" w:customStyle="1" w:styleId="BodyText-BarcRAChar20">
    <w:name w:val="Body Text - Barc RA Char_20"/>
    <w:basedOn w:val="DefaultParagraphFont"/>
    <w:link w:val="BodyText-BarcRA31"/>
    <w:rsid w:val="005D52ED"/>
    <w:rPr>
      <w:rFonts w:ascii="Expert Sans Regular" w:hAnsi="Expert Sans Regular"/>
      <w:sz w:val="18"/>
      <w:lang w:val="en-GB" w:eastAsia="en-US" w:bidi="ar-SA"/>
    </w:rPr>
  </w:style>
  <w:style w:type="character" w:customStyle="1" w:styleId="HeadingLevel1-BarcRAChar18">
    <w:name w:val="Heading Level 1 - Barc RA Char_18"/>
    <w:basedOn w:val="DefaultParagraphFont"/>
    <w:link w:val="HeadingLevel1-BarcRA27"/>
    <w:rsid w:val="009705AC"/>
    <w:rPr>
      <w:rFonts w:ascii="Expert Sans Regular" w:hAnsi="Expert Sans Regular"/>
      <w:b/>
      <w:bCs/>
      <w:color w:val="000000"/>
      <w:sz w:val="24"/>
      <w:lang w:val="la-Latn"/>
    </w:rPr>
  </w:style>
  <w:style w:type="paragraph" w:customStyle="1" w:styleId="Level1Bullet-BarcRA10">
    <w:name w:val="Level 1 Bullet - Barc RA_1_0"/>
    <w:basedOn w:val="Normal42"/>
    <w:link w:val="Level1Bullet-BarcRAChar11"/>
    <w:qFormat/>
    <w:rsid w:val="004D0F5D"/>
    <w:pPr>
      <w:numPr>
        <w:numId w:val="97"/>
      </w:numPr>
      <w:spacing w:before="180" w:after="180"/>
      <w:jc w:val="both"/>
    </w:pPr>
    <w:rPr>
      <w:szCs w:val="20"/>
      <w:lang w:val="la-Latn"/>
    </w:rPr>
  </w:style>
  <w:style w:type="character" w:customStyle="1" w:styleId="Level1Bullet-BarcRAChar11">
    <w:name w:val="Level 1 Bullet - Barc RA Char_1_1"/>
    <w:basedOn w:val="DefaultParagraphFont"/>
    <w:link w:val="Level1Bullet-BarcRA10"/>
    <w:locked/>
    <w:rsid w:val="004D0F5D"/>
    <w:rPr>
      <w:rFonts w:ascii="Expert Sans Regular" w:hAnsi="Expert Sans Regular"/>
      <w:sz w:val="18"/>
      <w:lang w:val="la-Latn" w:eastAsia="en-US"/>
    </w:rPr>
  </w:style>
  <w:style w:type="paragraph" w:customStyle="1" w:styleId="HeadingLevel2-BarcRA3">
    <w:name w:val="Heading Level 2 - Barc RA_3"/>
    <w:basedOn w:val="HeadingLevel1-BarcRA28"/>
    <w:next w:val="BodyText-BarcRA32"/>
    <w:qFormat/>
    <w:rsid w:val="00EE71E7"/>
    <w:pPr>
      <w:spacing w:before="240" w:after="0"/>
    </w:pPr>
    <w:rPr>
      <w:sz w:val="20"/>
    </w:rPr>
  </w:style>
  <w:style w:type="paragraph" w:customStyle="1" w:styleId="HeadingLevel1-BarcRA28">
    <w:name w:val="Heading Level 1 - Barc RA_28"/>
    <w:basedOn w:val="BodyText-BarcRA32"/>
    <w:next w:val="BodyText-BarcRA32"/>
    <w:link w:val="HeadingLevel1-BarcRAChar19"/>
    <w:qFormat/>
    <w:rsid w:val="002611B5"/>
    <w:pPr>
      <w:spacing w:before="0"/>
    </w:pPr>
    <w:rPr>
      <w:b/>
      <w:bCs/>
      <w:color w:val="000000"/>
      <w:sz w:val="24"/>
      <w:lang w:val="la-Latn"/>
    </w:rPr>
  </w:style>
  <w:style w:type="paragraph" w:customStyle="1" w:styleId="BodyText-BarcRA32">
    <w:name w:val="Body Text - Barc RA_32"/>
    <w:link w:val="BodyText-BarcRAChar21"/>
    <w:qFormat/>
    <w:rsid w:val="005D52ED"/>
    <w:pPr>
      <w:spacing w:before="180" w:after="180"/>
      <w:jc w:val="both"/>
    </w:pPr>
    <w:rPr>
      <w:rFonts w:ascii="Expert Sans Regular" w:hAnsi="Expert Sans Regular"/>
      <w:sz w:val="18"/>
      <w:lang w:eastAsia="en-US"/>
    </w:rPr>
  </w:style>
  <w:style w:type="character" w:customStyle="1" w:styleId="BodyText-BarcRAChar21">
    <w:name w:val="Body Text - Barc RA Char_21"/>
    <w:basedOn w:val="DefaultParagraphFont"/>
    <w:link w:val="BodyText-BarcRA32"/>
    <w:rsid w:val="005D52ED"/>
    <w:rPr>
      <w:rFonts w:ascii="Expert Sans Regular" w:hAnsi="Expert Sans Regular"/>
      <w:sz w:val="18"/>
      <w:lang w:val="en-GB" w:eastAsia="en-US" w:bidi="ar-SA"/>
    </w:rPr>
  </w:style>
  <w:style w:type="character" w:customStyle="1" w:styleId="HeadingLevel1-BarcRAChar19">
    <w:name w:val="Heading Level 1 - Barc RA Char_19"/>
    <w:basedOn w:val="DefaultParagraphFont"/>
    <w:link w:val="HeadingLevel1-BarcRA28"/>
    <w:rsid w:val="009705AC"/>
    <w:rPr>
      <w:rFonts w:ascii="Expert Sans Regular" w:hAnsi="Expert Sans Regular"/>
      <w:b/>
      <w:bCs/>
      <w:color w:val="000000"/>
      <w:sz w:val="24"/>
      <w:lang w:val="la-Latn"/>
    </w:rPr>
  </w:style>
  <w:style w:type="paragraph" w:customStyle="1" w:styleId="BodyText-BarcRA310">
    <w:name w:val="Body Text - Barc RA_3_1"/>
    <w:link w:val="BodyText-BarcRAChar30"/>
    <w:qFormat/>
    <w:rsid w:val="00BC0EEE"/>
    <w:pPr>
      <w:spacing w:before="180" w:after="180"/>
      <w:jc w:val="both"/>
    </w:pPr>
    <w:rPr>
      <w:rFonts w:ascii="Expert Sans Regular" w:hAnsi="Expert Sans Regular"/>
      <w:sz w:val="18"/>
      <w:lang w:eastAsia="en-US"/>
    </w:rPr>
  </w:style>
  <w:style w:type="character" w:customStyle="1" w:styleId="BodyText-BarcRAChar30">
    <w:name w:val="Body Text - Barc RA Char_3_0"/>
    <w:basedOn w:val="DefaultParagraphFont"/>
    <w:link w:val="BodyText-BarcRA310"/>
    <w:locked/>
    <w:rsid w:val="00BC0EEE"/>
    <w:rPr>
      <w:rFonts w:ascii="Expert Sans Regular" w:hAnsi="Expert Sans Regular"/>
      <w:sz w:val="18"/>
      <w:lang w:val="en-GB" w:eastAsia="en-US" w:bidi="ar-SA"/>
    </w:rPr>
  </w:style>
  <w:style w:type="paragraph" w:customStyle="1" w:styleId="HeadingLevel2-BarcRA00">
    <w:name w:val="Heading Level 2 - Barc RA_0_0"/>
    <w:basedOn w:val="Normal43"/>
    <w:next w:val="Normal43"/>
    <w:qFormat/>
    <w:rsid w:val="00BC0EEE"/>
    <w:pPr>
      <w:spacing w:before="240"/>
      <w:jc w:val="both"/>
    </w:pPr>
    <w:rPr>
      <w:b/>
      <w:bCs/>
      <w:color w:val="000000"/>
      <w:sz w:val="20"/>
      <w:szCs w:val="20"/>
      <w:lang w:val="la-Latn"/>
    </w:rPr>
  </w:style>
  <w:style w:type="paragraph" w:customStyle="1" w:styleId="Normal43">
    <w:name w:val="Normal_43"/>
    <w:qFormat/>
    <w:rsid w:val="009705AC"/>
    <w:rPr>
      <w:rFonts w:ascii="Expert Sans Regular" w:hAnsi="Expert Sans Regular"/>
      <w:sz w:val="18"/>
      <w:szCs w:val="24"/>
      <w:lang w:eastAsia="en-US"/>
    </w:rPr>
  </w:style>
  <w:style w:type="paragraph" w:customStyle="1" w:styleId="Level1Bullet-BarcRA21">
    <w:name w:val="Level 1 Bullet - Barc RA_2_1"/>
    <w:basedOn w:val="BodyText-BarcRA310"/>
    <w:link w:val="Level1Bullet-BarcRAChar20"/>
    <w:qFormat/>
    <w:rsid w:val="00BC0EEE"/>
    <w:pPr>
      <w:numPr>
        <w:numId w:val="98"/>
      </w:numPr>
    </w:pPr>
    <w:rPr>
      <w:lang w:val="la-Latn"/>
    </w:rPr>
  </w:style>
  <w:style w:type="character" w:customStyle="1" w:styleId="Level1Bullet-BarcRAChar20">
    <w:name w:val="Level 1 Bullet - Barc RA Char_2_0"/>
    <w:basedOn w:val="BodyText-BarcRAChar30"/>
    <w:link w:val="Level1Bullet-BarcRA21"/>
    <w:locked/>
    <w:rsid w:val="00BC0EEE"/>
    <w:rPr>
      <w:rFonts w:ascii="Expert Sans Regular" w:hAnsi="Expert Sans Regular"/>
      <w:sz w:val="18"/>
      <w:lang w:val="la-Latn" w:eastAsia="en-US" w:bidi="ar-SA"/>
    </w:rPr>
  </w:style>
  <w:style w:type="paragraph" w:customStyle="1" w:styleId="Normal44">
    <w:name w:val="Normal_44"/>
    <w:qFormat/>
    <w:rsid w:val="0009441D"/>
    <w:rPr>
      <w:sz w:val="24"/>
      <w:szCs w:val="24"/>
    </w:rPr>
  </w:style>
  <w:style w:type="paragraph" w:customStyle="1" w:styleId="NoteandSourceText-BarcRA3">
    <w:name w:val="Note and Source Text - Barc RA_3"/>
    <w:basedOn w:val="Normal44"/>
    <w:qFormat/>
    <w:rsid w:val="005E402E"/>
    <w:pPr>
      <w:numPr>
        <w:numId w:val="99"/>
      </w:numPr>
      <w:tabs>
        <w:tab w:val="left" w:pos="284"/>
      </w:tabs>
      <w:spacing w:before="20" w:after="20"/>
      <w:jc w:val="both"/>
    </w:pPr>
    <w:rPr>
      <w:rFonts w:ascii="Expert Sans Regular" w:hAnsi="Expert Sans Regular"/>
      <w:i/>
      <w:iCs/>
      <w:sz w:val="14"/>
      <w:szCs w:val="14"/>
      <w:lang w:eastAsia="en-US"/>
    </w:rPr>
  </w:style>
  <w:style w:type="paragraph" w:customStyle="1" w:styleId="Level1Bullet-BarcRA101">
    <w:name w:val="Level 1 Bullet - Barc RA_10"/>
    <w:basedOn w:val="BodyText-BarcRA34"/>
    <w:link w:val="Level1Bullet-BarcRAChar9"/>
    <w:qFormat/>
    <w:rsid w:val="00A85CEE"/>
    <w:pPr>
      <w:numPr>
        <w:numId w:val="100"/>
      </w:numPr>
    </w:pPr>
    <w:rPr>
      <w:lang w:val="la-Latn"/>
    </w:rPr>
  </w:style>
  <w:style w:type="paragraph" w:customStyle="1" w:styleId="BodyText-BarcRA34">
    <w:name w:val="Body Text - Barc RA_34"/>
    <w:link w:val="BodyText-BarcRAChar22"/>
    <w:qFormat/>
    <w:rsid w:val="005D52ED"/>
    <w:pPr>
      <w:spacing w:before="180" w:after="180"/>
      <w:jc w:val="both"/>
    </w:pPr>
    <w:rPr>
      <w:rFonts w:ascii="Expert Sans Regular" w:hAnsi="Expert Sans Regular"/>
      <w:sz w:val="18"/>
      <w:lang w:eastAsia="en-US"/>
    </w:rPr>
  </w:style>
  <w:style w:type="character" w:customStyle="1" w:styleId="BodyText-BarcRAChar22">
    <w:name w:val="Body Text - Barc RA Char_22"/>
    <w:basedOn w:val="DefaultParagraphFont"/>
    <w:link w:val="BodyText-BarcRA34"/>
    <w:rsid w:val="005D52ED"/>
    <w:rPr>
      <w:rFonts w:ascii="Expert Sans Regular" w:hAnsi="Expert Sans Regular"/>
      <w:sz w:val="18"/>
      <w:lang w:val="en-GB" w:eastAsia="en-US" w:bidi="ar-SA"/>
    </w:rPr>
  </w:style>
  <w:style w:type="character" w:customStyle="1" w:styleId="Level1Bullet-BarcRAChar9">
    <w:name w:val="Level 1 Bullet - Barc RA Char_9"/>
    <w:basedOn w:val="BodyText-BarcRAChar22"/>
    <w:link w:val="Level1Bullet-BarcRA101"/>
    <w:rsid w:val="00A85CEE"/>
    <w:rPr>
      <w:rFonts w:ascii="Expert Sans Regular" w:hAnsi="Expert Sans Regular"/>
      <w:sz w:val="18"/>
      <w:lang w:val="la-Latn" w:eastAsia="en-US" w:bidi="ar-SA"/>
    </w:rPr>
  </w:style>
  <w:style w:type="paragraph" w:customStyle="1" w:styleId="Normal45">
    <w:name w:val="Normal_45"/>
    <w:qFormat/>
    <w:rsid w:val="009705AC"/>
    <w:rPr>
      <w:rFonts w:ascii="Expert Sans Regular" w:hAnsi="Expert Sans Regular"/>
      <w:sz w:val="18"/>
      <w:szCs w:val="24"/>
      <w:lang w:eastAsia="en-US"/>
    </w:rPr>
  </w:style>
  <w:style w:type="paragraph" w:customStyle="1" w:styleId="Level1Bullet-BarcRA12">
    <w:name w:val="Level 1 Bullet - Barc RA_12"/>
    <w:basedOn w:val="BodyText-BarcRA35"/>
    <w:link w:val="Level1Bullet-BarcRAChar101"/>
    <w:qFormat/>
    <w:rsid w:val="00A85CEE"/>
    <w:pPr>
      <w:numPr>
        <w:numId w:val="101"/>
      </w:numPr>
    </w:pPr>
    <w:rPr>
      <w:lang w:val="la-Latn"/>
    </w:rPr>
  </w:style>
  <w:style w:type="paragraph" w:customStyle="1" w:styleId="BodyText-BarcRA35">
    <w:name w:val="Body Text - Barc RA_35"/>
    <w:link w:val="BodyText-BarcRAChar23"/>
    <w:qFormat/>
    <w:rsid w:val="005D52ED"/>
    <w:pPr>
      <w:spacing w:before="180" w:after="180"/>
      <w:jc w:val="both"/>
    </w:pPr>
    <w:rPr>
      <w:rFonts w:ascii="Expert Sans Regular" w:hAnsi="Expert Sans Regular"/>
      <w:sz w:val="18"/>
      <w:lang w:eastAsia="en-US"/>
    </w:rPr>
  </w:style>
  <w:style w:type="character" w:customStyle="1" w:styleId="BodyText-BarcRAChar23">
    <w:name w:val="Body Text - Barc RA Char_23"/>
    <w:basedOn w:val="DefaultParagraphFont"/>
    <w:link w:val="BodyText-BarcRA35"/>
    <w:rsid w:val="005D52ED"/>
    <w:rPr>
      <w:rFonts w:ascii="Expert Sans Regular" w:hAnsi="Expert Sans Regular"/>
      <w:sz w:val="18"/>
      <w:lang w:val="en-GB" w:eastAsia="en-US" w:bidi="ar-SA"/>
    </w:rPr>
  </w:style>
  <w:style w:type="character" w:customStyle="1" w:styleId="Level1Bullet-BarcRAChar101">
    <w:name w:val="Level 1 Bullet - Barc RA Char_10"/>
    <w:basedOn w:val="BodyText-BarcRAChar23"/>
    <w:link w:val="Level1Bullet-BarcRA12"/>
    <w:rsid w:val="00A85CEE"/>
    <w:rPr>
      <w:rFonts w:ascii="Expert Sans Regular" w:hAnsi="Expert Sans Regular"/>
      <w:sz w:val="18"/>
      <w:lang w:val="la-Latn" w:eastAsia="en-US" w:bidi="ar-SA"/>
    </w:rPr>
  </w:style>
  <w:style w:type="paragraph" w:customStyle="1" w:styleId="BodyText-BarcRA2900">
    <w:name w:val="Body Text - Barc RA_29_0_0"/>
    <w:link w:val="BodyText-BarcRAChar16000"/>
    <w:qFormat/>
    <w:rsid w:val="006942F8"/>
    <w:pPr>
      <w:spacing w:before="180" w:after="180"/>
      <w:jc w:val="both"/>
    </w:pPr>
    <w:rPr>
      <w:rFonts w:ascii="Expert Sans Regular" w:hAnsi="Expert Sans Regular"/>
      <w:sz w:val="18"/>
      <w:lang w:eastAsia="en-US"/>
    </w:rPr>
  </w:style>
  <w:style w:type="character" w:customStyle="1" w:styleId="BodyText-BarcRAChar16000">
    <w:name w:val="Body Text - Barc RA Char_16_0_0_0"/>
    <w:basedOn w:val="DefaultParagraphFont"/>
    <w:link w:val="BodyText-BarcRA2900"/>
    <w:locked/>
    <w:rsid w:val="006942F8"/>
    <w:rPr>
      <w:rFonts w:ascii="Expert Sans Regular" w:hAnsi="Expert Sans Regular"/>
      <w:sz w:val="18"/>
      <w:lang w:val="en-GB" w:eastAsia="en-US" w:bidi="ar-SA"/>
    </w:rPr>
  </w:style>
  <w:style w:type="paragraph" w:customStyle="1" w:styleId="NoteSourceText-BarcRA">
    <w:name w:val="Note &amp; Source Text - Barc RA"/>
    <w:basedOn w:val="Normal46"/>
    <w:link w:val="NoteSourceText-BarcRAChar"/>
    <w:rsid w:val="00E75B5D"/>
    <w:pPr>
      <w:tabs>
        <w:tab w:val="left" w:pos="284"/>
      </w:tabs>
      <w:spacing w:before="20" w:after="20"/>
      <w:ind w:left="284" w:hanging="284"/>
      <w:jc w:val="both"/>
    </w:pPr>
    <w:rPr>
      <w:i/>
      <w:iCs/>
      <w:sz w:val="14"/>
      <w:szCs w:val="14"/>
    </w:rPr>
  </w:style>
  <w:style w:type="paragraph" w:customStyle="1" w:styleId="Normal46">
    <w:name w:val="Normal_46"/>
    <w:qFormat/>
    <w:rsid w:val="009705AC"/>
    <w:rPr>
      <w:rFonts w:ascii="Expert Sans Regular" w:hAnsi="Expert Sans Regular"/>
      <w:sz w:val="18"/>
      <w:szCs w:val="24"/>
      <w:lang w:eastAsia="en-US"/>
    </w:rPr>
  </w:style>
  <w:style w:type="character" w:customStyle="1" w:styleId="NoteSourceText-BarcRAChar">
    <w:name w:val="Note &amp; Source Text - Barc RA Char"/>
    <w:basedOn w:val="DefaultParagraphFont"/>
    <w:link w:val="NoteSourceText-BarcRA"/>
    <w:rsid w:val="00E75B5D"/>
    <w:rPr>
      <w:rFonts w:ascii="Expert Sans Regular" w:hAnsi="Expert Sans Regular"/>
      <w:i/>
      <w:iCs/>
      <w:sz w:val="14"/>
      <w:szCs w:val="14"/>
      <w:lang w:eastAsia="en-US"/>
    </w:rPr>
  </w:style>
  <w:style w:type="paragraph" w:customStyle="1" w:styleId="NoteandSourceText-BarcRA4">
    <w:name w:val="Note and Source Text - Barc RA_4"/>
    <w:basedOn w:val="Normal46"/>
    <w:qFormat/>
    <w:rsid w:val="006A09D1"/>
    <w:pPr>
      <w:numPr>
        <w:numId w:val="102"/>
      </w:numPr>
      <w:tabs>
        <w:tab w:val="left" w:pos="284"/>
      </w:tabs>
      <w:spacing w:before="20" w:after="20"/>
      <w:jc w:val="both"/>
    </w:pPr>
    <w:rPr>
      <w:i/>
      <w:iCs/>
      <w:sz w:val="14"/>
      <w:szCs w:val="14"/>
    </w:rPr>
  </w:style>
  <w:style w:type="paragraph" w:customStyle="1" w:styleId="HeadingLevel1-BarcRA29">
    <w:name w:val="Heading Level 1 - Barc RA_29"/>
    <w:basedOn w:val="BodyText-BarcRA36"/>
    <w:next w:val="BodyText-BarcRA36"/>
    <w:link w:val="HeadingLevel1-BarcRAChar20"/>
    <w:qFormat/>
    <w:rsid w:val="002611B5"/>
    <w:pPr>
      <w:spacing w:before="0"/>
    </w:pPr>
    <w:rPr>
      <w:b/>
      <w:bCs/>
      <w:color w:val="000000"/>
      <w:sz w:val="24"/>
      <w:lang w:val="la-Latn"/>
    </w:rPr>
  </w:style>
  <w:style w:type="paragraph" w:customStyle="1" w:styleId="BodyText-BarcRA36">
    <w:name w:val="Body Text - Barc RA_36"/>
    <w:link w:val="BodyText-BarcRAChar24"/>
    <w:qFormat/>
    <w:rsid w:val="005D52ED"/>
    <w:pPr>
      <w:spacing w:before="180" w:after="180"/>
      <w:jc w:val="both"/>
    </w:pPr>
    <w:rPr>
      <w:rFonts w:ascii="Expert Sans Regular" w:hAnsi="Expert Sans Regular"/>
      <w:sz w:val="18"/>
      <w:lang w:eastAsia="en-US"/>
    </w:rPr>
  </w:style>
  <w:style w:type="character" w:customStyle="1" w:styleId="BodyText-BarcRAChar24">
    <w:name w:val="Body Text - Barc RA Char_24"/>
    <w:basedOn w:val="DefaultParagraphFont"/>
    <w:link w:val="BodyText-BarcRA36"/>
    <w:rsid w:val="005D52ED"/>
    <w:rPr>
      <w:rFonts w:ascii="Expert Sans Regular" w:hAnsi="Expert Sans Regular"/>
      <w:sz w:val="18"/>
      <w:lang w:val="en-GB" w:eastAsia="en-US" w:bidi="ar-SA"/>
    </w:rPr>
  </w:style>
  <w:style w:type="character" w:customStyle="1" w:styleId="HeadingLevel1-BarcRAChar20">
    <w:name w:val="Heading Level 1 - Barc RA Char_20"/>
    <w:basedOn w:val="DefaultParagraphFont"/>
    <w:link w:val="HeadingLevel1-BarcRA29"/>
    <w:rsid w:val="009705AC"/>
    <w:rPr>
      <w:rFonts w:ascii="Expert Sans Regular" w:hAnsi="Expert Sans Regular"/>
      <w:b/>
      <w:bCs/>
      <w:color w:val="000000"/>
      <w:sz w:val="24"/>
      <w:lang w:val="la-Latn"/>
    </w:rPr>
  </w:style>
  <w:style w:type="paragraph" w:customStyle="1" w:styleId="HeaderSpacerwithLine-BarcRA10">
    <w:name w:val="Header Spacer with Line - Barc RA_10"/>
    <w:basedOn w:val="BodyText-BarcRA36"/>
    <w:link w:val="HeaderSpacerwithLine-BarcRAChar4"/>
    <w:rsid w:val="00016DD8"/>
    <w:pPr>
      <w:pBdr>
        <w:top w:val="single" w:sz="4" w:space="1" w:color="auto"/>
      </w:pBdr>
      <w:spacing w:before="0" w:after="0"/>
    </w:pPr>
    <w:rPr>
      <w:sz w:val="10"/>
      <w:szCs w:val="10"/>
    </w:rPr>
  </w:style>
  <w:style w:type="character" w:customStyle="1" w:styleId="HeaderSpacerwithLine-BarcRAChar4">
    <w:name w:val="Header Spacer with Line - Barc RA Char_4"/>
    <w:basedOn w:val="BodyText-BarcRAChar24"/>
    <w:link w:val="HeaderSpacerwithLine-BarcRA10"/>
    <w:rsid w:val="000E2451"/>
    <w:rPr>
      <w:rFonts w:ascii="Expert Sans Regular" w:hAnsi="Expert Sans Regular"/>
      <w:sz w:val="10"/>
      <w:szCs w:val="10"/>
      <w:lang w:val="en-GB" w:eastAsia="en-US" w:bidi="ar-SA"/>
    </w:rPr>
  </w:style>
  <w:style w:type="paragraph" w:customStyle="1" w:styleId="HeadingLevel2-BarcRA4">
    <w:name w:val="Heading Level 2 - Barc RA_4"/>
    <w:basedOn w:val="HeadingLevel1-BarcRA30"/>
    <w:next w:val="BodyText-BarcRA37"/>
    <w:qFormat/>
    <w:locked/>
    <w:rsid w:val="000E5655"/>
    <w:pPr>
      <w:spacing w:before="240" w:after="0"/>
    </w:pPr>
    <w:rPr>
      <w:sz w:val="20"/>
    </w:rPr>
  </w:style>
  <w:style w:type="paragraph" w:customStyle="1" w:styleId="HeadingLevel1-BarcRA30">
    <w:name w:val="Heading Level 1 - Barc RA_30"/>
    <w:basedOn w:val="BodyText-BarcRA37"/>
    <w:next w:val="BodyText-BarcRA37"/>
    <w:qFormat/>
    <w:locked/>
    <w:rsid w:val="000E5655"/>
    <w:pPr>
      <w:spacing w:before="0"/>
    </w:pPr>
    <w:rPr>
      <w:b/>
      <w:bCs/>
      <w:color w:val="000000"/>
      <w:sz w:val="24"/>
      <w:lang w:val="la-Latn"/>
    </w:rPr>
  </w:style>
  <w:style w:type="paragraph" w:customStyle="1" w:styleId="BodyText-BarcRA37">
    <w:name w:val="Body Text - Barc RA_37"/>
    <w:link w:val="BodyText-BarcRAChar25"/>
    <w:qFormat/>
    <w:rsid w:val="00855EB0"/>
    <w:pPr>
      <w:spacing w:before="180" w:after="180"/>
      <w:jc w:val="both"/>
    </w:pPr>
    <w:rPr>
      <w:rFonts w:ascii="Expert Sans Regular" w:hAnsi="Expert Sans Regular"/>
      <w:sz w:val="18"/>
      <w:lang w:eastAsia="en-US"/>
    </w:rPr>
  </w:style>
  <w:style w:type="character" w:customStyle="1" w:styleId="BodyText-BarcRAChar25">
    <w:name w:val="Body Text - Barc RA Char_25"/>
    <w:basedOn w:val="DefaultParagraphFont"/>
    <w:link w:val="BodyText-BarcRA37"/>
    <w:locked/>
    <w:rsid w:val="00855EB0"/>
    <w:rPr>
      <w:rFonts w:ascii="Expert Sans Regular" w:hAnsi="Expert Sans Regular"/>
      <w:sz w:val="18"/>
      <w:lang w:val="en-GB" w:eastAsia="en-US" w:bidi="ar-SA"/>
    </w:rPr>
  </w:style>
  <w:style w:type="paragraph" w:customStyle="1" w:styleId="BodyText-BarcRA320">
    <w:name w:val="Body Text - Barc RA_3_2"/>
    <w:qFormat/>
    <w:locked/>
    <w:rsid w:val="001B0C6C"/>
    <w:pPr>
      <w:spacing w:before="180" w:after="180"/>
      <w:jc w:val="both"/>
    </w:pPr>
    <w:rPr>
      <w:rFonts w:ascii="Expert Sans Regular" w:hAnsi="Expert Sans Regular"/>
      <w:sz w:val="18"/>
      <w:lang w:eastAsia="en-US"/>
    </w:rPr>
  </w:style>
  <w:style w:type="paragraph" w:customStyle="1" w:styleId="NoteSourceText-BarcRA2">
    <w:name w:val="Note &amp; Source Text - Barc RA_2"/>
    <w:basedOn w:val="Normal47"/>
    <w:link w:val="NoteSourceText-BarcRAChar2"/>
    <w:rsid w:val="00E348F4"/>
    <w:pPr>
      <w:tabs>
        <w:tab w:val="left" w:pos="284"/>
      </w:tabs>
      <w:spacing w:before="20" w:after="20"/>
      <w:ind w:left="284" w:hanging="284"/>
      <w:jc w:val="both"/>
    </w:pPr>
    <w:rPr>
      <w:rFonts w:ascii="Expert Sans Regular" w:hAnsi="Expert Sans Regular"/>
      <w:i/>
      <w:iCs/>
      <w:sz w:val="14"/>
      <w:szCs w:val="14"/>
      <w:lang w:eastAsia="en-US"/>
    </w:rPr>
  </w:style>
  <w:style w:type="paragraph" w:customStyle="1" w:styleId="Normal47">
    <w:name w:val="Normal_47"/>
    <w:qFormat/>
    <w:rsid w:val="0095536F"/>
    <w:rPr>
      <w:sz w:val="24"/>
      <w:szCs w:val="24"/>
    </w:rPr>
  </w:style>
  <w:style w:type="character" w:customStyle="1" w:styleId="NoteSourceText-BarcRAChar2">
    <w:name w:val="Note &amp; Source Text - Barc RA Char_2"/>
    <w:basedOn w:val="DefaultParagraphFont"/>
    <w:link w:val="NoteSourceText-BarcRA2"/>
    <w:locked/>
    <w:rsid w:val="00E348F4"/>
    <w:rPr>
      <w:rFonts w:ascii="Expert Sans Regular" w:hAnsi="Expert Sans Regular"/>
      <w:i/>
      <w:iCs/>
      <w:sz w:val="14"/>
      <w:szCs w:val="14"/>
      <w:lang w:eastAsia="en-US"/>
    </w:rPr>
  </w:style>
  <w:style w:type="paragraph" w:customStyle="1" w:styleId="HeadingLevel2-BarcRA6">
    <w:name w:val="Heading Level 2 - Barc RA_6"/>
    <w:basedOn w:val="HeadingLevel1-BarcRA31"/>
    <w:next w:val="BodyText-BarcRA38"/>
    <w:qFormat/>
    <w:rsid w:val="00EE71E7"/>
    <w:pPr>
      <w:spacing w:before="240" w:after="0"/>
    </w:pPr>
    <w:rPr>
      <w:sz w:val="20"/>
    </w:rPr>
  </w:style>
  <w:style w:type="paragraph" w:customStyle="1" w:styleId="HeadingLevel1-BarcRA31">
    <w:name w:val="Heading Level 1 - Barc RA_31"/>
    <w:basedOn w:val="BodyText-BarcRA38"/>
    <w:next w:val="BodyText-BarcRA38"/>
    <w:link w:val="HeadingLevel1-BarcRAChar21"/>
    <w:rsid w:val="002611B5"/>
    <w:pPr>
      <w:spacing w:before="0"/>
    </w:pPr>
    <w:rPr>
      <w:b/>
      <w:bCs/>
      <w:color w:val="000000"/>
      <w:sz w:val="24"/>
      <w:lang w:val="la-Latn"/>
    </w:rPr>
  </w:style>
  <w:style w:type="paragraph" w:customStyle="1" w:styleId="BodyText-BarcRA38">
    <w:name w:val="Body Text - Barc RA_38"/>
    <w:link w:val="BodyText-BarcRAChar26"/>
    <w:qFormat/>
    <w:rsid w:val="005D52ED"/>
    <w:pPr>
      <w:spacing w:before="180" w:after="180"/>
      <w:jc w:val="both"/>
    </w:pPr>
    <w:rPr>
      <w:rFonts w:ascii="Expert Sans Regular" w:hAnsi="Expert Sans Regular"/>
      <w:sz w:val="18"/>
      <w:lang w:eastAsia="en-US"/>
    </w:rPr>
  </w:style>
  <w:style w:type="character" w:customStyle="1" w:styleId="BodyText-BarcRAChar26">
    <w:name w:val="Body Text - Barc RA Char_26"/>
    <w:basedOn w:val="DefaultParagraphFont"/>
    <w:link w:val="BodyText-BarcRA38"/>
    <w:rsid w:val="005D52ED"/>
    <w:rPr>
      <w:rFonts w:ascii="Expert Sans Regular" w:hAnsi="Expert Sans Regular"/>
      <w:sz w:val="18"/>
      <w:lang w:val="en-GB" w:eastAsia="en-US" w:bidi="ar-SA"/>
    </w:rPr>
  </w:style>
  <w:style w:type="character" w:customStyle="1" w:styleId="HeadingLevel1-BarcRAChar21">
    <w:name w:val="Heading Level 1 - Barc RA Char_21"/>
    <w:basedOn w:val="DefaultParagraphFont"/>
    <w:link w:val="HeadingLevel1-BarcRA31"/>
    <w:rsid w:val="009705AC"/>
    <w:rPr>
      <w:rFonts w:ascii="Expert Sans Regular" w:hAnsi="Expert Sans Regular"/>
      <w:b/>
      <w:bCs/>
      <w:color w:val="000000"/>
      <w:sz w:val="24"/>
      <w:lang w:val="la-Latn"/>
    </w:rPr>
  </w:style>
  <w:style w:type="paragraph" w:customStyle="1" w:styleId="BodyText-BarcRA39">
    <w:name w:val="Body Text - Barc RA_39"/>
    <w:link w:val="BodyText-BarcRAChar27"/>
    <w:qFormat/>
    <w:rsid w:val="005D52ED"/>
    <w:pPr>
      <w:spacing w:before="180" w:after="180"/>
      <w:jc w:val="both"/>
    </w:pPr>
    <w:rPr>
      <w:rFonts w:ascii="Expert Sans Regular" w:hAnsi="Expert Sans Regular"/>
      <w:sz w:val="18"/>
      <w:lang w:eastAsia="en-US"/>
    </w:rPr>
  </w:style>
  <w:style w:type="character" w:customStyle="1" w:styleId="BodyText-BarcRAChar27">
    <w:name w:val="Body Text - Barc RA Char_27"/>
    <w:basedOn w:val="DefaultParagraphFont"/>
    <w:link w:val="BodyText-BarcRA39"/>
    <w:rsid w:val="005D52ED"/>
    <w:rPr>
      <w:rFonts w:ascii="Expert Sans Regular" w:hAnsi="Expert Sans Regular"/>
      <w:sz w:val="18"/>
      <w:lang w:val="en-GB" w:eastAsia="en-US" w:bidi="ar-SA"/>
    </w:rPr>
  </w:style>
  <w:style w:type="paragraph" w:customStyle="1" w:styleId="NoteSourceText-BarcRA20">
    <w:name w:val="Note &amp; Source Text - Barc RA_2_0"/>
    <w:basedOn w:val="Normal48"/>
    <w:link w:val="NoteSourceText-BarcRAChar20"/>
    <w:rsid w:val="00666044"/>
    <w:pPr>
      <w:tabs>
        <w:tab w:val="left" w:pos="284"/>
      </w:tabs>
      <w:spacing w:before="20" w:after="20"/>
      <w:ind w:left="284" w:hanging="284"/>
      <w:jc w:val="both"/>
    </w:pPr>
    <w:rPr>
      <w:rFonts w:ascii="Expert Sans Regular" w:hAnsi="Expert Sans Regular"/>
      <w:i/>
      <w:iCs/>
      <w:sz w:val="14"/>
      <w:szCs w:val="14"/>
      <w:lang w:eastAsia="en-US"/>
    </w:rPr>
  </w:style>
  <w:style w:type="paragraph" w:customStyle="1" w:styleId="Normal48">
    <w:name w:val="Normal_48"/>
    <w:qFormat/>
    <w:rsid w:val="0095536F"/>
    <w:rPr>
      <w:sz w:val="24"/>
      <w:szCs w:val="24"/>
    </w:rPr>
  </w:style>
  <w:style w:type="character" w:customStyle="1" w:styleId="NoteSourceText-BarcRAChar20">
    <w:name w:val="Note &amp; Source Text - Barc RA Char_2_0"/>
    <w:basedOn w:val="DefaultParagraphFont"/>
    <w:link w:val="NoteSourceText-BarcRA20"/>
    <w:locked/>
    <w:rsid w:val="00666044"/>
    <w:rPr>
      <w:rFonts w:ascii="Expert Sans Regular" w:hAnsi="Expert Sans Regular"/>
      <w:i/>
      <w:iCs/>
      <w:sz w:val="14"/>
      <w:szCs w:val="14"/>
      <w:lang w:eastAsia="en-US"/>
    </w:rPr>
  </w:style>
  <w:style w:type="paragraph" w:customStyle="1" w:styleId="Normal49">
    <w:name w:val="Normal_49"/>
    <w:qFormat/>
    <w:rsid w:val="0095536F"/>
    <w:rPr>
      <w:sz w:val="24"/>
      <w:szCs w:val="24"/>
    </w:rPr>
  </w:style>
  <w:style w:type="paragraph" w:customStyle="1" w:styleId="BodyText-BarcRA140">
    <w:name w:val="Body Text - Barc RA_14_0"/>
    <w:qFormat/>
    <w:rsid w:val="00733E74"/>
    <w:pPr>
      <w:spacing w:before="180" w:after="180"/>
      <w:jc w:val="both"/>
    </w:pPr>
    <w:rPr>
      <w:rFonts w:ascii="Expert Sans Regular" w:hAnsi="Expert Sans Regular"/>
      <w:sz w:val="18"/>
      <w:lang w:eastAsia="en-US"/>
    </w:rPr>
  </w:style>
  <w:style w:type="paragraph" w:customStyle="1" w:styleId="Normal50">
    <w:name w:val="Normal_50"/>
    <w:qFormat/>
    <w:rsid w:val="009705AC"/>
    <w:rPr>
      <w:rFonts w:ascii="Expert Sans Regular" w:hAnsi="Expert Sans Regular"/>
      <w:sz w:val="18"/>
      <w:szCs w:val="24"/>
      <w:lang w:eastAsia="en-US"/>
    </w:rPr>
  </w:style>
  <w:style w:type="paragraph" w:customStyle="1" w:styleId="Normal51">
    <w:name w:val="Normal_51"/>
    <w:qFormat/>
    <w:rsid w:val="00B43C25"/>
    <w:rPr>
      <w:sz w:val="24"/>
      <w:szCs w:val="24"/>
    </w:rPr>
  </w:style>
  <w:style w:type="paragraph" w:customStyle="1" w:styleId="NoteandSourceText-BarcRA5">
    <w:name w:val="Note and Source Text - Barc RA_5"/>
    <w:basedOn w:val="Normal51"/>
    <w:qFormat/>
    <w:rsid w:val="006B77B9"/>
    <w:pPr>
      <w:numPr>
        <w:numId w:val="105"/>
      </w:numPr>
      <w:tabs>
        <w:tab w:val="left" w:pos="284"/>
      </w:tabs>
      <w:spacing w:before="20" w:after="20"/>
      <w:jc w:val="both"/>
    </w:pPr>
    <w:rPr>
      <w:rFonts w:ascii="Expert Sans Regular" w:hAnsi="Expert Sans Regular"/>
      <w:i/>
      <w:iCs/>
      <w:sz w:val="14"/>
      <w:szCs w:val="14"/>
      <w:lang w:eastAsia="en-US"/>
    </w:rPr>
  </w:style>
  <w:style w:type="paragraph" w:customStyle="1" w:styleId="NoteandSourceText-BarcRA6">
    <w:name w:val="Note and Source Text - Barc RA_6"/>
    <w:basedOn w:val="Normal51"/>
    <w:qFormat/>
    <w:rsid w:val="00B43C25"/>
    <w:pPr>
      <w:numPr>
        <w:numId w:val="106"/>
      </w:numPr>
      <w:tabs>
        <w:tab w:val="left" w:pos="284"/>
      </w:tabs>
      <w:spacing w:before="20" w:after="20"/>
      <w:jc w:val="both"/>
    </w:pPr>
    <w:rPr>
      <w:rFonts w:ascii="Expert Sans Regular" w:hAnsi="Expert Sans Regular"/>
      <w:i/>
      <w:iCs/>
      <w:sz w:val="14"/>
      <w:szCs w:val="14"/>
      <w:lang w:eastAsia="en-US"/>
    </w:rPr>
  </w:style>
  <w:style w:type="paragraph" w:customStyle="1" w:styleId="Level1Bullet-BarcRA14">
    <w:name w:val="Level 1 Bullet - Barc RA_14"/>
    <w:basedOn w:val="Normal52"/>
    <w:qFormat/>
    <w:locked/>
    <w:rsid w:val="00250E45"/>
    <w:pPr>
      <w:numPr>
        <w:numId w:val="107"/>
      </w:numPr>
      <w:spacing w:before="180" w:after="180"/>
      <w:jc w:val="both"/>
    </w:pPr>
    <w:rPr>
      <w:rFonts w:ascii="Expert Sans Regular" w:hAnsi="Expert Sans Regular"/>
      <w:sz w:val="18"/>
      <w:szCs w:val="20"/>
      <w:lang w:val="la-Latn" w:eastAsia="en-US"/>
    </w:rPr>
  </w:style>
  <w:style w:type="paragraph" w:customStyle="1" w:styleId="Normal52">
    <w:name w:val="Normal_52"/>
    <w:qFormat/>
    <w:rsid w:val="0095536F"/>
    <w:rPr>
      <w:sz w:val="24"/>
      <w:szCs w:val="24"/>
    </w:rPr>
  </w:style>
  <w:style w:type="paragraph" w:customStyle="1" w:styleId="HeadingLevel2-BarcRA7">
    <w:name w:val="Heading Level 2 - Barc RA_7"/>
    <w:basedOn w:val="HeadingLevel1-BarcRA32"/>
    <w:next w:val="BodyText-BarcRA40"/>
    <w:qFormat/>
    <w:rsid w:val="00EE71E7"/>
    <w:pPr>
      <w:spacing w:before="240" w:after="0"/>
    </w:pPr>
    <w:rPr>
      <w:sz w:val="20"/>
    </w:rPr>
  </w:style>
  <w:style w:type="paragraph" w:customStyle="1" w:styleId="HeadingLevel1-BarcRA32">
    <w:name w:val="Heading Level 1 - Barc RA_32"/>
    <w:basedOn w:val="BodyText-BarcRA40"/>
    <w:next w:val="BodyText-BarcRA40"/>
    <w:link w:val="HeadingLevel1-BarcRAChar22"/>
    <w:rsid w:val="002611B5"/>
    <w:pPr>
      <w:spacing w:before="0"/>
    </w:pPr>
    <w:rPr>
      <w:b/>
      <w:bCs/>
      <w:color w:val="000000"/>
      <w:sz w:val="24"/>
      <w:lang w:val="la-Latn"/>
    </w:rPr>
  </w:style>
  <w:style w:type="paragraph" w:customStyle="1" w:styleId="BodyText-BarcRA40">
    <w:name w:val="Body Text - Barc RA_40"/>
    <w:link w:val="BodyText-BarcRAChar28"/>
    <w:qFormat/>
    <w:rsid w:val="005D52ED"/>
    <w:pPr>
      <w:spacing w:before="180" w:after="180"/>
      <w:jc w:val="both"/>
    </w:pPr>
    <w:rPr>
      <w:rFonts w:ascii="Expert Sans Regular" w:hAnsi="Expert Sans Regular"/>
      <w:sz w:val="18"/>
      <w:lang w:eastAsia="en-US"/>
    </w:rPr>
  </w:style>
  <w:style w:type="character" w:customStyle="1" w:styleId="BodyText-BarcRAChar28">
    <w:name w:val="Body Text - Barc RA Char_28"/>
    <w:basedOn w:val="DefaultParagraphFont"/>
    <w:link w:val="BodyText-BarcRA40"/>
    <w:rsid w:val="005D52ED"/>
    <w:rPr>
      <w:rFonts w:ascii="Expert Sans Regular" w:hAnsi="Expert Sans Regular"/>
      <w:sz w:val="18"/>
      <w:lang w:val="en-GB" w:eastAsia="en-US" w:bidi="ar-SA"/>
    </w:rPr>
  </w:style>
  <w:style w:type="character" w:customStyle="1" w:styleId="HeadingLevel1-BarcRAChar22">
    <w:name w:val="Heading Level 1 - Barc RA Char_22"/>
    <w:basedOn w:val="DefaultParagraphFont"/>
    <w:link w:val="HeadingLevel1-BarcRA32"/>
    <w:rsid w:val="009705AC"/>
    <w:rPr>
      <w:rFonts w:ascii="Expert Sans Regular" w:hAnsi="Expert Sans Regular"/>
      <w:b/>
      <w:bCs/>
      <w:color w:val="000000"/>
      <w:sz w:val="24"/>
      <w:lang w:val="la-Latn"/>
    </w:rPr>
  </w:style>
  <w:style w:type="paragraph" w:customStyle="1" w:styleId="BodyText-BarcRA41">
    <w:name w:val="Body Text - Barc RA_41"/>
    <w:link w:val="BodyText-BarcRAChar270"/>
    <w:qFormat/>
    <w:rsid w:val="0098665F"/>
    <w:pPr>
      <w:spacing w:before="180" w:after="180"/>
      <w:jc w:val="both"/>
    </w:pPr>
    <w:rPr>
      <w:rFonts w:ascii="Expert Sans Regular" w:hAnsi="Expert Sans Regular"/>
      <w:sz w:val="18"/>
      <w:lang w:eastAsia="en-US"/>
    </w:rPr>
  </w:style>
  <w:style w:type="character" w:customStyle="1" w:styleId="BodyText-BarcRAChar270">
    <w:name w:val="Body Text - Barc RA Char_27_0"/>
    <w:basedOn w:val="DefaultParagraphFont"/>
    <w:link w:val="BodyText-BarcRA41"/>
    <w:locked/>
    <w:rsid w:val="0098665F"/>
    <w:rPr>
      <w:rFonts w:ascii="Expert Sans Regular" w:hAnsi="Expert Sans Regular"/>
      <w:sz w:val="18"/>
      <w:lang w:val="en-GB" w:eastAsia="en-US" w:bidi="ar-SA"/>
    </w:rPr>
  </w:style>
  <w:style w:type="paragraph" w:customStyle="1" w:styleId="Normal53">
    <w:name w:val="Normal_53"/>
    <w:qFormat/>
    <w:rsid w:val="009705AC"/>
    <w:rPr>
      <w:rFonts w:ascii="Expert Sans Regular" w:hAnsi="Expert Sans Regular"/>
      <w:sz w:val="18"/>
      <w:szCs w:val="24"/>
      <w:lang w:eastAsia="en-US"/>
    </w:rPr>
  </w:style>
  <w:style w:type="paragraph" w:customStyle="1" w:styleId="NoteandSourceText-BarcRA20">
    <w:name w:val="Note and Source Text - Barc RA_2_0"/>
    <w:basedOn w:val="Normal54"/>
    <w:uiPriority w:val="99"/>
    <w:rsid w:val="00E63D78"/>
    <w:pPr>
      <w:numPr>
        <w:numId w:val="108"/>
      </w:numPr>
      <w:tabs>
        <w:tab w:val="left" w:pos="284"/>
      </w:tabs>
      <w:spacing w:before="20" w:after="20"/>
      <w:jc w:val="both"/>
    </w:pPr>
    <w:rPr>
      <w:i/>
      <w:iCs/>
      <w:sz w:val="14"/>
      <w:szCs w:val="14"/>
    </w:rPr>
  </w:style>
  <w:style w:type="paragraph" w:customStyle="1" w:styleId="Normal54">
    <w:name w:val="Normal_54"/>
    <w:qFormat/>
    <w:rsid w:val="009705AC"/>
    <w:rPr>
      <w:rFonts w:ascii="Expert Sans Regular" w:hAnsi="Expert Sans Regular"/>
      <w:sz w:val="18"/>
      <w:szCs w:val="24"/>
      <w:lang w:eastAsia="en-US"/>
    </w:rPr>
  </w:style>
  <w:style w:type="paragraph" w:customStyle="1" w:styleId="NoteandSourceText-BarcRA60">
    <w:name w:val="Note and Source Text - Barc RA_6_0"/>
    <w:basedOn w:val="Normal54"/>
    <w:qFormat/>
    <w:rsid w:val="00AF2603"/>
    <w:pPr>
      <w:numPr>
        <w:numId w:val="109"/>
      </w:numPr>
      <w:tabs>
        <w:tab w:val="left" w:pos="284"/>
      </w:tabs>
      <w:spacing w:before="20" w:after="20"/>
      <w:jc w:val="both"/>
    </w:pPr>
    <w:rPr>
      <w:i/>
      <w:iCs/>
      <w:sz w:val="14"/>
      <w:szCs w:val="14"/>
    </w:rPr>
  </w:style>
  <w:style w:type="paragraph" w:customStyle="1" w:styleId="Level1Bullet-BarcRA72">
    <w:name w:val="Level 1 Bullet - Barc RA_7_2"/>
    <w:basedOn w:val="Normal55"/>
    <w:link w:val="Level1Bullet-BarcRAChar60"/>
    <w:qFormat/>
    <w:rsid w:val="0048014D"/>
    <w:pPr>
      <w:numPr>
        <w:numId w:val="110"/>
      </w:numPr>
      <w:spacing w:before="180" w:after="180"/>
      <w:jc w:val="both"/>
    </w:pPr>
    <w:rPr>
      <w:szCs w:val="20"/>
      <w:lang w:val="la-Latn"/>
    </w:rPr>
  </w:style>
  <w:style w:type="paragraph" w:customStyle="1" w:styleId="Normal55">
    <w:name w:val="Normal_55"/>
    <w:qFormat/>
    <w:rsid w:val="009705AC"/>
    <w:rPr>
      <w:rFonts w:ascii="Expert Sans Regular" w:hAnsi="Expert Sans Regular"/>
      <w:sz w:val="18"/>
      <w:szCs w:val="24"/>
      <w:lang w:eastAsia="en-US"/>
    </w:rPr>
  </w:style>
  <w:style w:type="character" w:customStyle="1" w:styleId="Level1Bullet-BarcRAChar60">
    <w:name w:val="Level 1 Bullet - Barc RA Char_6_0"/>
    <w:basedOn w:val="DefaultParagraphFont"/>
    <w:link w:val="Level1Bullet-BarcRA72"/>
    <w:locked/>
    <w:rsid w:val="0048014D"/>
    <w:rPr>
      <w:rFonts w:ascii="Expert Sans Regular" w:hAnsi="Expert Sans Regular"/>
      <w:sz w:val="18"/>
      <w:lang w:val="la-Latn" w:eastAsia="en-US"/>
    </w:rPr>
  </w:style>
  <w:style w:type="paragraph" w:customStyle="1" w:styleId="HeadingLevel2-BarcRA8">
    <w:name w:val="Heading Level 2 - Barc RA_8"/>
    <w:basedOn w:val="HeadingLevel1-BarcRA33"/>
    <w:next w:val="BodyText-BarcRA42"/>
    <w:qFormat/>
    <w:rsid w:val="00EE71E7"/>
    <w:pPr>
      <w:spacing w:before="240" w:after="0"/>
    </w:pPr>
    <w:rPr>
      <w:sz w:val="20"/>
    </w:rPr>
  </w:style>
  <w:style w:type="paragraph" w:customStyle="1" w:styleId="HeadingLevel1-BarcRA33">
    <w:name w:val="Heading Level 1 - Barc RA_33"/>
    <w:basedOn w:val="BodyText-BarcRA42"/>
    <w:next w:val="BodyText-BarcRA42"/>
    <w:link w:val="HeadingLevel1-BarcRAChar23"/>
    <w:rsid w:val="002611B5"/>
    <w:pPr>
      <w:spacing w:before="0"/>
    </w:pPr>
    <w:rPr>
      <w:b/>
      <w:bCs/>
      <w:color w:val="000000"/>
      <w:sz w:val="24"/>
      <w:lang w:val="la-Latn"/>
    </w:rPr>
  </w:style>
  <w:style w:type="paragraph" w:customStyle="1" w:styleId="BodyText-BarcRA42">
    <w:name w:val="Body Text - Barc RA_42"/>
    <w:link w:val="BodyText-BarcRAChar29"/>
    <w:qFormat/>
    <w:rsid w:val="005D52ED"/>
    <w:pPr>
      <w:spacing w:before="180" w:after="180"/>
      <w:jc w:val="both"/>
    </w:pPr>
    <w:rPr>
      <w:rFonts w:ascii="Expert Sans Regular" w:hAnsi="Expert Sans Regular"/>
      <w:sz w:val="18"/>
      <w:lang w:eastAsia="en-US"/>
    </w:rPr>
  </w:style>
  <w:style w:type="character" w:customStyle="1" w:styleId="BodyText-BarcRAChar29">
    <w:name w:val="Body Text - Barc RA Char_29"/>
    <w:basedOn w:val="DefaultParagraphFont"/>
    <w:link w:val="BodyText-BarcRA42"/>
    <w:rsid w:val="005D52ED"/>
    <w:rPr>
      <w:rFonts w:ascii="Expert Sans Regular" w:hAnsi="Expert Sans Regular"/>
      <w:sz w:val="18"/>
      <w:lang w:val="en-GB" w:eastAsia="en-US" w:bidi="ar-SA"/>
    </w:rPr>
  </w:style>
  <w:style w:type="character" w:customStyle="1" w:styleId="HeadingLevel1-BarcRAChar23">
    <w:name w:val="Heading Level 1 - Barc RA Char_23"/>
    <w:basedOn w:val="DefaultParagraphFont"/>
    <w:link w:val="HeadingLevel1-BarcRA33"/>
    <w:rsid w:val="009705AC"/>
    <w:rPr>
      <w:rFonts w:ascii="Expert Sans Regular" w:hAnsi="Expert Sans Regular"/>
      <w:b/>
      <w:bCs/>
      <w:color w:val="000000"/>
      <w:sz w:val="24"/>
      <w:lang w:val="la-Latn"/>
    </w:rPr>
  </w:style>
  <w:style w:type="paragraph" w:customStyle="1" w:styleId="Level1Bullet-BarcRA15">
    <w:name w:val="Level 1 Bullet - Barc RA_15"/>
    <w:basedOn w:val="BodyText-BarcRA43"/>
    <w:qFormat/>
    <w:locked/>
    <w:rsid w:val="00903820"/>
    <w:pPr>
      <w:numPr>
        <w:numId w:val="111"/>
      </w:numPr>
    </w:pPr>
    <w:rPr>
      <w:lang w:val="la-Latn"/>
    </w:rPr>
  </w:style>
  <w:style w:type="paragraph" w:customStyle="1" w:styleId="BodyText-BarcRA43">
    <w:name w:val="Body Text - Barc RA_43"/>
    <w:qFormat/>
    <w:locked/>
    <w:rsid w:val="00903820"/>
    <w:pPr>
      <w:spacing w:before="180" w:after="180"/>
      <w:jc w:val="both"/>
    </w:pPr>
    <w:rPr>
      <w:rFonts w:ascii="Expert Sans Regular" w:hAnsi="Expert Sans Regular"/>
      <w:sz w:val="18"/>
      <w:lang w:eastAsia="en-US"/>
    </w:rPr>
  </w:style>
  <w:style w:type="paragraph" w:customStyle="1" w:styleId="HeadingLevel2-BarcRA9">
    <w:name w:val="Heading Level 2 - Barc RA_9"/>
    <w:basedOn w:val="HeadingLevel1-BarcRA34"/>
    <w:next w:val="BodyText-BarcRA44"/>
    <w:rsid w:val="00EE71E7"/>
    <w:pPr>
      <w:spacing w:before="240" w:after="0"/>
    </w:pPr>
    <w:rPr>
      <w:sz w:val="20"/>
    </w:rPr>
  </w:style>
  <w:style w:type="paragraph" w:customStyle="1" w:styleId="HeadingLevel1-BarcRA34">
    <w:name w:val="Heading Level 1 - Barc RA_34"/>
    <w:basedOn w:val="BodyText-BarcRA44"/>
    <w:next w:val="BodyText-BarcRA44"/>
    <w:link w:val="HeadingLevel1-BarcRAChar24"/>
    <w:rsid w:val="002611B5"/>
    <w:pPr>
      <w:spacing w:before="0"/>
    </w:pPr>
    <w:rPr>
      <w:b/>
      <w:bCs/>
      <w:color w:val="000000"/>
      <w:sz w:val="24"/>
      <w:lang w:val="la-Latn"/>
    </w:rPr>
  </w:style>
  <w:style w:type="paragraph" w:customStyle="1" w:styleId="BodyText-BarcRA44">
    <w:name w:val="Body Text - Barc RA_44"/>
    <w:link w:val="BodyText-BarcRAChar300"/>
    <w:qFormat/>
    <w:rsid w:val="005D52ED"/>
    <w:pPr>
      <w:spacing w:before="180" w:after="180"/>
      <w:jc w:val="both"/>
    </w:pPr>
    <w:rPr>
      <w:rFonts w:ascii="Expert Sans Regular" w:hAnsi="Expert Sans Regular"/>
      <w:sz w:val="18"/>
      <w:lang w:eastAsia="en-US"/>
    </w:rPr>
  </w:style>
  <w:style w:type="character" w:customStyle="1" w:styleId="BodyText-BarcRAChar300">
    <w:name w:val="Body Text - Barc RA Char_30"/>
    <w:basedOn w:val="DefaultParagraphFont"/>
    <w:link w:val="BodyText-BarcRA44"/>
    <w:rsid w:val="005D52ED"/>
    <w:rPr>
      <w:rFonts w:ascii="Expert Sans Regular" w:hAnsi="Expert Sans Regular"/>
      <w:sz w:val="18"/>
      <w:lang w:val="en-GB" w:eastAsia="en-US" w:bidi="ar-SA"/>
    </w:rPr>
  </w:style>
  <w:style w:type="character" w:customStyle="1" w:styleId="HeadingLevel1-BarcRAChar24">
    <w:name w:val="Heading Level 1 - Barc RA Char_24"/>
    <w:basedOn w:val="DefaultParagraphFont"/>
    <w:link w:val="HeadingLevel1-BarcRA34"/>
    <w:rsid w:val="009705AC"/>
    <w:rPr>
      <w:rFonts w:ascii="Expert Sans Regular" w:hAnsi="Expert Sans Regular"/>
      <w:b/>
      <w:bCs/>
      <w:color w:val="000000"/>
      <w:sz w:val="24"/>
      <w:lang w:val="la-Latn"/>
    </w:rPr>
  </w:style>
  <w:style w:type="paragraph" w:customStyle="1" w:styleId="Level1Bullet-BarcRA000">
    <w:name w:val="Level 1 Bullet - Barc RA_0_0_0"/>
    <w:basedOn w:val="BodyText-BarcRA80"/>
    <w:link w:val="Level1Bullet-BarcRAChar000"/>
    <w:rsid w:val="000A03E2"/>
    <w:pPr>
      <w:numPr>
        <w:numId w:val="112"/>
      </w:numPr>
    </w:pPr>
    <w:rPr>
      <w:lang w:val="la-Latn"/>
    </w:rPr>
  </w:style>
  <w:style w:type="paragraph" w:customStyle="1" w:styleId="BodyText-BarcRA80">
    <w:name w:val="Body Text - Barc RA_8_0"/>
    <w:link w:val="BodyText-BarcRAChar80"/>
    <w:qFormat/>
    <w:rsid w:val="000A03E2"/>
    <w:pPr>
      <w:spacing w:before="180" w:after="180"/>
      <w:jc w:val="both"/>
    </w:pPr>
    <w:rPr>
      <w:rFonts w:ascii="Expert Sans Regular" w:hAnsi="Expert Sans Regular"/>
      <w:sz w:val="18"/>
      <w:lang w:eastAsia="en-US"/>
    </w:rPr>
  </w:style>
  <w:style w:type="character" w:customStyle="1" w:styleId="BodyText-BarcRAChar80">
    <w:name w:val="Body Text - Barc RA Char_8_0"/>
    <w:basedOn w:val="DefaultParagraphFont"/>
    <w:link w:val="BodyText-BarcRA80"/>
    <w:locked/>
    <w:rsid w:val="000A03E2"/>
    <w:rPr>
      <w:rFonts w:ascii="Expert Sans Regular" w:hAnsi="Expert Sans Regular"/>
      <w:sz w:val="18"/>
      <w:lang w:val="en-GB" w:eastAsia="en-US" w:bidi="ar-SA"/>
    </w:rPr>
  </w:style>
  <w:style w:type="character" w:customStyle="1" w:styleId="Level1Bullet-BarcRAChar000">
    <w:name w:val="Level 1 Bullet - Barc RA Char_0_0_0"/>
    <w:basedOn w:val="BodyText-BarcRAChar80"/>
    <w:link w:val="Level1Bullet-BarcRA000"/>
    <w:locked/>
    <w:rsid w:val="000A03E2"/>
    <w:rPr>
      <w:rFonts w:ascii="Expert Sans Regular" w:hAnsi="Expert Sans Regular"/>
      <w:sz w:val="18"/>
      <w:lang w:val="la-Latn" w:eastAsia="en-US" w:bidi="ar-SA"/>
    </w:rPr>
  </w:style>
  <w:style w:type="paragraph" w:customStyle="1" w:styleId="BodyText-AR22">
    <w:name w:val="Body Text - AR_22"/>
    <w:basedOn w:val="Normal56"/>
    <w:qFormat/>
    <w:rsid w:val="00974ADD"/>
    <w:rPr>
      <w:rFonts w:eastAsia="Calibri"/>
      <w:sz w:val="16"/>
      <w:szCs w:val="22"/>
    </w:rPr>
  </w:style>
  <w:style w:type="paragraph" w:customStyle="1" w:styleId="Normal56">
    <w:name w:val="Normal_56"/>
    <w:qFormat/>
    <w:rsid w:val="009705AC"/>
    <w:rPr>
      <w:rFonts w:ascii="Expert Sans Regular" w:hAnsi="Expert Sans Regular"/>
      <w:sz w:val="18"/>
      <w:szCs w:val="24"/>
      <w:lang w:eastAsia="en-US"/>
    </w:rPr>
  </w:style>
  <w:style w:type="paragraph" w:customStyle="1" w:styleId="HeadingLevel3-AR">
    <w:name w:val="Heading Level 3 - AR"/>
    <w:basedOn w:val="Normal57"/>
    <w:qFormat/>
    <w:rsid w:val="00C80734"/>
    <w:rPr>
      <w:rFonts w:ascii="Expert Sans Regular" w:eastAsia="Calibri" w:hAnsi="Expert Sans Regular"/>
      <w:b/>
      <w:color w:val="00B0F0"/>
      <w:sz w:val="16"/>
      <w:szCs w:val="22"/>
      <w:lang w:eastAsia="en-US"/>
    </w:rPr>
  </w:style>
  <w:style w:type="paragraph" w:customStyle="1" w:styleId="Normal57">
    <w:name w:val="Normal_57"/>
    <w:qFormat/>
    <w:rsid w:val="00DA12CF"/>
    <w:rPr>
      <w:sz w:val="24"/>
      <w:szCs w:val="24"/>
    </w:rPr>
  </w:style>
  <w:style w:type="paragraph" w:customStyle="1" w:styleId="BodyText-AR220">
    <w:name w:val="Body Text - AR_22_0"/>
    <w:basedOn w:val="Normal57"/>
    <w:qFormat/>
    <w:rsid w:val="005C3131"/>
    <w:rPr>
      <w:rFonts w:ascii="Expert Sans Regular" w:eastAsia="Calibri" w:hAnsi="Expert Sans Regular"/>
      <w:sz w:val="16"/>
      <w:szCs w:val="22"/>
      <w:lang w:eastAsia="en-US"/>
    </w:rPr>
  </w:style>
  <w:style w:type="paragraph" w:customStyle="1" w:styleId="BodyText-AR221">
    <w:name w:val="Body Text - AR_22_1"/>
    <w:basedOn w:val="Normal57"/>
    <w:qFormat/>
    <w:rsid w:val="00DC278D"/>
    <w:rPr>
      <w:rFonts w:ascii="Expert Sans Regular" w:eastAsia="Calibri" w:hAnsi="Expert Sans Regular"/>
      <w:sz w:val="16"/>
      <w:szCs w:val="22"/>
      <w:lang w:eastAsia="en-US"/>
    </w:rPr>
  </w:style>
  <w:style w:type="paragraph" w:customStyle="1" w:styleId="NoteandSourceText-BarcRA7">
    <w:name w:val="Note and Source Text - Barc RA_7"/>
    <w:basedOn w:val="Normal58"/>
    <w:qFormat/>
    <w:rsid w:val="00E26A26"/>
    <w:pPr>
      <w:numPr>
        <w:numId w:val="113"/>
      </w:numPr>
      <w:tabs>
        <w:tab w:val="left" w:pos="284"/>
      </w:tabs>
      <w:spacing w:before="20" w:after="20"/>
      <w:jc w:val="both"/>
    </w:pPr>
    <w:rPr>
      <w:rFonts w:ascii="Expert Sans Regular" w:hAnsi="Expert Sans Regular"/>
      <w:i/>
      <w:iCs/>
      <w:sz w:val="14"/>
      <w:szCs w:val="14"/>
      <w:lang w:eastAsia="en-US"/>
    </w:rPr>
  </w:style>
  <w:style w:type="paragraph" w:customStyle="1" w:styleId="Normal58">
    <w:name w:val="Normal_58"/>
    <w:qFormat/>
    <w:rsid w:val="00ED6D4F"/>
    <w:rPr>
      <w:sz w:val="24"/>
      <w:szCs w:val="24"/>
    </w:rPr>
  </w:style>
  <w:style w:type="paragraph" w:customStyle="1" w:styleId="BodyText-BarcRA45">
    <w:name w:val="Body Text - Barc RA_45"/>
    <w:qFormat/>
    <w:locked/>
    <w:rsid w:val="00984101"/>
    <w:pPr>
      <w:spacing w:before="180" w:after="180"/>
      <w:jc w:val="both"/>
    </w:pPr>
    <w:rPr>
      <w:rFonts w:ascii="Expert Sans Regular" w:hAnsi="Expert Sans Regular"/>
      <w:sz w:val="18"/>
      <w:lang w:eastAsia="en-US"/>
    </w:rPr>
  </w:style>
  <w:style w:type="paragraph" w:customStyle="1" w:styleId="BodyText-BarcRA47">
    <w:name w:val="Body Text - Barc RA_47"/>
    <w:qFormat/>
    <w:locked/>
    <w:rsid w:val="004F7229"/>
    <w:pPr>
      <w:spacing w:before="180" w:after="180"/>
      <w:jc w:val="both"/>
    </w:pPr>
    <w:rPr>
      <w:rFonts w:ascii="Expert Sans Regular" w:hAnsi="Expert Sans Regular"/>
      <w:sz w:val="18"/>
      <w:lang w:eastAsia="en-US"/>
    </w:rPr>
  </w:style>
  <w:style w:type="paragraph" w:customStyle="1" w:styleId="NoteSourceText-BarcRA21">
    <w:name w:val="Note &amp; Source Text - Barc RA_2_1"/>
    <w:basedOn w:val="Normal59"/>
    <w:link w:val="NoteSourceText-BarcRAChar21"/>
    <w:rsid w:val="00C95DF8"/>
    <w:pPr>
      <w:tabs>
        <w:tab w:val="left" w:pos="284"/>
      </w:tabs>
      <w:spacing w:before="20" w:after="20"/>
      <w:ind w:left="284" w:hanging="284"/>
      <w:jc w:val="both"/>
    </w:pPr>
    <w:rPr>
      <w:rFonts w:ascii="Expert Sans Regular" w:hAnsi="Expert Sans Regular"/>
      <w:i/>
      <w:iCs/>
      <w:sz w:val="14"/>
      <w:szCs w:val="14"/>
      <w:lang w:eastAsia="en-US"/>
    </w:rPr>
  </w:style>
  <w:style w:type="paragraph" w:customStyle="1" w:styleId="Normal59">
    <w:name w:val="Normal_59"/>
    <w:qFormat/>
    <w:rsid w:val="0095536F"/>
    <w:rPr>
      <w:sz w:val="24"/>
      <w:szCs w:val="24"/>
    </w:rPr>
  </w:style>
  <w:style w:type="character" w:customStyle="1" w:styleId="NoteSourceText-BarcRAChar21">
    <w:name w:val="Note &amp; Source Text - Barc RA Char_2_1"/>
    <w:basedOn w:val="DefaultParagraphFont"/>
    <w:link w:val="NoteSourceText-BarcRA21"/>
    <w:locked/>
    <w:rsid w:val="00C95DF8"/>
    <w:rPr>
      <w:rFonts w:ascii="Expert Sans Regular" w:hAnsi="Expert Sans Regular"/>
      <w:i/>
      <w:iCs/>
      <w:sz w:val="14"/>
      <w:szCs w:val="14"/>
      <w:lang w:eastAsia="en-US"/>
    </w:rPr>
  </w:style>
  <w:style w:type="paragraph" w:customStyle="1" w:styleId="BodyText-BarcRA46">
    <w:name w:val="Body Text - Barc RA_46"/>
    <w:qFormat/>
    <w:locked/>
    <w:rsid w:val="00D0206A"/>
    <w:pPr>
      <w:spacing w:before="180" w:after="180"/>
      <w:jc w:val="both"/>
    </w:pPr>
    <w:rPr>
      <w:rFonts w:ascii="Expert Sans Regular" w:hAnsi="Expert Sans Regular"/>
      <w:sz w:val="18"/>
      <w:lang w:eastAsia="en-US"/>
    </w:rPr>
  </w:style>
  <w:style w:type="paragraph" w:customStyle="1" w:styleId="BodyText-BarcRA470">
    <w:name w:val="Body Text - Barc RA_47_0"/>
    <w:qFormat/>
    <w:locked/>
    <w:rsid w:val="00B22739"/>
    <w:pPr>
      <w:spacing w:before="180" w:after="180"/>
      <w:jc w:val="both"/>
    </w:pPr>
    <w:rPr>
      <w:rFonts w:ascii="Expert Sans Regular" w:hAnsi="Expert Sans Regular"/>
      <w:sz w:val="18"/>
      <w:lang w:eastAsia="en-US"/>
    </w:rPr>
  </w:style>
  <w:style w:type="paragraph" w:customStyle="1" w:styleId="BodyText-BarcRA48">
    <w:name w:val="Body Text - Barc RA_48"/>
    <w:qFormat/>
    <w:locked/>
    <w:rsid w:val="00B412A3"/>
    <w:pPr>
      <w:spacing w:before="180" w:after="180"/>
      <w:jc w:val="both"/>
    </w:pPr>
    <w:rPr>
      <w:rFonts w:ascii="Expert Sans Regular" w:hAnsi="Expert Sans Regular"/>
      <w:sz w:val="18"/>
      <w:lang w:eastAsia="en-US"/>
    </w:rPr>
  </w:style>
  <w:style w:type="paragraph" w:customStyle="1" w:styleId="Level1Bullet-BarcRA30">
    <w:name w:val="Level 1 Bullet - Barc RA_3_0"/>
    <w:basedOn w:val="Normal601"/>
    <w:qFormat/>
    <w:rsid w:val="00B412A3"/>
    <w:pPr>
      <w:numPr>
        <w:numId w:val="116"/>
      </w:numPr>
      <w:spacing w:before="180" w:after="180"/>
      <w:jc w:val="both"/>
    </w:pPr>
    <w:rPr>
      <w:rFonts w:eastAsia="Times New Roman" w:cs="Times New Roman"/>
      <w:sz w:val="18"/>
      <w:szCs w:val="20"/>
      <w:lang w:val="la-Latn"/>
    </w:rPr>
  </w:style>
  <w:style w:type="paragraph" w:customStyle="1" w:styleId="Normal601">
    <w:name w:val="Normal_60"/>
    <w:qFormat/>
    <w:rsid w:val="008944AF"/>
    <w:rPr>
      <w:rFonts w:ascii="Expert Sans Regular" w:eastAsia="Expert Sans Regular" w:hAnsi="Expert Sans Regular" w:cs="Expert Sans Regular"/>
      <w:szCs w:val="24"/>
      <w:lang w:val="en-US" w:eastAsia="en-US"/>
    </w:rPr>
  </w:style>
  <w:style w:type="paragraph" w:customStyle="1" w:styleId="BodyText-BarcRA471">
    <w:name w:val="Body Text - Barc RA_47_1"/>
    <w:qFormat/>
    <w:locked/>
    <w:rsid w:val="00C10251"/>
    <w:pPr>
      <w:spacing w:before="180" w:after="180"/>
      <w:jc w:val="both"/>
    </w:pPr>
    <w:rPr>
      <w:rFonts w:ascii="Expert Sans Regular" w:hAnsi="Expert Sans Regular"/>
      <w:sz w:val="18"/>
      <w:lang w:eastAsia="en-US"/>
    </w:rPr>
  </w:style>
  <w:style w:type="paragraph" w:customStyle="1" w:styleId="NoteSourceText-BarcRA210">
    <w:name w:val="Note &amp; Source Text - Barc RA_2_1_0"/>
    <w:basedOn w:val="Normal601"/>
    <w:link w:val="NoteSourceText-BarcRAChar210"/>
    <w:rsid w:val="00C10251"/>
    <w:pPr>
      <w:tabs>
        <w:tab w:val="left" w:pos="284"/>
      </w:tabs>
      <w:spacing w:before="20" w:after="20"/>
      <w:ind w:left="284" w:hanging="284"/>
      <w:jc w:val="both"/>
    </w:pPr>
    <w:rPr>
      <w:rFonts w:eastAsia="Times New Roman" w:cs="Times New Roman"/>
      <w:i/>
      <w:iCs/>
      <w:sz w:val="14"/>
      <w:szCs w:val="14"/>
      <w:lang w:val="en-GB"/>
    </w:rPr>
  </w:style>
  <w:style w:type="character" w:customStyle="1" w:styleId="NoteSourceText-BarcRAChar210">
    <w:name w:val="Note &amp; Source Text - Barc RA Char_2_1_0"/>
    <w:basedOn w:val="DefaultParagraphFont"/>
    <w:link w:val="NoteSourceText-BarcRA210"/>
    <w:locked/>
    <w:rsid w:val="00C10251"/>
    <w:rPr>
      <w:rFonts w:ascii="Expert Sans Regular" w:hAnsi="Expert Sans Regular"/>
      <w:i/>
      <w:iCs/>
      <w:sz w:val="14"/>
      <w:szCs w:val="14"/>
      <w:lang w:eastAsia="en-US"/>
    </w:rPr>
  </w:style>
  <w:style w:type="paragraph" w:customStyle="1" w:styleId="Footnotes-AR">
    <w:name w:val="Footnotes - AR"/>
    <w:basedOn w:val="Normal601"/>
    <w:uiPriority w:val="1"/>
    <w:qFormat/>
    <w:rsid w:val="008944AF"/>
    <w:rPr>
      <w:rFonts w:eastAsia="Calibri" w:cs="Times New Roman"/>
      <w:sz w:val="13"/>
      <w:szCs w:val="13"/>
      <w:lang w:val="en-GB"/>
    </w:rPr>
  </w:style>
  <w:style w:type="paragraph" w:customStyle="1" w:styleId="HeadingLevel1-BarcRA35">
    <w:name w:val="Heading Level 1 - Barc RA_35"/>
    <w:basedOn w:val="BodyText-BarcRA49"/>
    <w:next w:val="BodyText-BarcRA49"/>
    <w:link w:val="HeadingLevel1-BarcRAChar25"/>
    <w:rsid w:val="002611B5"/>
    <w:pPr>
      <w:spacing w:before="0"/>
    </w:pPr>
    <w:rPr>
      <w:b/>
      <w:bCs/>
      <w:color w:val="000000"/>
      <w:sz w:val="24"/>
      <w:lang w:val="la-Latn"/>
    </w:rPr>
  </w:style>
  <w:style w:type="paragraph" w:customStyle="1" w:styleId="BodyText-BarcRA49">
    <w:name w:val="Body Text - Barc RA_49"/>
    <w:link w:val="BodyText-BarcRAChar31"/>
    <w:qFormat/>
    <w:rsid w:val="005D52ED"/>
    <w:pPr>
      <w:spacing w:before="180" w:after="180"/>
      <w:jc w:val="both"/>
    </w:pPr>
    <w:rPr>
      <w:rFonts w:ascii="Expert Sans Regular" w:hAnsi="Expert Sans Regular"/>
      <w:sz w:val="18"/>
      <w:lang w:eastAsia="en-US"/>
    </w:rPr>
  </w:style>
  <w:style w:type="character" w:customStyle="1" w:styleId="BodyText-BarcRAChar31">
    <w:name w:val="Body Text - Barc RA Char_31"/>
    <w:basedOn w:val="DefaultParagraphFont"/>
    <w:link w:val="BodyText-BarcRA49"/>
    <w:rsid w:val="005D52ED"/>
    <w:rPr>
      <w:rFonts w:ascii="Expert Sans Regular" w:hAnsi="Expert Sans Regular"/>
      <w:sz w:val="18"/>
      <w:lang w:val="en-GB" w:eastAsia="en-US" w:bidi="ar-SA"/>
    </w:rPr>
  </w:style>
  <w:style w:type="character" w:customStyle="1" w:styleId="HeadingLevel1-BarcRAChar25">
    <w:name w:val="Heading Level 1 - Barc RA Char_25"/>
    <w:basedOn w:val="DefaultParagraphFont"/>
    <w:link w:val="HeadingLevel1-BarcRA35"/>
    <w:rsid w:val="009705AC"/>
    <w:rPr>
      <w:rFonts w:ascii="Expert Sans Regular" w:hAnsi="Expert Sans Regular"/>
      <w:b/>
      <w:bCs/>
      <w:color w:val="000000"/>
      <w:sz w:val="24"/>
      <w:lang w:val="la-Latn"/>
    </w:rPr>
  </w:style>
  <w:style w:type="paragraph" w:customStyle="1" w:styleId="HeaderSpacerwithLine-BarcRA11">
    <w:name w:val="Header Spacer with Line - Barc RA_11"/>
    <w:basedOn w:val="BodyText-BarcRA49"/>
    <w:link w:val="HeaderSpacerwithLine-BarcRAChar5"/>
    <w:rsid w:val="00016DD8"/>
    <w:pPr>
      <w:pBdr>
        <w:top w:val="single" w:sz="4" w:space="1" w:color="auto"/>
      </w:pBdr>
      <w:spacing w:before="0" w:after="0"/>
    </w:pPr>
    <w:rPr>
      <w:sz w:val="10"/>
      <w:szCs w:val="10"/>
    </w:rPr>
  </w:style>
  <w:style w:type="character" w:customStyle="1" w:styleId="HeaderSpacerwithLine-BarcRAChar5">
    <w:name w:val="Header Spacer with Line - Barc RA Char_5"/>
    <w:basedOn w:val="BodyText-BarcRAChar31"/>
    <w:link w:val="HeaderSpacerwithLine-BarcRA11"/>
    <w:rsid w:val="000E2451"/>
    <w:rPr>
      <w:rFonts w:ascii="Expert Sans Regular" w:hAnsi="Expert Sans Regular"/>
      <w:sz w:val="10"/>
      <w:szCs w:val="10"/>
      <w:lang w:val="en-GB" w:eastAsia="en-US" w:bidi="ar-SA"/>
    </w:rPr>
  </w:style>
  <w:style w:type="paragraph" w:customStyle="1" w:styleId="NoteSourceText-BarcRA0">
    <w:name w:val="Note &amp; Source Text - Barc RA_0"/>
    <w:basedOn w:val="Normal61"/>
    <w:link w:val="NoteSourceText-BarcRAChar0"/>
    <w:rsid w:val="00E75B5D"/>
    <w:pPr>
      <w:tabs>
        <w:tab w:val="left" w:pos="284"/>
      </w:tabs>
      <w:spacing w:before="20" w:after="20"/>
      <w:ind w:left="284" w:hanging="284"/>
      <w:jc w:val="both"/>
    </w:pPr>
    <w:rPr>
      <w:i/>
      <w:iCs/>
      <w:sz w:val="14"/>
      <w:szCs w:val="14"/>
    </w:rPr>
  </w:style>
  <w:style w:type="paragraph" w:customStyle="1" w:styleId="Normal61">
    <w:name w:val="Normal_61"/>
    <w:qFormat/>
    <w:rsid w:val="009705AC"/>
    <w:rPr>
      <w:rFonts w:ascii="Expert Sans Regular" w:hAnsi="Expert Sans Regular"/>
      <w:sz w:val="18"/>
      <w:szCs w:val="24"/>
      <w:lang w:eastAsia="en-US"/>
    </w:rPr>
  </w:style>
  <w:style w:type="character" w:customStyle="1" w:styleId="NoteSourceText-BarcRAChar0">
    <w:name w:val="Note &amp; Source Text - Barc RA Char_0"/>
    <w:basedOn w:val="DefaultParagraphFont"/>
    <w:link w:val="NoteSourceText-BarcRA0"/>
    <w:rsid w:val="00E75B5D"/>
    <w:rPr>
      <w:rFonts w:ascii="Expert Sans Regular" w:hAnsi="Expert Sans Regular"/>
      <w:i/>
      <w:iCs/>
      <w:sz w:val="14"/>
      <w:szCs w:val="14"/>
      <w:lang w:eastAsia="en-US"/>
    </w:rPr>
  </w:style>
  <w:style w:type="paragraph" w:customStyle="1" w:styleId="HeadingLevel1-BarcRA36">
    <w:name w:val="Heading Level 1 - Barc RA_36"/>
    <w:basedOn w:val="BodyText-BarcRA50"/>
    <w:next w:val="BodyText-BarcRA50"/>
    <w:link w:val="HeadingLevel1-BarcRAChar26"/>
    <w:qFormat/>
    <w:rsid w:val="002611B5"/>
    <w:pPr>
      <w:spacing w:before="0"/>
    </w:pPr>
    <w:rPr>
      <w:b/>
      <w:bCs/>
      <w:color w:val="000000"/>
      <w:sz w:val="24"/>
      <w:lang w:val="la-Latn"/>
    </w:rPr>
  </w:style>
  <w:style w:type="paragraph" w:customStyle="1" w:styleId="BodyText-BarcRA50">
    <w:name w:val="Body Text - Barc RA_50"/>
    <w:link w:val="BodyText-BarcRAChar32"/>
    <w:qFormat/>
    <w:rsid w:val="005D52ED"/>
    <w:pPr>
      <w:spacing w:before="180" w:after="180"/>
      <w:jc w:val="both"/>
    </w:pPr>
    <w:rPr>
      <w:rFonts w:ascii="Expert Sans Regular" w:hAnsi="Expert Sans Regular"/>
      <w:sz w:val="18"/>
      <w:lang w:eastAsia="en-US"/>
    </w:rPr>
  </w:style>
  <w:style w:type="character" w:customStyle="1" w:styleId="BodyText-BarcRAChar32">
    <w:name w:val="Body Text - Barc RA Char_32"/>
    <w:basedOn w:val="DefaultParagraphFont"/>
    <w:link w:val="BodyText-BarcRA50"/>
    <w:rsid w:val="005D52ED"/>
    <w:rPr>
      <w:rFonts w:ascii="Expert Sans Regular" w:hAnsi="Expert Sans Regular"/>
      <w:sz w:val="18"/>
      <w:lang w:val="en-GB" w:eastAsia="en-US" w:bidi="ar-SA"/>
    </w:rPr>
  </w:style>
  <w:style w:type="character" w:customStyle="1" w:styleId="HeadingLevel1-BarcRAChar26">
    <w:name w:val="Heading Level 1 - Barc RA Char_26"/>
    <w:basedOn w:val="DefaultParagraphFont"/>
    <w:link w:val="HeadingLevel1-BarcRA36"/>
    <w:rsid w:val="009705AC"/>
    <w:rPr>
      <w:rFonts w:ascii="Expert Sans Regular" w:hAnsi="Expert Sans Regular"/>
      <w:b/>
      <w:bCs/>
      <w:color w:val="000000"/>
      <w:sz w:val="24"/>
      <w:lang w:val="la-Latn"/>
    </w:rPr>
  </w:style>
  <w:style w:type="paragraph" w:customStyle="1" w:styleId="HeadingLevel2-BarcRA10">
    <w:name w:val="Heading Level 2 - Barc RA_10"/>
    <w:basedOn w:val="HeadingLevel1-BarcRA36"/>
    <w:next w:val="BodyText-BarcRA50"/>
    <w:qFormat/>
    <w:rsid w:val="00EE71E7"/>
    <w:pPr>
      <w:spacing w:before="240" w:after="0"/>
    </w:pPr>
    <w:rPr>
      <w:sz w:val="20"/>
    </w:rPr>
  </w:style>
  <w:style w:type="paragraph" w:customStyle="1" w:styleId="NoteandSourceText-BarcRA40">
    <w:name w:val="Note and Source Text - Barc RA_4_0"/>
    <w:basedOn w:val="Normal62"/>
    <w:qFormat/>
    <w:rsid w:val="00A31B74"/>
    <w:pPr>
      <w:numPr>
        <w:numId w:val="118"/>
      </w:numPr>
      <w:tabs>
        <w:tab w:val="left" w:pos="284"/>
      </w:tabs>
      <w:spacing w:before="20" w:after="20"/>
      <w:jc w:val="both"/>
    </w:pPr>
    <w:rPr>
      <w:i/>
      <w:iCs/>
      <w:sz w:val="14"/>
      <w:szCs w:val="14"/>
    </w:rPr>
  </w:style>
  <w:style w:type="paragraph" w:customStyle="1" w:styleId="Normal62">
    <w:name w:val="Normal_62"/>
    <w:qFormat/>
    <w:rsid w:val="009705AC"/>
    <w:rPr>
      <w:rFonts w:ascii="Expert Sans Regular" w:hAnsi="Expert Sans Regular"/>
      <w:sz w:val="18"/>
      <w:szCs w:val="24"/>
      <w:lang w:eastAsia="en-US"/>
    </w:rPr>
  </w:style>
  <w:style w:type="paragraph" w:customStyle="1" w:styleId="NoteandSourceText-BarcRA8">
    <w:name w:val="Note and Source Text - Barc RA_8"/>
    <w:basedOn w:val="Normal62"/>
    <w:qFormat/>
    <w:rsid w:val="00FD1A91"/>
    <w:pPr>
      <w:numPr>
        <w:numId w:val="119"/>
      </w:numPr>
      <w:tabs>
        <w:tab w:val="left" w:pos="284"/>
      </w:tabs>
      <w:spacing w:before="20" w:after="20"/>
      <w:jc w:val="both"/>
    </w:pPr>
    <w:rPr>
      <w:i/>
      <w:iCs/>
      <w:sz w:val="14"/>
      <w:szCs w:val="14"/>
    </w:rPr>
  </w:style>
  <w:style w:type="paragraph" w:customStyle="1" w:styleId="BodyText-BarcRA330">
    <w:name w:val="Body Text - Barc RA_33_0"/>
    <w:link w:val="BodyText-BarcRAChar200"/>
    <w:qFormat/>
    <w:rsid w:val="008325BD"/>
    <w:pPr>
      <w:spacing w:before="180" w:after="180"/>
      <w:jc w:val="both"/>
    </w:pPr>
    <w:rPr>
      <w:rFonts w:ascii="Expert Sans Regular" w:hAnsi="Expert Sans Regular"/>
      <w:sz w:val="18"/>
    </w:rPr>
  </w:style>
  <w:style w:type="character" w:customStyle="1" w:styleId="BodyText-BarcRAChar200">
    <w:name w:val="Body Text - Barc RA Char_20_0"/>
    <w:basedOn w:val="DefaultParagraphFont"/>
    <w:link w:val="BodyText-BarcRA330"/>
    <w:locked/>
    <w:rsid w:val="008325BD"/>
    <w:rPr>
      <w:rFonts w:ascii="Expert Sans Regular" w:hAnsi="Expert Sans Regular"/>
      <w:sz w:val="18"/>
      <w:lang w:val="en-GB" w:eastAsia="en-GB" w:bidi="ar-SA"/>
    </w:rPr>
  </w:style>
  <w:style w:type="paragraph" w:customStyle="1" w:styleId="Level1Bullet-BarcRA19">
    <w:name w:val="Level 1 Bullet - Barc RA_19"/>
    <w:basedOn w:val="Normal63"/>
    <w:link w:val="Level1Bullet-BarcRAChar14"/>
    <w:qFormat/>
    <w:rsid w:val="00A763EA"/>
    <w:pPr>
      <w:spacing w:before="180" w:after="180"/>
      <w:jc w:val="both"/>
    </w:pPr>
    <w:rPr>
      <w:sz w:val="20"/>
      <w:szCs w:val="20"/>
      <w:lang w:val="la-Latn"/>
    </w:rPr>
  </w:style>
  <w:style w:type="paragraph" w:customStyle="1" w:styleId="Normal63">
    <w:name w:val="Normal_63"/>
    <w:qFormat/>
    <w:rsid w:val="009705AC"/>
    <w:rPr>
      <w:rFonts w:ascii="Expert Sans Regular" w:hAnsi="Expert Sans Regular"/>
      <w:sz w:val="18"/>
      <w:szCs w:val="24"/>
      <w:lang w:eastAsia="en-US"/>
    </w:rPr>
  </w:style>
  <w:style w:type="character" w:customStyle="1" w:styleId="Level1Bullet-BarcRAChar14">
    <w:name w:val="Level 1 Bullet - Barc RA Char_14"/>
    <w:basedOn w:val="DefaultParagraphFont"/>
    <w:link w:val="Level1Bullet-BarcRA19"/>
    <w:locked/>
    <w:rsid w:val="00A763EA"/>
    <w:rPr>
      <w:rFonts w:ascii="Expert Sans Regular" w:hAnsi="Expert Sans Regular"/>
      <w:lang w:val="la-Latn"/>
    </w:rPr>
  </w:style>
  <w:style w:type="paragraph" w:customStyle="1" w:styleId="BodyText-BarcRA51">
    <w:name w:val="Body Text - Barc RA_51"/>
    <w:link w:val="BodyText-BarcRAChar33"/>
    <w:qFormat/>
    <w:rsid w:val="005D52ED"/>
    <w:pPr>
      <w:spacing w:before="180" w:after="180"/>
      <w:jc w:val="both"/>
    </w:pPr>
    <w:rPr>
      <w:rFonts w:ascii="Expert Sans Regular" w:hAnsi="Expert Sans Regular"/>
      <w:sz w:val="18"/>
      <w:lang w:eastAsia="en-US"/>
    </w:rPr>
  </w:style>
  <w:style w:type="character" w:customStyle="1" w:styleId="BodyText-BarcRAChar33">
    <w:name w:val="Body Text - Barc RA Char_33"/>
    <w:basedOn w:val="DefaultParagraphFont"/>
    <w:link w:val="BodyText-BarcRA51"/>
    <w:rsid w:val="005D52ED"/>
    <w:rPr>
      <w:rFonts w:ascii="Expert Sans Regular" w:hAnsi="Expert Sans Regular"/>
      <w:sz w:val="18"/>
      <w:lang w:val="en-GB" w:eastAsia="en-US" w:bidi="ar-SA"/>
    </w:rPr>
  </w:style>
  <w:style w:type="paragraph" w:customStyle="1" w:styleId="BodyText-BarcRA331">
    <w:name w:val="Body Text - Barc RA_33_1"/>
    <w:qFormat/>
    <w:rsid w:val="00AE7423"/>
    <w:pPr>
      <w:spacing w:before="180" w:after="180"/>
      <w:jc w:val="both"/>
    </w:pPr>
    <w:rPr>
      <w:rFonts w:ascii="Expert Sans Regular" w:hAnsi="Expert Sans Regular"/>
      <w:sz w:val="18"/>
      <w:lang w:eastAsia="en-US"/>
    </w:rPr>
  </w:style>
  <w:style w:type="paragraph" w:customStyle="1" w:styleId="HeadingLevel2-BarcRA11">
    <w:name w:val="Heading Level 2 - Barc RA_11"/>
    <w:basedOn w:val="HeadingLevel1-BarcRA37"/>
    <w:next w:val="BodyText-BarcRA51"/>
    <w:rsid w:val="00EE71E7"/>
    <w:pPr>
      <w:spacing w:before="240" w:after="0"/>
    </w:pPr>
    <w:rPr>
      <w:sz w:val="20"/>
    </w:rPr>
  </w:style>
  <w:style w:type="paragraph" w:customStyle="1" w:styleId="HeadingLevel1-BarcRA37">
    <w:name w:val="Heading Level 1 - Barc RA_37"/>
    <w:basedOn w:val="BodyText-BarcRA51"/>
    <w:next w:val="BodyText-BarcRA51"/>
    <w:link w:val="HeadingLevel1-BarcRAChar27"/>
    <w:rsid w:val="002611B5"/>
    <w:pPr>
      <w:spacing w:before="0"/>
    </w:pPr>
    <w:rPr>
      <w:b/>
      <w:bCs/>
      <w:color w:val="000000"/>
      <w:sz w:val="24"/>
      <w:lang w:val="la-Latn"/>
    </w:rPr>
  </w:style>
  <w:style w:type="character" w:customStyle="1" w:styleId="HeadingLevel1-BarcRAChar27">
    <w:name w:val="Heading Level 1 - Barc RA Char_27"/>
    <w:basedOn w:val="DefaultParagraphFont"/>
    <w:link w:val="HeadingLevel1-BarcRA37"/>
    <w:rsid w:val="009705AC"/>
    <w:rPr>
      <w:rFonts w:ascii="Expert Sans Regular" w:hAnsi="Expert Sans Regular"/>
      <w:b/>
      <w:bCs/>
      <w:color w:val="000000"/>
      <w:sz w:val="24"/>
      <w:lang w:val="la-Latn"/>
    </w:rPr>
  </w:style>
  <w:style w:type="paragraph" w:customStyle="1" w:styleId="Normal64">
    <w:name w:val="Normal_64"/>
    <w:qFormat/>
    <w:rsid w:val="009705AC"/>
    <w:rPr>
      <w:rFonts w:ascii="Expert Sans Regular" w:hAnsi="Expert Sans Regular"/>
      <w:sz w:val="18"/>
      <w:szCs w:val="24"/>
      <w:lang w:eastAsia="en-US"/>
    </w:rPr>
  </w:style>
  <w:style w:type="paragraph" w:customStyle="1" w:styleId="NoteSourceText-BarcRA1">
    <w:name w:val="Note &amp; Source Text - Barc RA_1"/>
    <w:basedOn w:val="Normal64"/>
    <w:link w:val="NoteSourceText-BarcRAChar1"/>
    <w:rsid w:val="004E69A5"/>
    <w:pPr>
      <w:tabs>
        <w:tab w:val="left" w:pos="284"/>
      </w:tabs>
      <w:spacing w:before="20" w:after="20"/>
      <w:ind w:left="284" w:hanging="284"/>
      <w:jc w:val="both"/>
    </w:pPr>
    <w:rPr>
      <w:i/>
      <w:iCs/>
      <w:sz w:val="14"/>
      <w:szCs w:val="14"/>
    </w:rPr>
  </w:style>
  <w:style w:type="character" w:customStyle="1" w:styleId="NoteSourceText-BarcRAChar1">
    <w:name w:val="Note &amp; Source Text - Barc RA Char_1"/>
    <w:basedOn w:val="DefaultParagraphFont"/>
    <w:link w:val="NoteSourceText-BarcRA1"/>
    <w:locked/>
    <w:rsid w:val="004E69A5"/>
    <w:rPr>
      <w:rFonts w:ascii="Expert Sans Regular" w:hAnsi="Expert Sans Regular"/>
      <w:i/>
      <w:iCs/>
      <w:sz w:val="14"/>
      <w:szCs w:val="14"/>
      <w:lang w:eastAsia="en-US"/>
    </w:rPr>
  </w:style>
  <w:style w:type="paragraph" w:customStyle="1" w:styleId="Level1Bullet-BarcRA16">
    <w:name w:val="Level 1 Bullet - Barc RA_16"/>
    <w:basedOn w:val="BodyText-BarcRA52"/>
    <w:link w:val="Level1Bullet-BarcRAChar110"/>
    <w:qFormat/>
    <w:rsid w:val="00A85CEE"/>
    <w:pPr>
      <w:numPr>
        <w:numId w:val="146"/>
      </w:numPr>
    </w:pPr>
    <w:rPr>
      <w:lang w:val="la-Latn"/>
    </w:rPr>
  </w:style>
  <w:style w:type="paragraph" w:customStyle="1" w:styleId="BodyText-BarcRA52">
    <w:name w:val="Body Text - Barc RA_52"/>
    <w:link w:val="BodyText-BarcRAChar34"/>
    <w:qFormat/>
    <w:rsid w:val="005D52ED"/>
    <w:pPr>
      <w:spacing w:before="180" w:after="180"/>
      <w:jc w:val="both"/>
    </w:pPr>
    <w:rPr>
      <w:rFonts w:ascii="Expert Sans Regular" w:hAnsi="Expert Sans Regular"/>
      <w:sz w:val="18"/>
      <w:lang w:eastAsia="en-US"/>
    </w:rPr>
  </w:style>
  <w:style w:type="character" w:customStyle="1" w:styleId="BodyText-BarcRAChar34">
    <w:name w:val="Body Text - Barc RA Char_34"/>
    <w:basedOn w:val="DefaultParagraphFont"/>
    <w:link w:val="BodyText-BarcRA52"/>
    <w:rsid w:val="005D52ED"/>
    <w:rPr>
      <w:rFonts w:ascii="Expert Sans Regular" w:hAnsi="Expert Sans Regular"/>
      <w:sz w:val="18"/>
      <w:lang w:val="en-GB" w:eastAsia="en-US" w:bidi="ar-SA"/>
    </w:rPr>
  </w:style>
  <w:style w:type="character" w:customStyle="1" w:styleId="Level1Bullet-BarcRAChar110">
    <w:name w:val="Level 1 Bullet - Barc RA Char_11"/>
    <w:basedOn w:val="BodyText-BarcRAChar34"/>
    <w:link w:val="Level1Bullet-BarcRA16"/>
    <w:rsid w:val="00A85CEE"/>
    <w:rPr>
      <w:rFonts w:ascii="Expert Sans Regular" w:hAnsi="Expert Sans Regular"/>
      <w:sz w:val="18"/>
      <w:lang w:val="la-Latn" w:eastAsia="en-US" w:bidi="ar-SA"/>
    </w:rPr>
  </w:style>
  <w:style w:type="paragraph" w:customStyle="1" w:styleId="Level1Bullet-BarcRA23">
    <w:name w:val="Level 1 Bullet - Barc RA_23"/>
    <w:basedOn w:val="Normal65"/>
    <w:link w:val="Level1Bullet-BarcRAChar15"/>
    <w:qFormat/>
    <w:rsid w:val="00EC3455"/>
    <w:pPr>
      <w:numPr>
        <w:numId w:val="121"/>
      </w:numPr>
      <w:spacing w:before="180" w:after="180"/>
      <w:jc w:val="both"/>
    </w:pPr>
    <w:rPr>
      <w:szCs w:val="20"/>
      <w:lang w:val="la-Latn"/>
    </w:rPr>
  </w:style>
  <w:style w:type="paragraph" w:customStyle="1" w:styleId="Normal65">
    <w:name w:val="Normal_65"/>
    <w:qFormat/>
    <w:rsid w:val="009705AC"/>
    <w:rPr>
      <w:rFonts w:ascii="Expert Sans Regular" w:hAnsi="Expert Sans Regular"/>
      <w:sz w:val="18"/>
      <w:szCs w:val="24"/>
      <w:lang w:eastAsia="en-US"/>
    </w:rPr>
  </w:style>
  <w:style w:type="character" w:customStyle="1" w:styleId="Level1Bullet-BarcRAChar15">
    <w:name w:val="Level 1 Bullet - Barc RA Char_15"/>
    <w:basedOn w:val="DefaultParagraphFont"/>
    <w:link w:val="Level1Bullet-BarcRA23"/>
    <w:rsid w:val="00EC3455"/>
    <w:rPr>
      <w:rFonts w:ascii="Expert Sans Regular" w:hAnsi="Expert Sans Regular"/>
      <w:sz w:val="18"/>
      <w:lang w:val="la-Latn" w:eastAsia="en-US"/>
    </w:rPr>
  </w:style>
  <w:style w:type="paragraph" w:customStyle="1" w:styleId="NoteandSourceText-BarcRA9">
    <w:name w:val="Note and Source Text - Barc RA_9"/>
    <w:basedOn w:val="Normal65"/>
    <w:qFormat/>
    <w:rsid w:val="000B4F09"/>
    <w:pPr>
      <w:numPr>
        <w:numId w:val="122"/>
      </w:numPr>
      <w:tabs>
        <w:tab w:val="left" w:pos="284"/>
      </w:tabs>
      <w:spacing w:before="20" w:after="20"/>
      <w:jc w:val="both"/>
    </w:pPr>
    <w:rPr>
      <w:i/>
      <w:iCs/>
      <w:sz w:val="14"/>
      <w:szCs w:val="14"/>
    </w:rPr>
  </w:style>
  <w:style w:type="paragraph" w:customStyle="1" w:styleId="NoteSourceText-BarcRA6">
    <w:name w:val="Note &amp; Source Text - Barc RA_6"/>
    <w:basedOn w:val="Normal66"/>
    <w:link w:val="NoteSourceText-BarcRAChar5"/>
    <w:rsid w:val="0091626A"/>
    <w:pPr>
      <w:tabs>
        <w:tab w:val="left" w:pos="284"/>
      </w:tabs>
      <w:spacing w:before="20" w:after="20"/>
      <w:ind w:left="284" w:hanging="284"/>
      <w:jc w:val="both"/>
    </w:pPr>
    <w:rPr>
      <w:i/>
      <w:iCs/>
      <w:sz w:val="14"/>
      <w:szCs w:val="14"/>
    </w:rPr>
  </w:style>
  <w:style w:type="paragraph" w:customStyle="1" w:styleId="Normal66">
    <w:name w:val="Normal_66"/>
    <w:qFormat/>
    <w:rsid w:val="00FB54D3"/>
    <w:rPr>
      <w:sz w:val="24"/>
      <w:szCs w:val="24"/>
    </w:rPr>
  </w:style>
  <w:style w:type="character" w:customStyle="1" w:styleId="NoteSourceText-BarcRAChar5">
    <w:name w:val="Note &amp; Source Text - Barc RA Char_5"/>
    <w:basedOn w:val="DefaultParagraphFont"/>
    <w:link w:val="NoteSourceText-BarcRA6"/>
    <w:rsid w:val="0091626A"/>
    <w:rPr>
      <w:rFonts w:ascii="Expert Sans Regular" w:hAnsi="Expert Sans Regular"/>
      <w:i/>
      <w:iCs/>
      <w:sz w:val="14"/>
      <w:szCs w:val="14"/>
      <w:lang w:eastAsia="en-US"/>
    </w:rPr>
  </w:style>
  <w:style w:type="paragraph" w:customStyle="1" w:styleId="Level1Bullet-BarcRA190">
    <w:name w:val="Level 1 Bullet - Barc RA_19_0"/>
    <w:basedOn w:val="Normal66"/>
    <w:link w:val="Level1Bullet-BarcRAChar140"/>
    <w:rsid w:val="00D05008"/>
    <w:pPr>
      <w:numPr>
        <w:numId w:val="123"/>
      </w:numPr>
      <w:spacing w:before="180" w:after="180"/>
      <w:jc w:val="both"/>
    </w:pPr>
    <w:rPr>
      <w:rFonts w:ascii="Expert Sans Regular" w:hAnsi="Expert Sans Regular"/>
      <w:sz w:val="20"/>
      <w:szCs w:val="20"/>
    </w:rPr>
  </w:style>
  <w:style w:type="character" w:customStyle="1" w:styleId="Level1Bullet-BarcRAChar140">
    <w:name w:val="Level 1 Bullet - Barc RA Char_14_0"/>
    <w:basedOn w:val="DefaultParagraphFont"/>
    <w:link w:val="Level1Bullet-BarcRA190"/>
    <w:locked/>
    <w:rsid w:val="00D05008"/>
    <w:rPr>
      <w:rFonts w:ascii="Expert Sans Regular" w:hAnsi="Expert Sans Regular"/>
    </w:rPr>
  </w:style>
  <w:style w:type="paragraph" w:customStyle="1" w:styleId="Level1Bullet-BarcRA191">
    <w:name w:val="Level 1 Bullet - Barc RA_19_1"/>
    <w:basedOn w:val="Normal67"/>
    <w:link w:val="Level1Bullet-BarcRAChar141"/>
    <w:qFormat/>
    <w:rsid w:val="000F4390"/>
    <w:pPr>
      <w:numPr>
        <w:numId w:val="124"/>
      </w:numPr>
      <w:spacing w:before="180" w:after="180"/>
      <w:jc w:val="both"/>
    </w:pPr>
    <w:rPr>
      <w:szCs w:val="20"/>
      <w:lang w:val="la-Latn"/>
    </w:rPr>
  </w:style>
  <w:style w:type="paragraph" w:customStyle="1" w:styleId="Normal67">
    <w:name w:val="Normal_67"/>
    <w:qFormat/>
    <w:rsid w:val="009705AC"/>
    <w:rPr>
      <w:rFonts w:ascii="Expert Sans Regular" w:hAnsi="Expert Sans Regular"/>
      <w:sz w:val="18"/>
      <w:szCs w:val="24"/>
      <w:lang w:eastAsia="en-US"/>
    </w:rPr>
  </w:style>
  <w:style w:type="character" w:customStyle="1" w:styleId="Level1Bullet-BarcRAChar141">
    <w:name w:val="Level 1 Bullet - Barc RA Char_14_1"/>
    <w:basedOn w:val="DefaultParagraphFont"/>
    <w:link w:val="Level1Bullet-BarcRA191"/>
    <w:locked/>
    <w:rsid w:val="000F4390"/>
    <w:rPr>
      <w:rFonts w:ascii="Expert Sans Regular" w:hAnsi="Expert Sans Regular"/>
      <w:sz w:val="18"/>
      <w:lang w:val="la-Latn" w:eastAsia="en-US"/>
    </w:rPr>
  </w:style>
  <w:style w:type="paragraph" w:customStyle="1" w:styleId="Level2Bullet-BarcRA2">
    <w:name w:val="Level 2 Bullet - Barc RA_2"/>
    <w:basedOn w:val="Level1Bullet-BarcRA17"/>
    <w:qFormat/>
    <w:rsid w:val="00A85CEE"/>
    <w:pPr>
      <w:numPr>
        <w:ilvl w:val="2"/>
        <w:numId w:val="125"/>
      </w:numPr>
    </w:pPr>
  </w:style>
  <w:style w:type="paragraph" w:customStyle="1" w:styleId="Level1Bullet-BarcRA17">
    <w:name w:val="Level 1 Bullet - Barc RA_17"/>
    <w:basedOn w:val="BodyText-BarcRA53"/>
    <w:link w:val="Level1Bullet-BarcRAChar12"/>
    <w:qFormat/>
    <w:rsid w:val="00A85CEE"/>
    <w:pPr>
      <w:numPr>
        <w:numId w:val="126"/>
      </w:numPr>
    </w:pPr>
    <w:rPr>
      <w:lang w:val="la-Latn"/>
    </w:rPr>
  </w:style>
  <w:style w:type="paragraph" w:customStyle="1" w:styleId="BodyText-BarcRA53">
    <w:name w:val="Body Text - Barc RA_53"/>
    <w:link w:val="BodyText-BarcRAChar35"/>
    <w:qFormat/>
    <w:rsid w:val="005D52ED"/>
    <w:pPr>
      <w:spacing w:before="180" w:after="180"/>
      <w:jc w:val="both"/>
    </w:pPr>
    <w:rPr>
      <w:rFonts w:ascii="Expert Sans Regular" w:hAnsi="Expert Sans Regular"/>
      <w:sz w:val="18"/>
      <w:lang w:eastAsia="en-US"/>
    </w:rPr>
  </w:style>
  <w:style w:type="character" w:customStyle="1" w:styleId="BodyText-BarcRAChar35">
    <w:name w:val="Body Text - Barc RA Char_35"/>
    <w:basedOn w:val="DefaultParagraphFont"/>
    <w:link w:val="BodyText-BarcRA53"/>
    <w:rsid w:val="005D52ED"/>
    <w:rPr>
      <w:rFonts w:ascii="Expert Sans Regular" w:hAnsi="Expert Sans Regular"/>
      <w:sz w:val="18"/>
      <w:lang w:val="en-GB" w:eastAsia="en-US" w:bidi="ar-SA"/>
    </w:rPr>
  </w:style>
  <w:style w:type="character" w:customStyle="1" w:styleId="Level1Bullet-BarcRAChar12">
    <w:name w:val="Level 1 Bullet - Barc RA Char_12"/>
    <w:basedOn w:val="BodyText-BarcRAChar35"/>
    <w:link w:val="Level1Bullet-BarcRA17"/>
    <w:rsid w:val="00A85CEE"/>
    <w:rPr>
      <w:rFonts w:ascii="Expert Sans Regular" w:hAnsi="Expert Sans Regular"/>
      <w:sz w:val="18"/>
      <w:lang w:val="la-Latn" w:eastAsia="en-US" w:bidi="ar-SA"/>
    </w:rPr>
  </w:style>
  <w:style w:type="paragraph" w:customStyle="1" w:styleId="Level2Bullet-BarcRA5">
    <w:name w:val="Level 2 Bullet - Barc RA_5"/>
    <w:basedOn w:val="Normal67"/>
    <w:qFormat/>
    <w:rsid w:val="004A517B"/>
    <w:pPr>
      <w:numPr>
        <w:ilvl w:val="2"/>
        <w:numId w:val="127"/>
      </w:numPr>
      <w:spacing w:before="180" w:after="180"/>
      <w:jc w:val="both"/>
    </w:pPr>
    <w:rPr>
      <w:szCs w:val="20"/>
      <w:lang w:val="la-Latn"/>
    </w:rPr>
  </w:style>
  <w:style w:type="paragraph" w:customStyle="1" w:styleId="Normal6000">
    <w:name w:val="Normal_60_0"/>
    <w:qFormat/>
    <w:rsid w:val="004A517B"/>
    <w:rPr>
      <w:rFonts w:ascii="Expert Sans Regular" w:hAnsi="Expert Sans Regular"/>
      <w:sz w:val="18"/>
      <w:szCs w:val="24"/>
      <w:lang w:eastAsia="en-US"/>
    </w:rPr>
  </w:style>
  <w:style w:type="paragraph" w:customStyle="1" w:styleId="BodyText-BarcRA370">
    <w:name w:val="Body Text - Barc RA_37_0"/>
    <w:link w:val="BodyText-BarcRAChar250"/>
    <w:qFormat/>
    <w:rsid w:val="00433081"/>
    <w:pPr>
      <w:spacing w:before="180" w:after="180"/>
      <w:jc w:val="both"/>
    </w:pPr>
    <w:rPr>
      <w:rFonts w:ascii="Expert Sans Regular" w:hAnsi="Expert Sans Regular"/>
      <w:sz w:val="18"/>
      <w:lang w:eastAsia="en-US"/>
    </w:rPr>
  </w:style>
  <w:style w:type="character" w:customStyle="1" w:styleId="BodyText-BarcRAChar250">
    <w:name w:val="Body Text - Barc RA Char_25_0"/>
    <w:basedOn w:val="DefaultParagraphFont"/>
    <w:link w:val="BodyText-BarcRA370"/>
    <w:rsid w:val="00433081"/>
    <w:rPr>
      <w:rFonts w:ascii="Expert Sans Regular" w:hAnsi="Expert Sans Regular"/>
      <w:sz w:val="18"/>
      <w:lang w:val="en-GB" w:eastAsia="en-US" w:bidi="ar-SA"/>
    </w:rPr>
  </w:style>
  <w:style w:type="paragraph" w:customStyle="1" w:styleId="NoteSourceText-BarcRA3">
    <w:name w:val="Note &amp; Source Text - Barc RA_3"/>
    <w:basedOn w:val="Normal67"/>
    <w:link w:val="NoteSourceText-BarcRAChar3"/>
    <w:rsid w:val="00E75B5D"/>
    <w:pPr>
      <w:tabs>
        <w:tab w:val="left" w:pos="284"/>
      </w:tabs>
      <w:spacing w:before="20" w:after="20"/>
      <w:ind w:left="284" w:hanging="284"/>
      <w:jc w:val="both"/>
    </w:pPr>
    <w:rPr>
      <w:i/>
      <w:iCs/>
      <w:sz w:val="14"/>
      <w:szCs w:val="14"/>
    </w:rPr>
  </w:style>
  <w:style w:type="character" w:customStyle="1" w:styleId="NoteSourceText-BarcRAChar3">
    <w:name w:val="Note &amp; Source Text - Barc RA Char_3"/>
    <w:basedOn w:val="DefaultParagraphFont"/>
    <w:link w:val="NoteSourceText-BarcRA3"/>
    <w:rsid w:val="00E75B5D"/>
    <w:rPr>
      <w:rFonts w:ascii="Expert Sans Regular" w:hAnsi="Expert Sans Regular"/>
      <w:i/>
      <w:iCs/>
      <w:sz w:val="14"/>
      <w:szCs w:val="14"/>
      <w:lang w:eastAsia="en-US"/>
    </w:rPr>
  </w:style>
  <w:style w:type="paragraph" w:customStyle="1" w:styleId="NoteandSourceText-BarcRA10">
    <w:name w:val="Note and Source Text - Barc RA_10"/>
    <w:basedOn w:val="Normal67"/>
    <w:qFormat/>
    <w:rsid w:val="00A02C78"/>
    <w:pPr>
      <w:numPr>
        <w:numId w:val="128"/>
      </w:numPr>
      <w:tabs>
        <w:tab w:val="left" w:pos="284"/>
      </w:tabs>
      <w:spacing w:before="20" w:after="20"/>
      <w:jc w:val="both"/>
    </w:pPr>
    <w:rPr>
      <w:i/>
      <w:iCs/>
      <w:sz w:val="14"/>
      <w:szCs w:val="14"/>
    </w:rPr>
  </w:style>
  <w:style w:type="paragraph" w:customStyle="1" w:styleId="Level1Bullet-BarcRA18">
    <w:name w:val="Level 1 Bullet - Barc RA_18"/>
    <w:basedOn w:val="BodyText-BarcRA54"/>
    <w:link w:val="Level1Bullet-BarcRAChar13"/>
    <w:qFormat/>
    <w:rsid w:val="00A85CEE"/>
    <w:pPr>
      <w:numPr>
        <w:numId w:val="129"/>
      </w:numPr>
    </w:pPr>
    <w:rPr>
      <w:lang w:val="la-Latn"/>
    </w:rPr>
  </w:style>
  <w:style w:type="paragraph" w:customStyle="1" w:styleId="BodyText-BarcRA54">
    <w:name w:val="Body Text - Barc RA_54"/>
    <w:link w:val="BodyText-BarcRAChar36"/>
    <w:qFormat/>
    <w:rsid w:val="005D52ED"/>
    <w:pPr>
      <w:spacing w:before="180" w:after="180"/>
      <w:jc w:val="both"/>
    </w:pPr>
    <w:rPr>
      <w:rFonts w:ascii="Expert Sans Regular" w:hAnsi="Expert Sans Regular"/>
      <w:sz w:val="18"/>
      <w:lang w:eastAsia="en-US"/>
    </w:rPr>
  </w:style>
  <w:style w:type="character" w:customStyle="1" w:styleId="BodyText-BarcRAChar36">
    <w:name w:val="Body Text - Barc RA Char_36"/>
    <w:basedOn w:val="DefaultParagraphFont"/>
    <w:link w:val="BodyText-BarcRA54"/>
    <w:rsid w:val="005D52ED"/>
    <w:rPr>
      <w:rFonts w:ascii="Expert Sans Regular" w:hAnsi="Expert Sans Regular"/>
      <w:sz w:val="18"/>
      <w:lang w:val="en-GB" w:eastAsia="en-US" w:bidi="ar-SA"/>
    </w:rPr>
  </w:style>
  <w:style w:type="character" w:customStyle="1" w:styleId="Level1Bullet-BarcRAChar13">
    <w:name w:val="Level 1 Bullet - Barc RA Char_13"/>
    <w:basedOn w:val="BodyText-BarcRAChar36"/>
    <w:link w:val="Level1Bullet-BarcRA18"/>
    <w:rsid w:val="00A85CEE"/>
    <w:rPr>
      <w:rFonts w:ascii="Expert Sans Regular" w:hAnsi="Expert Sans Regular"/>
      <w:sz w:val="18"/>
      <w:lang w:val="la-Latn" w:eastAsia="en-US" w:bidi="ar-SA"/>
    </w:rPr>
  </w:style>
  <w:style w:type="paragraph" w:customStyle="1" w:styleId="Level1Bullet-BarcRA110">
    <w:name w:val="Level 1 Bullet - Barc RA_1_1"/>
    <w:basedOn w:val="Normal68"/>
    <w:link w:val="Level1Bullet-BarcRAChar120"/>
    <w:qFormat/>
    <w:rsid w:val="00564A0F"/>
    <w:pPr>
      <w:numPr>
        <w:numId w:val="130"/>
      </w:numPr>
      <w:spacing w:before="180" w:after="180"/>
      <w:jc w:val="both"/>
    </w:pPr>
    <w:rPr>
      <w:szCs w:val="20"/>
      <w:lang w:val="la-Latn"/>
    </w:rPr>
  </w:style>
  <w:style w:type="paragraph" w:customStyle="1" w:styleId="Normal68">
    <w:name w:val="Normal_68"/>
    <w:qFormat/>
    <w:rsid w:val="009705AC"/>
    <w:rPr>
      <w:rFonts w:ascii="Expert Sans Regular" w:hAnsi="Expert Sans Regular"/>
      <w:sz w:val="18"/>
      <w:szCs w:val="24"/>
      <w:lang w:eastAsia="en-US"/>
    </w:rPr>
  </w:style>
  <w:style w:type="character" w:customStyle="1" w:styleId="Level1Bullet-BarcRAChar120">
    <w:name w:val="Level 1 Bullet - Barc RA Char_1_2"/>
    <w:basedOn w:val="DefaultParagraphFont"/>
    <w:link w:val="Level1Bullet-BarcRA110"/>
    <w:locked/>
    <w:rsid w:val="00564A0F"/>
    <w:rPr>
      <w:rFonts w:ascii="Expert Sans Regular" w:hAnsi="Expert Sans Regular"/>
      <w:sz w:val="18"/>
      <w:lang w:val="la-Latn" w:eastAsia="en-US"/>
    </w:rPr>
  </w:style>
  <w:style w:type="paragraph" w:customStyle="1" w:styleId="NoteandSourceText-BarcRA11">
    <w:name w:val="Note and Source Text - Barc RA_11"/>
    <w:basedOn w:val="Normal68"/>
    <w:qFormat/>
    <w:rsid w:val="003C1F05"/>
    <w:pPr>
      <w:numPr>
        <w:numId w:val="131"/>
      </w:numPr>
      <w:tabs>
        <w:tab w:val="left" w:pos="284"/>
      </w:tabs>
      <w:spacing w:before="20" w:after="20"/>
      <w:jc w:val="both"/>
    </w:pPr>
    <w:rPr>
      <w:i/>
      <w:iCs/>
      <w:sz w:val="14"/>
      <w:szCs w:val="14"/>
    </w:rPr>
  </w:style>
  <w:style w:type="paragraph" w:customStyle="1" w:styleId="Level1Bullet-BarcRA201">
    <w:name w:val="Level 1 Bullet - Barc RA_20"/>
    <w:basedOn w:val="BodyText-BarcRA55"/>
    <w:link w:val="Level1Bullet-BarcRAChar16"/>
    <w:qFormat/>
    <w:rsid w:val="00A85CEE"/>
    <w:pPr>
      <w:numPr>
        <w:numId w:val="132"/>
      </w:numPr>
    </w:pPr>
    <w:rPr>
      <w:lang w:val="la-Latn"/>
    </w:rPr>
  </w:style>
  <w:style w:type="paragraph" w:customStyle="1" w:styleId="BodyText-BarcRA55">
    <w:name w:val="Body Text - Barc RA_55"/>
    <w:link w:val="BodyText-BarcRAChar37"/>
    <w:qFormat/>
    <w:rsid w:val="005D52ED"/>
    <w:pPr>
      <w:spacing w:before="180" w:after="180"/>
      <w:jc w:val="both"/>
    </w:pPr>
    <w:rPr>
      <w:rFonts w:ascii="Expert Sans Regular" w:hAnsi="Expert Sans Regular"/>
      <w:sz w:val="18"/>
      <w:lang w:eastAsia="en-US"/>
    </w:rPr>
  </w:style>
  <w:style w:type="character" w:customStyle="1" w:styleId="BodyText-BarcRAChar37">
    <w:name w:val="Body Text - Barc RA Char_37"/>
    <w:basedOn w:val="DefaultParagraphFont"/>
    <w:link w:val="BodyText-BarcRA55"/>
    <w:rsid w:val="005D52ED"/>
    <w:rPr>
      <w:rFonts w:ascii="Expert Sans Regular" w:hAnsi="Expert Sans Regular"/>
      <w:sz w:val="18"/>
      <w:lang w:val="en-GB" w:eastAsia="en-US" w:bidi="ar-SA"/>
    </w:rPr>
  </w:style>
  <w:style w:type="character" w:customStyle="1" w:styleId="Level1Bullet-BarcRAChar16">
    <w:name w:val="Level 1 Bullet - Barc RA Char_16"/>
    <w:basedOn w:val="BodyText-BarcRAChar37"/>
    <w:link w:val="Level1Bullet-BarcRA201"/>
    <w:rsid w:val="00A85CEE"/>
    <w:rPr>
      <w:rFonts w:ascii="Expert Sans Regular" w:hAnsi="Expert Sans Regular"/>
      <w:sz w:val="18"/>
      <w:lang w:val="la-Latn" w:eastAsia="en-US" w:bidi="ar-SA"/>
    </w:rPr>
  </w:style>
  <w:style w:type="paragraph" w:customStyle="1" w:styleId="Level2Bullet-BarcRA6">
    <w:name w:val="Level 2 Bullet - Barc RA_6"/>
    <w:basedOn w:val="Level1Bullet-BarcRA201"/>
    <w:qFormat/>
    <w:rsid w:val="00A85CEE"/>
    <w:pPr>
      <w:numPr>
        <w:ilvl w:val="2"/>
        <w:numId w:val="134"/>
      </w:numPr>
    </w:pPr>
  </w:style>
  <w:style w:type="paragraph" w:customStyle="1" w:styleId="Level2Bullet-BarcRA60">
    <w:name w:val="Level 2 Bullet - Barc RA_6_0"/>
    <w:basedOn w:val="Normal69"/>
    <w:qFormat/>
    <w:rsid w:val="00630B29"/>
    <w:pPr>
      <w:numPr>
        <w:ilvl w:val="2"/>
        <w:numId w:val="136"/>
      </w:numPr>
      <w:tabs>
        <w:tab w:val="clear" w:pos="1401"/>
        <w:tab w:val="num" w:pos="567"/>
      </w:tabs>
      <w:spacing w:before="180" w:after="180"/>
      <w:ind w:left="567" w:hanging="283"/>
      <w:jc w:val="both"/>
    </w:pPr>
    <w:rPr>
      <w:szCs w:val="20"/>
      <w:lang w:val="la-Latn"/>
    </w:rPr>
  </w:style>
  <w:style w:type="paragraph" w:customStyle="1" w:styleId="Normal69">
    <w:name w:val="Normal_69"/>
    <w:qFormat/>
    <w:rsid w:val="009705AC"/>
    <w:rPr>
      <w:rFonts w:ascii="Expert Sans Regular" w:hAnsi="Expert Sans Regular"/>
      <w:sz w:val="18"/>
      <w:szCs w:val="24"/>
      <w:lang w:eastAsia="en-US"/>
    </w:rPr>
  </w:style>
  <w:style w:type="paragraph" w:customStyle="1" w:styleId="Level2Bullet-BarcRA21">
    <w:name w:val="Level 2 Bullet - Barc RA_2_1"/>
    <w:basedOn w:val="Normal69"/>
    <w:qFormat/>
    <w:rsid w:val="009A3A99"/>
    <w:pPr>
      <w:numPr>
        <w:ilvl w:val="2"/>
        <w:numId w:val="137"/>
      </w:numPr>
      <w:tabs>
        <w:tab w:val="num" w:pos="567"/>
      </w:tabs>
      <w:spacing w:before="180" w:after="180"/>
      <w:ind w:left="567" w:hanging="283"/>
      <w:jc w:val="both"/>
    </w:pPr>
    <w:rPr>
      <w:szCs w:val="20"/>
      <w:lang w:val="la-Latn"/>
    </w:rPr>
  </w:style>
  <w:style w:type="paragraph" w:customStyle="1" w:styleId="HeadingLevel2-BarcRA12">
    <w:name w:val="Heading Level 2 - Barc RA_12"/>
    <w:basedOn w:val="HeadingLevel1-BarcRA38"/>
    <w:next w:val="BodyText-BarcRA55"/>
    <w:rsid w:val="00EE71E7"/>
    <w:pPr>
      <w:spacing w:before="240" w:after="0"/>
    </w:pPr>
    <w:rPr>
      <w:sz w:val="20"/>
    </w:rPr>
  </w:style>
  <w:style w:type="paragraph" w:customStyle="1" w:styleId="HeadingLevel1-BarcRA38">
    <w:name w:val="Heading Level 1 - Barc RA_38"/>
    <w:basedOn w:val="BodyText-BarcRA55"/>
    <w:next w:val="BodyText-BarcRA55"/>
    <w:link w:val="HeadingLevel1-BarcRAChar28"/>
    <w:rsid w:val="002611B5"/>
    <w:pPr>
      <w:spacing w:before="0"/>
    </w:pPr>
    <w:rPr>
      <w:b/>
      <w:bCs/>
      <w:color w:val="000000"/>
      <w:sz w:val="24"/>
      <w:lang w:val="la-Latn"/>
    </w:rPr>
  </w:style>
  <w:style w:type="character" w:customStyle="1" w:styleId="HeadingLevel1-BarcRAChar28">
    <w:name w:val="Heading Level 1 - Barc RA Char_28"/>
    <w:basedOn w:val="DefaultParagraphFont"/>
    <w:link w:val="HeadingLevel1-BarcRA38"/>
    <w:rsid w:val="009705AC"/>
    <w:rPr>
      <w:rFonts w:ascii="Expert Sans Regular" w:hAnsi="Expert Sans Regular"/>
      <w:b/>
      <w:bCs/>
      <w:color w:val="000000"/>
      <w:sz w:val="24"/>
      <w:lang w:val="la-Latn"/>
    </w:rPr>
  </w:style>
  <w:style w:type="paragraph" w:customStyle="1" w:styleId="Level1Bullet-BarcRA120">
    <w:name w:val="Level 1 Bullet - Barc RA_1_2"/>
    <w:basedOn w:val="Normal69"/>
    <w:qFormat/>
    <w:rsid w:val="00D6278D"/>
    <w:pPr>
      <w:numPr>
        <w:numId w:val="138"/>
      </w:numPr>
      <w:spacing w:before="180" w:after="180"/>
      <w:jc w:val="both"/>
    </w:pPr>
    <w:rPr>
      <w:szCs w:val="20"/>
      <w:lang w:val="la-Latn"/>
    </w:rPr>
  </w:style>
  <w:style w:type="paragraph" w:customStyle="1" w:styleId="BodyText-BarcRA3700">
    <w:name w:val="Body Text - Barc RA_37_0_0"/>
    <w:link w:val="BodyText-BarcRAChar260"/>
    <w:rsid w:val="00446962"/>
    <w:pPr>
      <w:spacing w:before="180" w:after="180"/>
      <w:jc w:val="both"/>
    </w:pPr>
    <w:rPr>
      <w:rFonts w:ascii="Expert Sans Regular" w:hAnsi="Expert Sans Regular"/>
      <w:sz w:val="18"/>
      <w:lang w:eastAsia="en-US"/>
    </w:rPr>
  </w:style>
  <w:style w:type="character" w:customStyle="1" w:styleId="BodyText-BarcRAChar260">
    <w:name w:val="Body Text - Barc RA Char_26_0"/>
    <w:basedOn w:val="DefaultParagraphFont"/>
    <w:link w:val="BodyText-BarcRA3700"/>
    <w:locked/>
    <w:rsid w:val="00446962"/>
    <w:rPr>
      <w:rFonts w:ascii="Expert Sans Regular" w:hAnsi="Expert Sans Regular"/>
      <w:sz w:val="18"/>
      <w:lang w:val="en-GB" w:eastAsia="en-US" w:bidi="ar-SA"/>
    </w:rPr>
  </w:style>
  <w:style w:type="paragraph" w:customStyle="1" w:styleId="Level2Bullet-BarcRA61">
    <w:name w:val="Level 2 Bullet - Barc RA_6_1"/>
    <w:basedOn w:val="Normal700"/>
    <w:qFormat/>
    <w:rsid w:val="00F84024"/>
    <w:pPr>
      <w:numPr>
        <w:ilvl w:val="2"/>
        <w:numId w:val="139"/>
      </w:numPr>
      <w:spacing w:before="180" w:after="180"/>
      <w:jc w:val="both"/>
    </w:pPr>
    <w:rPr>
      <w:szCs w:val="20"/>
      <w:lang w:val="la-Latn"/>
    </w:rPr>
  </w:style>
  <w:style w:type="paragraph" w:customStyle="1" w:styleId="Normal700">
    <w:name w:val="Normal_70"/>
    <w:qFormat/>
    <w:rsid w:val="009705AC"/>
    <w:rPr>
      <w:rFonts w:ascii="Expert Sans Regular" w:hAnsi="Expert Sans Regular"/>
      <w:sz w:val="18"/>
      <w:szCs w:val="24"/>
      <w:lang w:eastAsia="en-US"/>
    </w:rPr>
  </w:style>
  <w:style w:type="paragraph" w:customStyle="1" w:styleId="Level2Bullet-BarcRA22">
    <w:name w:val="Level 2 Bullet - Barc RA_2_2"/>
    <w:basedOn w:val="Normal700"/>
    <w:qFormat/>
    <w:rsid w:val="00F84024"/>
    <w:pPr>
      <w:numPr>
        <w:ilvl w:val="2"/>
        <w:numId w:val="141"/>
      </w:numPr>
      <w:tabs>
        <w:tab w:val="num" w:pos="567"/>
      </w:tabs>
      <w:spacing w:before="180" w:after="180"/>
      <w:ind w:left="567" w:hanging="283"/>
      <w:jc w:val="both"/>
    </w:pPr>
    <w:rPr>
      <w:szCs w:val="20"/>
      <w:lang w:val="la-Latn"/>
    </w:rPr>
  </w:style>
  <w:style w:type="paragraph" w:customStyle="1" w:styleId="BodyText-BarcRA37000">
    <w:name w:val="Body Text - Barc RA_37_0_0_0"/>
    <w:rsid w:val="000178CE"/>
    <w:pPr>
      <w:spacing w:before="180" w:after="180"/>
      <w:jc w:val="both"/>
    </w:pPr>
    <w:rPr>
      <w:rFonts w:ascii="Expert Sans Regular" w:hAnsi="Expert Sans Regular"/>
      <w:sz w:val="18"/>
      <w:lang w:eastAsia="en-US"/>
    </w:rPr>
  </w:style>
  <w:style w:type="paragraph" w:customStyle="1" w:styleId="NoteSourceText-BarcRA10">
    <w:name w:val="Note &amp; Source Text - Barc RA_10"/>
    <w:basedOn w:val="Normal700"/>
    <w:link w:val="NoteSourceText-BarcRAChar9"/>
    <w:rsid w:val="00536BCB"/>
    <w:pPr>
      <w:tabs>
        <w:tab w:val="left" w:pos="284"/>
      </w:tabs>
      <w:spacing w:before="20" w:after="20"/>
      <w:ind w:left="284" w:hanging="284"/>
      <w:jc w:val="both"/>
    </w:pPr>
    <w:rPr>
      <w:i/>
      <w:iCs/>
      <w:sz w:val="14"/>
      <w:szCs w:val="14"/>
    </w:rPr>
  </w:style>
  <w:style w:type="character" w:customStyle="1" w:styleId="NoteSourceText-BarcRAChar9">
    <w:name w:val="Note &amp; Source Text - Barc RA Char_9"/>
    <w:basedOn w:val="DefaultParagraphFont"/>
    <w:link w:val="NoteSourceText-BarcRA10"/>
    <w:rsid w:val="00536BCB"/>
    <w:rPr>
      <w:rFonts w:ascii="Expert Sans Regular" w:hAnsi="Expert Sans Regular"/>
      <w:i/>
      <w:iCs/>
      <w:sz w:val="14"/>
      <w:szCs w:val="14"/>
      <w:lang w:eastAsia="en-US"/>
    </w:rPr>
  </w:style>
  <w:style w:type="paragraph" w:customStyle="1" w:styleId="NoteandSourceText-BarcRA12">
    <w:name w:val="Note and Source Text - Barc RA_12"/>
    <w:basedOn w:val="Normal700"/>
    <w:qFormat/>
    <w:rsid w:val="00BA5710"/>
    <w:pPr>
      <w:numPr>
        <w:numId w:val="142"/>
      </w:numPr>
      <w:tabs>
        <w:tab w:val="left" w:pos="284"/>
      </w:tabs>
      <w:spacing w:before="20" w:after="20"/>
      <w:jc w:val="both"/>
    </w:pPr>
    <w:rPr>
      <w:i/>
      <w:iCs/>
      <w:sz w:val="14"/>
      <w:szCs w:val="14"/>
    </w:rPr>
  </w:style>
  <w:style w:type="paragraph" w:customStyle="1" w:styleId="NoteSourceText-BarcRA9">
    <w:name w:val="Note &amp; Source Text - Barc RA_9"/>
    <w:basedOn w:val="Normal700"/>
    <w:link w:val="NoteSourceText-BarcRAChar8"/>
    <w:rsid w:val="00536BCB"/>
    <w:pPr>
      <w:tabs>
        <w:tab w:val="left" w:pos="284"/>
      </w:tabs>
      <w:spacing w:before="20" w:after="20"/>
      <w:ind w:left="284" w:hanging="284"/>
      <w:jc w:val="both"/>
    </w:pPr>
    <w:rPr>
      <w:i/>
      <w:iCs/>
      <w:sz w:val="14"/>
      <w:szCs w:val="14"/>
    </w:rPr>
  </w:style>
  <w:style w:type="character" w:customStyle="1" w:styleId="NoteSourceText-BarcRAChar8">
    <w:name w:val="Note &amp; Source Text - Barc RA Char_8"/>
    <w:basedOn w:val="DefaultParagraphFont"/>
    <w:link w:val="NoteSourceText-BarcRA9"/>
    <w:rsid w:val="00536BCB"/>
    <w:rPr>
      <w:rFonts w:ascii="Expert Sans Regular" w:hAnsi="Expert Sans Regular"/>
      <w:i/>
      <w:iCs/>
      <w:sz w:val="14"/>
      <w:szCs w:val="14"/>
      <w:lang w:eastAsia="en-US"/>
    </w:rPr>
  </w:style>
  <w:style w:type="paragraph" w:customStyle="1" w:styleId="NoteSourceText-BarcRA100">
    <w:name w:val="Note &amp; Source Text - Barc RA_10_0"/>
    <w:basedOn w:val="Normal71"/>
    <w:link w:val="NoteSourceText-BarcRAChar90"/>
    <w:rsid w:val="00536BCB"/>
    <w:pPr>
      <w:tabs>
        <w:tab w:val="left" w:pos="284"/>
      </w:tabs>
      <w:spacing w:before="20" w:after="20"/>
      <w:ind w:left="284" w:hanging="284"/>
      <w:jc w:val="both"/>
    </w:pPr>
    <w:rPr>
      <w:i/>
      <w:iCs/>
      <w:sz w:val="14"/>
      <w:szCs w:val="14"/>
    </w:rPr>
  </w:style>
  <w:style w:type="paragraph" w:customStyle="1" w:styleId="Normal71">
    <w:name w:val="Normal_71"/>
    <w:qFormat/>
    <w:rsid w:val="009705AC"/>
    <w:rPr>
      <w:rFonts w:ascii="Expert Sans Regular" w:hAnsi="Expert Sans Regular"/>
      <w:sz w:val="18"/>
      <w:szCs w:val="24"/>
      <w:lang w:eastAsia="en-US"/>
    </w:rPr>
  </w:style>
  <w:style w:type="character" w:customStyle="1" w:styleId="NoteSourceText-BarcRAChar90">
    <w:name w:val="Note &amp; Source Text - Barc RA Char_9_0"/>
    <w:basedOn w:val="DefaultParagraphFont"/>
    <w:link w:val="NoteSourceText-BarcRA100"/>
    <w:rsid w:val="00536BCB"/>
    <w:rPr>
      <w:rFonts w:ascii="Expert Sans Regular" w:hAnsi="Expert Sans Regular"/>
      <w:i/>
      <w:iCs/>
      <w:sz w:val="14"/>
      <w:szCs w:val="14"/>
      <w:lang w:eastAsia="en-US"/>
    </w:rPr>
  </w:style>
  <w:style w:type="paragraph" w:customStyle="1" w:styleId="NoteandSourceText-BarcRA120">
    <w:name w:val="Note and Source Text - Barc RA_12_0"/>
    <w:basedOn w:val="Normal71"/>
    <w:qFormat/>
    <w:rsid w:val="00786823"/>
    <w:pPr>
      <w:numPr>
        <w:numId w:val="143"/>
      </w:numPr>
      <w:tabs>
        <w:tab w:val="left" w:pos="284"/>
      </w:tabs>
      <w:spacing w:before="20" w:after="20"/>
      <w:jc w:val="both"/>
    </w:pPr>
    <w:rPr>
      <w:i/>
      <w:iCs/>
      <w:sz w:val="14"/>
      <w:szCs w:val="14"/>
    </w:rPr>
  </w:style>
  <w:style w:type="paragraph" w:customStyle="1" w:styleId="NoteSourceText-BarcRA90">
    <w:name w:val="Note &amp; Source Text - Barc RA_9_0"/>
    <w:basedOn w:val="Normal71"/>
    <w:link w:val="NoteSourceText-BarcRAChar80"/>
    <w:rsid w:val="00786823"/>
    <w:pPr>
      <w:tabs>
        <w:tab w:val="left" w:pos="284"/>
      </w:tabs>
      <w:spacing w:before="20" w:after="20"/>
      <w:ind w:left="284" w:hanging="284"/>
      <w:jc w:val="both"/>
    </w:pPr>
    <w:rPr>
      <w:i/>
      <w:iCs/>
      <w:sz w:val="14"/>
      <w:szCs w:val="14"/>
    </w:rPr>
  </w:style>
  <w:style w:type="character" w:customStyle="1" w:styleId="NoteSourceText-BarcRAChar80">
    <w:name w:val="Note &amp; Source Text - Barc RA Char_8_0"/>
    <w:link w:val="NoteSourceText-BarcRA90"/>
    <w:locked/>
    <w:rsid w:val="00786823"/>
    <w:rPr>
      <w:rFonts w:ascii="Expert Sans Regular" w:hAnsi="Expert Sans Regular"/>
      <w:i/>
      <w:iCs/>
      <w:sz w:val="14"/>
      <w:szCs w:val="14"/>
    </w:rPr>
  </w:style>
  <w:style w:type="paragraph" w:customStyle="1" w:styleId="NoteSourceText-BarcRA101">
    <w:name w:val="Note &amp; Source Text - Barc RA_10_1"/>
    <w:basedOn w:val="Normal72"/>
    <w:link w:val="NoteSourceText-BarcRAChar91"/>
    <w:rsid w:val="00536BCB"/>
    <w:pPr>
      <w:tabs>
        <w:tab w:val="left" w:pos="284"/>
      </w:tabs>
      <w:spacing w:before="20" w:after="20"/>
      <w:ind w:left="284" w:hanging="284"/>
      <w:jc w:val="both"/>
    </w:pPr>
    <w:rPr>
      <w:i/>
      <w:iCs/>
      <w:sz w:val="14"/>
      <w:szCs w:val="14"/>
    </w:rPr>
  </w:style>
  <w:style w:type="paragraph" w:customStyle="1" w:styleId="Normal72">
    <w:name w:val="Normal_72"/>
    <w:qFormat/>
    <w:rsid w:val="009705AC"/>
    <w:rPr>
      <w:rFonts w:ascii="Expert Sans Regular" w:hAnsi="Expert Sans Regular"/>
      <w:sz w:val="18"/>
      <w:szCs w:val="24"/>
      <w:lang w:eastAsia="en-US"/>
    </w:rPr>
  </w:style>
  <w:style w:type="character" w:customStyle="1" w:styleId="NoteSourceText-BarcRAChar91">
    <w:name w:val="Note &amp; Source Text - Barc RA Char_9_1"/>
    <w:basedOn w:val="DefaultParagraphFont"/>
    <w:link w:val="NoteSourceText-BarcRA101"/>
    <w:rsid w:val="00536BCB"/>
    <w:rPr>
      <w:rFonts w:ascii="Expert Sans Regular" w:hAnsi="Expert Sans Regular"/>
      <w:i/>
      <w:iCs/>
      <w:sz w:val="14"/>
      <w:szCs w:val="14"/>
      <w:lang w:eastAsia="en-US"/>
    </w:rPr>
  </w:style>
  <w:style w:type="paragraph" w:customStyle="1" w:styleId="NoteandSourceText-BarcRA121">
    <w:name w:val="Note and Source Text - Barc RA_12_1"/>
    <w:basedOn w:val="Normal72"/>
    <w:qFormat/>
    <w:rsid w:val="00786823"/>
    <w:pPr>
      <w:numPr>
        <w:numId w:val="144"/>
      </w:numPr>
      <w:tabs>
        <w:tab w:val="left" w:pos="284"/>
      </w:tabs>
      <w:spacing w:before="20" w:after="20"/>
      <w:jc w:val="both"/>
    </w:pPr>
    <w:rPr>
      <w:i/>
      <w:iCs/>
      <w:sz w:val="14"/>
      <w:szCs w:val="14"/>
    </w:rPr>
  </w:style>
  <w:style w:type="paragraph" w:customStyle="1" w:styleId="NoteSourceText-BarcRA91">
    <w:name w:val="Note &amp; Source Text - Barc RA_9_1"/>
    <w:basedOn w:val="Normal72"/>
    <w:link w:val="NoteSourceText-BarcRAChar81"/>
    <w:rsid w:val="00536BCB"/>
    <w:pPr>
      <w:tabs>
        <w:tab w:val="left" w:pos="284"/>
      </w:tabs>
      <w:spacing w:before="20" w:after="20"/>
      <w:ind w:left="284" w:hanging="284"/>
      <w:jc w:val="both"/>
    </w:pPr>
    <w:rPr>
      <w:i/>
      <w:iCs/>
      <w:sz w:val="14"/>
      <w:szCs w:val="14"/>
    </w:rPr>
  </w:style>
  <w:style w:type="character" w:customStyle="1" w:styleId="NoteSourceText-BarcRAChar81">
    <w:name w:val="Note &amp; Source Text - Barc RA Char_8_1"/>
    <w:basedOn w:val="DefaultParagraphFont"/>
    <w:link w:val="NoteSourceText-BarcRA91"/>
    <w:rsid w:val="00536BCB"/>
    <w:rPr>
      <w:rFonts w:ascii="Expert Sans Regular" w:hAnsi="Expert Sans Regular"/>
      <w:i/>
      <w:iCs/>
      <w:sz w:val="14"/>
      <w:szCs w:val="14"/>
      <w:lang w:eastAsia="en-US"/>
    </w:rPr>
  </w:style>
  <w:style w:type="paragraph" w:customStyle="1" w:styleId="NoteSourceText-BarcRA900">
    <w:name w:val="Note &amp; Source Text - Barc RA_9_0_0"/>
    <w:basedOn w:val="Normal72"/>
    <w:link w:val="NoteSourceText-BarcRAChar800"/>
    <w:rsid w:val="00786823"/>
    <w:pPr>
      <w:tabs>
        <w:tab w:val="left" w:pos="284"/>
      </w:tabs>
      <w:spacing w:before="20" w:after="20"/>
      <w:ind w:left="284" w:hanging="284"/>
      <w:jc w:val="both"/>
    </w:pPr>
    <w:rPr>
      <w:i/>
      <w:iCs/>
      <w:sz w:val="14"/>
      <w:szCs w:val="14"/>
    </w:rPr>
  </w:style>
  <w:style w:type="character" w:customStyle="1" w:styleId="NoteSourceText-BarcRAChar800">
    <w:name w:val="Note &amp; Source Text - Barc RA Char_8_0_0"/>
    <w:link w:val="NoteSourceText-BarcRA900"/>
    <w:locked/>
    <w:rsid w:val="00786823"/>
    <w:rPr>
      <w:rFonts w:ascii="Expert Sans Regular" w:hAnsi="Expert Sans Regular"/>
      <w:i/>
      <w:iCs/>
      <w:sz w:val="14"/>
      <w:szCs w:val="14"/>
    </w:rPr>
  </w:style>
  <w:style w:type="paragraph" w:customStyle="1" w:styleId="BodyText-BarcRA380">
    <w:name w:val="Body Text - Barc RA_38_0"/>
    <w:rsid w:val="00142937"/>
    <w:pPr>
      <w:spacing w:before="180" w:after="180"/>
      <w:jc w:val="both"/>
    </w:pPr>
    <w:rPr>
      <w:rFonts w:ascii="Expert Sans Regular" w:hAnsi="Expert Sans Regular"/>
      <w:sz w:val="18"/>
      <w:lang w:eastAsia="en-US"/>
    </w:rPr>
  </w:style>
  <w:style w:type="paragraph" w:customStyle="1" w:styleId="NoteandSourceText-BarcRA13">
    <w:name w:val="Note and Source Text - Barc RA_13"/>
    <w:basedOn w:val="Normal73"/>
    <w:qFormat/>
    <w:rsid w:val="00AF04B8"/>
    <w:pPr>
      <w:numPr>
        <w:numId w:val="145"/>
      </w:numPr>
      <w:tabs>
        <w:tab w:val="left" w:pos="284"/>
      </w:tabs>
      <w:spacing w:before="20" w:after="20"/>
      <w:jc w:val="both"/>
    </w:pPr>
    <w:rPr>
      <w:i/>
      <w:iCs/>
      <w:sz w:val="14"/>
      <w:szCs w:val="14"/>
    </w:rPr>
  </w:style>
  <w:style w:type="paragraph" w:customStyle="1" w:styleId="Normal73">
    <w:name w:val="Normal_73"/>
    <w:qFormat/>
    <w:rsid w:val="009705AC"/>
    <w:rPr>
      <w:rFonts w:ascii="Expert Sans Regular" w:hAnsi="Expert Sans Regular"/>
      <w:sz w:val="18"/>
      <w:szCs w:val="24"/>
      <w:lang w:eastAsia="en-US"/>
    </w:rPr>
  </w:style>
  <w:style w:type="paragraph" w:customStyle="1" w:styleId="BodyText-BarcRA3800">
    <w:name w:val="Body Text - Barc RA_38_0_0"/>
    <w:rsid w:val="00142937"/>
    <w:pPr>
      <w:spacing w:before="180" w:after="180"/>
      <w:jc w:val="both"/>
    </w:pPr>
    <w:rPr>
      <w:rFonts w:ascii="Expert Sans Regular" w:hAnsi="Expert Sans Regular"/>
      <w:sz w:val="18"/>
      <w:lang w:eastAsia="en-US"/>
    </w:rPr>
  </w:style>
  <w:style w:type="paragraph" w:customStyle="1" w:styleId="BodyText-BarcRA38000">
    <w:name w:val="Body Text - Barc RA_38_0_0_0"/>
    <w:rsid w:val="00DD436C"/>
    <w:pPr>
      <w:spacing w:before="180" w:after="180"/>
      <w:jc w:val="both"/>
    </w:pPr>
    <w:rPr>
      <w:rFonts w:ascii="Expert Sans Regular" w:hAnsi="Expert Sans Regular"/>
      <w:sz w:val="18"/>
      <w:lang w:eastAsia="en-US"/>
    </w:rPr>
  </w:style>
  <w:style w:type="paragraph" w:customStyle="1" w:styleId="NoteSourceText-BarcRA102">
    <w:name w:val="Note &amp; Source Text - Barc RA_10_2"/>
    <w:basedOn w:val="Normal74"/>
    <w:link w:val="NoteSourceText-BarcRAChar92"/>
    <w:rsid w:val="00814EDC"/>
    <w:pPr>
      <w:tabs>
        <w:tab w:val="left" w:pos="284"/>
      </w:tabs>
      <w:spacing w:before="20" w:after="20"/>
      <w:ind w:left="284" w:hanging="284"/>
      <w:jc w:val="both"/>
    </w:pPr>
    <w:rPr>
      <w:i/>
      <w:iCs/>
      <w:sz w:val="14"/>
      <w:szCs w:val="14"/>
    </w:rPr>
  </w:style>
  <w:style w:type="paragraph" w:customStyle="1" w:styleId="Normal74">
    <w:name w:val="Normal_74"/>
    <w:qFormat/>
    <w:rsid w:val="009705AC"/>
    <w:rPr>
      <w:rFonts w:ascii="Expert Sans Regular" w:hAnsi="Expert Sans Regular"/>
      <w:sz w:val="18"/>
      <w:szCs w:val="24"/>
      <w:lang w:eastAsia="en-US"/>
    </w:rPr>
  </w:style>
  <w:style w:type="character" w:customStyle="1" w:styleId="NoteSourceText-BarcRAChar92">
    <w:name w:val="Note &amp; Source Text - Barc RA Char_9_2"/>
    <w:basedOn w:val="DefaultParagraphFont"/>
    <w:link w:val="NoteSourceText-BarcRA102"/>
    <w:rsid w:val="00814EDC"/>
    <w:rPr>
      <w:rFonts w:ascii="Expert Sans Regular" w:hAnsi="Expert Sans Regular"/>
      <w:i/>
      <w:iCs/>
      <w:sz w:val="14"/>
      <w:szCs w:val="14"/>
      <w:lang w:eastAsia="en-US"/>
    </w:rPr>
  </w:style>
  <w:style w:type="paragraph" w:customStyle="1" w:styleId="BodyText-BarcRA391">
    <w:name w:val="Body Text - Barc RA_39_1"/>
    <w:link w:val="BodyText-BarcRAChar281"/>
    <w:rsid w:val="00093492"/>
    <w:pPr>
      <w:spacing w:before="180" w:after="180"/>
      <w:jc w:val="both"/>
    </w:pPr>
    <w:rPr>
      <w:rFonts w:ascii="Expert Sans Regular" w:hAnsi="Expert Sans Regular"/>
      <w:sz w:val="18"/>
      <w:lang w:eastAsia="en-US"/>
    </w:rPr>
  </w:style>
  <w:style w:type="character" w:customStyle="1" w:styleId="BodyText-BarcRAChar281">
    <w:name w:val="Body Text - Barc RA Char_28_1"/>
    <w:basedOn w:val="DefaultParagraphFont"/>
    <w:link w:val="BodyText-BarcRA391"/>
    <w:locked/>
    <w:rsid w:val="00093492"/>
    <w:rPr>
      <w:rFonts w:ascii="Expert Sans Regular" w:hAnsi="Expert Sans Regular"/>
      <w:sz w:val="18"/>
      <w:lang w:val="en-GB" w:eastAsia="en-US" w:bidi="ar-SA"/>
    </w:rPr>
  </w:style>
  <w:style w:type="paragraph" w:customStyle="1" w:styleId="NoteSourceText-BarcRA71">
    <w:name w:val="Note &amp; Source Text - Barc RA_7_1"/>
    <w:basedOn w:val="Normal75"/>
    <w:link w:val="NoteSourceText-BarcRAChar71"/>
    <w:rsid w:val="001C020A"/>
    <w:pPr>
      <w:tabs>
        <w:tab w:val="left" w:pos="284"/>
      </w:tabs>
      <w:spacing w:before="20" w:after="20"/>
      <w:ind w:left="284" w:hanging="284"/>
      <w:jc w:val="both"/>
    </w:pPr>
    <w:rPr>
      <w:i/>
      <w:iCs/>
      <w:sz w:val="14"/>
      <w:szCs w:val="14"/>
    </w:rPr>
  </w:style>
  <w:style w:type="paragraph" w:customStyle="1" w:styleId="Normal75">
    <w:name w:val="Normal_75"/>
    <w:qFormat/>
    <w:rsid w:val="009705AC"/>
    <w:rPr>
      <w:rFonts w:ascii="Expert Sans Regular" w:hAnsi="Expert Sans Regular"/>
      <w:sz w:val="18"/>
      <w:szCs w:val="24"/>
      <w:lang w:eastAsia="en-US"/>
    </w:rPr>
  </w:style>
  <w:style w:type="character" w:customStyle="1" w:styleId="NoteSourceText-BarcRAChar71">
    <w:name w:val="Note &amp; Source Text - Barc RA Char_7_1"/>
    <w:basedOn w:val="DefaultParagraphFont"/>
    <w:link w:val="NoteSourceText-BarcRA71"/>
    <w:locked/>
    <w:rsid w:val="001C020A"/>
    <w:rPr>
      <w:rFonts w:ascii="Expert Sans Regular" w:hAnsi="Expert Sans Regular"/>
      <w:i/>
      <w:iCs/>
      <w:sz w:val="14"/>
      <w:szCs w:val="14"/>
      <w:lang w:val="en-GB"/>
    </w:rPr>
  </w:style>
  <w:style w:type="paragraph" w:customStyle="1" w:styleId="HeadingLevel3-AR0">
    <w:name w:val="Heading Level 3 - AR_0"/>
    <w:basedOn w:val="Normal76"/>
    <w:qFormat/>
    <w:rsid w:val="00AA1E82"/>
    <w:rPr>
      <w:b/>
      <w:color w:val="00B0F0"/>
      <w:sz w:val="16"/>
    </w:rPr>
  </w:style>
  <w:style w:type="paragraph" w:customStyle="1" w:styleId="Normal76">
    <w:name w:val="Normal_76"/>
    <w:qFormat/>
    <w:rsid w:val="00AA1E82"/>
    <w:rPr>
      <w:rFonts w:ascii="Expert Sans Regular" w:eastAsia="Calibri" w:hAnsi="Expert Sans Regular"/>
      <w:szCs w:val="22"/>
      <w:lang w:eastAsia="en-US"/>
    </w:rPr>
  </w:style>
  <w:style w:type="paragraph" w:customStyle="1" w:styleId="ListParagraph1">
    <w:name w:val="List Paragraph_1"/>
    <w:basedOn w:val="Normal76"/>
    <w:uiPriority w:val="99"/>
    <w:qFormat/>
    <w:rsid w:val="00AA1E82"/>
    <w:pPr>
      <w:ind w:left="720"/>
      <w:contextualSpacing/>
    </w:pPr>
    <w:rPr>
      <w:rFonts w:ascii="Times New Roman" w:eastAsia="Times New Roman" w:hAnsi="Times New Roman" w:cs="Expert Sans Regular"/>
      <w:sz w:val="24"/>
      <w:szCs w:val="24"/>
      <w:lang w:eastAsia="en-GB"/>
    </w:rPr>
  </w:style>
  <w:style w:type="paragraph" w:customStyle="1" w:styleId="BodyText-AR222">
    <w:name w:val="Body Text - AR_22_2"/>
    <w:basedOn w:val="Normal76"/>
    <w:qFormat/>
    <w:rsid w:val="00AA1E82"/>
    <w:rPr>
      <w:rFonts w:eastAsia="Expert Sans Regular" w:cs="Expert Sans Regular"/>
      <w:sz w:val="16"/>
    </w:rPr>
  </w:style>
  <w:style w:type="paragraph" w:customStyle="1" w:styleId="NoteSourceText-BarcRA1001">
    <w:name w:val="Note &amp; Source Text - Barc RA_10_0_1"/>
    <w:basedOn w:val="Normal77"/>
    <w:link w:val="NoteSourceText-BarcRAChar901"/>
    <w:rsid w:val="00993940"/>
    <w:pPr>
      <w:tabs>
        <w:tab w:val="left" w:pos="284"/>
      </w:tabs>
      <w:spacing w:before="20" w:after="20"/>
      <w:ind w:left="284" w:hanging="284"/>
      <w:jc w:val="both"/>
    </w:pPr>
    <w:rPr>
      <w:rFonts w:eastAsia="Times New Roman"/>
      <w:i/>
      <w:iCs/>
      <w:sz w:val="14"/>
      <w:szCs w:val="14"/>
    </w:rPr>
  </w:style>
  <w:style w:type="paragraph" w:customStyle="1" w:styleId="Normal77">
    <w:name w:val="Normal_77"/>
    <w:qFormat/>
    <w:rsid w:val="00AA1E82"/>
    <w:rPr>
      <w:rFonts w:ascii="Expert Sans Regular" w:eastAsia="Calibri" w:hAnsi="Expert Sans Regular"/>
      <w:szCs w:val="22"/>
      <w:lang w:eastAsia="en-US"/>
    </w:rPr>
  </w:style>
  <w:style w:type="character" w:customStyle="1" w:styleId="NoteSourceText-BarcRAChar901">
    <w:name w:val="Note &amp; Source Text - Barc RA Char_9_0_1"/>
    <w:link w:val="NoteSourceText-BarcRA1001"/>
    <w:locked/>
    <w:rsid w:val="00993940"/>
    <w:rPr>
      <w:rFonts w:ascii="Expert Sans Regular" w:hAnsi="Expert Sans Regular"/>
      <w:i/>
      <w:iCs/>
      <w:sz w:val="14"/>
      <w:szCs w:val="14"/>
    </w:rPr>
  </w:style>
  <w:style w:type="paragraph" w:customStyle="1" w:styleId="NoteSourceText-BarcRA1000">
    <w:name w:val="Note &amp; Source Text - Barc RA_10_0_0"/>
    <w:basedOn w:val="Normal77"/>
    <w:link w:val="NoteSourceText-BarcRAChar900"/>
    <w:rsid w:val="008F0F34"/>
    <w:pPr>
      <w:tabs>
        <w:tab w:val="left" w:pos="284"/>
      </w:tabs>
      <w:spacing w:before="20" w:after="20"/>
      <w:ind w:left="284" w:hanging="284"/>
      <w:jc w:val="both"/>
    </w:pPr>
    <w:rPr>
      <w:rFonts w:eastAsia="Times New Roman"/>
      <w:i/>
      <w:iCs/>
      <w:sz w:val="14"/>
      <w:szCs w:val="14"/>
    </w:rPr>
  </w:style>
  <w:style w:type="character" w:customStyle="1" w:styleId="NoteSourceText-BarcRAChar900">
    <w:name w:val="Note &amp; Source Text - Barc RA Char_9_0_0"/>
    <w:link w:val="NoteSourceText-BarcRA1000"/>
    <w:locked/>
    <w:rsid w:val="008F0F34"/>
    <w:rPr>
      <w:rFonts w:ascii="Expert Sans Regular" w:hAnsi="Expert Sans Regular"/>
      <w:i/>
      <w:iCs/>
      <w:sz w:val="14"/>
      <w:szCs w:val="14"/>
    </w:rPr>
  </w:style>
  <w:style w:type="paragraph" w:customStyle="1" w:styleId="NoteandSourceText-BarcRA15">
    <w:name w:val="Note and Source Text - Barc RA_15"/>
    <w:basedOn w:val="Normal77"/>
    <w:qFormat/>
    <w:rsid w:val="008F0F34"/>
    <w:pPr>
      <w:numPr>
        <w:numId w:val="147"/>
      </w:numPr>
      <w:tabs>
        <w:tab w:val="left" w:pos="284"/>
      </w:tabs>
      <w:spacing w:before="20" w:after="20"/>
      <w:jc w:val="both"/>
    </w:pPr>
    <w:rPr>
      <w:i/>
      <w:iCs/>
      <w:sz w:val="14"/>
      <w:szCs w:val="14"/>
    </w:rPr>
  </w:style>
  <w:style w:type="paragraph" w:customStyle="1" w:styleId="HeadingLevel2-BarcRA13">
    <w:name w:val="Heading Level 2 - Barc RA_13"/>
    <w:basedOn w:val="Normal78"/>
    <w:next w:val="Normal78"/>
    <w:qFormat/>
    <w:locked/>
    <w:rsid w:val="0089381D"/>
    <w:pPr>
      <w:spacing w:before="240" w:after="0" w:line="240" w:lineRule="auto"/>
      <w:jc w:val="both"/>
    </w:pPr>
    <w:rPr>
      <w:rFonts w:ascii="Expert Sans Regular" w:hAnsi="Expert Sans Regular"/>
      <w:b/>
      <w:bCs/>
      <w:color w:val="000000"/>
      <w:sz w:val="20"/>
      <w:szCs w:val="20"/>
      <w:lang w:val="la-Latn"/>
    </w:rPr>
  </w:style>
  <w:style w:type="paragraph" w:customStyle="1" w:styleId="Normal78">
    <w:name w:val="Normal_78"/>
    <w:qFormat/>
    <w:rsid w:val="00DE0D86"/>
    <w:pPr>
      <w:spacing w:after="200" w:line="276" w:lineRule="auto"/>
    </w:pPr>
    <w:rPr>
      <w:sz w:val="22"/>
      <w:szCs w:val="22"/>
      <w:lang w:eastAsia="en-US"/>
    </w:rPr>
  </w:style>
  <w:style w:type="paragraph" w:customStyle="1" w:styleId="Level1Bullet-BarcRA24">
    <w:name w:val="Level 1 Bullet - Barc RA_24"/>
    <w:basedOn w:val="Normal78"/>
    <w:qFormat/>
    <w:locked/>
    <w:rsid w:val="00B82A10"/>
    <w:pPr>
      <w:numPr>
        <w:numId w:val="148"/>
      </w:numPr>
      <w:spacing w:before="180" w:after="180" w:line="240" w:lineRule="auto"/>
      <w:jc w:val="both"/>
    </w:pPr>
    <w:rPr>
      <w:rFonts w:ascii="Expert Sans Regular" w:hAnsi="Expert Sans Regular"/>
      <w:sz w:val="18"/>
      <w:szCs w:val="20"/>
      <w:lang w:val="la-Latn"/>
    </w:rPr>
  </w:style>
  <w:style w:type="paragraph" w:customStyle="1" w:styleId="BodyText-BarcRA3910">
    <w:name w:val="Body Text - Barc RA_39_1_0"/>
    <w:link w:val="BodyText-BarcRAChar2810"/>
    <w:rsid w:val="00861283"/>
    <w:pPr>
      <w:spacing w:before="180" w:after="180"/>
      <w:jc w:val="both"/>
    </w:pPr>
    <w:rPr>
      <w:rFonts w:ascii="Expert Sans Regular" w:hAnsi="Expert Sans Regular"/>
      <w:sz w:val="18"/>
      <w:lang w:eastAsia="en-US"/>
    </w:rPr>
  </w:style>
  <w:style w:type="character" w:customStyle="1" w:styleId="BodyText-BarcRAChar2810">
    <w:name w:val="Body Text - Barc RA Char_28_1_0"/>
    <w:basedOn w:val="DefaultParagraphFont"/>
    <w:link w:val="BodyText-BarcRA3910"/>
    <w:locked/>
    <w:rsid w:val="00861283"/>
    <w:rPr>
      <w:rFonts w:ascii="Expert Sans Regular" w:hAnsi="Expert Sans Regular"/>
      <w:sz w:val="18"/>
      <w:lang w:val="en-GB" w:eastAsia="en-US" w:bidi="ar-SA"/>
    </w:rPr>
  </w:style>
  <w:style w:type="paragraph" w:customStyle="1" w:styleId="NoteSourceText-BarcRA710">
    <w:name w:val="Note &amp; Source Text - Barc RA_7_1_0"/>
    <w:basedOn w:val="Normal79"/>
    <w:link w:val="NoteSourceText-BarcRAChar710"/>
    <w:rsid w:val="00DC4A1A"/>
    <w:pPr>
      <w:tabs>
        <w:tab w:val="left" w:pos="284"/>
      </w:tabs>
      <w:spacing w:before="20" w:after="20"/>
      <w:ind w:left="284" w:hanging="284"/>
      <w:jc w:val="both"/>
    </w:pPr>
    <w:rPr>
      <w:i/>
      <w:iCs/>
      <w:sz w:val="14"/>
      <w:szCs w:val="14"/>
    </w:rPr>
  </w:style>
  <w:style w:type="paragraph" w:customStyle="1" w:styleId="Normal79">
    <w:name w:val="Normal_79"/>
    <w:qFormat/>
    <w:rsid w:val="009705AC"/>
    <w:rPr>
      <w:rFonts w:ascii="Expert Sans Regular" w:hAnsi="Expert Sans Regular"/>
      <w:sz w:val="18"/>
      <w:szCs w:val="24"/>
      <w:lang w:eastAsia="en-US"/>
    </w:rPr>
  </w:style>
  <w:style w:type="character" w:customStyle="1" w:styleId="NoteSourceText-BarcRAChar710">
    <w:name w:val="Note &amp; Source Text - Barc RA Char_7_1_0"/>
    <w:basedOn w:val="DefaultParagraphFont"/>
    <w:link w:val="NoteSourceText-BarcRA710"/>
    <w:locked/>
    <w:rsid w:val="00DC4A1A"/>
    <w:rPr>
      <w:rFonts w:ascii="Expert Sans Regular" w:hAnsi="Expert Sans Regular"/>
      <w:i/>
      <w:iCs/>
      <w:sz w:val="14"/>
      <w:szCs w:val="14"/>
      <w:lang w:eastAsia="en-US"/>
    </w:rPr>
  </w:style>
  <w:style w:type="paragraph" w:customStyle="1" w:styleId="Normal500">
    <w:name w:val="Normal_5_0"/>
    <w:qFormat/>
    <w:rsid w:val="00DC6A75"/>
    <w:rPr>
      <w:rFonts w:ascii="Expert Sans Regular" w:hAnsi="Expert Sans Regular"/>
      <w:sz w:val="18"/>
      <w:szCs w:val="24"/>
      <w:lang w:eastAsia="en-US"/>
    </w:rPr>
  </w:style>
  <w:style w:type="paragraph" w:customStyle="1" w:styleId="NoteSourceText-BarcRA7100">
    <w:name w:val="Note &amp; Source Text - Barc RA_7_1_0_0"/>
    <w:basedOn w:val="Normal790"/>
    <w:link w:val="NoteSourceText-BarcRAChar7100"/>
    <w:rsid w:val="00DC6A75"/>
    <w:pPr>
      <w:tabs>
        <w:tab w:val="left" w:pos="284"/>
      </w:tabs>
      <w:spacing w:before="20" w:after="20"/>
      <w:ind w:left="284" w:hanging="284"/>
      <w:jc w:val="both"/>
    </w:pPr>
    <w:rPr>
      <w:i/>
      <w:iCs/>
      <w:sz w:val="14"/>
      <w:szCs w:val="14"/>
    </w:rPr>
  </w:style>
  <w:style w:type="paragraph" w:customStyle="1" w:styleId="Normal790">
    <w:name w:val="Normal_79_0"/>
    <w:qFormat/>
    <w:rsid w:val="00DC6A75"/>
    <w:rPr>
      <w:rFonts w:ascii="Expert Sans Regular" w:hAnsi="Expert Sans Regular"/>
      <w:sz w:val="18"/>
      <w:szCs w:val="24"/>
      <w:lang w:eastAsia="en-US"/>
    </w:rPr>
  </w:style>
  <w:style w:type="character" w:customStyle="1" w:styleId="NoteSourceText-BarcRAChar7100">
    <w:name w:val="Note &amp; Source Text - Barc RA Char_7_1_0_0"/>
    <w:basedOn w:val="DefaultParagraphFont"/>
    <w:link w:val="NoteSourceText-BarcRA7100"/>
    <w:locked/>
    <w:rsid w:val="00DC6A75"/>
    <w:rPr>
      <w:rFonts w:ascii="Expert Sans Regular" w:hAnsi="Expert Sans Regular"/>
      <w:i/>
      <w:iCs/>
      <w:sz w:val="14"/>
      <w:szCs w:val="14"/>
      <w:lang w:eastAsia="en-US"/>
    </w:rPr>
  </w:style>
  <w:style w:type="paragraph" w:customStyle="1" w:styleId="HeadingLevel2-BarcRA14">
    <w:name w:val="Heading Level 2 - Barc RA_14"/>
    <w:basedOn w:val="HeadingLevel1-BarcRA39"/>
    <w:next w:val="BodyText-BarcRA56"/>
    <w:qFormat/>
    <w:rsid w:val="00EE71E7"/>
    <w:pPr>
      <w:spacing w:before="240" w:after="0"/>
    </w:pPr>
    <w:rPr>
      <w:sz w:val="20"/>
    </w:rPr>
  </w:style>
  <w:style w:type="paragraph" w:customStyle="1" w:styleId="HeadingLevel1-BarcRA39">
    <w:name w:val="Heading Level 1 - Barc RA_39"/>
    <w:basedOn w:val="BodyText-BarcRA56"/>
    <w:next w:val="BodyText-BarcRA56"/>
    <w:link w:val="HeadingLevel1-BarcRAChar29"/>
    <w:rsid w:val="002611B5"/>
    <w:pPr>
      <w:spacing w:before="0"/>
    </w:pPr>
    <w:rPr>
      <w:b/>
      <w:bCs/>
      <w:color w:val="000000"/>
      <w:sz w:val="24"/>
      <w:lang w:val="la-Latn"/>
    </w:rPr>
  </w:style>
  <w:style w:type="paragraph" w:customStyle="1" w:styleId="BodyText-BarcRA56">
    <w:name w:val="Body Text - Barc RA_56"/>
    <w:link w:val="BodyText-BarcRAChar38"/>
    <w:qFormat/>
    <w:rsid w:val="005D52ED"/>
    <w:pPr>
      <w:spacing w:before="180" w:after="180"/>
      <w:jc w:val="both"/>
    </w:pPr>
    <w:rPr>
      <w:rFonts w:ascii="Expert Sans Regular" w:hAnsi="Expert Sans Regular"/>
      <w:sz w:val="18"/>
      <w:lang w:eastAsia="en-US"/>
    </w:rPr>
  </w:style>
  <w:style w:type="character" w:customStyle="1" w:styleId="BodyText-BarcRAChar38">
    <w:name w:val="Body Text - Barc RA Char_38"/>
    <w:basedOn w:val="DefaultParagraphFont"/>
    <w:link w:val="BodyText-BarcRA56"/>
    <w:rsid w:val="005D52ED"/>
    <w:rPr>
      <w:rFonts w:ascii="Expert Sans Regular" w:hAnsi="Expert Sans Regular"/>
      <w:sz w:val="18"/>
      <w:lang w:val="en-GB" w:eastAsia="en-US" w:bidi="ar-SA"/>
    </w:rPr>
  </w:style>
  <w:style w:type="character" w:customStyle="1" w:styleId="HeadingLevel1-BarcRAChar29">
    <w:name w:val="Heading Level 1 - Barc RA Char_29"/>
    <w:basedOn w:val="DefaultParagraphFont"/>
    <w:link w:val="HeadingLevel1-BarcRA39"/>
    <w:rsid w:val="009705AC"/>
    <w:rPr>
      <w:rFonts w:ascii="Expert Sans Regular" w:hAnsi="Expert Sans Regular"/>
      <w:b/>
      <w:bCs/>
      <w:color w:val="000000"/>
      <w:sz w:val="24"/>
      <w:lang w:val="la-Latn"/>
    </w:rPr>
  </w:style>
  <w:style w:type="paragraph" w:customStyle="1" w:styleId="Level1Bullet-BarcRA25">
    <w:name w:val="Level 1 Bullet - Barc RA_25"/>
    <w:basedOn w:val="Normal80"/>
    <w:link w:val="Level1Bullet-BarcRAChar19"/>
    <w:qFormat/>
    <w:rsid w:val="000570F9"/>
    <w:pPr>
      <w:numPr>
        <w:numId w:val="149"/>
      </w:numPr>
      <w:spacing w:before="180" w:after="180"/>
      <w:jc w:val="both"/>
    </w:pPr>
    <w:rPr>
      <w:szCs w:val="20"/>
      <w:lang w:val="la-Latn"/>
    </w:rPr>
  </w:style>
  <w:style w:type="paragraph" w:customStyle="1" w:styleId="Normal80">
    <w:name w:val="Normal_80"/>
    <w:qFormat/>
    <w:rsid w:val="009705AC"/>
    <w:rPr>
      <w:rFonts w:ascii="Expert Sans Regular" w:hAnsi="Expert Sans Regular"/>
      <w:sz w:val="18"/>
      <w:szCs w:val="24"/>
      <w:lang w:eastAsia="en-US"/>
    </w:rPr>
  </w:style>
  <w:style w:type="character" w:customStyle="1" w:styleId="Level1Bullet-BarcRAChar19">
    <w:name w:val="Level 1 Bullet - Barc RA Char_19"/>
    <w:basedOn w:val="DefaultParagraphFont"/>
    <w:link w:val="Level1Bullet-BarcRA25"/>
    <w:locked/>
    <w:rsid w:val="000570F9"/>
    <w:rPr>
      <w:rFonts w:ascii="Expert Sans Regular" w:hAnsi="Expert Sans Regular"/>
      <w:sz w:val="18"/>
      <w:lang w:val="la-Latn" w:eastAsia="en-US"/>
    </w:rPr>
  </w:style>
  <w:style w:type="paragraph" w:customStyle="1" w:styleId="Level1Bullet-BarcRA250">
    <w:name w:val="Level 1 Bullet - Barc RA_25_0"/>
    <w:basedOn w:val="Normal81"/>
    <w:qFormat/>
    <w:rsid w:val="00654A7D"/>
    <w:pPr>
      <w:numPr>
        <w:numId w:val="150"/>
      </w:numPr>
      <w:spacing w:before="180" w:after="180"/>
      <w:jc w:val="both"/>
    </w:pPr>
    <w:rPr>
      <w:szCs w:val="20"/>
      <w:lang w:val="la-Latn"/>
    </w:rPr>
  </w:style>
  <w:style w:type="paragraph" w:customStyle="1" w:styleId="Normal81">
    <w:name w:val="Normal_81"/>
    <w:qFormat/>
    <w:rsid w:val="009705AC"/>
    <w:rPr>
      <w:rFonts w:ascii="Expert Sans Regular" w:hAnsi="Expert Sans Regular"/>
      <w:sz w:val="18"/>
      <w:szCs w:val="24"/>
      <w:lang w:eastAsia="en-US"/>
    </w:rPr>
  </w:style>
  <w:style w:type="paragraph" w:customStyle="1" w:styleId="HeadingLevel2-BarcRA15">
    <w:name w:val="Heading Level 2 - Barc RA_15"/>
    <w:basedOn w:val="HeadingLevel1-BarcRA40"/>
    <w:next w:val="BodyText-BarcRA57"/>
    <w:qFormat/>
    <w:rsid w:val="00EE71E7"/>
    <w:pPr>
      <w:spacing w:before="240" w:after="0"/>
    </w:pPr>
    <w:rPr>
      <w:sz w:val="20"/>
    </w:rPr>
  </w:style>
  <w:style w:type="paragraph" w:customStyle="1" w:styleId="HeadingLevel1-BarcRA40">
    <w:name w:val="Heading Level 1 - Barc RA_40"/>
    <w:basedOn w:val="BodyText-BarcRA57"/>
    <w:next w:val="BodyText-BarcRA57"/>
    <w:link w:val="HeadingLevel1-BarcRAChar30"/>
    <w:rsid w:val="002611B5"/>
    <w:pPr>
      <w:spacing w:before="0"/>
    </w:pPr>
    <w:rPr>
      <w:b/>
      <w:bCs/>
      <w:color w:val="000000"/>
      <w:sz w:val="24"/>
      <w:lang w:val="la-Latn"/>
    </w:rPr>
  </w:style>
  <w:style w:type="paragraph" w:customStyle="1" w:styleId="BodyText-BarcRA57">
    <w:name w:val="Body Text - Barc RA_57"/>
    <w:link w:val="BodyText-BarcRAChar39"/>
    <w:qFormat/>
    <w:rsid w:val="005D52ED"/>
    <w:pPr>
      <w:spacing w:before="180" w:after="180"/>
      <w:jc w:val="both"/>
    </w:pPr>
    <w:rPr>
      <w:rFonts w:ascii="Expert Sans Regular" w:hAnsi="Expert Sans Regular"/>
      <w:sz w:val="18"/>
      <w:lang w:eastAsia="en-US"/>
    </w:rPr>
  </w:style>
  <w:style w:type="character" w:customStyle="1" w:styleId="BodyText-BarcRAChar39">
    <w:name w:val="Body Text - Barc RA Char_39"/>
    <w:basedOn w:val="DefaultParagraphFont"/>
    <w:link w:val="BodyText-BarcRA57"/>
    <w:rsid w:val="005D52ED"/>
    <w:rPr>
      <w:rFonts w:ascii="Expert Sans Regular" w:hAnsi="Expert Sans Regular"/>
      <w:sz w:val="18"/>
      <w:lang w:val="en-GB" w:eastAsia="en-US" w:bidi="ar-SA"/>
    </w:rPr>
  </w:style>
  <w:style w:type="character" w:customStyle="1" w:styleId="HeadingLevel1-BarcRAChar30">
    <w:name w:val="Heading Level 1 - Barc RA Char_30"/>
    <w:basedOn w:val="DefaultParagraphFont"/>
    <w:link w:val="HeadingLevel1-BarcRA40"/>
    <w:rsid w:val="009705AC"/>
    <w:rPr>
      <w:rFonts w:ascii="Expert Sans Regular" w:hAnsi="Expert Sans Regular"/>
      <w:b/>
      <w:bCs/>
      <w:color w:val="000000"/>
      <w:sz w:val="24"/>
      <w:lang w:val="la-Latn"/>
    </w:rPr>
  </w:style>
  <w:style w:type="paragraph" w:customStyle="1" w:styleId="Level1Bullet-BarcRA210">
    <w:name w:val="Level 1 Bullet - Barc RA_21"/>
    <w:basedOn w:val="BodyText-BarcRA57"/>
    <w:link w:val="Level1Bullet-BarcRAChar17"/>
    <w:qFormat/>
    <w:rsid w:val="00A85CEE"/>
    <w:pPr>
      <w:numPr>
        <w:numId w:val="151"/>
      </w:numPr>
    </w:pPr>
    <w:rPr>
      <w:lang w:val="la-Latn"/>
    </w:rPr>
  </w:style>
  <w:style w:type="character" w:customStyle="1" w:styleId="Level1Bullet-BarcRAChar17">
    <w:name w:val="Level 1 Bullet - Barc RA Char_17"/>
    <w:basedOn w:val="BodyText-BarcRAChar39"/>
    <w:link w:val="Level1Bullet-BarcRA210"/>
    <w:rsid w:val="00A85CEE"/>
    <w:rPr>
      <w:rFonts w:ascii="Expert Sans Regular" w:hAnsi="Expert Sans Regular"/>
      <w:sz w:val="18"/>
      <w:lang w:val="la-Latn" w:eastAsia="en-US" w:bidi="ar-SA"/>
    </w:rPr>
  </w:style>
  <w:style w:type="paragraph" w:customStyle="1" w:styleId="Level1Bullet-BarcRA27">
    <w:name w:val="Level 1 Bullet - Barc RA_27"/>
    <w:basedOn w:val="Normal82"/>
    <w:link w:val="Level1Bullet-BarcRAChar21"/>
    <w:qFormat/>
    <w:rsid w:val="00131E3E"/>
    <w:pPr>
      <w:numPr>
        <w:numId w:val="152"/>
      </w:numPr>
      <w:spacing w:before="180" w:after="180"/>
      <w:jc w:val="both"/>
    </w:pPr>
    <w:rPr>
      <w:szCs w:val="20"/>
      <w:lang w:val="la-Latn"/>
    </w:rPr>
  </w:style>
  <w:style w:type="paragraph" w:customStyle="1" w:styleId="Normal82">
    <w:name w:val="Normal_82"/>
    <w:qFormat/>
    <w:rsid w:val="009705AC"/>
    <w:rPr>
      <w:rFonts w:ascii="Expert Sans Regular" w:hAnsi="Expert Sans Regular"/>
      <w:sz w:val="18"/>
      <w:szCs w:val="24"/>
      <w:lang w:eastAsia="en-US"/>
    </w:rPr>
  </w:style>
  <w:style w:type="character" w:customStyle="1" w:styleId="Level1Bullet-BarcRAChar21">
    <w:name w:val="Level 1 Bullet - Barc RA Char_21"/>
    <w:basedOn w:val="DefaultParagraphFont"/>
    <w:link w:val="Level1Bullet-BarcRA27"/>
    <w:locked/>
    <w:rsid w:val="00131E3E"/>
    <w:rPr>
      <w:rFonts w:ascii="Expert Sans Regular" w:hAnsi="Expert Sans Regular"/>
      <w:sz w:val="18"/>
      <w:lang w:val="la-Latn" w:eastAsia="en-US"/>
    </w:rPr>
  </w:style>
  <w:style w:type="paragraph" w:customStyle="1" w:styleId="Level1Bullet-BarcRA22">
    <w:name w:val="Level 1 Bullet - Barc RA_22"/>
    <w:basedOn w:val="BodyText-BarcRA58"/>
    <w:link w:val="Level1Bullet-BarcRAChar18"/>
    <w:qFormat/>
    <w:rsid w:val="00A85CEE"/>
    <w:pPr>
      <w:numPr>
        <w:numId w:val="154"/>
      </w:numPr>
    </w:pPr>
    <w:rPr>
      <w:lang w:val="la-Latn"/>
    </w:rPr>
  </w:style>
  <w:style w:type="paragraph" w:customStyle="1" w:styleId="BodyText-BarcRA58">
    <w:name w:val="Body Text - Barc RA_58"/>
    <w:link w:val="BodyText-BarcRAChar40"/>
    <w:qFormat/>
    <w:rsid w:val="005D52ED"/>
    <w:pPr>
      <w:spacing w:before="180" w:after="180"/>
      <w:jc w:val="both"/>
    </w:pPr>
    <w:rPr>
      <w:rFonts w:ascii="Expert Sans Regular" w:hAnsi="Expert Sans Regular"/>
      <w:sz w:val="18"/>
      <w:lang w:eastAsia="en-US"/>
    </w:rPr>
  </w:style>
  <w:style w:type="character" w:customStyle="1" w:styleId="BodyText-BarcRAChar40">
    <w:name w:val="Body Text - Barc RA Char_40"/>
    <w:basedOn w:val="DefaultParagraphFont"/>
    <w:link w:val="BodyText-BarcRA58"/>
    <w:rsid w:val="005D52ED"/>
    <w:rPr>
      <w:rFonts w:ascii="Expert Sans Regular" w:hAnsi="Expert Sans Regular"/>
      <w:sz w:val="18"/>
      <w:lang w:val="en-GB" w:eastAsia="en-US" w:bidi="ar-SA"/>
    </w:rPr>
  </w:style>
  <w:style w:type="character" w:customStyle="1" w:styleId="Level1Bullet-BarcRAChar18">
    <w:name w:val="Level 1 Bullet - Barc RA Char_18"/>
    <w:basedOn w:val="BodyText-BarcRAChar40"/>
    <w:link w:val="Level1Bullet-BarcRA22"/>
    <w:rsid w:val="00A85CEE"/>
    <w:rPr>
      <w:rFonts w:ascii="Expert Sans Regular" w:hAnsi="Expert Sans Regular"/>
      <w:sz w:val="18"/>
      <w:lang w:val="la-Latn" w:eastAsia="en-US" w:bidi="ar-SA"/>
    </w:rPr>
  </w:style>
  <w:style w:type="paragraph" w:customStyle="1" w:styleId="Level1Bullet-BarcRA310">
    <w:name w:val="Level 1 Bullet - Barc RA_31"/>
    <w:basedOn w:val="Normal82"/>
    <w:link w:val="Level1Bullet-BarcRAChar22"/>
    <w:qFormat/>
    <w:rsid w:val="000317B3"/>
    <w:pPr>
      <w:numPr>
        <w:numId w:val="155"/>
      </w:numPr>
      <w:spacing w:before="180" w:after="180"/>
      <w:jc w:val="both"/>
    </w:pPr>
    <w:rPr>
      <w:szCs w:val="20"/>
      <w:lang w:val="la-Latn"/>
    </w:rPr>
  </w:style>
  <w:style w:type="character" w:customStyle="1" w:styleId="Level1Bullet-BarcRAChar22">
    <w:name w:val="Level 1 Bullet - Barc RA Char_22"/>
    <w:link w:val="Level1Bullet-BarcRA310"/>
    <w:locked/>
    <w:rsid w:val="000317B3"/>
    <w:rPr>
      <w:rFonts w:ascii="Expert Sans Regular" w:hAnsi="Expert Sans Regular"/>
      <w:sz w:val="18"/>
      <w:lang w:val="la-Latn" w:eastAsia="en-US"/>
    </w:rPr>
  </w:style>
  <w:style w:type="paragraph" w:customStyle="1" w:styleId="HeadingLevel2-BarcRA17">
    <w:name w:val="Heading Level 2 - Barc RA_17"/>
    <w:basedOn w:val="Normal82"/>
    <w:next w:val="Normal82"/>
    <w:qFormat/>
    <w:rsid w:val="00AE4DB0"/>
    <w:pPr>
      <w:spacing w:before="240"/>
      <w:jc w:val="both"/>
    </w:pPr>
    <w:rPr>
      <w:b/>
      <w:bCs/>
      <w:color w:val="000000"/>
      <w:sz w:val="20"/>
      <w:szCs w:val="20"/>
      <w:lang w:val="la-Latn"/>
    </w:rPr>
  </w:style>
  <w:style w:type="paragraph" w:customStyle="1" w:styleId="HeadingLevel2-BarcRA16">
    <w:name w:val="Heading Level 2 - Barc RA_16"/>
    <w:basedOn w:val="HeadingLevel1-BarcRA41"/>
    <w:next w:val="BodyText-BarcRA59"/>
    <w:qFormat/>
    <w:rsid w:val="00EE71E7"/>
    <w:pPr>
      <w:spacing w:before="240" w:after="0"/>
    </w:pPr>
    <w:rPr>
      <w:sz w:val="20"/>
    </w:rPr>
  </w:style>
  <w:style w:type="paragraph" w:customStyle="1" w:styleId="HeadingLevel1-BarcRA41">
    <w:name w:val="Heading Level 1 - Barc RA_41"/>
    <w:basedOn w:val="BodyText-BarcRA59"/>
    <w:next w:val="BodyText-BarcRA59"/>
    <w:link w:val="HeadingLevel1-BarcRAChar31"/>
    <w:rsid w:val="002611B5"/>
    <w:pPr>
      <w:spacing w:before="0"/>
    </w:pPr>
    <w:rPr>
      <w:b/>
      <w:bCs/>
      <w:color w:val="000000"/>
      <w:sz w:val="24"/>
      <w:lang w:val="la-Latn"/>
    </w:rPr>
  </w:style>
  <w:style w:type="paragraph" w:customStyle="1" w:styleId="BodyText-BarcRA59">
    <w:name w:val="Body Text - Barc RA_59"/>
    <w:link w:val="BodyText-BarcRAChar41"/>
    <w:qFormat/>
    <w:rsid w:val="005D52ED"/>
    <w:pPr>
      <w:spacing w:before="180" w:after="180"/>
      <w:jc w:val="both"/>
    </w:pPr>
    <w:rPr>
      <w:rFonts w:ascii="Expert Sans Regular" w:hAnsi="Expert Sans Regular"/>
      <w:sz w:val="18"/>
      <w:lang w:eastAsia="en-US"/>
    </w:rPr>
  </w:style>
  <w:style w:type="character" w:customStyle="1" w:styleId="BodyText-BarcRAChar41">
    <w:name w:val="Body Text - Barc RA Char_41"/>
    <w:basedOn w:val="DefaultParagraphFont"/>
    <w:link w:val="BodyText-BarcRA59"/>
    <w:rsid w:val="005D52ED"/>
    <w:rPr>
      <w:rFonts w:ascii="Expert Sans Regular" w:hAnsi="Expert Sans Regular"/>
      <w:sz w:val="18"/>
      <w:lang w:val="en-GB" w:eastAsia="en-US" w:bidi="ar-SA"/>
    </w:rPr>
  </w:style>
  <w:style w:type="character" w:customStyle="1" w:styleId="HeadingLevel1-BarcRAChar31">
    <w:name w:val="Heading Level 1 - Barc RA Char_31"/>
    <w:basedOn w:val="DefaultParagraphFont"/>
    <w:link w:val="HeadingLevel1-BarcRA41"/>
    <w:rsid w:val="009705AC"/>
    <w:rPr>
      <w:rFonts w:ascii="Expert Sans Regular" w:hAnsi="Expert Sans Regular"/>
      <w:b/>
      <w:bCs/>
      <w:color w:val="000000"/>
      <w:sz w:val="24"/>
      <w:lang w:val="la-Latn"/>
    </w:rPr>
  </w:style>
  <w:style w:type="paragraph" w:customStyle="1" w:styleId="Level1Bullet-BarcRA270">
    <w:name w:val="Level 1 Bullet - Barc RA_27_0"/>
    <w:basedOn w:val="Normal83"/>
    <w:qFormat/>
    <w:rsid w:val="0070719F"/>
    <w:pPr>
      <w:numPr>
        <w:numId w:val="156"/>
      </w:numPr>
      <w:spacing w:before="180" w:after="180"/>
      <w:jc w:val="both"/>
    </w:pPr>
    <w:rPr>
      <w:rFonts w:ascii="Expert Sans Regular" w:hAnsi="Expert Sans Regular"/>
      <w:sz w:val="18"/>
      <w:szCs w:val="20"/>
      <w:lang w:val="la-Latn" w:eastAsia="en-US"/>
    </w:rPr>
  </w:style>
  <w:style w:type="paragraph" w:customStyle="1" w:styleId="Normal83">
    <w:name w:val="Normal_83"/>
    <w:qFormat/>
    <w:rsid w:val="002F24B6"/>
    <w:rPr>
      <w:sz w:val="24"/>
      <w:szCs w:val="24"/>
    </w:rPr>
  </w:style>
  <w:style w:type="paragraph" w:customStyle="1" w:styleId="NoteSourceText-BarcRA60">
    <w:name w:val="Note &amp; Source Text - Barc RA_6_0"/>
    <w:basedOn w:val="Normal83"/>
    <w:link w:val="NoteSourceText-BarcRAChar50"/>
    <w:rsid w:val="0091626A"/>
    <w:pPr>
      <w:tabs>
        <w:tab w:val="left" w:pos="284"/>
      </w:tabs>
      <w:spacing w:before="20" w:after="20"/>
      <w:ind w:left="284" w:hanging="284"/>
      <w:jc w:val="both"/>
    </w:pPr>
    <w:rPr>
      <w:i/>
      <w:iCs/>
      <w:sz w:val="14"/>
      <w:szCs w:val="14"/>
    </w:rPr>
  </w:style>
  <w:style w:type="character" w:customStyle="1" w:styleId="NoteSourceText-BarcRAChar50">
    <w:name w:val="Note &amp; Source Text - Barc RA Char_5_0"/>
    <w:basedOn w:val="DefaultParagraphFont"/>
    <w:link w:val="NoteSourceText-BarcRA60"/>
    <w:rsid w:val="0091626A"/>
    <w:rPr>
      <w:rFonts w:ascii="Expert Sans Regular" w:hAnsi="Expert Sans Regular"/>
      <w:i/>
      <w:iCs/>
      <w:sz w:val="14"/>
      <w:szCs w:val="14"/>
      <w:lang w:eastAsia="en-US"/>
    </w:rPr>
  </w:style>
  <w:style w:type="paragraph" w:customStyle="1" w:styleId="HeadingLevel2-BarcRA18">
    <w:name w:val="Heading Level 2 - Barc RA_18"/>
    <w:basedOn w:val="Normal84"/>
    <w:next w:val="BodyText-BarcRA60"/>
    <w:qFormat/>
    <w:rsid w:val="00C049E8"/>
    <w:pPr>
      <w:spacing w:before="240"/>
      <w:jc w:val="both"/>
    </w:pPr>
    <w:rPr>
      <w:rFonts w:ascii="Expert Sans Regular" w:hAnsi="Expert Sans Regular"/>
      <w:b/>
      <w:bCs/>
      <w:color w:val="000000"/>
      <w:sz w:val="20"/>
      <w:szCs w:val="20"/>
      <w:lang w:val="la-Latn" w:eastAsia="en-US"/>
    </w:rPr>
  </w:style>
  <w:style w:type="paragraph" w:customStyle="1" w:styleId="Normal84">
    <w:name w:val="Normal_84"/>
    <w:qFormat/>
    <w:rsid w:val="005268BB"/>
    <w:rPr>
      <w:sz w:val="24"/>
      <w:szCs w:val="24"/>
    </w:rPr>
  </w:style>
  <w:style w:type="paragraph" w:customStyle="1" w:styleId="BodyText-BarcRA60">
    <w:name w:val="Body Text - Barc RA_60"/>
    <w:link w:val="BodyText-BarcRAChar42"/>
    <w:qFormat/>
    <w:rsid w:val="00C049E8"/>
    <w:pPr>
      <w:spacing w:before="180" w:after="180"/>
      <w:jc w:val="both"/>
    </w:pPr>
    <w:rPr>
      <w:rFonts w:ascii="Expert Sans Regular" w:hAnsi="Expert Sans Regular"/>
      <w:sz w:val="18"/>
      <w:lang w:eastAsia="en-US"/>
    </w:rPr>
  </w:style>
  <w:style w:type="character" w:customStyle="1" w:styleId="BodyText-BarcRAChar42">
    <w:name w:val="Body Text - Barc RA Char_42"/>
    <w:basedOn w:val="DefaultParagraphFont"/>
    <w:link w:val="BodyText-BarcRA60"/>
    <w:rsid w:val="00C049E8"/>
    <w:rPr>
      <w:rFonts w:ascii="Expert Sans Regular" w:hAnsi="Expert Sans Regular"/>
      <w:sz w:val="18"/>
      <w:lang w:val="en-GB" w:eastAsia="en-US" w:bidi="ar-SA"/>
    </w:rPr>
  </w:style>
  <w:style w:type="paragraph" w:customStyle="1" w:styleId="BodyText-BarcRA400">
    <w:name w:val="Body Text - Barc RA_40_0"/>
    <w:link w:val="BodyText-BarcRAChar290"/>
    <w:qFormat/>
    <w:rsid w:val="0042622C"/>
    <w:pPr>
      <w:spacing w:before="180" w:after="180"/>
      <w:jc w:val="both"/>
    </w:pPr>
    <w:rPr>
      <w:rFonts w:ascii="Expert Sans Regular" w:hAnsi="Expert Sans Regular"/>
      <w:sz w:val="18"/>
      <w:lang w:eastAsia="en-US"/>
    </w:rPr>
  </w:style>
  <w:style w:type="character" w:customStyle="1" w:styleId="BodyText-BarcRAChar290">
    <w:name w:val="Body Text - Barc RA Char_29_0"/>
    <w:basedOn w:val="DefaultParagraphFont"/>
    <w:link w:val="BodyText-BarcRA400"/>
    <w:locked/>
    <w:rsid w:val="0042622C"/>
    <w:rPr>
      <w:rFonts w:ascii="Expert Sans Regular" w:hAnsi="Expert Sans Regular"/>
      <w:sz w:val="18"/>
      <w:lang w:val="en-GB" w:eastAsia="en-US" w:bidi="ar-SA"/>
    </w:rPr>
  </w:style>
  <w:style w:type="paragraph" w:customStyle="1" w:styleId="Level1Bullet-BarcRA26">
    <w:name w:val="Level 1 Bullet - Barc RA_26"/>
    <w:basedOn w:val="BodyText-BarcRA60"/>
    <w:qFormat/>
    <w:locked/>
    <w:rsid w:val="00133862"/>
    <w:pPr>
      <w:numPr>
        <w:numId w:val="158"/>
      </w:numPr>
    </w:pPr>
    <w:rPr>
      <w:lang w:val="la-Latn"/>
    </w:rPr>
  </w:style>
  <w:style w:type="paragraph" w:customStyle="1" w:styleId="Level1Bullet-BarcRA28">
    <w:name w:val="Level 1 Bullet - Barc RA_28"/>
    <w:basedOn w:val="BodyText-BarcRA61"/>
    <w:qFormat/>
    <w:locked/>
    <w:rsid w:val="00E37AE0"/>
    <w:pPr>
      <w:numPr>
        <w:numId w:val="159"/>
      </w:numPr>
    </w:pPr>
    <w:rPr>
      <w:lang w:val="la-Latn"/>
    </w:rPr>
  </w:style>
  <w:style w:type="paragraph" w:customStyle="1" w:styleId="BodyText-BarcRA61">
    <w:name w:val="Body Text - Barc RA_61"/>
    <w:qFormat/>
    <w:locked/>
    <w:rsid w:val="00340904"/>
    <w:pPr>
      <w:spacing w:before="180" w:after="180"/>
      <w:jc w:val="both"/>
    </w:pPr>
    <w:rPr>
      <w:rFonts w:ascii="Expert Sans Regular" w:hAnsi="Expert Sans Regular"/>
      <w:sz w:val="18"/>
      <w:lang w:eastAsia="en-US"/>
    </w:rPr>
  </w:style>
  <w:style w:type="paragraph" w:customStyle="1" w:styleId="Level1Bullet-BarcRA29">
    <w:name w:val="Level 1 Bullet - Barc RA_29"/>
    <w:basedOn w:val="Normal85"/>
    <w:qFormat/>
    <w:locked/>
    <w:rsid w:val="002E3E84"/>
    <w:pPr>
      <w:numPr>
        <w:numId w:val="160"/>
      </w:numPr>
      <w:spacing w:before="180" w:after="180"/>
      <w:jc w:val="both"/>
    </w:pPr>
    <w:rPr>
      <w:rFonts w:ascii="Expert Sans Regular" w:hAnsi="Expert Sans Regular"/>
      <w:sz w:val="18"/>
      <w:szCs w:val="20"/>
      <w:lang w:val="la-Latn" w:eastAsia="en-US"/>
    </w:rPr>
  </w:style>
  <w:style w:type="paragraph" w:customStyle="1" w:styleId="Normal85">
    <w:name w:val="Normal_85"/>
    <w:qFormat/>
    <w:rsid w:val="005268BB"/>
    <w:rPr>
      <w:sz w:val="24"/>
      <w:szCs w:val="24"/>
    </w:rPr>
  </w:style>
  <w:style w:type="paragraph" w:customStyle="1" w:styleId="Normal86">
    <w:name w:val="Normal_86"/>
    <w:qFormat/>
    <w:rsid w:val="005268BB"/>
    <w:rPr>
      <w:sz w:val="24"/>
      <w:szCs w:val="24"/>
    </w:rPr>
  </w:style>
  <w:style w:type="paragraph" w:customStyle="1" w:styleId="NoteandSourceText-BarcRA14">
    <w:name w:val="Note and Source Text - Barc RA_14"/>
    <w:basedOn w:val="Normal86"/>
    <w:qFormat/>
    <w:rsid w:val="00415294"/>
    <w:pPr>
      <w:numPr>
        <w:numId w:val="161"/>
      </w:numPr>
      <w:tabs>
        <w:tab w:val="left" w:pos="284"/>
      </w:tabs>
      <w:spacing w:before="20" w:after="20"/>
      <w:jc w:val="both"/>
    </w:pPr>
    <w:rPr>
      <w:rFonts w:ascii="Expert Sans Regular" w:hAnsi="Expert Sans Regular"/>
      <w:i/>
      <w:iCs/>
      <w:sz w:val="14"/>
      <w:szCs w:val="14"/>
      <w:lang w:eastAsia="en-US"/>
    </w:rPr>
  </w:style>
  <w:style w:type="paragraph" w:customStyle="1" w:styleId="NoteandSourceText-BarcRA140">
    <w:name w:val="Note and Source Text - Barc RA_14_0"/>
    <w:basedOn w:val="Normal86"/>
    <w:qFormat/>
    <w:rsid w:val="007435A7"/>
    <w:pPr>
      <w:numPr>
        <w:numId w:val="162"/>
      </w:numPr>
      <w:tabs>
        <w:tab w:val="left" w:pos="284"/>
      </w:tabs>
      <w:spacing w:before="20" w:after="20"/>
      <w:jc w:val="both"/>
    </w:pPr>
    <w:rPr>
      <w:rFonts w:ascii="Expert Sans Regular" w:hAnsi="Expert Sans Regular"/>
      <w:i/>
      <w:iCs/>
      <w:sz w:val="14"/>
      <w:szCs w:val="14"/>
      <w:lang w:eastAsia="en-US"/>
    </w:rPr>
  </w:style>
  <w:style w:type="paragraph" w:customStyle="1" w:styleId="Level1Bullet-BarcRA34">
    <w:name w:val="Level 1 Bullet - Barc RA_34"/>
    <w:basedOn w:val="Normal87"/>
    <w:link w:val="Level1Bullet-BarcRAChar23"/>
    <w:qFormat/>
    <w:rsid w:val="00C20CF7"/>
    <w:pPr>
      <w:numPr>
        <w:numId w:val="163"/>
      </w:numPr>
      <w:spacing w:before="180" w:after="180"/>
      <w:jc w:val="both"/>
    </w:pPr>
    <w:rPr>
      <w:rFonts w:ascii="Expert Sans Regular" w:hAnsi="Expert Sans Regular"/>
      <w:sz w:val="18"/>
      <w:szCs w:val="20"/>
      <w:lang w:val="la-Latn" w:eastAsia="en-US"/>
    </w:rPr>
  </w:style>
  <w:style w:type="paragraph" w:customStyle="1" w:styleId="Normal87">
    <w:name w:val="Normal_87"/>
    <w:qFormat/>
    <w:rsid w:val="003C6644"/>
    <w:rPr>
      <w:sz w:val="24"/>
      <w:szCs w:val="24"/>
    </w:rPr>
  </w:style>
  <w:style w:type="character" w:customStyle="1" w:styleId="Level1Bullet-BarcRAChar23">
    <w:name w:val="Level 1 Bullet - Barc RA Char_23"/>
    <w:basedOn w:val="DefaultParagraphFont"/>
    <w:link w:val="Level1Bullet-BarcRA34"/>
    <w:rsid w:val="00C20CF7"/>
    <w:rPr>
      <w:rFonts w:ascii="Expert Sans Regular" w:hAnsi="Expert Sans Regular"/>
      <w:sz w:val="18"/>
      <w:lang w:val="la-Latn" w:eastAsia="en-US"/>
    </w:rPr>
  </w:style>
  <w:style w:type="paragraph" w:customStyle="1" w:styleId="Level1Bullet-BarcRA301">
    <w:name w:val="Level 1 Bullet - Barc RA_30"/>
    <w:basedOn w:val="BodyText-BarcRA62"/>
    <w:link w:val="Level1Bullet-BarcRAChar200"/>
    <w:qFormat/>
    <w:rsid w:val="00A85CEE"/>
    <w:pPr>
      <w:numPr>
        <w:numId w:val="164"/>
      </w:numPr>
    </w:pPr>
    <w:rPr>
      <w:lang w:val="la-Latn"/>
    </w:rPr>
  </w:style>
  <w:style w:type="paragraph" w:customStyle="1" w:styleId="BodyText-BarcRA62">
    <w:name w:val="Body Text - Barc RA_62"/>
    <w:link w:val="BodyText-BarcRAChar43"/>
    <w:qFormat/>
    <w:rsid w:val="005D52ED"/>
    <w:pPr>
      <w:spacing w:before="180" w:after="180"/>
      <w:jc w:val="both"/>
    </w:pPr>
    <w:rPr>
      <w:rFonts w:ascii="Expert Sans Regular" w:hAnsi="Expert Sans Regular"/>
      <w:sz w:val="18"/>
      <w:lang w:eastAsia="en-US"/>
    </w:rPr>
  </w:style>
  <w:style w:type="character" w:customStyle="1" w:styleId="BodyText-BarcRAChar43">
    <w:name w:val="Body Text - Barc RA Char_43"/>
    <w:basedOn w:val="DefaultParagraphFont"/>
    <w:link w:val="BodyText-BarcRA62"/>
    <w:rsid w:val="005D52ED"/>
    <w:rPr>
      <w:rFonts w:ascii="Expert Sans Regular" w:hAnsi="Expert Sans Regular"/>
      <w:sz w:val="18"/>
      <w:lang w:val="en-GB" w:eastAsia="en-US" w:bidi="ar-SA"/>
    </w:rPr>
  </w:style>
  <w:style w:type="character" w:customStyle="1" w:styleId="Level1Bullet-BarcRAChar200">
    <w:name w:val="Level 1 Bullet - Barc RA Char_20"/>
    <w:basedOn w:val="BodyText-BarcRAChar43"/>
    <w:link w:val="Level1Bullet-BarcRA301"/>
    <w:rsid w:val="00A85CEE"/>
    <w:rPr>
      <w:rFonts w:ascii="Expert Sans Regular" w:hAnsi="Expert Sans Regular"/>
      <w:sz w:val="18"/>
      <w:lang w:val="la-Latn" w:eastAsia="en-US" w:bidi="ar-SA"/>
    </w:rPr>
  </w:style>
  <w:style w:type="paragraph" w:customStyle="1" w:styleId="NoteandSourceText-BarcRA16">
    <w:name w:val="Note and Source Text - Barc RA_16"/>
    <w:basedOn w:val="Normal87"/>
    <w:qFormat/>
    <w:rsid w:val="004C10F9"/>
    <w:pPr>
      <w:numPr>
        <w:numId w:val="165"/>
      </w:numPr>
      <w:tabs>
        <w:tab w:val="left" w:pos="284"/>
      </w:tabs>
      <w:spacing w:before="20" w:after="20"/>
      <w:jc w:val="both"/>
    </w:pPr>
    <w:rPr>
      <w:rFonts w:ascii="Expert Sans Regular" w:hAnsi="Expert Sans Regular"/>
      <w:i/>
      <w:iCs/>
      <w:sz w:val="14"/>
      <w:szCs w:val="14"/>
      <w:lang w:eastAsia="en-US"/>
    </w:rPr>
  </w:style>
  <w:style w:type="paragraph" w:customStyle="1" w:styleId="Level1Bullet-BarcRA32">
    <w:name w:val="Level 1 Bullet - Barc RA_32"/>
    <w:basedOn w:val="BodyText-BarcRA63"/>
    <w:link w:val="Level1Bullet-BarcRAChar24"/>
    <w:qFormat/>
    <w:rsid w:val="00A85CEE"/>
    <w:pPr>
      <w:numPr>
        <w:numId w:val="166"/>
      </w:numPr>
    </w:pPr>
    <w:rPr>
      <w:lang w:val="la-Latn"/>
    </w:rPr>
  </w:style>
  <w:style w:type="paragraph" w:customStyle="1" w:styleId="BodyText-BarcRA63">
    <w:name w:val="Body Text - Barc RA_63"/>
    <w:link w:val="BodyText-BarcRAChar44"/>
    <w:qFormat/>
    <w:rsid w:val="005D52ED"/>
    <w:pPr>
      <w:spacing w:before="180" w:after="180"/>
      <w:jc w:val="both"/>
    </w:pPr>
    <w:rPr>
      <w:rFonts w:ascii="Expert Sans Regular" w:hAnsi="Expert Sans Regular"/>
      <w:sz w:val="18"/>
      <w:lang w:eastAsia="en-US"/>
    </w:rPr>
  </w:style>
  <w:style w:type="character" w:customStyle="1" w:styleId="BodyText-BarcRAChar44">
    <w:name w:val="Body Text - Barc RA Char_44"/>
    <w:basedOn w:val="DefaultParagraphFont"/>
    <w:link w:val="BodyText-BarcRA63"/>
    <w:rsid w:val="005D52ED"/>
    <w:rPr>
      <w:rFonts w:ascii="Expert Sans Regular" w:hAnsi="Expert Sans Regular"/>
      <w:sz w:val="18"/>
      <w:lang w:val="en-GB" w:eastAsia="en-US" w:bidi="ar-SA"/>
    </w:rPr>
  </w:style>
  <w:style w:type="character" w:customStyle="1" w:styleId="Level1Bullet-BarcRAChar24">
    <w:name w:val="Level 1 Bullet - Barc RA Char_24"/>
    <w:basedOn w:val="BodyText-BarcRAChar44"/>
    <w:link w:val="Level1Bullet-BarcRA32"/>
    <w:rsid w:val="00A85CEE"/>
    <w:rPr>
      <w:rFonts w:ascii="Expert Sans Regular" w:hAnsi="Expert Sans Regular"/>
      <w:sz w:val="18"/>
      <w:lang w:val="la-Latn" w:eastAsia="en-US" w:bidi="ar-SA"/>
    </w:rPr>
  </w:style>
  <w:style w:type="paragraph" w:customStyle="1" w:styleId="Level2Bullet-BarcRA7">
    <w:name w:val="Level 2 Bullet - Barc RA_7"/>
    <w:basedOn w:val="Normal88"/>
    <w:qFormat/>
    <w:rsid w:val="0035138F"/>
    <w:pPr>
      <w:numPr>
        <w:ilvl w:val="2"/>
        <w:numId w:val="168"/>
      </w:numPr>
      <w:spacing w:before="180" w:after="180"/>
      <w:jc w:val="both"/>
    </w:pPr>
    <w:rPr>
      <w:rFonts w:ascii="Expert Sans Regular" w:hAnsi="Expert Sans Regular"/>
      <w:sz w:val="18"/>
      <w:szCs w:val="20"/>
      <w:lang w:val="la-Latn" w:eastAsia="en-US"/>
    </w:rPr>
  </w:style>
  <w:style w:type="paragraph" w:customStyle="1" w:styleId="Normal88">
    <w:name w:val="Normal_88"/>
    <w:qFormat/>
    <w:rsid w:val="00F831F6"/>
    <w:rPr>
      <w:sz w:val="24"/>
      <w:szCs w:val="24"/>
    </w:rPr>
  </w:style>
  <w:style w:type="paragraph" w:customStyle="1" w:styleId="Level2Bullet-BarcRA8">
    <w:name w:val="Level 2 Bullet - Barc RA_8"/>
    <w:basedOn w:val="Level1Bullet-BarcRA32"/>
    <w:qFormat/>
    <w:rsid w:val="00A85CEE"/>
    <w:pPr>
      <w:numPr>
        <w:ilvl w:val="2"/>
        <w:numId w:val="169"/>
      </w:numPr>
    </w:pPr>
  </w:style>
  <w:style w:type="paragraph" w:customStyle="1" w:styleId="BodyText-BarcRA350">
    <w:name w:val="Body Text - Barc RA_35_0"/>
    <w:link w:val="BodyText-BarcRAChar230"/>
    <w:qFormat/>
    <w:rsid w:val="00D67A51"/>
    <w:pPr>
      <w:spacing w:before="180" w:after="180"/>
      <w:jc w:val="both"/>
    </w:pPr>
    <w:rPr>
      <w:rFonts w:ascii="Expert Sans Regular" w:hAnsi="Expert Sans Regular"/>
      <w:sz w:val="18"/>
      <w:lang w:eastAsia="en-US"/>
    </w:rPr>
  </w:style>
  <w:style w:type="character" w:customStyle="1" w:styleId="BodyText-BarcRAChar230">
    <w:name w:val="Body Text - Barc RA Char_23_0"/>
    <w:basedOn w:val="DefaultParagraphFont"/>
    <w:link w:val="BodyText-BarcRA350"/>
    <w:locked/>
    <w:rsid w:val="00D67A51"/>
    <w:rPr>
      <w:rFonts w:ascii="Expert Sans Regular" w:hAnsi="Expert Sans Regular"/>
      <w:sz w:val="18"/>
      <w:lang w:val="en-GB" w:eastAsia="en-US" w:bidi="ar-SA"/>
    </w:rPr>
  </w:style>
  <w:style w:type="paragraph" w:customStyle="1" w:styleId="NoteSourceText-BarcRA4">
    <w:name w:val="Note &amp; Source Text - Barc RA_4"/>
    <w:basedOn w:val="Normal89"/>
    <w:link w:val="NoteSourceText-BarcRAChar4"/>
    <w:rsid w:val="00E75B5D"/>
    <w:pPr>
      <w:tabs>
        <w:tab w:val="left" w:pos="284"/>
      </w:tabs>
      <w:spacing w:before="20" w:after="20"/>
      <w:ind w:left="284" w:hanging="284"/>
      <w:jc w:val="both"/>
    </w:pPr>
    <w:rPr>
      <w:i/>
      <w:iCs/>
      <w:sz w:val="14"/>
      <w:szCs w:val="14"/>
    </w:rPr>
  </w:style>
  <w:style w:type="paragraph" w:customStyle="1" w:styleId="Normal89">
    <w:name w:val="Normal_89"/>
    <w:qFormat/>
    <w:rsid w:val="009705AC"/>
    <w:rPr>
      <w:rFonts w:ascii="Expert Sans Regular" w:hAnsi="Expert Sans Regular"/>
      <w:sz w:val="18"/>
      <w:szCs w:val="24"/>
      <w:lang w:eastAsia="en-US"/>
    </w:rPr>
  </w:style>
  <w:style w:type="character" w:customStyle="1" w:styleId="NoteSourceText-BarcRAChar4">
    <w:name w:val="Note &amp; Source Text - Barc RA Char_4"/>
    <w:basedOn w:val="DefaultParagraphFont"/>
    <w:link w:val="NoteSourceText-BarcRA4"/>
    <w:rsid w:val="00E75B5D"/>
    <w:rPr>
      <w:rFonts w:ascii="Expert Sans Regular" w:hAnsi="Expert Sans Regular"/>
      <w:i/>
      <w:iCs/>
      <w:sz w:val="14"/>
      <w:szCs w:val="14"/>
      <w:lang w:eastAsia="en-US"/>
    </w:rPr>
  </w:style>
  <w:style w:type="paragraph" w:customStyle="1" w:styleId="HeadingLevel2-BarcRA19">
    <w:name w:val="Heading Level 2 - Barc RA_19"/>
    <w:basedOn w:val="HeadingLevel1-BarcRA42"/>
    <w:next w:val="BodyText-BarcRA64"/>
    <w:qFormat/>
    <w:rsid w:val="00EE71E7"/>
    <w:pPr>
      <w:spacing w:before="240" w:after="0"/>
    </w:pPr>
    <w:rPr>
      <w:sz w:val="20"/>
    </w:rPr>
  </w:style>
  <w:style w:type="paragraph" w:customStyle="1" w:styleId="HeadingLevel1-BarcRA42">
    <w:name w:val="Heading Level 1 - Barc RA_42"/>
    <w:basedOn w:val="BodyText-BarcRA64"/>
    <w:next w:val="BodyText-BarcRA64"/>
    <w:link w:val="HeadingLevel1-BarcRAChar32"/>
    <w:rsid w:val="002611B5"/>
    <w:pPr>
      <w:spacing w:before="0"/>
    </w:pPr>
    <w:rPr>
      <w:b/>
      <w:bCs/>
      <w:color w:val="000000"/>
      <w:sz w:val="24"/>
      <w:lang w:val="la-Latn"/>
    </w:rPr>
  </w:style>
  <w:style w:type="paragraph" w:customStyle="1" w:styleId="BodyText-BarcRA64">
    <w:name w:val="Body Text - Barc RA_64"/>
    <w:link w:val="BodyText-BarcRAChar45"/>
    <w:qFormat/>
    <w:rsid w:val="005D52ED"/>
    <w:pPr>
      <w:spacing w:before="180" w:after="180"/>
      <w:jc w:val="both"/>
    </w:pPr>
    <w:rPr>
      <w:rFonts w:ascii="Expert Sans Regular" w:hAnsi="Expert Sans Regular"/>
      <w:sz w:val="18"/>
      <w:lang w:eastAsia="en-US"/>
    </w:rPr>
  </w:style>
  <w:style w:type="character" w:customStyle="1" w:styleId="BodyText-BarcRAChar45">
    <w:name w:val="Body Text - Barc RA Char_45"/>
    <w:basedOn w:val="DefaultParagraphFont"/>
    <w:link w:val="BodyText-BarcRA64"/>
    <w:rsid w:val="005D52ED"/>
    <w:rPr>
      <w:rFonts w:ascii="Expert Sans Regular" w:hAnsi="Expert Sans Regular"/>
      <w:sz w:val="18"/>
      <w:lang w:val="en-GB" w:eastAsia="en-US" w:bidi="ar-SA"/>
    </w:rPr>
  </w:style>
  <w:style w:type="character" w:customStyle="1" w:styleId="HeadingLevel1-BarcRAChar32">
    <w:name w:val="Heading Level 1 - Barc RA Char_32"/>
    <w:basedOn w:val="DefaultParagraphFont"/>
    <w:link w:val="HeadingLevel1-BarcRA42"/>
    <w:rsid w:val="009705AC"/>
    <w:rPr>
      <w:rFonts w:ascii="Expert Sans Regular" w:hAnsi="Expert Sans Regular"/>
      <w:b/>
      <w:bCs/>
      <w:color w:val="000000"/>
      <w:sz w:val="24"/>
      <w:lang w:val="la-Latn"/>
    </w:rPr>
  </w:style>
  <w:style w:type="paragraph" w:customStyle="1" w:styleId="Level1Bullet-BarcRA33">
    <w:name w:val="Level 1 Bullet - Barc RA_33"/>
    <w:basedOn w:val="BodyText-BarcRA64"/>
    <w:link w:val="Level1Bullet-BarcRAChar25"/>
    <w:qFormat/>
    <w:rsid w:val="00A85CEE"/>
    <w:pPr>
      <w:numPr>
        <w:numId w:val="234"/>
      </w:numPr>
    </w:pPr>
    <w:rPr>
      <w:lang w:val="la-Latn"/>
    </w:rPr>
  </w:style>
  <w:style w:type="character" w:customStyle="1" w:styleId="Level1Bullet-BarcRAChar25">
    <w:name w:val="Level 1 Bullet - Barc RA Char_25"/>
    <w:basedOn w:val="BodyText-BarcRAChar45"/>
    <w:link w:val="Level1Bullet-BarcRA33"/>
    <w:rsid w:val="00A85CEE"/>
    <w:rPr>
      <w:rFonts w:ascii="Expert Sans Regular" w:hAnsi="Expert Sans Regular"/>
      <w:sz w:val="18"/>
      <w:lang w:val="la-Latn" w:eastAsia="en-US" w:bidi="ar-SA"/>
    </w:rPr>
  </w:style>
  <w:style w:type="paragraph" w:customStyle="1" w:styleId="Level1Bullet-BarcRA330">
    <w:name w:val="Level 1 Bullet - Barc RA_33_0"/>
    <w:basedOn w:val="Normal90"/>
    <w:link w:val="Level1Bullet-BarcRAChar26"/>
    <w:qFormat/>
    <w:rsid w:val="00A921C1"/>
    <w:pPr>
      <w:numPr>
        <w:numId w:val="170"/>
      </w:numPr>
      <w:spacing w:before="180" w:after="180"/>
      <w:jc w:val="both"/>
    </w:pPr>
    <w:rPr>
      <w:rFonts w:ascii="Expert Sans Regular" w:hAnsi="Expert Sans Regular"/>
      <w:sz w:val="18"/>
      <w:szCs w:val="20"/>
      <w:lang w:val="la-Latn" w:eastAsia="en-US"/>
    </w:rPr>
  </w:style>
  <w:style w:type="paragraph" w:customStyle="1" w:styleId="Normal90">
    <w:name w:val="Normal_90"/>
    <w:qFormat/>
    <w:rsid w:val="005B258C"/>
    <w:rPr>
      <w:sz w:val="24"/>
      <w:szCs w:val="24"/>
    </w:rPr>
  </w:style>
  <w:style w:type="character" w:customStyle="1" w:styleId="Level1Bullet-BarcRAChar26">
    <w:name w:val="Level 1 Bullet - Barc RA Char_26"/>
    <w:basedOn w:val="DefaultParagraphFont"/>
    <w:link w:val="Level1Bullet-BarcRA330"/>
    <w:locked/>
    <w:rsid w:val="00A921C1"/>
    <w:rPr>
      <w:rFonts w:ascii="Expert Sans Regular" w:hAnsi="Expert Sans Regular"/>
      <w:sz w:val="18"/>
      <w:lang w:val="la-Latn" w:eastAsia="en-US"/>
    </w:rPr>
  </w:style>
  <w:style w:type="paragraph" w:customStyle="1" w:styleId="Level1Bullet-BarcRA331">
    <w:name w:val="Level 1 Bullet - Barc RA_33_1"/>
    <w:basedOn w:val="Normal91"/>
    <w:link w:val="Level1Bullet-BarcRAChar260"/>
    <w:qFormat/>
    <w:rsid w:val="00357865"/>
    <w:pPr>
      <w:numPr>
        <w:numId w:val="171"/>
      </w:numPr>
      <w:spacing w:before="180" w:after="180"/>
      <w:jc w:val="both"/>
    </w:pPr>
    <w:rPr>
      <w:rFonts w:ascii="Expert Sans Regular" w:hAnsi="Expert Sans Regular"/>
      <w:sz w:val="18"/>
      <w:szCs w:val="20"/>
      <w:lang w:val="la-Latn" w:eastAsia="en-US"/>
    </w:rPr>
  </w:style>
  <w:style w:type="paragraph" w:customStyle="1" w:styleId="Normal91">
    <w:name w:val="Normal_91"/>
    <w:qFormat/>
    <w:rsid w:val="00357865"/>
    <w:rPr>
      <w:sz w:val="24"/>
      <w:szCs w:val="24"/>
    </w:rPr>
  </w:style>
  <w:style w:type="character" w:customStyle="1" w:styleId="Level1Bullet-BarcRAChar260">
    <w:name w:val="Level 1 Bullet - Barc RA Char_26_0"/>
    <w:basedOn w:val="DefaultParagraphFont"/>
    <w:link w:val="Level1Bullet-BarcRA331"/>
    <w:locked/>
    <w:rsid w:val="00357865"/>
    <w:rPr>
      <w:rFonts w:ascii="Expert Sans Regular" w:hAnsi="Expert Sans Regular"/>
      <w:sz w:val="18"/>
      <w:lang w:val="la-Latn" w:eastAsia="en-US"/>
    </w:rPr>
  </w:style>
  <w:style w:type="paragraph" w:customStyle="1" w:styleId="HeadingLevel2-BarcRA20">
    <w:name w:val="Heading Level 2 - Barc RA_20"/>
    <w:basedOn w:val="HeadingLevel1-BarcRA43"/>
    <w:next w:val="BodyText-BarcRA65"/>
    <w:qFormat/>
    <w:rsid w:val="00EE71E7"/>
    <w:pPr>
      <w:spacing w:before="240" w:after="0"/>
    </w:pPr>
    <w:rPr>
      <w:sz w:val="20"/>
    </w:rPr>
  </w:style>
  <w:style w:type="paragraph" w:customStyle="1" w:styleId="HeadingLevel1-BarcRA43">
    <w:name w:val="Heading Level 1 - Barc RA_43"/>
    <w:basedOn w:val="BodyText-BarcRA65"/>
    <w:next w:val="BodyText-BarcRA65"/>
    <w:link w:val="HeadingLevel1-BarcRAChar33"/>
    <w:rsid w:val="002611B5"/>
    <w:pPr>
      <w:spacing w:before="0"/>
    </w:pPr>
    <w:rPr>
      <w:b/>
      <w:bCs/>
      <w:color w:val="000000"/>
      <w:sz w:val="24"/>
      <w:lang w:val="la-Latn"/>
    </w:rPr>
  </w:style>
  <w:style w:type="paragraph" w:customStyle="1" w:styleId="BodyText-BarcRA65">
    <w:name w:val="Body Text - Barc RA_65"/>
    <w:link w:val="BodyText-BarcRAChar46"/>
    <w:qFormat/>
    <w:rsid w:val="005D52ED"/>
    <w:pPr>
      <w:spacing w:before="180" w:after="180"/>
      <w:jc w:val="both"/>
    </w:pPr>
    <w:rPr>
      <w:rFonts w:ascii="Expert Sans Regular" w:hAnsi="Expert Sans Regular"/>
      <w:sz w:val="18"/>
      <w:lang w:eastAsia="en-US"/>
    </w:rPr>
  </w:style>
  <w:style w:type="character" w:customStyle="1" w:styleId="BodyText-BarcRAChar46">
    <w:name w:val="Body Text - Barc RA Char_46"/>
    <w:basedOn w:val="DefaultParagraphFont"/>
    <w:link w:val="BodyText-BarcRA65"/>
    <w:rsid w:val="005D52ED"/>
    <w:rPr>
      <w:rFonts w:ascii="Expert Sans Regular" w:hAnsi="Expert Sans Regular"/>
      <w:sz w:val="18"/>
      <w:lang w:val="en-GB" w:eastAsia="en-US" w:bidi="ar-SA"/>
    </w:rPr>
  </w:style>
  <w:style w:type="character" w:customStyle="1" w:styleId="HeadingLevel1-BarcRAChar33">
    <w:name w:val="Heading Level 1 - Barc RA Char_33"/>
    <w:basedOn w:val="DefaultParagraphFont"/>
    <w:link w:val="HeadingLevel1-BarcRA43"/>
    <w:rsid w:val="009705AC"/>
    <w:rPr>
      <w:rFonts w:ascii="Expert Sans Regular" w:hAnsi="Expert Sans Regular"/>
      <w:b/>
      <w:bCs/>
      <w:color w:val="000000"/>
      <w:sz w:val="24"/>
      <w:lang w:val="la-Latn"/>
    </w:rPr>
  </w:style>
  <w:style w:type="paragraph" w:customStyle="1" w:styleId="Level1Bullet-BarcRA131">
    <w:name w:val="Level 1 Bullet - Barc RA_13_1"/>
    <w:basedOn w:val="Normal92"/>
    <w:rsid w:val="002D7FEF"/>
    <w:pPr>
      <w:numPr>
        <w:numId w:val="172"/>
      </w:numPr>
      <w:spacing w:before="180" w:after="180"/>
      <w:jc w:val="both"/>
    </w:pPr>
    <w:rPr>
      <w:rFonts w:ascii="Expert Sans Regular" w:hAnsi="Expert Sans Regular"/>
      <w:sz w:val="20"/>
      <w:szCs w:val="20"/>
      <w:lang w:val="en-US" w:eastAsia="en-US"/>
    </w:rPr>
  </w:style>
  <w:style w:type="paragraph" w:customStyle="1" w:styleId="Normal92">
    <w:name w:val="Normal_92"/>
    <w:qFormat/>
    <w:rsid w:val="00C07B56"/>
    <w:rPr>
      <w:sz w:val="24"/>
      <w:szCs w:val="24"/>
    </w:rPr>
  </w:style>
  <w:style w:type="paragraph" w:customStyle="1" w:styleId="Level1Bullet-BarcRA35">
    <w:name w:val="Level 1 Bullet - Barc RA_35"/>
    <w:basedOn w:val="BodyText-BarcRA65"/>
    <w:link w:val="Level1Bullet-BarcRAChar27"/>
    <w:qFormat/>
    <w:rsid w:val="00A85CEE"/>
    <w:pPr>
      <w:numPr>
        <w:numId w:val="173"/>
      </w:numPr>
    </w:pPr>
    <w:rPr>
      <w:lang w:val="la-Latn"/>
    </w:rPr>
  </w:style>
  <w:style w:type="character" w:customStyle="1" w:styleId="Level1Bullet-BarcRAChar27">
    <w:name w:val="Level 1 Bullet - Barc RA Char_27"/>
    <w:basedOn w:val="BodyText-BarcRAChar46"/>
    <w:link w:val="Level1Bullet-BarcRA35"/>
    <w:rsid w:val="00A85CEE"/>
    <w:rPr>
      <w:rFonts w:ascii="Expert Sans Regular" w:hAnsi="Expert Sans Regular"/>
      <w:sz w:val="18"/>
      <w:lang w:val="la-Latn" w:eastAsia="en-US" w:bidi="ar-SA"/>
    </w:rPr>
  </w:style>
  <w:style w:type="paragraph" w:customStyle="1" w:styleId="Normal93">
    <w:name w:val="Normal_93"/>
    <w:qFormat/>
    <w:rsid w:val="00A9383D"/>
    <w:rPr>
      <w:sz w:val="24"/>
      <w:szCs w:val="24"/>
    </w:rPr>
  </w:style>
  <w:style w:type="paragraph" w:customStyle="1" w:styleId="HeadingLevel1-BarcRA44">
    <w:name w:val="Heading Level 1 - Barc RA_44"/>
    <w:basedOn w:val="BodyText-BarcRA66"/>
    <w:next w:val="BodyText-BarcRA66"/>
    <w:link w:val="HeadingLevel1-BarcRAChar34"/>
    <w:qFormat/>
    <w:rsid w:val="002611B5"/>
    <w:pPr>
      <w:spacing w:before="0"/>
    </w:pPr>
    <w:rPr>
      <w:b/>
      <w:bCs/>
      <w:color w:val="000000"/>
      <w:sz w:val="24"/>
      <w:lang w:val="la-Latn"/>
    </w:rPr>
  </w:style>
  <w:style w:type="paragraph" w:customStyle="1" w:styleId="BodyText-BarcRA66">
    <w:name w:val="Body Text - Barc RA_66"/>
    <w:link w:val="BodyText-BarcRAChar47"/>
    <w:qFormat/>
    <w:rsid w:val="005D52ED"/>
    <w:pPr>
      <w:spacing w:before="180" w:after="180"/>
      <w:jc w:val="both"/>
    </w:pPr>
    <w:rPr>
      <w:rFonts w:ascii="Expert Sans Regular" w:hAnsi="Expert Sans Regular"/>
      <w:sz w:val="18"/>
      <w:lang w:eastAsia="en-US"/>
    </w:rPr>
  </w:style>
  <w:style w:type="character" w:customStyle="1" w:styleId="BodyText-BarcRAChar47">
    <w:name w:val="Body Text - Barc RA Char_47"/>
    <w:basedOn w:val="DefaultParagraphFont"/>
    <w:link w:val="BodyText-BarcRA66"/>
    <w:rsid w:val="005D52ED"/>
    <w:rPr>
      <w:rFonts w:ascii="Expert Sans Regular" w:hAnsi="Expert Sans Regular"/>
      <w:sz w:val="18"/>
      <w:lang w:val="en-GB" w:eastAsia="en-US" w:bidi="ar-SA"/>
    </w:rPr>
  </w:style>
  <w:style w:type="character" w:customStyle="1" w:styleId="HeadingLevel1-BarcRAChar34">
    <w:name w:val="Heading Level 1 - Barc RA Char_34"/>
    <w:basedOn w:val="DefaultParagraphFont"/>
    <w:link w:val="HeadingLevel1-BarcRA44"/>
    <w:rsid w:val="009705AC"/>
    <w:rPr>
      <w:rFonts w:ascii="Expert Sans Regular" w:hAnsi="Expert Sans Regular"/>
      <w:b/>
      <w:bCs/>
      <w:color w:val="000000"/>
      <w:sz w:val="24"/>
      <w:lang w:val="la-Latn"/>
    </w:rPr>
  </w:style>
  <w:style w:type="paragraph" w:customStyle="1" w:styleId="Level1Bullet-BarcRA50">
    <w:name w:val="Level 1 Bullet - Barc RA_5_0"/>
    <w:basedOn w:val="Normal94"/>
    <w:link w:val="Level1Bullet-BarcRAChar40"/>
    <w:qFormat/>
    <w:rsid w:val="005A48C3"/>
    <w:pPr>
      <w:numPr>
        <w:numId w:val="174"/>
      </w:numPr>
      <w:spacing w:before="180" w:after="180"/>
      <w:jc w:val="both"/>
    </w:pPr>
    <w:rPr>
      <w:szCs w:val="20"/>
      <w:lang w:val="la-Latn"/>
    </w:rPr>
  </w:style>
  <w:style w:type="paragraph" w:customStyle="1" w:styleId="Normal94">
    <w:name w:val="Normal_94"/>
    <w:qFormat/>
    <w:rsid w:val="009705AC"/>
    <w:rPr>
      <w:rFonts w:ascii="Expert Sans Regular" w:hAnsi="Expert Sans Regular"/>
      <w:sz w:val="18"/>
      <w:szCs w:val="24"/>
      <w:lang w:eastAsia="en-US"/>
    </w:rPr>
  </w:style>
  <w:style w:type="character" w:customStyle="1" w:styleId="Level1Bullet-BarcRAChar40">
    <w:name w:val="Level 1 Bullet - Barc RA Char_4_0"/>
    <w:basedOn w:val="DefaultParagraphFont"/>
    <w:link w:val="Level1Bullet-BarcRA50"/>
    <w:locked/>
    <w:rsid w:val="005A48C3"/>
    <w:rPr>
      <w:rFonts w:ascii="Expert Sans Regular" w:hAnsi="Expert Sans Regular"/>
      <w:sz w:val="18"/>
      <w:lang w:val="la-Latn" w:eastAsia="en-US"/>
    </w:rPr>
  </w:style>
  <w:style w:type="paragraph" w:customStyle="1" w:styleId="HeadingLevel2-BarcRA180">
    <w:name w:val="Heading Level 2 - Barc RA_18_0"/>
    <w:basedOn w:val="Normal94"/>
    <w:next w:val="Normal94"/>
    <w:qFormat/>
    <w:rsid w:val="000968D4"/>
    <w:pPr>
      <w:spacing w:before="240"/>
      <w:jc w:val="both"/>
    </w:pPr>
    <w:rPr>
      <w:b/>
      <w:bCs/>
      <w:color w:val="000000"/>
      <w:sz w:val="20"/>
      <w:szCs w:val="20"/>
      <w:lang w:val="la-Latn"/>
    </w:rPr>
  </w:style>
  <w:style w:type="paragraph" w:customStyle="1" w:styleId="Level1Bullet-BarcRA291">
    <w:name w:val="Level 1 Bullet - Barc RA_29_1"/>
    <w:basedOn w:val="Normal94"/>
    <w:link w:val="Level1Bullet-BarcRAChar251"/>
    <w:qFormat/>
    <w:rsid w:val="00216858"/>
    <w:pPr>
      <w:numPr>
        <w:numId w:val="175"/>
      </w:numPr>
      <w:spacing w:before="180" w:after="180"/>
      <w:jc w:val="both"/>
    </w:pPr>
    <w:rPr>
      <w:szCs w:val="20"/>
      <w:lang w:val="la-Latn"/>
    </w:rPr>
  </w:style>
  <w:style w:type="character" w:customStyle="1" w:styleId="Level1Bullet-BarcRAChar251">
    <w:name w:val="Level 1 Bullet - Barc RA Char_25_1"/>
    <w:basedOn w:val="DefaultParagraphFont"/>
    <w:link w:val="Level1Bullet-BarcRA291"/>
    <w:locked/>
    <w:rsid w:val="00216858"/>
    <w:rPr>
      <w:rFonts w:ascii="Expert Sans Regular" w:hAnsi="Expert Sans Regular"/>
      <w:sz w:val="18"/>
      <w:lang w:val="la-Latn" w:eastAsia="en-US"/>
    </w:rPr>
  </w:style>
  <w:style w:type="paragraph" w:customStyle="1" w:styleId="Level1Bullet-BarcRA320">
    <w:name w:val="Level 1 Bullet - Barc RA_32_0"/>
    <w:basedOn w:val="Normal95"/>
    <w:link w:val="Level1Bullet-BarcRAChar261"/>
    <w:qFormat/>
    <w:locked/>
    <w:rsid w:val="002F4029"/>
    <w:pPr>
      <w:numPr>
        <w:numId w:val="176"/>
      </w:numPr>
      <w:spacing w:before="180" w:after="180" w:line="240" w:lineRule="auto"/>
      <w:jc w:val="both"/>
    </w:pPr>
    <w:rPr>
      <w:rFonts w:ascii="Expert Sans Regular" w:hAnsi="Expert Sans Regular"/>
      <w:sz w:val="18"/>
      <w:szCs w:val="20"/>
      <w:lang w:val="la-Latn"/>
    </w:rPr>
  </w:style>
  <w:style w:type="paragraph" w:customStyle="1" w:styleId="Normal95">
    <w:name w:val="Normal_95"/>
    <w:qFormat/>
    <w:rsid w:val="00DE0D86"/>
    <w:pPr>
      <w:spacing w:after="200" w:line="276" w:lineRule="auto"/>
    </w:pPr>
    <w:rPr>
      <w:sz w:val="22"/>
      <w:szCs w:val="22"/>
      <w:lang w:eastAsia="en-US"/>
    </w:rPr>
  </w:style>
  <w:style w:type="character" w:customStyle="1" w:styleId="Level1Bullet-BarcRAChar261">
    <w:name w:val="Level 1 Bullet - Barc RA Char_26_1"/>
    <w:basedOn w:val="DefaultParagraphFont"/>
    <w:link w:val="Level1Bullet-BarcRA320"/>
    <w:locked/>
    <w:rsid w:val="002F4029"/>
    <w:rPr>
      <w:rFonts w:ascii="Expert Sans Regular" w:hAnsi="Expert Sans Regular"/>
      <w:sz w:val="18"/>
      <w:lang w:val="la-Latn" w:eastAsia="en-US"/>
    </w:rPr>
  </w:style>
  <w:style w:type="paragraph" w:customStyle="1" w:styleId="Level2Bullet-BarcRA13">
    <w:name w:val="Level 2 Bullet - Barc RA_13"/>
    <w:basedOn w:val="Level1Bullet-BarcRA320"/>
    <w:qFormat/>
    <w:rsid w:val="002F4029"/>
    <w:pPr>
      <w:numPr>
        <w:ilvl w:val="2"/>
        <w:numId w:val="178"/>
      </w:numPr>
      <w:tabs>
        <w:tab w:val="clear" w:pos="1401"/>
        <w:tab w:val="num" w:pos="360"/>
      </w:tabs>
    </w:pPr>
  </w:style>
  <w:style w:type="paragraph" w:customStyle="1" w:styleId="Level1Bullet-BarcRA01">
    <w:name w:val="Level 1 Bullet - Barc RA_0_1"/>
    <w:basedOn w:val="BodyText-BarcRA00"/>
    <w:link w:val="Level1Bullet-BarcRAChar01"/>
    <w:rsid w:val="006E6EE3"/>
    <w:pPr>
      <w:numPr>
        <w:numId w:val="180"/>
      </w:numPr>
    </w:pPr>
    <w:rPr>
      <w:lang w:val="la-Latn"/>
    </w:rPr>
  </w:style>
  <w:style w:type="paragraph" w:customStyle="1" w:styleId="BodyText-BarcRA00">
    <w:name w:val="Body Text - Barc RA_0_0"/>
    <w:link w:val="BodyText-BarcRAChar00"/>
    <w:qFormat/>
    <w:rsid w:val="009C25DF"/>
    <w:pPr>
      <w:spacing w:before="180" w:after="180"/>
      <w:jc w:val="both"/>
    </w:pPr>
    <w:rPr>
      <w:rFonts w:ascii="Expert Sans Regular" w:hAnsi="Expert Sans Regular"/>
      <w:sz w:val="18"/>
      <w:lang w:eastAsia="en-US"/>
    </w:rPr>
  </w:style>
  <w:style w:type="character" w:customStyle="1" w:styleId="BodyText-BarcRAChar00">
    <w:name w:val="Body Text - Barc RA Char_0_0"/>
    <w:basedOn w:val="DefaultParagraphFont"/>
    <w:link w:val="BodyText-BarcRA00"/>
    <w:locked/>
    <w:rsid w:val="009C25DF"/>
    <w:rPr>
      <w:rFonts w:ascii="Expert Sans Regular" w:hAnsi="Expert Sans Regular"/>
      <w:sz w:val="18"/>
      <w:lang w:val="en-GB" w:eastAsia="en-US" w:bidi="ar-SA"/>
    </w:rPr>
  </w:style>
  <w:style w:type="character" w:customStyle="1" w:styleId="Level1Bullet-BarcRAChar01">
    <w:name w:val="Level 1 Bullet - Barc RA Char_0_1"/>
    <w:basedOn w:val="BodyText-BarcRAChar00"/>
    <w:link w:val="Level1Bullet-BarcRA01"/>
    <w:locked/>
    <w:rsid w:val="006E6EE3"/>
    <w:rPr>
      <w:rFonts w:ascii="Expert Sans Regular" w:hAnsi="Expert Sans Regular"/>
      <w:sz w:val="18"/>
      <w:lang w:val="la-Latn" w:eastAsia="en-US" w:bidi="ar-SA"/>
    </w:rPr>
  </w:style>
  <w:style w:type="paragraph" w:customStyle="1" w:styleId="Level2Bullet-BarcRA9">
    <w:name w:val="Level 2 Bullet - Barc RA_9"/>
    <w:basedOn w:val="Level1Bullet-BarcRA36"/>
    <w:qFormat/>
    <w:rsid w:val="00A85CEE"/>
    <w:pPr>
      <w:numPr>
        <w:ilvl w:val="2"/>
        <w:numId w:val="181"/>
      </w:numPr>
    </w:pPr>
  </w:style>
  <w:style w:type="paragraph" w:customStyle="1" w:styleId="Level1Bullet-BarcRA36">
    <w:name w:val="Level 1 Bullet - Barc RA_36"/>
    <w:basedOn w:val="BodyText-BarcRA67"/>
    <w:link w:val="Level1Bullet-BarcRAChar28"/>
    <w:qFormat/>
    <w:rsid w:val="00A85CEE"/>
    <w:pPr>
      <w:numPr>
        <w:numId w:val="182"/>
      </w:numPr>
    </w:pPr>
    <w:rPr>
      <w:lang w:val="la-Latn"/>
    </w:rPr>
  </w:style>
  <w:style w:type="paragraph" w:customStyle="1" w:styleId="BodyText-BarcRA67">
    <w:name w:val="Body Text - Barc RA_67"/>
    <w:link w:val="BodyText-BarcRAChar48"/>
    <w:qFormat/>
    <w:rsid w:val="005D52ED"/>
    <w:pPr>
      <w:spacing w:before="180" w:after="180"/>
      <w:jc w:val="both"/>
    </w:pPr>
    <w:rPr>
      <w:rFonts w:ascii="Expert Sans Regular" w:hAnsi="Expert Sans Regular"/>
      <w:sz w:val="18"/>
      <w:lang w:eastAsia="en-US"/>
    </w:rPr>
  </w:style>
  <w:style w:type="character" w:customStyle="1" w:styleId="BodyText-BarcRAChar48">
    <w:name w:val="Body Text - Barc RA Char_48"/>
    <w:basedOn w:val="DefaultParagraphFont"/>
    <w:link w:val="BodyText-BarcRA67"/>
    <w:rsid w:val="005D52ED"/>
    <w:rPr>
      <w:rFonts w:ascii="Expert Sans Regular" w:hAnsi="Expert Sans Regular"/>
      <w:sz w:val="18"/>
      <w:lang w:val="en-GB" w:eastAsia="en-US" w:bidi="ar-SA"/>
    </w:rPr>
  </w:style>
  <w:style w:type="character" w:customStyle="1" w:styleId="Level1Bullet-BarcRAChar28">
    <w:name w:val="Level 1 Bullet - Barc RA Char_28"/>
    <w:basedOn w:val="BodyText-BarcRAChar48"/>
    <w:link w:val="Level1Bullet-BarcRA36"/>
    <w:rsid w:val="00A85CEE"/>
    <w:rPr>
      <w:rFonts w:ascii="Expert Sans Regular" w:hAnsi="Expert Sans Regular"/>
      <w:sz w:val="18"/>
      <w:lang w:val="la-Latn" w:eastAsia="en-US" w:bidi="ar-SA"/>
    </w:rPr>
  </w:style>
  <w:style w:type="paragraph" w:customStyle="1" w:styleId="NoteandSourceText-BarcRA17">
    <w:name w:val="Note and Source Text - Barc RA_17"/>
    <w:basedOn w:val="Normal96"/>
    <w:qFormat/>
    <w:rsid w:val="00F272E3"/>
    <w:pPr>
      <w:numPr>
        <w:numId w:val="184"/>
      </w:numPr>
      <w:spacing w:before="20" w:after="20"/>
      <w:jc w:val="both"/>
    </w:pPr>
    <w:rPr>
      <w:i/>
      <w:iCs/>
      <w:sz w:val="14"/>
      <w:szCs w:val="14"/>
    </w:rPr>
  </w:style>
  <w:style w:type="paragraph" w:customStyle="1" w:styleId="Normal96">
    <w:name w:val="Normal_96"/>
    <w:qFormat/>
    <w:rsid w:val="009705AC"/>
    <w:rPr>
      <w:rFonts w:ascii="Expert Sans Regular" w:hAnsi="Expert Sans Regular"/>
      <w:sz w:val="18"/>
      <w:szCs w:val="24"/>
      <w:lang w:eastAsia="en-US"/>
    </w:rPr>
  </w:style>
  <w:style w:type="paragraph" w:customStyle="1" w:styleId="Level2Bullet-BarcRA80">
    <w:name w:val="Level 2 Bullet - Barc RA_8_0"/>
    <w:basedOn w:val="Normal96"/>
    <w:qFormat/>
    <w:rsid w:val="00675AA0"/>
    <w:pPr>
      <w:numPr>
        <w:ilvl w:val="2"/>
        <w:numId w:val="186"/>
      </w:numPr>
      <w:spacing w:before="180" w:after="180"/>
      <w:jc w:val="both"/>
    </w:pPr>
    <w:rPr>
      <w:szCs w:val="20"/>
      <w:lang w:val="la-Latn"/>
    </w:rPr>
  </w:style>
  <w:style w:type="paragraph" w:customStyle="1" w:styleId="Level1Bullet-BarcRA37">
    <w:name w:val="Level 1 Bullet - Barc RA_37"/>
    <w:basedOn w:val="BodyText-BarcRA68"/>
    <w:link w:val="Level1Bullet-BarcRAChar29"/>
    <w:qFormat/>
    <w:rsid w:val="00A85CEE"/>
    <w:pPr>
      <w:numPr>
        <w:numId w:val="187"/>
      </w:numPr>
    </w:pPr>
    <w:rPr>
      <w:lang w:val="la-Latn"/>
    </w:rPr>
  </w:style>
  <w:style w:type="paragraph" w:customStyle="1" w:styleId="BodyText-BarcRA68">
    <w:name w:val="Body Text - Barc RA_68"/>
    <w:link w:val="BodyText-BarcRAChar49"/>
    <w:qFormat/>
    <w:rsid w:val="005D52ED"/>
    <w:pPr>
      <w:spacing w:before="180" w:after="180"/>
      <w:jc w:val="both"/>
    </w:pPr>
    <w:rPr>
      <w:rFonts w:ascii="Expert Sans Regular" w:hAnsi="Expert Sans Regular"/>
      <w:sz w:val="18"/>
      <w:lang w:eastAsia="en-US"/>
    </w:rPr>
  </w:style>
  <w:style w:type="character" w:customStyle="1" w:styleId="BodyText-BarcRAChar49">
    <w:name w:val="Body Text - Barc RA Char_49"/>
    <w:basedOn w:val="DefaultParagraphFont"/>
    <w:link w:val="BodyText-BarcRA68"/>
    <w:rsid w:val="005D52ED"/>
    <w:rPr>
      <w:rFonts w:ascii="Expert Sans Regular" w:hAnsi="Expert Sans Regular"/>
      <w:sz w:val="18"/>
      <w:lang w:val="en-GB" w:eastAsia="en-US" w:bidi="ar-SA"/>
    </w:rPr>
  </w:style>
  <w:style w:type="character" w:customStyle="1" w:styleId="Level1Bullet-BarcRAChar29">
    <w:name w:val="Level 1 Bullet - Barc RA Char_29"/>
    <w:basedOn w:val="BodyText-BarcRAChar49"/>
    <w:link w:val="Level1Bullet-BarcRA37"/>
    <w:rsid w:val="00A85CEE"/>
    <w:rPr>
      <w:rFonts w:ascii="Expert Sans Regular" w:hAnsi="Expert Sans Regular"/>
      <w:sz w:val="18"/>
      <w:lang w:val="la-Latn" w:eastAsia="en-US" w:bidi="ar-SA"/>
    </w:rPr>
  </w:style>
  <w:style w:type="paragraph" w:customStyle="1" w:styleId="Level2Bullet-BarcRA10">
    <w:name w:val="Level 2 Bullet - Barc RA_10"/>
    <w:basedOn w:val="Level1Bullet-BarcRA37"/>
    <w:qFormat/>
    <w:rsid w:val="00A85CEE"/>
    <w:pPr>
      <w:numPr>
        <w:ilvl w:val="2"/>
        <w:numId w:val="189"/>
      </w:numPr>
    </w:pPr>
  </w:style>
  <w:style w:type="paragraph" w:customStyle="1" w:styleId="NoteandSourceText-BarcRA18">
    <w:name w:val="Note and Source Text - Barc RA_18"/>
    <w:basedOn w:val="Normal97"/>
    <w:qFormat/>
    <w:rsid w:val="00DB690B"/>
    <w:pPr>
      <w:numPr>
        <w:numId w:val="191"/>
      </w:numPr>
      <w:tabs>
        <w:tab w:val="left" w:pos="284"/>
      </w:tabs>
      <w:spacing w:before="20" w:after="20"/>
      <w:jc w:val="both"/>
    </w:pPr>
    <w:rPr>
      <w:i/>
      <w:iCs/>
      <w:sz w:val="14"/>
      <w:szCs w:val="14"/>
    </w:rPr>
  </w:style>
  <w:style w:type="paragraph" w:customStyle="1" w:styleId="Normal97">
    <w:name w:val="Normal_97"/>
    <w:qFormat/>
    <w:rsid w:val="009705AC"/>
    <w:rPr>
      <w:rFonts w:ascii="Expert Sans Regular" w:hAnsi="Expert Sans Regular"/>
      <w:sz w:val="18"/>
      <w:szCs w:val="24"/>
      <w:lang w:eastAsia="en-US"/>
    </w:rPr>
  </w:style>
  <w:style w:type="paragraph" w:customStyle="1" w:styleId="Level1Bullet-BarcRA38">
    <w:name w:val="Level 1 Bullet - Barc RA_38"/>
    <w:basedOn w:val="BodyText-BarcRA69"/>
    <w:link w:val="Level1Bullet-BarcRAChar30"/>
    <w:qFormat/>
    <w:rsid w:val="00A85CEE"/>
    <w:pPr>
      <w:numPr>
        <w:numId w:val="193"/>
      </w:numPr>
    </w:pPr>
    <w:rPr>
      <w:lang w:val="la-Latn"/>
    </w:rPr>
  </w:style>
  <w:style w:type="paragraph" w:customStyle="1" w:styleId="BodyText-BarcRA69">
    <w:name w:val="Body Text - Barc RA_69"/>
    <w:link w:val="BodyText-BarcRAChar50"/>
    <w:qFormat/>
    <w:rsid w:val="005D52ED"/>
    <w:pPr>
      <w:spacing w:before="180" w:after="180"/>
      <w:jc w:val="both"/>
    </w:pPr>
    <w:rPr>
      <w:rFonts w:ascii="Expert Sans Regular" w:hAnsi="Expert Sans Regular"/>
      <w:sz w:val="18"/>
      <w:lang w:eastAsia="en-US"/>
    </w:rPr>
  </w:style>
  <w:style w:type="character" w:customStyle="1" w:styleId="BodyText-BarcRAChar50">
    <w:name w:val="Body Text - Barc RA Char_50"/>
    <w:basedOn w:val="DefaultParagraphFont"/>
    <w:link w:val="BodyText-BarcRA69"/>
    <w:rsid w:val="005D52ED"/>
    <w:rPr>
      <w:rFonts w:ascii="Expert Sans Regular" w:hAnsi="Expert Sans Regular"/>
      <w:sz w:val="18"/>
      <w:lang w:val="en-GB" w:eastAsia="en-US" w:bidi="ar-SA"/>
    </w:rPr>
  </w:style>
  <w:style w:type="character" w:customStyle="1" w:styleId="Level1Bullet-BarcRAChar30">
    <w:name w:val="Level 1 Bullet - Barc RA Char_30"/>
    <w:basedOn w:val="BodyText-BarcRAChar50"/>
    <w:link w:val="Level1Bullet-BarcRA38"/>
    <w:rsid w:val="00A85CEE"/>
    <w:rPr>
      <w:rFonts w:ascii="Expert Sans Regular" w:hAnsi="Expert Sans Regular"/>
      <w:sz w:val="18"/>
      <w:lang w:val="la-Latn" w:eastAsia="en-US" w:bidi="ar-SA"/>
    </w:rPr>
  </w:style>
  <w:style w:type="paragraph" w:customStyle="1" w:styleId="Level2Bullet-BarcRA11">
    <w:name w:val="Level 2 Bullet - Barc RA_11"/>
    <w:basedOn w:val="Level1Bullet-BarcRA38"/>
    <w:qFormat/>
    <w:rsid w:val="00A85CEE"/>
    <w:pPr>
      <w:numPr>
        <w:ilvl w:val="2"/>
        <w:numId w:val="195"/>
      </w:numPr>
    </w:pPr>
  </w:style>
  <w:style w:type="paragraph" w:customStyle="1" w:styleId="NoteandSourceText-BarcRA19">
    <w:name w:val="Note and Source Text - Barc RA_19"/>
    <w:basedOn w:val="Normal98"/>
    <w:qFormat/>
    <w:rsid w:val="002D309A"/>
    <w:pPr>
      <w:numPr>
        <w:numId w:val="197"/>
      </w:numPr>
      <w:tabs>
        <w:tab w:val="left" w:pos="284"/>
      </w:tabs>
      <w:spacing w:before="20" w:after="20"/>
      <w:jc w:val="both"/>
    </w:pPr>
    <w:rPr>
      <w:i/>
      <w:iCs/>
      <w:sz w:val="14"/>
      <w:szCs w:val="14"/>
    </w:rPr>
  </w:style>
  <w:style w:type="paragraph" w:customStyle="1" w:styleId="Normal98">
    <w:name w:val="Normal_98"/>
    <w:qFormat/>
    <w:rsid w:val="009705AC"/>
    <w:rPr>
      <w:rFonts w:ascii="Expert Sans Regular" w:hAnsi="Expert Sans Regular"/>
      <w:sz w:val="18"/>
      <w:szCs w:val="24"/>
      <w:lang w:eastAsia="en-US"/>
    </w:rPr>
  </w:style>
  <w:style w:type="paragraph" w:customStyle="1" w:styleId="Level1Bullet-BarcRA39">
    <w:name w:val="Level 1 Bullet - Barc RA_39"/>
    <w:basedOn w:val="BodyText-BarcRA70"/>
    <w:link w:val="Level1Bullet-BarcRAChar31"/>
    <w:qFormat/>
    <w:rsid w:val="00A85CEE"/>
    <w:pPr>
      <w:numPr>
        <w:numId w:val="199"/>
      </w:numPr>
    </w:pPr>
    <w:rPr>
      <w:lang w:val="la-Latn"/>
    </w:rPr>
  </w:style>
  <w:style w:type="paragraph" w:customStyle="1" w:styleId="BodyText-BarcRA70">
    <w:name w:val="Body Text - Barc RA_70"/>
    <w:link w:val="BodyText-BarcRAChar51"/>
    <w:qFormat/>
    <w:rsid w:val="005D52ED"/>
    <w:pPr>
      <w:spacing w:before="180" w:after="180"/>
      <w:jc w:val="both"/>
    </w:pPr>
    <w:rPr>
      <w:rFonts w:ascii="Expert Sans Regular" w:hAnsi="Expert Sans Regular"/>
      <w:sz w:val="18"/>
      <w:lang w:eastAsia="en-US"/>
    </w:rPr>
  </w:style>
  <w:style w:type="character" w:customStyle="1" w:styleId="BodyText-BarcRAChar51">
    <w:name w:val="Body Text - Barc RA Char_51"/>
    <w:basedOn w:val="DefaultParagraphFont"/>
    <w:link w:val="BodyText-BarcRA70"/>
    <w:rsid w:val="005D52ED"/>
    <w:rPr>
      <w:rFonts w:ascii="Expert Sans Regular" w:hAnsi="Expert Sans Regular"/>
      <w:sz w:val="18"/>
      <w:lang w:val="en-GB" w:eastAsia="en-US" w:bidi="ar-SA"/>
    </w:rPr>
  </w:style>
  <w:style w:type="character" w:customStyle="1" w:styleId="Level1Bullet-BarcRAChar31">
    <w:name w:val="Level 1 Bullet - Barc RA Char_31"/>
    <w:basedOn w:val="BodyText-BarcRAChar51"/>
    <w:link w:val="Level1Bullet-BarcRA39"/>
    <w:rsid w:val="00A85CEE"/>
    <w:rPr>
      <w:rFonts w:ascii="Expert Sans Regular" w:hAnsi="Expert Sans Regular"/>
      <w:sz w:val="18"/>
      <w:lang w:val="la-Latn" w:eastAsia="en-US" w:bidi="ar-SA"/>
    </w:rPr>
  </w:style>
  <w:style w:type="paragraph" w:customStyle="1" w:styleId="Level2Bullet-BarcRA12">
    <w:name w:val="Level 2 Bullet - Barc RA_12"/>
    <w:basedOn w:val="Level1Bullet-BarcRA39"/>
    <w:qFormat/>
    <w:rsid w:val="00A85CEE"/>
    <w:pPr>
      <w:numPr>
        <w:ilvl w:val="2"/>
        <w:numId w:val="201"/>
      </w:numPr>
    </w:pPr>
  </w:style>
  <w:style w:type="paragraph" w:customStyle="1" w:styleId="NoteandSourceText-BarcRA200">
    <w:name w:val="Note and Source Text - Barc RA_20"/>
    <w:basedOn w:val="Normal99"/>
    <w:qFormat/>
    <w:rsid w:val="00EE7281"/>
    <w:pPr>
      <w:numPr>
        <w:numId w:val="203"/>
      </w:numPr>
      <w:tabs>
        <w:tab w:val="left" w:pos="284"/>
      </w:tabs>
      <w:spacing w:before="20" w:after="20"/>
      <w:jc w:val="both"/>
    </w:pPr>
    <w:rPr>
      <w:i/>
      <w:iCs/>
      <w:sz w:val="14"/>
      <w:szCs w:val="14"/>
    </w:rPr>
  </w:style>
  <w:style w:type="paragraph" w:customStyle="1" w:styleId="Normal99">
    <w:name w:val="Normal_99"/>
    <w:qFormat/>
    <w:rsid w:val="009705AC"/>
    <w:rPr>
      <w:rFonts w:ascii="Expert Sans Regular" w:hAnsi="Expert Sans Regular"/>
      <w:sz w:val="18"/>
      <w:szCs w:val="24"/>
      <w:lang w:eastAsia="en-US"/>
    </w:rPr>
  </w:style>
  <w:style w:type="paragraph" w:customStyle="1" w:styleId="NoteandSourceText-BarcRA21">
    <w:name w:val="Note and Source Text - Barc RA_21"/>
    <w:basedOn w:val="Normal1000"/>
    <w:qFormat/>
    <w:rsid w:val="00AE53C7"/>
    <w:pPr>
      <w:numPr>
        <w:numId w:val="205"/>
      </w:numPr>
      <w:tabs>
        <w:tab w:val="left" w:pos="284"/>
      </w:tabs>
      <w:spacing w:before="20" w:after="20" w:line="240" w:lineRule="auto"/>
      <w:jc w:val="both"/>
    </w:pPr>
    <w:rPr>
      <w:rFonts w:ascii="Expert Sans Regular" w:hAnsi="Expert Sans Regular"/>
      <w:i/>
      <w:iCs/>
      <w:sz w:val="14"/>
      <w:szCs w:val="14"/>
    </w:rPr>
  </w:style>
  <w:style w:type="paragraph" w:customStyle="1" w:styleId="Normal1000">
    <w:name w:val="Normal_100"/>
    <w:qFormat/>
    <w:rsid w:val="00DE0D86"/>
    <w:pPr>
      <w:spacing w:after="200" w:line="276" w:lineRule="auto"/>
    </w:pPr>
    <w:rPr>
      <w:sz w:val="22"/>
      <w:szCs w:val="22"/>
      <w:lang w:eastAsia="en-US"/>
    </w:rPr>
  </w:style>
  <w:style w:type="paragraph" w:customStyle="1" w:styleId="Level1Bullet-BarcRA290">
    <w:name w:val="Level 1 Bullet - Barc RA_29_0"/>
    <w:basedOn w:val="Normal1000"/>
    <w:link w:val="Level1Bullet-BarcRAChar250"/>
    <w:qFormat/>
    <w:rsid w:val="000234AF"/>
    <w:pPr>
      <w:numPr>
        <w:numId w:val="206"/>
      </w:numPr>
      <w:spacing w:before="180" w:after="180" w:line="240" w:lineRule="auto"/>
      <w:jc w:val="both"/>
    </w:pPr>
    <w:rPr>
      <w:rFonts w:ascii="Expert Sans Regular" w:hAnsi="Expert Sans Regular"/>
      <w:sz w:val="18"/>
      <w:szCs w:val="20"/>
      <w:lang w:val="la-Latn"/>
    </w:rPr>
  </w:style>
  <w:style w:type="character" w:customStyle="1" w:styleId="Level1Bullet-BarcRAChar250">
    <w:name w:val="Level 1 Bullet - Barc RA Char_25_0"/>
    <w:basedOn w:val="DefaultParagraphFont"/>
    <w:link w:val="Level1Bullet-BarcRA290"/>
    <w:locked/>
    <w:rsid w:val="000234AF"/>
    <w:rPr>
      <w:rFonts w:ascii="Expert Sans Regular" w:hAnsi="Expert Sans Regular"/>
      <w:sz w:val="18"/>
      <w:lang w:val="la-Latn" w:eastAsia="en-US"/>
    </w:rPr>
  </w:style>
  <w:style w:type="paragraph" w:customStyle="1" w:styleId="Level1Bullet-BarcRA401">
    <w:name w:val="Level 1 Bullet - Barc RA_40"/>
    <w:basedOn w:val="Normal101"/>
    <w:link w:val="Level1Bullet-BarcRAChar32"/>
    <w:qFormat/>
    <w:rsid w:val="007675B0"/>
    <w:pPr>
      <w:numPr>
        <w:numId w:val="207"/>
      </w:numPr>
      <w:spacing w:before="180" w:after="180" w:line="240" w:lineRule="auto"/>
      <w:jc w:val="both"/>
    </w:pPr>
    <w:rPr>
      <w:rFonts w:ascii="Expert Sans Regular" w:hAnsi="Expert Sans Regular"/>
      <w:sz w:val="20"/>
      <w:szCs w:val="20"/>
      <w:lang w:eastAsia="en-GB"/>
    </w:rPr>
  </w:style>
  <w:style w:type="paragraph" w:customStyle="1" w:styleId="Normal101">
    <w:name w:val="Normal_101"/>
    <w:qFormat/>
    <w:rsid w:val="00DE0D86"/>
    <w:pPr>
      <w:spacing w:after="200" w:line="276" w:lineRule="auto"/>
    </w:pPr>
    <w:rPr>
      <w:sz w:val="22"/>
      <w:szCs w:val="22"/>
      <w:lang w:eastAsia="en-US"/>
    </w:rPr>
  </w:style>
  <w:style w:type="character" w:customStyle="1" w:styleId="Level1Bullet-BarcRAChar32">
    <w:name w:val="Level 1 Bullet - Barc RA Char_32"/>
    <w:basedOn w:val="DefaultParagraphFont"/>
    <w:link w:val="Level1Bullet-BarcRA401"/>
    <w:locked/>
    <w:rsid w:val="007675B0"/>
    <w:rPr>
      <w:rFonts w:ascii="Expert Sans Regular" w:hAnsi="Expert Sans Regular"/>
    </w:rPr>
  </w:style>
  <w:style w:type="paragraph" w:customStyle="1" w:styleId="HeadingLevel2-BarcRA110">
    <w:name w:val="Heading Level 2 - Barc RA_11_0"/>
    <w:basedOn w:val="Normal102"/>
    <w:next w:val="Normal102"/>
    <w:uiPriority w:val="99"/>
    <w:locked/>
    <w:rsid w:val="001A44A3"/>
    <w:pPr>
      <w:spacing w:before="240" w:after="0" w:line="240" w:lineRule="auto"/>
      <w:jc w:val="both"/>
    </w:pPr>
    <w:rPr>
      <w:rFonts w:ascii="Expert Sans Regular" w:hAnsi="Expert Sans Regular"/>
      <w:b/>
      <w:bCs/>
      <w:color w:val="000000"/>
      <w:sz w:val="20"/>
      <w:szCs w:val="20"/>
      <w:lang w:val="la-Latn"/>
    </w:rPr>
  </w:style>
  <w:style w:type="paragraph" w:customStyle="1" w:styleId="Normal102">
    <w:name w:val="Normal_102"/>
    <w:qFormat/>
    <w:rsid w:val="00DE0D86"/>
    <w:pPr>
      <w:spacing w:after="200" w:line="276" w:lineRule="auto"/>
    </w:pPr>
    <w:rPr>
      <w:sz w:val="22"/>
      <w:szCs w:val="22"/>
      <w:lang w:eastAsia="en-US"/>
    </w:rPr>
  </w:style>
  <w:style w:type="paragraph" w:customStyle="1" w:styleId="Level1Bullet-BarcRA2001">
    <w:name w:val="Level 1 Bullet - Barc RA_20_0"/>
    <w:basedOn w:val="Normal102"/>
    <w:qFormat/>
    <w:locked/>
    <w:rsid w:val="001A44A3"/>
    <w:pPr>
      <w:numPr>
        <w:numId w:val="208"/>
      </w:numPr>
      <w:spacing w:before="180" w:after="180" w:line="240" w:lineRule="auto"/>
      <w:jc w:val="both"/>
    </w:pPr>
    <w:rPr>
      <w:rFonts w:ascii="Expert Sans Regular" w:hAnsi="Expert Sans Regular"/>
      <w:sz w:val="18"/>
      <w:szCs w:val="20"/>
      <w:lang w:val="la-Latn"/>
    </w:rPr>
  </w:style>
  <w:style w:type="paragraph" w:customStyle="1" w:styleId="Level1Bullet-BarcRA20000">
    <w:name w:val="Level 1 Bullet - Barc RA_20_0_0"/>
    <w:basedOn w:val="Normal102"/>
    <w:qFormat/>
    <w:locked/>
    <w:rsid w:val="0023330F"/>
    <w:pPr>
      <w:numPr>
        <w:numId w:val="209"/>
      </w:numPr>
      <w:spacing w:before="180" w:after="180" w:line="240" w:lineRule="auto"/>
      <w:jc w:val="both"/>
    </w:pPr>
    <w:rPr>
      <w:rFonts w:ascii="Expert Sans Regular" w:hAnsi="Expert Sans Regular"/>
      <w:sz w:val="18"/>
      <w:szCs w:val="20"/>
      <w:lang w:val="la-Latn"/>
    </w:rPr>
  </w:style>
  <w:style w:type="paragraph" w:customStyle="1" w:styleId="HeadingLevel1-BarcRA45">
    <w:name w:val="Heading Level 1 - Barc RA_45"/>
    <w:basedOn w:val="BodyText-BarcRA71"/>
    <w:next w:val="BodyText-BarcRA71"/>
    <w:link w:val="HeadingLevel1-BarcRAChar35"/>
    <w:rsid w:val="002611B5"/>
    <w:pPr>
      <w:spacing w:before="0"/>
    </w:pPr>
    <w:rPr>
      <w:b/>
      <w:bCs/>
      <w:color w:val="000000"/>
      <w:sz w:val="24"/>
      <w:lang w:val="la-Latn"/>
    </w:rPr>
  </w:style>
  <w:style w:type="paragraph" w:customStyle="1" w:styleId="BodyText-BarcRA71">
    <w:name w:val="Body Text - Barc RA_71"/>
    <w:link w:val="BodyText-BarcRAChar52"/>
    <w:qFormat/>
    <w:rsid w:val="005D52ED"/>
    <w:pPr>
      <w:spacing w:before="180" w:after="180"/>
      <w:jc w:val="both"/>
    </w:pPr>
    <w:rPr>
      <w:rFonts w:ascii="Expert Sans Regular" w:hAnsi="Expert Sans Regular"/>
      <w:sz w:val="18"/>
      <w:lang w:eastAsia="en-US"/>
    </w:rPr>
  </w:style>
  <w:style w:type="character" w:customStyle="1" w:styleId="BodyText-BarcRAChar52">
    <w:name w:val="Body Text - Barc RA Char_52"/>
    <w:basedOn w:val="DefaultParagraphFont"/>
    <w:link w:val="BodyText-BarcRA71"/>
    <w:rsid w:val="005D52ED"/>
    <w:rPr>
      <w:rFonts w:ascii="Expert Sans Regular" w:hAnsi="Expert Sans Regular"/>
      <w:sz w:val="18"/>
      <w:lang w:val="en-GB" w:eastAsia="en-US" w:bidi="ar-SA"/>
    </w:rPr>
  </w:style>
  <w:style w:type="character" w:customStyle="1" w:styleId="HeadingLevel1-BarcRAChar35">
    <w:name w:val="Heading Level 1 - Barc RA Char_35"/>
    <w:basedOn w:val="DefaultParagraphFont"/>
    <w:link w:val="HeadingLevel1-BarcRA45"/>
    <w:rsid w:val="009705AC"/>
    <w:rPr>
      <w:rFonts w:ascii="Expert Sans Regular" w:hAnsi="Expert Sans Regular"/>
      <w:b/>
      <w:bCs/>
      <w:color w:val="000000"/>
      <w:sz w:val="24"/>
      <w:lang w:val="la-Latn"/>
    </w:rPr>
  </w:style>
  <w:style w:type="paragraph" w:customStyle="1" w:styleId="HeaderSpacerwithLine-BarcRA12">
    <w:name w:val="Header Spacer with Line - Barc RA_12"/>
    <w:basedOn w:val="BodyText-BarcRA71"/>
    <w:link w:val="HeaderSpacerwithLine-BarcRAChar6"/>
    <w:rsid w:val="00016DD8"/>
    <w:pPr>
      <w:pBdr>
        <w:top w:val="single" w:sz="4" w:space="1" w:color="auto"/>
      </w:pBdr>
      <w:spacing w:before="0" w:after="0"/>
    </w:pPr>
    <w:rPr>
      <w:sz w:val="10"/>
      <w:szCs w:val="10"/>
    </w:rPr>
  </w:style>
  <w:style w:type="character" w:customStyle="1" w:styleId="HeaderSpacerwithLine-BarcRAChar6">
    <w:name w:val="Header Spacer with Line - Barc RA Char_6"/>
    <w:basedOn w:val="BodyText-BarcRAChar52"/>
    <w:link w:val="HeaderSpacerwithLine-BarcRA12"/>
    <w:rsid w:val="000E2451"/>
    <w:rPr>
      <w:rFonts w:ascii="Expert Sans Regular" w:hAnsi="Expert Sans Regular"/>
      <w:sz w:val="10"/>
      <w:szCs w:val="10"/>
      <w:lang w:val="en-GB" w:eastAsia="en-US" w:bidi="ar-SA"/>
    </w:rPr>
  </w:style>
  <w:style w:type="paragraph" w:customStyle="1" w:styleId="HeadingLevel2-BarcRA21">
    <w:name w:val="Heading Level 2 - Barc RA_21"/>
    <w:basedOn w:val="HeadingLevel1-BarcRA46"/>
    <w:next w:val="BodyText-BarcRA72"/>
    <w:rsid w:val="00EE71E7"/>
    <w:pPr>
      <w:spacing w:before="240" w:after="0"/>
    </w:pPr>
    <w:rPr>
      <w:sz w:val="20"/>
    </w:rPr>
  </w:style>
  <w:style w:type="paragraph" w:customStyle="1" w:styleId="HeadingLevel1-BarcRA46">
    <w:name w:val="Heading Level 1 - Barc RA_46"/>
    <w:basedOn w:val="BodyText-BarcRA72"/>
    <w:next w:val="BodyText-BarcRA72"/>
    <w:link w:val="HeadingLevel1-BarcRAChar36"/>
    <w:rsid w:val="002611B5"/>
    <w:pPr>
      <w:spacing w:before="0"/>
    </w:pPr>
    <w:rPr>
      <w:b/>
      <w:bCs/>
      <w:color w:val="000000"/>
      <w:sz w:val="24"/>
      <w:lang w:val="la-Latn"/>
    </w:rPr>
  </w:style>
  <w:style w:type="paragraph" w:customStyle="1" w:styleId="BodyText-BarcRA72">
    <w:name w:val="Body Text - Barc RA_72"/>
    <w:link w:val="BodyText-BarcRAChar53"/>
    <w:qFormat/>
    <w:rsid w:val="005D52ED"/>
    <w:pPr>
      <w:spacing w:before="180" w:after="180"/>
      <w:jc w:val="both"/>
    </w:pPr>
    <w:rPr>
      <w:rFonts w:ascii="Expert Sans Regular" w:hAnsi="Expert Sans Regular"/>
      <w:sz w:val="18"/>
      <w:lang w:eastAsia="en-US"/>
    </w:rPr>
  </w:style>
  <w:style w:type="character" w:customStyle="1" w:styleId="BodyText-BarcRAChar53">
    <w:name w:val="Body Text - Barc RA Char_53"/>
    <w:basedOn w:val="DefaultParagraphFont"/>
    <w:link w:val="BodyText-BarcRA72"/>
    <w:rsid w:val="005D52ED"/>
    <w:rPr>
      <w:rFonts w:ascii="Expert Sans Regular" w:hAnsi="Expert Sans Regular"/>
      <w:sz w:val="18"/>
      <w:lang w:val="en-GB" w:eastAsia="en-US" w:bidi="ar-SA"/>
    </w:rPr>
  </w:style>
  <w:style w:type="character" w:customStyle="1" w:styleId="HeadingLevel1-BarcRAChar36">
    <w:name w:val="Heading Level 1 - Barc RA Char_36"/>
    <w:basedOn w:val="DefaultParagraphFont"/>
    <w:link w:val="HeadingLevel1-BarcRA46"/>
    <w:rsid w:val="009705AC"/>
    <w:rPr>
      <w:rFonts w:ascii="Expert Sans Regular" w:hAnsi="Expert Sans Regular"/>
      <w:b/>
      <w:bCs/>
      <w:color w:val="000000"/>
      <w:sz w:val="24"/>
      <w:lang w:val="la-Latn"/>
    </w:rPr>
  </w:style>
  <w:style w:type="paragraph" w:customStyle="1" w:styleId="Level1Bullet-BarcRA410">
    <w:name w:val="Level 1 Bullet - Barc RA_41"/>
    <w:basedOn w:val="BodyText-BarcRA72"/>
    <w:link w:val="Level1Bullet-BarcRAChar33"/>
    <w:qFormat/>
    <w:rsid w:val="00A85CEE"/>
    <w:pPr>
      <w:numPr>
        <w:numId w:val="211"/>
      </w:numPr>
    </w:pPr>
    <w:rPr>
      <w:lang w:val="la-Latn"/>
    </w:rPr>
  </w:style>
  <w:style w:type="character" w:customStyle="1" w:styleId="Level1Bullet-BarcRAChar33">
    <w:name w:val="Level 1 Bullet - Barc RA Char_33"/>
    <w:basedOn w:val="BodyText-BarcRAChar53"/>
    <w:link w:val="Level1Bullet-BarcRA410"/>
    <w:rsid w:val="00A85CEE"/>
    <w:rPr>
      <w:rFonts w:ascii="Expert Sans Regular" w:hAnsi="Expert Sans Regular"/>
      <w:sz w:val="18"/>
      <w:lang w:val="la-Latn" w:eastAsia="en-US" w:bidi="ar-SA"/>
    </w:rPr>
  </w:style>
  <w:style w:type="paragraph" w:customStyle="1" w:styleId="NoteSourceText-BarcRA11">
    <w:name w:val="Note &amp; Source Text - Barc RA_11"/>
    <w:basedOn w:val="Normal103"/>
    <w:link w:val="NoteSourceText-BarcRAChar10"/>
    <w:rsid w:val="00B268DD"/>
    <w:pPr>
      <w:tabs>
        <w:tab w:val="left" w:pos="284"/>
      </w:tabs>
      <w:spacing w:before="20" w:after="20" w:line="240" w:lineRule="auto"/>
      <w:ind w:left="284" w:hanging="284"/>
      <w:jc w:val="both"/>
    </w:pPr>
    <w:rPr>
      <w:rFonts w:ascii="Expert Sans Regular" w:hAnsi="Expert Sans Regular"/>
      <w:i/>
      <w:iCs/>
      <w:sz w:val="14"/>
      <w:szCs w:val="14"/>
    </w:rPr>
  </w:style>
  <w:style w:type="paragraph" w:customStyle="1" w:styleId="Normal103">
    <w:name w:val="Normal_103"/>
    <w:qFormat/>
    <w:rsid w:val="007E0007"/>
    <w:pPr>
      <w:spacing w:after="200" w:line="276" w:lineRule="auto"/>
    </w:pPr>
    <w:rPr>
      <w:sz w:val="22"/>
      <w:szCs w:val="22"/>
      <w:lang w:eastAsia="en-US"/>
    </w:rPr>
  </w:style>
  <w:style w:type="character" w:customStyle="1" w:styleId="NoteSourceText-BarcRAChar10">
    <w:name w:val="Note &amp; Source Text - Barc RA Char_10"/>
    <w:basedOn w:val="DefaultParagraphFont"/>
    <w:link w:val="NoteSourceText-BarcRA11"/>
    <w:rsid w:val="00B268DD"/>
    <w:rPr>
      <w:rFonts w:ascii="Expert Sans Regular" w:eastAsia="Times New Roman" w:hAnsi="Expert Sans Regular"/>
      <w:i/>
      <w:iCs/>
      <w:sz w:val="14"/>
      <w:szCs w:val="14"/>
      <w:lang w:eastAsia="en-US"/>
    </w:rPr>
  </w:style>
  <w:style w:type="paragraph" w:customStyle="1" w:styleId="HeadingLevel1-BarcRA47">
    <w:name w:val="Heading Level 1 - Barc RA_47"/>
    <w:basedOn w:val="BodyText-BarcRA73"/>
    <w:next w:val="BodyText-BarcRA73"/>
    <w:link w:val="HeadingLevel1-BarcRAChar37"/>
    <w:rsid w:val="002611B5"/>
    <w:pPr>
      <w:spacing w:before="0"/>
    </w:pPr>
    <w:rPr>
      <w:b/>
      <w:bCs/>
      <w:color w:val="000000"/>
      <w:sz w:val="24"/>
      <w:lang w:val="la-Latn"/>
    </w:rPr>
  </w:style>
  <w:style w:type="paragraph" w:customStyle="1" w:styleId="BodyText-BarcRA73">
    <w:name w:val="Body Text - Barc RA_73"/>
    <w:link w:val="BodyText-BarcRAChar54"/>
    <w:qFormat/>
    <w:rsid w:val="005D52ED"/>
    <w:pPr>
      <w:spacing w:before="180" w:after="180"/>
      <w:jc w:val="both"/>
    </w:pPr>
    <w:rPr>
      <w:rFonts w:ascii="Expert Sans Regular" w:hAnsi="Expert Sans Regular"/>
      <w:sz w:val="18"/>
      <w:lang w:eastAsia="en-US"/>
    </w:rPr>
  </w:style>
  <w:style w:type="character" w:customStyle="1" w:styleId="BodyText-BarcRAChar54">
    <w:name w:val="Body Text - Barc RA Char_54"/>
    <w:basedOn w:val="DefaultParagraphFont"/>
    <w:link w:val="BodyText-BarcRA73"/>
    <w:rsid w:val="005D52ED"/>
    <w:rPr>
      <w:rFonts w:ascii="Expert Sans Regular" w:hAnsi="Expert Sans Regular"/>
      <w:sz w:val="18"/>
      <w:lang w:val="en-GB" w:eastAsia="en-US" w:bidi="ar-SA"/>
    </w:rPr>
  </w:style>
  <w:style w:type="character" w:customStyle="1" w:styleId="HeadingLevel1-BarcRAChar37">
    <w:name w:val="Heading Level 1 - Barc RA Char_37"/>
    <w:basedOn w:val="DefaultParagraphFont"/>
    <w:link w:val="HeadingLevel1-BarcRA47"/>
    <w:rsid w:val="009705AC"/>
    <w:rPr>
      <w:rFonts w:ascii="Expert Sans Regular" w:hAnsi="Expert Sans Regular"/>
      <w:b/>
      <w:bCs/>
      <w:color w:val="000000"/>
      <w:sz w:val="24"/>
      <w:lang w:val="la-Latn"/>
    </w:rPr>
  </w:style>
  <w:style w:type="paragraph" w:customStyle="1" w:styleId="HeaderSpacerwithLine-BarcRA13">
    <w:name w:val="Header Spacer with Line - Barc RA_13"/>
    <w:basedOn w:val="BodyText-BarcRA73"/>
    <w:link w:val="HeaderSpacerwithLine-BarcRAChar7"/>
    <w:rsid w:val="00016DD8"/>
    <w:pPr>
      <w:pBdr>
        <w:top w:val="single" w:sz="4" w:space="1" w:color="auto"/>
      </w:pBdr>
      <w:spacing w:before="0" w:after="0"/>
    </w:pPr>
    <w:rPr>
      <w:sz w:val="10"/>
      <w:szCs w:val="10"/>
    </w:rPr>
  </w:style>
  <w:style w:type="character" w:customStyle="1" w:styleId="HeaderSpacerwithLine-BarcRAChar7">
    <w:name w:val="Header Spacer with Line - Barc RA Char_7"/>
    <w:basedOn w:val="BodyText-BarcRAChar54"/>
    <w:link w:val="HeaderSpacerwithLine-BarcRA13"/>
    <w:rsid w:val="000E2451"/>
    <w:rPr>
      <w:rFonts w:ascii="Expert Sans Regular" w:hAnsi="Expert Sans Regular"/>
      <w:sz w:val="10"/>
      <w:szCs w:val="10"/>
      <w:lang w:val="en-GB" w:eastAsia="en-US" w:bidi="ar-SA"/>
    </w:rPr>
  </w:style>
  <w:style w:type="paragraph" w:customStyle="1" w:styleId="BodyText-BarcRA74">
    <w:name w:val="Body Text - Barc RA_74"/>
    <w:link w:val="BodyText-BarcRAChar55"/>
    <w:qFormat/>
    <w:rsid w:val="005D52ED"/>
    <w:pPr>
      <w:spacing w:before="180" w:after="180"/>
      <w:jc w:val="both"/>
    </w:pPr>
    <w:rPr>
      <w:rFonts w:ascii="Expert Sans Regular" w:hAnsi="Expert Sans Regular"/>
      <w:sz w:val="18"/>
      <w:lang w:eastAsia="en-US"/>
    </w:rPr>
  </w:style>
  <w:style w:type="character" w:customStyle="1" w:styleId="BodyText-BarcRAChar55">
    <w:name w:val="Body Text - Barc RA Char_55"/>
    <w:basedOn w:val="DefaultParagraphFont"/>
    <w:link w:val="BodyText-BarcRA74"/>
    <w:rsid w:val="005D52ED"/>
    <w:rPr>
      <w:rFonts w:ascii="Expert Sans Regular" w:hAnsi="Expert Sans Regular"/>
      <w:sz w:val="18"/>
      <w:lang w:val="en-GB" w:eastAsia="en-US" w:bidi="ar-SA"/>
    </w:rPr>
  </w:style>
  <w:style w:type="paragraph" w:customStyle="1" w:styleId="Level1Bullet-BarcRA42">
    <w:name w:val="Level 1 Bullet - Barc RA_42"/>
    <w:basedOn w:val="BodyText-BarcRA74"/>
    <w:link w:val="Level1Bullet-BarcRAChar34"/>
    <w:rsid w:val="00A85CEE"/>
    <w:rPr>
      <w:lang w:val="la-Latn"/>
    </w:rPr>
  </w:style>
  <w:style w:type="character" w:customStyle="1" w:styleId="Level1Bullet-BarcRAChar34">
    <w:name w:val="Level 1 Bullet - Barc RA Char_34"/>
    <w:basedOn w:val="BodyText-BarcRAChar55"/>
    <w:link w:val="Level1Bullet-BarcRA42"/>
    <w:rsid w:val="00A85CEE"/>
    <w:rPr>
      <w:rFonts w:ascii="Expert Sans Regular" w:hAnsi="Expert Sans Regular"/>
      <w:sz w:val="18"/>
      <w:lang w:val="la-Latn" w:eastAsia="en-US" w:bidi="ar-SA"/>
    </w:rPr>
  </w:style>
  <w:style w:type="paragraph" w:customStyle="1" w:styleId="HeadingLevel1-BarcRA48">
    <w:name w:val="Heading Level 1 - Barc RA_48"/>
    <w:basedOn w:val="BodyText-BarcRA75"/>
    <w:next w:val="BodyText-BarcRA75"/>
    <w:link w:val="HeadingLevel1-BarcRAChar38"/>
    <w:rsid w:val="002611B5"/>
    <w:pPr>
      <w:spacing w:before="0"/>
    </w:pPr>
    <w:rPr>
      <w:b/>
      <w:bCs/>
      <w:color w:val="000000"/>
      <w:sz w:val="24"/>
      <w:lang w:val="la-Latn"/>
    </w:rPr>
  </w:style>
  <w:style w:type="paragraph" w:customStyle="1" w:styleId="BodyText-BarcRA75">
    <w:name w:val="Body Text - Barc RA_75"/>
    <w:link w:val="BodyText-BarcRAChar56"/>
    <w:qFormat/>
    <w:rsid w:val="005D52ED"/>
    <w:pPr>
      <w:spacing w:before="180" w:after="180"/>
      <w:jc w:val="both"/>
    </w:pPr>
    <w:rPr>
      <w:rFonts w:ascii="Expert Sans Regular" w:hAnsi="Expert Sans Regular"/>
      <w:sz w:val="18"/>
      <w:lang w:eastAsia="en-US"/>
    </w:rPr>
  </w:style>
  <w:style w:type="character" w:customStyle="1" w:styleId="BodyText-BarcRAChar56">
    <w:name w:val="Body Text - Barc RA Char_56"/>
    <w:basedOn w:val="DefaultParagraphFont"/>
    <w:link w:val="BodyText-BarcRA75"/>
    <w:rsid w:val="005D52ED"/>
    <w:rPr>
      <w:rFonts w:ascii="Expert Sans Regular" w:hAnsi="Expert Sans Regular"/>
      <w:sz w:val="18"/>
      <w:lang w:val="en-GB" w:eastAsia="en-US" w:bidi="ar-SA"/>
    </w:rPr>
  </w:style>
  <w:style w:type="character" w:customStyle="1" w:styleId="HeadingLevel1-BarcRAChar38">
    <w:name w:val="Heading Level 1 - Barc RA Char_38"/>
    <w:basedOn w:val="DefaultParagraphFont"/>
    <w:link w:val="HeadingLevel1-BarcRA48"/>
    <w:rsid w:val="009705AC"/>
    <w:rPr>
      <w:rFonts w:ascii="Expert Sans Regular" w:hAnsi="Expert Sans Regular"/>
      <w:b/>
      <w:bCs/>
      <w:color w:val="000000"/>
      <w:sz w:val="24"/>
      <w:lang w:val="la-Latn"/>
    </w:rPr>
  </w:style>
  <w:style w:type="paragraph" w:customStyle="1" w:styleId="HeaderSpacerwithLine-BarcRA14">
    <w:name w:val="Header Spacer with Line - Barc RA_14"/>
    <w:basedOn w:val="BodyText-BarcRA75"/>
    <w:link w:val="HeaderSpacerwithLine-BarcRAChar8"/>
    <w:rsid w:val="00016DD8"/>
    <w:pPr>
      <w:pBdr>
        <w:top w:val="single" w:sz="4" w:space="1" w:color="auto"/>
      </w:pBdr>
      <w:spacing w:before="0" w:after="0"/>
    </w:pPr>
    <w:rPr>
      <w:sz w:val="10"/>
      <w:szCs w:val="10"/>
    </w:rPr>
  </w:style>
  <w:style w:type="character" w:customStyle="1" w:styleId="HeaderSpacerwithLine-BarcRAChar8">
    <w:name w:val="Header Spacer with Line - Barc RA Char_8"/>
    <w:basedOn w:val="BodyText-BarcRAChar56"/>
    <w:link w:val="HeaderSpacerwithLine-BarcRA14"/>
    <w:rsid w:val="000E2451"/>
    <w:rPr>
      <w:rFonts w:ascii="Expert Sans Regular" w:hAnsi="Expert Sans Regular"/>
      <w:sz w:val="10"/>
      <w:szCs w:val="10"/>
      <w:lang w:val="en-GB" w:eastAsia="en-US" w:bidi="ar-SA"/>
    </w:rPr>
  </w:style>
  <w:style w:type="paragraph" w:customStyle="1" w:styleId="Normal104">
    <w:name w:val="Normal_104"/>
    <w:qFormat/>
    <w:rsid w:val="009705AC"/>
    <w:rPr>
      <w:rFonts w:ascii="Expert Sans Regular" w:hAnsi="Expert Sans Regular"/>
      <w:sz w:val="18"/>
      <w:szCs w:val="24"/>
      <w:lang w:eastAsia="en-US"/>
    </w:rPr>
  </w:style>
  <w:style w:type="paragraph" w:customStyle="1" w:styleId="NoteandSourceText-BarcRA22">
    <w:name w:val="Note and Source Text - Barc RA_22"/>
    <w:basedOn w:val="Normal104"/>
    <w:qFormat/>
    <w:rsid w:val="00F75374"/>
    <w:pPr>
      <w:numPr>
        <w:numId w:val="212"/>
      </w:numPr>
      <w:tabs>
        <w:tab w:val="left" w:pos="284"/>
      </w:tabs>
      <w:spacing w:before="20" w:after="20"/>
      <w:jc w:val="both"/>
    </w:pPr>
    <w:rPr>
      <w:i/>
      <w:iCs/>
      <w:sz w:val="14"/>
      <w:szCs w:val="14"/>
    </w:rPr>
  </w:style>
  <w:style w:type="paragraph" w:customStyle="1" w:styleId="HeadingLevel1-BarcRA49">
    <w:name w:val="Heading Level 1 - Barc RA_49"/>
    <w:basedOn w:val="BodyText-BarcRA76"/>
    <w:next w:val="BodyText-BarcRA76"/>
    <w:link w:val="HeadingLevel1-BarcRAChar39"/>
    <w:qFormat/>
    <w:rsid w:val="002611B5"/>
    <w:pPr>
      <w:spacing w:before="0"/>
    </w:pPr>
    <w:rPr>
      <w:b/>
      <w:bCs/>
      <w:color w:val="000000"/>
      <w:sz w:val="24"/>
      <w:lang w:val="la-Latn"/>
    </w:rPr>
  </w:style>
  <w:style w:type="paragraph" w:customStyle="1" w:styleId="BodyText-BarcRA76">
    <w:name w:val="Body Text - Barc RA_76"/>
    <w:link w:val="BodyText-BarcRAChar57"/>
    <w:qFormat/>
    <w:rsid w:val="005D52ED"/>
    <w:pPr>
      <w:spacing w:before="180" w:after="180"/>
      <w:jc w:val="both"/>
    </w:pPr>
    <w:rPr>
      <w:rFonts w:ascii="Expert Sans Regular" w:hAnsi="Expert Sans Regular"/>
      <w:sz w:val="18"/>
      <w:lang w:eastAsia="en-US"/>
    </w:rPr>
  </w:style>
  <w:style w:type="character" w:customStyle="1" w:styleId="BodyText-BarcRAChar57">
    <w:name w:val="Body Text - Barc RA Char_57"/>
    <w:basedOn w:val="DefaultParagraphFont"/>
    <w:link w:val="BodyText-BarcRA76"/>
    <w:rsid w:val="005D52ED"/>
    <w:rPr>
      <w:rFonts w:ascii="Expert Sans Regular" w:hAnsi="Expert Sans Regular"/>
      <w:sz w:val="18"/>
      <w:lang w:val="en-GB" w:eastAsia="en-US" w:bidi="ar-SA"/>
    </w:rPr>
  </w:style>
  <w:style w:type="character" w:customStyle="1" w:styleId="HeadingLevel1-BarcRAChar39">
    <w:name w:val="Heading Level 1 - Barc RA Char_39"/>
    <w:basedOn w:val="DefaultParagraphFont"/>
    <w:link w:val="HeadingLevel1-BarcRA49"/>
    <w:rsid w:val="009705AC"/>
    <w:rPr>
      <w:rFonts w:ascii="Expert Sans Regular" w:hAnsi="Expert Sans Regular"/>
      <w:b/>
      <w:bCs/>
      <w:color w:val="000000"/>
      <w:sz w:val="24"/>
      <w:lang w:val="la-Latn"/>
    </w:rPr>
  </w:style>
  <w:style w:type="paragraph" w:customStyle="1" w:styleId="HeaderSpacerwithLine-BarcRA15">
    <w:name w:val="Header Spacer with Line - Barc RA_15"/>
    <w:basedOn w:val="BodyText-BarcRA76"/>
    <w:link w:val="HeaderSpacerwithLine-BarcRAChar9"/>
    <w:qFormat/>
    <w:rsid w:val="00016DD8"/>
    <w:pPr>
      <w:pBdr>
        <w:top w:val="single" w:sz="4" w:space="1" w:color="auto"/>
      </w:pBdr>
      <w:spacing w:before="0" w:after="0"/>
    </w:pPr>
    <w:rPr>
      <w:sz w:val="10"/>
      <w:szCs w:val="10"/>
    </w:rPr>
  </w:style>
  <w:style w:type="character" w:customStyle="1" w:styleId="HeaderSpacerwithLine-BarcRAChar9">
    <w:name w:val="Header Spacer with Line - Barc RA Char_9"/>
    <w:basedOn w:val="BodyText-BarcRAChar57"/>
    <w:link w:val="HeaderSpacerwithLine-BarcRA15"/>
    <w:rsid w:val="000E2451"/>
    <w:rPr>
      <w:rFonts w:ascii="Expert Sans Regular" w:hAnsi="Expert Sans Regular"/>
      <w:sz w:val="10"/>
      <w:szCs w:val="10"/>
      <w:lang w:val="en-GB" w:eastAsia="en-US" w:bidi="ar-SA"/>
    </w:rPr>
  </w:style>
  <w:style w:type="paragraph" w:customStyle="1" w:styleId="HeadingLevel1-BarcRA50">
    <w:name w:val="Heading Level 1 - Barc RA_50"/>
    <w:basedOn w:val="BodyText-BarcRA77"/>
    <w:next w:val="BodyText-BarcRA77"/>
    <w:link w:val="HeadingLevel1-BarcRAChar40"/>
    <w:qFormat/>
    <w:rsid w:val="002611B5"/>
    <w:pPr>
      <w:spacing w:before="0"/>
    </w:pPr>
    <w:rPr>
      <w:b/>
      <w:bCs/>
      <w:color w:val="000000"/>
      <w:sz w:val="24"/>
      <w:lang w:val="la-Latn"/>
    </w:rPr>
  </w:style>
  <w:style w:type="paragraph" w:customStyle="1" w:styleId="BodyText-BarcRA77">
    <w:name w:val="Body Text - Barc RA_77"/>
    <w:link w:val="BodyText-BarcRAChar58"/>
    <w:qFormat/>
    <w:rsid w:val="005D52ED"/>
    <w:pPr>
      <w:spacing w:before="180" w:after="180"/>
      <w:jc w:val="both"/>
    </w:pPr>
    <w:rPr>
      <w:rFonts w:ascii="Expert Sans Regular" w:hAnsi="Expert Sans Regular"/>
      <w:sz w:val="18"/>
      <w:lang w:eastAsia="en-US"/>
    </w:rPr>
  </w:style>
  <w:style w:type="character" w:customStyle="1" w:styleId="BodyText-BarcRAChar58">
    <w:name w:val="Body Text - Barc RA Char_58"/>
    <w:basedOn w:val="DefaultParagraphFont"/>
    <w:link w:val="BodyText-BarcRA77"/>
    <w:rsid w:val="005D52ED"/>
    <w:rPr>
      <w:rFonts w:ascii="Expert Sans Regular" w:hAnsi="Expert Sans Regular"/>
      <w:sz w:val="18"/>
      <w:lang w:val="en-GB" w:eastAsia="en-US" w:bidi="ar-SA"/>
    </w:rPr>
  </w:style>
  <w:style w:type="character" w:customStyle="1" w:styleId="HeadingLevel1-BarcRAChar40">
    <w:name w:val="Heading Level 1 - Barc RA Char_40"/>
    <w:basedOn w:val="DefaultParagraphFont"/>
    <w:link w:val="HeadingLevel1-BarcRA50"/>
    <w:rsid w:val="009705AC"/>
    <w:rPr>
      <w:rFonts w:ascii="Expert Sans Regular" w:hAnsi="Expert Sans Regular"/>
      <w:b/>
      <w:bCs/>
      <w:color w:val="000000"/>
      <w:sz w:val="24"/>
      <w:lang w:val="la-Latn"/>
    </w:rPr>
  </w:style>
  <w:style w:type="paragraph" w:customStyle="1" w:styleId="Normal105">
    <w:name w:val="Normal_105"/>
    <w:qFormat/>
    <w:rsid w:val="009705AC"/>
    <w:rPr>
      <w:rFonts w:ascii="Expert Sans Regular" w:hAnsi="Expert Sans Regular"/>
      <w:sz w:val="18"/>
      <w:szCs w:val="24"/>
      <w:lang w:eastAsia="en-US"/>
    </w:rPr>
  </w:style>
  <w:style w:type="paragraph" w:customStyle="1" w:styleId="Normal10000">
    <w:name w:val="Normal_100_0"/>
    <w:qFormat/>
    <w:rsid w:val="003C0E67"/>
    <w:rPr>
      <w:rFonts w:ascii="Expert Sans Regular" w:hAnsi="Expert Sans Regular"/>
      <w:sz w:val="18"/>
      <w:szCs w:val="24"/>
      <w:lang w:eastAsia="en-US"/>
    </w:rPr>
  </w:style>
  <w:style w:type="paragraph" w:customStyle="1" w:styleId="Normal106">
    <w:name w:val="Normal_106"/>
    <w:qFormat/>
    <w:rsid w:val="009705AC"/>
    <w:rPr>
      <w:rFonts w:ascii="Expert Sans Regular" w:hAnsi="Expert Sans Regular"/>
      <w:sz w:val="18"/>
      <w:szCs w:val="24"/>
      <w:lang w:eastAsia="en-US"/>
    </w:rPr>
  </w:style>
  <w:style w:type="paragraph" w:customStyle="1" w:styleId="HeadingLevel2-BarcRA22">
    <w:name w:val="Heading Level 2 - Barc RA_22"/>
    <w:basedOn w:val="Normal107"/>
    <w:next w:val="Normal107"/>
    <w:qFormat/>
    <w:locked/>
    <w:rsid w:val="00EE7615"/>
    <w:pPr>
      <w:spacing w:before="240" w:after="0" w:line="240" w:lineRule="auto"/>
      <w:jc w:val="both"/>
    </w:pPr>
    <w:rPr>
      <w:rFonts w:ascii="Expert Sans Regular" w:hAnsi="Expert Sans Regular"/>
      <w:b/>
      <w:bCs/>
      <w:color w:val="000000"/>
      <w:sz w:val="20"/>
      <w:szCs w:val="20"/>
      <w:lang w:val="la-Latn"/>
    </w:rPr>
  </w:style>
  <w:style w:type="paragraph" w:customStyle="1" w:styleId="Normal107">
    <w:name w:val="Normal_107"/>
    <w:qFormat/>
    <w:rsid w:val="00DE0D86"/>
    <w:pPr>
      <w:spacing w:after="200" w:line="276" w:lineRule="auto"/>
    </w:pPr>
    <w:rPr>
      <w:sz w:val="22"/>
      <w:szCs w:val="22"/>
      <w:lang w:eastAsia="en-US"/>
    </w:rPr>
  </w:style>
  <w:style w:type="paragraph" w:customStyle="1" w:styleId="Level1Bullet-BarcRA390">
    <w:name w:val="Level 1 Bullet - Barc RA_39_0"/>
    <w:basedOn w:val="Normal108"/>
    <w:qFormat/>
    <w:rsid w:val="005E095F"/>
    <w:pPr>
      <w:spacing w:before="180" w:after="180"/>
      <w:jc w:val="both"/>
    </w:pPr>
    <w:rPr>
      <w:szCs w:val="20"/>
      <w:lang w:val="la-Latn"/>
    </w:rPr>
  </w:style>
  <w:style w:type="paragraph" w:customStyle="1" w:styleId="Normal108">
    <w:name w:val="Normal_108"/>
    <w:qFormat/>
    <w:rsid w:val="009705AC"/>
    <w:rPr>
      <w:rFonts w:ascii="Expert Sans Regular" w:hAnsi="Expert Sans Regular"/>
      <w:sz w:val="18"/>
      <w:szCs w:val="24"/>
      <w:lang w:eastAsia="en-US"/>
    </w:rPr>
  </w:style>
  <w:style w:type="paragraph" w:customStyle="1" w:styleId="NoteandSourceText-BarcRA130">
    <w:name w:val="Note and Source Text - Barc RA_13_0"/>
    <w:basedOn w:val="Normal108"/>
    <w:qFormat/>
    <w:rsid w:val="000F0BF8"/>
    <w:pPr>
      <w:tabs>
        <w:tab w:val="left" w:pos="284"/>
      </w:tabs>
      <w:spacing w:before="20" w:after="20"/>
      <w:jc w:val="both"/>
    </w:pPr>
    <w:rPr>
      <w:rFonts w:eastAsia="Expert Sans Regular" w:cs="Expert Sans Regular"/>
      <w:i/>
      <w:iCs/>
      <w:sz w:val="14"/>
      <w:szCs w:val="14"/>
      <w:lang w:val="en-US"/>
    </w:rPr>
  </w:style>
  <w:style w:type="paragraph" w:customStyle="1" w:styleId="Level2Bullet-BarcRA10000">
    <w:name w:val="Level 2 Bullet - Barc RA_1_0_0_0_0"/>
    <w:basedOn w:val="Normal108"/>
    <w:qFormat/>
    <w:rsid w:val="00D81269"/>
    <w:pPr>
      <w:spacing w:before="180" w:after="180"/>
      <w:jc w:val="both"/>
    </w:pPr>
    <w:rPr>
      <w:szCs w:val="20"/>
      <w:lang w:val="la-Latn"/>
    </w:rPr>
  </w:style>
  <w:style w:type="paragraph" w:customStyle="1" w:styleId="Level1Bullet-BarcRA391">
    <w:name w:val="Level 1 Bullet - Barc RA_39_1"/>
    <w:basedOn w:val="Normal108"/>
    <w:qFormat/>
    <w:rsid w:val="00AA260B"/>
    <w:pPr>
      <w:numPr>
        <w:numId w:val="213"/>
      </w:numPr>
      <w:spacing w:before="180" w:after="180"/>
      <w:jc w:val="both"/>
    </w:pPr>
    <w:rPr>
      <w:szCs w:val="20"/>
      <w:lang w:val="la-Latn"/>
    </w:rPr>
  </w:style>
  <w:style w:type="paragraph" w:customStyle="1" w:styleId="HeadingLevel2-BarcRA23">
    <w:name w:val="Heading Level 2 - Barc RA_23"/>
    <w:basedOn w:val="Normal109"/>
    <w:next w:val="Normal109"/>
    <w:qFormat/>
    <w:locked/>
    <w:rsid w:val="00EE7615"/>
    <w:pPr>
      <w:spacing w:before="240" w:after="0" w:line="240" w:lineRule="auto"/>
      <w:jc w:val="both"/>
    </w:pPr>
    <w:rPr>
      <w:rFonts w:ascii="Expert Sans Regular" w:hAnsi="Expert Sans Regular"/>
      <w:b/>
      <w:bCs/>
      <w:color w:val="000000"/>
      <w:sz w:val="20"/>
      <w:szCs w:val="20"/>
      <w:lang w:val="la-Latn"/>
    </w:rPr>
  </w:style>
  <w:style w:type="paragraph" w:customStyle="1" w:styleId="Normal109">
    <w:name w:val="Normal_109"/>
    <w:qFormat/>
    <w:rsid w:val="00DE0D86"/>
    <w:pPr>
      <w:spacing w:after="200" w:line="276" w:lineRule="auto"/>
    </w:pPr>
    <w:rPr>
      <w:sz w:val="22"/>
      <w:szCs w:val="22"/>
      <w:lang w:eastAsia="en-US"/>
    </w:rPr>
  </w:style>
  <w:style w:type="paragraph" w:customStyle="1" w:styleId="BodyText-BarcRA78">
    <w:name w:val="Body Text - Barc RA_78"/>
    <w:link w:val="BodyText-BarcRAChar59"/>
    <w:qFormat/>
    <w:rsid w:val="005D52ED"/>
    <w:pPr>
      <w:spacing w:before="180" w:after="180"/>
      <w:jc w:val="both"/>
    </w:pPr>
    <w:rPr>
      <w:rFonts w:ascii="Expert Sans Regular" w:hAnsi="Expert Sans Regular"/>
      <w:sz w:val="18"/>
      <w:lang w:eastAsia="en-US"/>
    </w:rPr>
  </w:style>
  <w:style w:type="character" w:customStyle="1" w:styleId="BodyText-BarcRAChar59">
    <w:name w:val="Body Text - Barc RA Char_59"/>
    <w:basedOn w:val="DefaultParagraphFont"/>
    <w:link w:val="BodyText-BarcRA78"/>
    <w:rsid w:val="005D52ED"/>
    <w:rPr>
      <w:rFonts w:ascii="Expert Sans Regular" w:hAnsi="Expert Sans Regular"/>
      <w:sz w:val="18"/>
      <w:lang w:val="en-GB" w:eastAsia="en-US" w:bidi="ar-SA"/>
    </w:rPr>
  </w:style>
  <w:style w:type="paragraph" w:customStyle="1" w:styleId="Normal1101">
    <w:name w:val="Normal_110"/>
    <w:qFormat/>
    <w:rsid w:val="00DE0D86"/>
    <w:pPr>
      <w:spacing w:after="200" w:line="276" w:lineRule="auto"/>
    </w:pPr>
    <w:rPr>
      <w:sz w:val="22"/>
      <w:szCs w:val="22"/>
      <w:lang w:eastAsia="en-US"/>
    </w:rPr>
  </w:style>
  <w:style w:type="paragraph" w:customStyle="1" w:styleId="Normal490">
    <w:name w:val="Normal_49_0"/>
    <w:basedOn w:val="Normal1101"/>
    <w:qFormat/>
    <w:rsid w:val="00436987"/>
    <w:pPr>
      <w:spacing w:after="0" w:line="240" w:lineRule="auto"/>
    </w:pPr>
    <w:rPr>
      <w:rFonts w:ascii="Expert Sans Regular" w:eastAsia="Calibri" w:hAnsi="Expert Sans Regular"/>
      <w:sz w:val="18"/>
      <w:szCs w:val="18"/>
      <w:lang w:eastAsia="en-GB"/>
    </w:rPr>
  </w:style>
  <w:style w:type="paragraph" w:customStyle="1" w:styleId="HeadingLevel1-BarcRA51">
    <w:name w:val="Heading Level 1 - Barc RA_51"/>
    <w:basedOn w:val="BodyText-BarcRA79"/>
    <w:next w:val="BodyText-BarcRA79"/>
    <w:link w:val="HeadingLevel1-BarcRAChar41"/>
    <w:qFormat/>
    <w:rsid w:val="002611B5"/>
    <w:pPr>
      <w:spacing w:before="0"/>
    </w:pPr>
    <w:rPr>
      <w:b/>
      <w:bCs/>
      <w:color w:val="000000"/>
      <w:sz w:val="24"/>
      <w:lang w:val="la-Latn"/>
    </w:rPr>
  </w:style>
  <w:style w:type="paragraph" w:customStyle="1" w:styleId="BodyText-BarcRA79">
    <w:name w:val="Body Text - Barc RA_79"/>
    <w:link w:val="BodyText-BarcRAChar60"/>
    <w:qFormat/>
    <w:rsid w:val="005D52ED"/>
    <w:pPr>
      <w:spacing w:before="180" w:after="180"/>
      <w:jc w:val="both"/>
    </w:pPr>
    <w:rPr>
      <w:rFonts w:ascii="Expert Sans Regular" w:hAnsi="Expert Sans Regular"/>
      <w:sz w:val="18"/>
      <w:lang w:eastAsia="en-US"/>
    </w:rPr>
  </w:style>
  <w:style w:type="character" w:customStyle="1" w:styleId="BodyText-BarcRAChar60">
    <w:name w:val="Body Text - Barc RA Char_60"/>
    <w:basedOn w:val="DefaultParagraphFont"/>
    <w:link w:val="BodyText-BarcRA79"/>
    <w:rsid w:val="005D52ED"/>
    <w:rPr>
      <w:rFonts w:ascii="Expert Sans Regular" w:hAnsi="Expert Sans Regular"/>
      <w:sz w:val="18"/>
      <w:lang w:val="en-GB" w:eastAsia="en-US" w:bidi="ar-SA"/>
    </w:rPr>
  </w:style>
  <w:style w:type="character" w:customStyle="1" w:styleId="HeadingLevel1-BarcRAChar41">
    <w:name w:val="Heading Level 1 - Barc RA Char_41"/>
    <w:basedOn w:val="DefaultParagraphFont"/>
    <w:link w:val="HeadingLevel1-BarcRA51"/>
    <w:rsid w:val="009705AC"/>
    <w:rPr>
      <w:rFonts w:ascii="Expert Sans Regular" w:hAnsi="Expert Sans Regular"/>
      <w:b/>
      <w:bCs/>
      <w:color w:val="000000"/>
      <w:sz w:val="24"/>
      <w:lang w:val="la-Latn"/>
    </w:rPr>
  </w:style>
  <w:style w:type="paragraph" w:customStyle="1" w:styleId="Normal111">
    <w:name w:val="Normal_111"/>
    <w:qFormat/>
    <w:rsid w:val="009705AC"/>
    <w:rPr>
      <w:rFonts w:ascii="Expert Sans Regular" w:hAnsi="Expert Sans Regular"/>
      <w:sz w:val="18"/>
      <w:szCs w:val="24"/>
      <w:lang w:eastAsia="en-US"/>
    </w:rPr>
  </w:style>
  <w:style w:type="paragraph" w:customStyle="1" w:styleId="Normal120">
    <w:name w:val="Normal_1_2"/>
    <w:qFormat/>
    <w:rsid w:val="00317364"/>
    <w:rPr>
      <w:rFonts w:ascii="Expert Sans Regular" w:hAnsi="Expert Sans Regular"/>
      <w:sz w:val="18"/>
      <w:szCs w:val="24"/>
      <w:lang w:eastAsia="en-US"/>
    </w:rPr>
  </w:style>
  <w:style w:type="paragraph" w:customStyle="1" w:styleId="NoteandSourceText-BarcRA131">
    <w:name w:val="Note and Source Text - Barc RA_13_1"/>
    <w:basedOn w:val="Normal112"/>
    <w:qFormat/>
    <w:rsid w:val="00CC099E"/>
    <w:pPr>
      <w:numPr>
        <w:numId w:val="214"/>
      </w:numPr>
      <w:tabs>
        <w:tab w:val="left" w:pos="284"/>
      </w:tabs>
      <w:spacing w:before="20" w:after="20"/>
      <w:jc w:val="both"/>
    </w:pPr>
    <w:rPr>
      <w:rFonts w:eastAsia="Expert Sans Regular" w:cs="Expert Sans Regular"/>
      <w:i/>
      <w:iCs/>
      <w:sz w:val="14"/>
      <w:szCs w:val="14"/>
      <w:lang w:val="en-US"/>
    </w:rPr>
  </w:style>
  <w:style w:type="paragraph" w:customStyle="1" w:styleId="Normal112">
    <w:name w:val="Normal_112"/>
    <w:qFormat/>
    <w:rsid w:val="00BA4EC2"/>
    <w:rPr>
      <w:rFonts w:ascii="Expert Sans Regular" w:hAnsi="Expert Sans Regular"/>
      <w:sz w:val="18"/>
      <w:szCs w:val="24"/>
      <w:lang w:eastAsia="en-US"/>
    </w:rPr>
  </w:style>
  <w:style w:type="paragraph" w:customStyle="1" w:styleId="Normal113">
    <w:name w:val="Normal_113"/>
    <w:qFormat/>
    <w:rsid w:val="00DE0D86"/>
    <w:pPr>
      <w:spacing w:after="200" w:line="276" w:lineRule="auto"/>
    </w:pPr>
    <w:rPr>
      <w:sz w:val="22"/>
      <w:szCs w:val="22"/>
      <w:lang w:eastAsia="en-US"/>
    </w:rPr>
  </w:style>
  <w:style w:type="paragraph" w:customStyle="1" w:styleId="NoteandSourceText-BarcRA23">
    <w:name w:val="Note and Source Text - Barc RA_23"/>
    <w:basedOn w:val="Normal113"/>
    <w:qFormat/>
    <w:rsid w:val="0086702F"/>
    <w:pPr>
      <w:tabs>
        <w:tab w:val="left" w:pos="284"/>
      </w:tabs>
      <w:spacing w:before="20" w:after="20" w:line="240" w:lineRule="auto"/>
      <w:jc w:val="both"/>
    </w:pPr>
    <w:rPr>
      <w:rFonts w:ascii="Expert Sans Regular" w:hAnsi="Expert Sans Regular"/>
      <w:i/>
      <w:iCs/>
      <w:sz w:val="14"/>
      <w:szCs w:val="14"/>
    </w:rPr>
  </w:style>
  <w:style w:type="paragraph" w:customStyle="1" w:styleId="HeadingLevel1-BarcRA52">
    <w:name w:val="Heading Level 1 - Barc RA_52"/>
    <w:basedOn w:val="BodyText-BarcRA800"/>
    <w:next w:val="BodyText-BarcRA800"/>
    <w:link w:val="HeadingLevel1-BarcRAChar42"/>
    <w:rsid w:val="002611B5"/>
    <w:pPr>
      <w:spacing w:before="0"/>
    </w:pPr>
    <w:rPr>
      <w:b/>
      <w:bCs/>
      <w:color w:val="000000"/>
      <w:sz w:val="24"/>
      <w:lang w:val="la-Latn"/>
    </w:rPr>
  </w:style>
  <w:style w:type="paragraph" w:customStyle="1" w:styleId="BodyText-BarcRA800">
    <w:name w:val="Body Text - Barc RA_80"/>
    <w:link w:val="BodyText-BarcRAChar61"/>
    <w:qFormat/>
    <w:rsid w:val="005D52ED"/>
    <w:pPr>
      <w:spacing w:before="180" w:after="180"/>
      <w:jc w:val="both"/>
    </w:pPr>
    <w:rPr>
      <w:rFonts w:ascii="Expert Sans Regular" w:hAnsi="Expert Sans Regular"/>
      <w:sz w:val="18"/>
      <w:lang w:eastAsia="en-US"/>
    </w:rPr>
  </w:style>
  <w:style w:type="character" w:customStyle="1" w:styleId="BodyText-BarcRAChar61">
    <w:name w:val="Body Text - Barc RA Char_61"/>
    <w:basedOn w:val="DefaultParagraphFont"/>
    <w:link w:val="BodyText-BarcRA800"/>
    <w:rsid w:val="005D52ED"/>
    <w:rPr>
      <w:rFonts w:ascii="Expert Sans Regular" w:hAnsi="Expert Sans Regular"/>
      <w:sz w:val="18"/>
      <w:lang w:val="en-GB" w:eastAsia="en-US" w:bidi="ar-SA"/>
    </w:rPr>
  </w:style>
  <w:style w:type="character" w:customStyle="1" w:styleId="HeadingLevel1-BarcRAChar42">
    <w:name w:val="Heading Level 1 - Barc RA Char_42"/>
    <w:basedOn w:val="DefaultParagraphFont"/>
    <w:link w:val="HeadingLevel1-BarcRA52"/>
    <w:rsid w:val="009705AC"/>
    <w:rPr>
      <w:rFonts w:ascii="Expert Sans Regular" w:hAnsi="Expert Sans Regular"/>
      <w:b/>
      <w:bCs/>
      <w:color w:val="000000"/>
      <w:sz w:val="24"/>
      <w:lang w:val="la-Latn"/>
    </w:rPr>
  </w:style>
  <w:style w:type="paragraph" w:customStyle="1" w:styleId="Normal114">
    <w:name w:val="Normal_114"/>
    <w:qFormat/>
    <w:rsid w:val="009705AC"/>
    <w:rPr>
      <w:rFonts w:ascii="Expert Sans Regular" w:hAnsi="Expert Sans Regular"/>
      <w:sz w:val="18"/>
      <w:szCs w:val="24"/>
      <w:lang w:eastAsia="en-US"/>
    </w:rPr>
  </w:style>
  <w:style w:type="paragraph" w:customStyle="1" w:styleId="BodyText-BarcRA91">
    <w:name w:val="Body Text - Barc RA_91"/>
    <w:basedOn w:val="Normal115"/>
    <w:link w:val="BodyText-BarcRAChar800"/>
    <w:rsid w:val="000768F0"/>
    <w:pPr>
      <w:spacing w:before="180" w:after="180"/>
      <w:jc w:val="both"/>
    </w:pPr>
    <w:rPr>
      <w:sz w:val="20"/>
      <w:szCs w:val="20"/>
      <w:lang w:eastAsia="en-GB"/>
    </w:rPr>
  </w:style>
  <w:style w:type="paragraph" w:customStyle="1" w:styleId="Normal115">
    <w:name w:val="Normal_115"/>
    <w:qFormat/>
    <w:rsid w:val="009705AC"/>
    <w:rPr>
      <w:rFonts w:ascii="Expert Sans Regular" w:hAnsi="Expert Sans Regular"/>
      <w:sz w:val="18"/>
      <w:szCs w:val="24"/>
      <w:lang w:eastAsia="en-US"/>
    </w:rPr>
  </w:style>
  <w:style w:type="character" w:customStyle="1" w:styleId="BodyText-BarcRAChar800">
    <w:name w:val="Body Text - Barc RA Char_80"/>
    <w:basedOn w:val="DefaultParagraphFont"/>
    <w:link w:val="BodyText-BarcRA91"/>
    <w:locked/>
    <w:rsid w:val="000768F0"/>
    <w:rPr>
      <w:rFonts w:ascii="Expert Sans Regular" w:hAnsi="Expert Sans Regular"/>
    </w:rPr>
  </w:style>
  <w:style w:type="paragraph" w:customStyle="1" w:styleId="BodyText-BarcRA81">
    <w:name w:val="Body Text - Barc RA_81"/>
    <w:link w:val="BodyText-BarcRAChar62"/>
    <w:qFormat/>
    <w:rsid w:val="005D52ED"/>
    <w:pPr>
      <w:spacing w:before="180" w:after="180"/>
      <w:jc w:val="both"/>
    </w:pPr>
    <w:rPr>
      <w:rFonts w:ascii="Expert Sans Regular" w:hAnsi="Expert Sans Regular"/>
      <w:sz w:val="18"/>
      <w:lang w:eastAsia="en-US"/>
    </w:rPr>
  </w:style>
  <w:style w:type="character" w:customStyle="1" w:styleId="BodyText-BarcRAChar62">
    <w:name w:val="Body Text - Barc RA Char_62"/>
    <w:basedOn w:val="DefaultParagraphFont"/>
    <w:link w:val="BodyText-BarcRA81"/>
    <w:rsid w:val="005D52ED"/>
    <w:rPr>
      <w:rFonts w:ascii="Expert Sans Regular" w:hAnsi="Expert Sans Regular"/>
      <w:sz w:val="18"/>
      <w:lang w:val="en-GB" w:eastAsia="en-US" w:bidi="ar-SA"/>
    </w:rPr>
  </w:style>
  <w:style w:type="paragraph" w:customStyle="1" w:styleId="BarclaysBodyTextHeadingL1">
    <w:name w:val="Barclays Body Text Heading L1"/>
    <w:basedOn w:val="Normal116"/>
    <w:link w:val="BarclaysBodyTextHeadingL1CharChar"/>
    <w:rsid w:val="00F5136A"/>
    <w:pPr>
      <w:spacing w:after="180"/>
      <w:jc w:val="both"/>
    </w:pPr>
    <w:rPr>
      <w:rFonts w:ascii="Barclays Serif" w:hAnsi="Barclays Serif"/>
      <w:b/>
      <w:bCs/>
      <w:color w:val="000000"/>
      <w:sz w:val="24"/>
      <w:szCs w:val="20"/>
      <w:lang w:val="la-Latn"/>
    </w:rPr>
  </w:style>
  <w:style w:type="paragraph" w:customStyle="1" w:styleId="Normal116">
    <w:name w:val="Normal_116"/>
    <w:qFormat/>
    <w:rsid w:val="009705AC"/>
    <w:rPr>
      <w:rFonts w:ascii="Expert Sans Regular" w:hAnsi="Expert Sans Regular"/>
      <w:sz w:val="18"/>
      <w:szCs w:val="24"/>
      <w:lang w:eastAsia="en-US"/>
    </w:rPr>
  </w:style>
  <w:style w:type="character" w:customStyle="1" w:styleId="BarclaysBodyTextHeadingL1CharChar">
    <w:name w:val="Barclays Body Text Heading L1 Char Char"/>
    <w:basedOn w:val="DefaultParagraphFont"/>
    <w:link w:val="BarclaysBodyTextHeadingL1"/>
    <w:locked/>
    <w:rsid w:val="00F5136A"/>
    <w:rPr>
      <w:rFonts w:ascii="Barclays Serif" w:hAnsi="Barclays Serif"/>
      <w:b/>
      <w:bCs/>
      <w:color w:val="000000"/>
      <w:sz w:val="24"/>
      <w:lang w:val="la-Latn" w:eastAsia="en-US" w:bidi="ar-SA"/>
    </w:rPr>
  </w:style>
  <w:style w:type="paragraph" w:customStyle="1" w:styleId="BodyText-BarcRA82">
    <w:name w:val="Body Text - Barc RA_82"/>
    <w:qFormat/>
    <w:locked/>
    <w:rsid w:val="0045660F"/>
    <w:pPr>
      <w:spacing w:before="180" w:after="180"/>
      <w:jc w:val="both"/>
    </w:pPr>
    <w:rPr>
      <w:rFonts w:ascii="Expert Sans Regular" w:eastAsia="Expert Sans Regular" w:hAnsi="Expert Sans Regular" w:cs="Expert Sans Regular"/>
      <w:sz w:val="18"/>
      <w:lang w:eastAsia="en-US"/>
    </w:rPr>
  </w:style>
  <w:style w:type="paragraph" w:customStyle="1" w:styleId="HeadingLevel2-BarcRA24">
    <w:name w:val="Heading Level 2 - Barc RA_24"/>
    <w:basedOn w:val="Normal117"/>
    <w:next w:val="Normal117"/>
    <w:qFormat/>
    <w:locked/>
    <w:rsid w:val="0045660F"/>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17">
    <w:name w:val="Normal_117"/>
    <w:unhideWhenUsed/>
    <w:qFormat/>
    <w:rsid w:val="00F23605"/>
    <w:rPr>
      <w:szCs w:val="22"/>
      <w:lang w:eastAsia="en-US"/>
    </w:rPr>
  </w:style>
  <w:style w:type="paragraph" w:customStyle="1" w:styleId="BodyText-AR">
    <w:name w:val="Body Text - AR"/>
    <w:basedOn w:val="Normal117"/>
    <w:qFormat/>
    <w:rsid w:val="00052391"/>
    <w:rPr>
      <w:rFonts w:ascii="Expert Sans Regular" w:eastAsia="Expert Sans Regular" w:hAnsi="Expert Sans Regular" w:cs="Expert Sans Regular"/>
      <w:sz w:val="16"/>
    </w:rPr>
  </w:style>
  <w:style w:type="paragraph" w:customStyle="1" w:styleId="HeadingLevel2-BarcRA25">
    <w:name w:val="Heading Level 2 - Barc RA_25"/>
    <w:basedOn w:val="Normal118"/>
    <w:next w:val="BodyText-BarcRA83"/>
    <w:qFormat/>
    <w:locked/>
    <w:rsid w:val="005871C0"/>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18">
    <w:name w:val="Normal_118"/>
    <w:semiHidden/>
    <w:unhideWhenUsed/>
    <w:qFormat/>
    <w:rsid w:val="00F23605"/>
    <w:rPr>
      <w:szCs w:val="22"/>
      <w:lang w:eastAsia="en-US"/>
    </w:rPr>
  </w:style>
  <w:style w:type="paragraph" w:customStyle="1" w:styleId="BodyText-BarcRA83">
    <w:name w:val="Body Text - Barc RA_83"/>
    <w:qFormat/>
    <w:locked/>
    <w:rsid w:val="005871C0"/>
    <w:pPr>
      <w:spacing w:before="180" w:after="180"/>
      <w:jc w:val="both"/>
    </w:pPr>
    <w:rPr>
      <w:rFonts w:ascii="Expert Sans Regular" w:eastAsia="Expert Sans Regular" w:hAnsi="Expert Sans Regular" w:cs="Expert Sans Regular"/>
      <w:sz w:val="18"/>
      <w:lang w:eastAsia="en-US"/>
    </w:rPr>
  </w:style>
  <w:style w:type="paragraph" w:customStyle="1" w:styleId="BodyText-BarcRA84">
    <w:name w:val="Body Text - Barc RA_84"/>
    <w:qFormat/>
    <w:locked/>
    <w:rsid w:val="003C7FCA"/>
    <w:pPr>
      <w:spacing w:before="180" w:after="180"/>
      <w:jc w:val="both"/>
    </w:pPr>
    <w:rPr>
      <w:rFonts w:ascii="Expert Sans Regular" w:hAnsi="Expert Sans Regular"/>
      <w:sz w:val="18"/>
      <w:lang w:eastAsia="en-US"/>
    </w:rPr>
  </w:style>
  <w:style w:type="paragraph" w:customStyle="1" w:styleId="BodyText-AR0">
    <w:name w:val="Body Text - AR_0"/>
    <w:basedOn w:val="Normal119"/>
    <w:qFormat/>
    <w:rsid w:val="00052391"/>
    <w:rPr>
      <w:rFonts w:ascii="Expert Sans Regular" w:eastAsia="Expert Sans Regular" w:hAnsi="Expert Sans Regular" w:cs="Expert Sans Regular"/>
      <w:sz w:val="16"/>
    </w:rPr>
  </w:style>
  <w:style w:type="paragraph" w:customStyle="1" w:styleId="Normal119">
    <w:name w:val="Normal_119"/>
    <w:semiHidden/>
    <w:unhideWhenUsed/>
    <w:qFormat/>
    <w:rsid w:val="00F23605"/>
    <w:rPr>
      <w:szCs w:val="22"/>
      <w:lang w:eastAsia="en-US"/>
    </w:rPr>
  </w:style>
  <w:style w:type="paragraph" w:customStyle="1" w:styleId="BodyText-BarcRA85">
    <w:name w:val="Body Text - Barc RA_85"/>
    <w:qFormat/>
    <w:locked/>
    <w:rsid w:val="008E2FF8"/>
    <w:pPr>
      <w:spacing w:before="180" w:after="180"/>
      <w:jc w:val="both"/>
    </w:pPr>
    <w:rPr>
      <w:rFonts w:ascii="Expert Sans Regular" w:eastAsia="Expert Sans Regular" w:hAnsi="Expert Sans Regular" w:cs="Expert Sans Regular"/>
      <w:sz w:val="18"/>
      <w:lang w:eastAsia="en-US"/>
    </w:rPr>
  </w:style>
  <w:style w:type="paragraph" w:customStyle="1" w:styleId="NoteandSourceText-BarcRA24">
    <w:name w:val="Note and Source Text - Barc RA_24"/>
    <w:basedOn w:val="Normal1200"/>
    <w:qFormat/>
    <w:rsid w:val="003759E0"/>
    <w:pPr>
      <w:numPr>
        <w:numId w:val="215"/>
      </w:numPr>
      <w:tabs>
        <w:tab w:val="left" w:pos="284"/>
      </w:tabs>
      <w:spacing w:before="20" w:after="20"/>
      <w:jc w:val="both"/>
    </w:pPr>
    <w:rPr>
      <w:rFonts w:ascii="Expert Sans Regular" w:hAnsi="Expert Sans Regular"/>
      <w:i/>
      <w:iCs/>
      <w:sz w:val="14"/>
      <w:szCs w:val="14"/>
      <w:lang w:eastAsia="en-US"/>
    </w:rPr>
  </w:style>
  <w:style w:type="paragraph" w:customStyle="1" w:styleId="Normal1200">
    <w:name w:val="Normal_120"/>
    <w:qFormat/>
    <w:rsid w:val="00FC7FA5"/>
    <w:rPr>
      <w:sz w:val="24"/>
      <w:szCs w:val="24"/>
    </w:rPr>
  </w:style>
  <w:style w:type="paragraph" w:customStyle="1" w:styleId="BodyText-BarcRA86">
    <w:name w:val="Body Text - Barc RA_86"/>
    <w:qFormat/>
    <w:locked/>
    <w:rsid w:val="00547FAE"/>
    <w:pPr>
      <w:spacing w:before="180" w:after="180"/>
      <w:jc w:val="both"/>
    </w:pPr>
    <w:rPr>
      <w:rFonts w:ascii="Expert Sans Regular" w:eastAsia="Expert Sans Regular" w:hAnsi="Expert Sans Regular" w:cs="Expert Sans Regular"/>
      <w:sz w:val="18"/>
      <w:lang w:eastAsia="en-US"/>
    </w:rPr>
  </w:style>
  <w:style w:type="paragraph" w:customStyle="1" w:styleId="Normal121">
    <w:name w:val="Normal_121"/>
    <w:qFormat/>
    <w:rsid w:val="00DE0D86"/>
    <w:pPr>
      <w:spacing w:after="200" w:line="276" w:lineRule="auto"/>
    </w:pPr>
    <w:rPr>
      <w:sz w:val="22"/>
      <w:szCs w:val="22"/>
      <w:lang w:eastAsia="en-US"/>
    </w:rPr>
  </w:style>
  <w:style w:type="paragraph" w:customStyle="1" w:styleId="HeadingLevel2-BarcRA26">
    <w:name w:val="Heading Level 2 - Barc RA_26"/>
    <w:basedOn w:val="Normal122"/>
    <w:next w:val="BodyText-BarcRA87"/>
    <w:qFormat/>
    <w:locked/>
    <w:rsid w:val="00D941BB"/>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2">
    <w:name w:val="Normal_122"/>
    <w:semiHidden/>
    <w:unhideWhenUsed/>
    <w:qFormat/>
    <w:rsid w:val="00F23605"/>
    <w:rPr>
      <w:szCs w:val="22"/>
      <w:lang w:eastAsia="en-US"/>
    </w:rPr>
  </w:style>
  <w:style w:type="paragraph" w:customStyle="1" w:styleId="BodyText-BarcRA87">
    <w:name w:val="Body Text - Barc RA_87"/>
    <w:qFormat/>
    <w:locked/>
    <w:rsid w:val="00D941BB"/>
    <w:pPr>
      <w:spacing w:before="180" w:after="180"/>
      <w:jc w:val="both"/>
    </w:pPr>
    <w:rPr>
      <w:rFonts w:ascii="Expert Sans Regular" w:eastAsia="Expert Sans Regular" w:hAnsi="Expert Sans Regular" w:cs="Expert Sans Regular"/>
      <w:sz w:val="18"/>
      <w:lang w:eastAsia="en-US"/>
    </w:rPr>
  </w:style>
  <w:style w:type="paragraph" w:customStyle="1" w:styleId="Level1Bullet-BarcRA43">
    <w:name w:val="Level 1 Bullet - Barc RA_43"/>
    <w:basedOn w:val="BodyText-BarcRA88"/>
    <w:qFormat/>
    <w:locked/>
    <w:rsid w:val="008C5AD0"/>
    <w:pPr>
      <w:numPr>
        <w:numId w:val="216"/>
      </w:numPr>
    </w:pPr>
    <w:rPr>
      <w:rFonts w:ascii="Expert Sans Regular" w:eastAsia="Expert Sans Regular" w:hAnsi="Expert Sans Regular" w:cs="Expert Sans Regular"/>
      <w:lang w:val="la-Latn"/>
    </w:rPr>
  </w:style>
  <w:style w:type="paragraph" w:customStyle="1" w:styleId="BodyText-BarcRA88">
    <w:name w:val="Body Text - Barc RA_88"/>
    <w:qFormat/>
    <w:locked/>
    <w:rsid w:val="008C5AD0"/>
    <w:pPr>
      <w:spacing w:before="180" w:after="180"/>
      <w:jc w:val="both"/>
    </w:pPr>
    <w:rPr>
      <w:sz w:val="18"/>
      <w:lang w:eastAsia="en-US"/>
    </w:rPr>
  </w:style>
  <w:style w:type="paragraph" w:customStyle="1" w:styleId="NoteandSourceText-BarcRA25">
    <w:name w:val="Note and Source Text - Barc RA_25"/>
    <w:basedOn w:val="Normal123"/>
    <w:qFormat/>
    <w:rsid w:val="00A30ACA"/>
    <w:pPr>
      <w:numPr>
        <w:numId w:val="217"/>
      </w:numPr>
      <w:tabs>
        <w:tab w:val="left" w:pos="284"/>
      </w:tabs>
      <w:spacing w:before="20" w:after="20"/>
      <w:jc w:val="both"/>
    </w:pPr>
    <w:rPr>
      <w:rFonts w:ascii="Expert Sans Regular" w:eastAsia="Expert Sans Regular" w:hAnsi="Expert Sans Regular" w:cs="Expert Sans Regular"/>
      <w:i/>
      <w:iCs/>
      <w:sz w:val="14"/>
      <w:szCs w:val="14"/>
    </w:rPr>
  </w:style>
  <w:style w:type="paragraph" w:customStyle="1" w:styleId="Normal123">
    <w:name w:val="Normal_123"/>
    <w:semiHidden/>
    <w:unhideWhenUsed/>
    <w:qFormat/>
    <w:rsid w:val="00F23605"/>
    <w:rPr>
      <w:szCs w:val="22"/>
      <w:lang w:eastAsia="en-US"/>
    </w:rPr>
  </w:style>
  <w:style w:type="paragraph" w:customStyle="1" w:styleId="HeadingLevel2-BarcRA27">
    <w:name w:val="Heading Level 2 - Barc RA_27"/>
    <w:basedOn w:val="Normal124"/>
    <w:next w:val="Normal124"/>
    <w:qFormat/>
    <w:locked/>
    <w:rsid w:val="005B25F4"/>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4">
    <w:name w:val="Normal_124"/>
    <w:semiHidden/>
    <w:unhideWhenUsed/>
    <w:qFormat/>
    <w:rsid w:val="00F23605"/>
    <w:rPr>
      <w:szCs w:val="22"/>
      <w:lang w:eastAsia="en-US"/>
    </w:rPr>
  </w:style>
  <w:style w:type="paragraph" w:customStyle="1" w:styleId="BodyText-BarcRA89">
    <w:name w:val="Body Text - Barc RA_89"/>
    <w:qFormat/>
    <w:locked/>
    <w:rsid w:val="005B25F4"/>
    <w:pPr>
      <w:spacing w:before="180" w:after="180"/>
      <w:jc w:val="both"/>
    </w:pPr>
    <w:rPr>
      <w:rFonts w:ascii="Expert Sans Regular" w:eastAsia="Expert Sans Regular" w:hAnsi="Expert Sans Regular" w:cs="Expert Sans Regular"/>
      <w:sz w:val="18"/>
      <w:lang w:eastAsia="en-US"/>
    </w:rPr>
  </w:style>
  <w:style w:type="paragraph" w:customStyle="1" w:styleId="HeadingLevel2-BarcRA28">
    <w:name w:val="Heading Level 2 - Barc RA_28"/>
    <w:basedOn w:val="Normal125"/>
    <w:next w:val="BodyText-BarcRA90"/>
    <w:qFormat/>
    <w:locked/>
    <w:rsid w:val="00D150D9"/>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5">
    <w:name w:val="Normal_125"/>
    <w:unhideWhenUsed/>
    <w:qFormat/>
    <w:rsid w:val="00F23605"/>
    <w:rPr>
      <w:szCs w:val="22"/>
      <w:lang w:eastAsia="en-US"/>
    </w:rPr>
  </w:style>
  <w:style w:type="paragraph" w:customStyle="1" w:styleId="BodyText-BarcRA90">
    <w:name w:val="Body Text - Barc RA_90"/>
    <w:qFormat/>
    <w:locked/>
    <w:rsid w:val="00D150D9"/>
    <w:pPr>
      <w:spacing w:before="180" w:after="180"/>
      <w:jc w:val="both"/>
    </w:pPr>
    <w:rPr>
      <w:rFonts w:ascii="Expert Sans Regular" w:eastAsia="Expert Sans Regular" w:hAnsi="Expert Sans Regular" w:cs="Expert Sans Regular"/>
      <w:sz w:val="18"/>
      <w:lang w:eastAsia="en-US"/>
    </w:rPr>
  </w:style>
  <w:style w:type="paragraph" w:customStyle="1" w:styleId="NoteandSourceText-BarcRA26">
    <w:name w:val="Note and Source Text - Barc RA_26"/>
    <w:basedOn w:val="Normal125"/>
    <w:qFormat/>
    <w:rsid w:val="003C0314"/>
    <w:pPr>
      <w:numPr>
        <w:numId w:val="218"/>
      </w:numPr>
      <w:tabs>
        <w:tab w:val="left" w:pos="284"/>
      </w:tabs>
      <w:spacing w:before="20" w:after="20"/>
      <w:jc w:val="both"/>
    </w:pPr>
    <w:rPr>
      <w:rFonts w:ascii="Expert Sans Regular" w:eastAsia="Expert Sans Regular" w:hAnsi="Expert Sans Regular" w:cs="Expert Sans Regular"/>
      <w:i/>
      <w:iCs/>
      <w:sz w:val="14"/>
      <w:szCs w:val="14"/>
    </w:rPr>
  </w:style>
  <w:style w:type="paragraph" w:customStyle="1" w:styleId="BodyText-BarcRA92">
    <w:name w:val="Body Text - Barc RA_92"/>
    <w:qFormat/>
    <w:locked/>
    <w:rsid w:val="0007794C"/>
    <w:pPr>
      <w:spacing w:before="180" w:after="180"/>
      <w:jc w:val="both"/>
    </w:pPr>
    <w:rPr>
      <w:rFonts w:ascii="Expert Sans Regular" w:eastAsia="Expert Sans Regular" w:hAnsi="Expert Sans Regular" w:cs="Expert Sans Regular"/>
      <w:sz w:val="18"/>
      <w:lang w:eastAsia="en-US"/>
    </w:rPr>
  </w:style>
  <w:style w:type="paragraph" w:customStyle="1" w:styleId="Normal130">
    <w:name w:val="Normal_13_0"/>
    <w:qFormat/>
    <w:rsid w:val="00B30141"/>
    <w:rPr>
      <w:rFonts w:ascii="Expert Sans Regular" w:eastAsia="Expert Sans Regular" w:hAnsi="Expert Sans Regular" w:cs="Expert Sans Regular"/>
      <w:szCs w:val="22"/>
      <w:lang w:eastAsia="en-US"/>
    </w:rPr>
  </w:style>
  <w:style w:type="paragraph" w:customStyle="1" w:styleId="HeadingLevel2-BarcRA29">
    <w:name w:val="Heading Level 2 - Barc RA_29"/>
    <w:basedOn w:val="Normal126"/>
    <w:next w:val="Normal126"/>
    <w:qFormat/>
    <w:locked/>
    <w:rsid w:val="00313A60"/>
    <w:pPr>
      <w:spacing w:before="240"/>
      <w:jc w:val="both"/>
    </w:pPr>
    <w:rPr>
      <w:rFonts w:ascii="Expert Sans Regular" w:hAnsi="Expert Sans Regular"/>
      <w:b/>
      <w:bCs/>
      <w:color w:val="000000"/>
      <w:sz w:val="20"/>
      <w:szCs w:val="20"/>
      <w:lang w:val="la-Latn" w:eastAsia="en-US"/>
    </w:rPr>
  </w:style>
  <w:style w:type="paragraph" w:customStyle="1" w:styleId="Normal126">
    <w:name w:val="Normal_126"/>
    <w:qFormat/>
    <w:rsid w:val="00FC7FA5"/>
    <w:rPr>
      <w:sz w:val="24"/>
      <w:szCs w:val="24"/>
    </w:rPr>
  </w:style>
  <w:style w:type="paragraph" w:customStyle="1" w:styleId="Normal131">
    <w:name w:val="Normal_13_1"/>
    <w:qFormat/>
    <w:rsid w:val="00313A60"/>
    <w:rPr>
      <w:rFonts w:ascii="Expert Sans Regular" w:eastAsia="Expert Sans Regular" w:hAnsi="Expert Sans Regular" w:cs="Expert Sans Regular"/>
      <w:szCs w:val="22"/>
      <w:lang w:eastAsia="en-US"/>
    </w:rPr>
  </w:style>
  <w:style w:type="paragraph" w:customStyle="1" w:styleId="BodyText-BarcRA93">
    <w:name w:val="Body Text - Barc RA_93"/>
    <w:qFormat/>
    <w:locked/>
    <w:rsid w:val="00313A60"/>
    <w:pPr>
      <w:spacing w:before="180" w:after="180"/>
      <w:jc w:val="both"/>
    </w:pPr>
    <w:rPr>
      <w:rFonts w:ascii="Expert Sans Regular" w:hAnsi="Expert Sans Regular"/>
      <w:sz w:val="18"/>
      <w:lang w:eastAsia="en-US"/>
    </w:rPr>
  </w:style>
  <w:style w:type="paragraph" w:customStyle="1" w:styleId="NoteandSourceText-BarcRA27">
    <w:name w:val="Note and Source Text - Barc RA_27"/>
    <w:basedOn w:val="Normal127"/>
    <w:qFormat/>
    <w:rsid w:val="00D0166A"/>
    <w:pPr>
      <w:numPr>
        <w:numId w:val="219"/>
      </w:numPr>
      <w:tabs>
        <w:tab w:val="left" w:pos="284"/>
      </w:tabs>
      <w:spacing w:before="20" w:after="20"/>
      <w:jc w:val="both"/>
    </w:pPr>
    <w:rPr>
      <w:i/>
      <w:iCs/>
      <w:sz w:val="14"/>
      <w:szCs w:val="14"/>
    </w:rPr>
  </w:style>
  <w:style w:type="paragraph" w:customStyle="1" w:styleId="Normal127">
    <w:name w:val="Normal_127"/>
    <w:qFormat/>
    <w:rsid w:val="00A23031"/>
    <w:rPr>
      <w:rFonts w:ascii="Expert Sans Regular" w:eastAsia="Expert Sans Regular" w:hAnsi="Expert Sans Regular" w:cs="Expert Sans Regular"/>
      <w:sz w:val="2"/>
      <w:szCs w:val="24"/>
      <w:lang w:val="en-US" w:eastAsia="en-US"/>
    </w:rPr>
  </w:style>
  <w:style w:type="paragraph" w:customStyle="1" w:styleId="BodyText-AR00">
    <w:name w:val="Body Text - AR_0_0"/>
    <w:basedOn w:val="Normal128"/>
    <w:qFormat/>
    <w:rsid w:val="000E36C1"/>
    <w:rPr>
      <w:rFonts w:ascii="Expert Sans Regular" w:eastAsia="Expert Sans Regular" w:hAnsi="Expert Sans Regular" w:cs="Expert Sans Regular"/>
      <w:sz w:val="16"/>
      <w:szCs w:val="22"/>
      <w:lang w:eastAsia="en-US"/>
    </w:rPr>
  </w:style>
  <w:style w:type="paragraph" w:customStyle="1" w:styleId="Normal128">
    <w:name w:val="Normal_128"/>
    <w:qFormat/>
    <w:rsid w:val="00FC7FA5"/>
    <w:rPr>
      <w:sz w:val="24"/>
      <w:szCs w:val="24"/>
    </w:rPr>
  </w:style>
  <w:style w:type="paragraph" w:customStyle="1" w:styleId="HeadingLevel2-BarcRA30">
    <w:name w:val="Heading Level 2 - Barc RA_30"/>
    <w:basedOn w:val="Normal129"/>
    <w:next w:val="Normal129"/>
    <w:qFormat/>
    <w:locked/>
    <w:rsid w:val="009E558D"/>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9">
    <w:name w:val="Normal_129"/>
    <w:semiHidden/>
    <w:unhideWhenUsed/>
    <w:qFormat/>
    <w:rsid w:val="00F23605"/>
    <w:rPr>
      <w:szCs w:val="22"/>
      <w:lang w:eastAsia="en-US"/>
    </w:rPr>
  </w:style>
  <w:style w:type="paragraph" w:customStyle="1" w:styleId="BodyText-BarcRA94">
    <w:name w:val="Body Text - Barc RA_94"/>
    <w:qFormat/>
    <w:locked/>
    <w:rsid w:val="00622575"/>
    <w:pPr>
      <w:spacing w:before="180" w:after="180"/>
      <w:jc w:val="both"/>
    </w:pPr>
    <w:rPr>
      <w:rFonts w:ascii="Expert Sans Regular" w:eastAsia="Expert Sans Regular" w:hAnsi="Expert Sans Regular" w:cs="Expert Sans Regular"/>
      <w:sz w:val="18"/>
      <w:lang w:eastAsia="en-US"/>
    </w:rPr>
  </w:style>
  <w:style w:type="paragraph" w:customStyle="1" w:styleId="HeadingLevel2-BarcRA31">
    <w:name w:val="Heading Level 2 - Barc RA_31"/>
    <w:basedOn w:val="Normal1300"/>
    <w:next w:val="Normal1300"/>
    <w:qFormat/>
    <w:locked/>
    <w:rsid w:val="00B856F0"/>
    <w:pPr>
      <w:spacing w:before="240" w:after="0" w:line="240" w:lineRule="auto"/>
      <w:jc w:val="both"/>
    </w:pPr>
    <w:rPr>
      <w:b/>
      <w:bCs/>
      <w:color w:val="000000"/>
      <w:sz w:val="20"/>
      <w:szCs w:val="20"/>
      <w:lang w:val="la-Latn"/>
    </w:rPr>
  </w:style>
  <w:style w:type="paragraph" w:customStyle="1" w:styleId="Normal1300">
    <w:name w:val="Normal_130"/>
    <w:qFormat/>
    <w:rsid w:val="004A49F6"/>
    <w:pPr>
      <w:spacing w:after="200" w:line="276" w:lineRule="auto"/>
    </w:pPr>
    <w:rPr>
      <w:rFonts w:ascii="Expert Sans Regular" w:eastAsia="Expert Sans Regular" w:hAnsi="Expert Sans Regular" w:cs="Expert Sans Regular"/>
      <w:sz w:val="22"/>
      <w:szCs w:val="22"/>
      <w:lang w:eastAsia="en-US"/>
    </w:rPr>
  </w:style>
  <w:style w:type="paragraph" w:customStyle="1" w:styleId="BodyText-BarcRA95">
    <w:name w:val="Body Text - Barc RA_95"/>
    <w:qFormat/>
    <w:locked/>
    <w:rsid w:val="00B856F0"/>
    <w:pPr>
      <w:spacing w:before="180" w:after="180"/>
      <w:jc w:val="both"/>
    </w:pPr>
    <w:rPr>
      <w:rFonts w:ascii="Expert Sans Regular" w:eastAsia="Expert Sans Regular" w:hAnsi="Expert Sans Regular" w:cs="Expert Sans Regular"/>
      <w:sz w:val="18"/>
      <w:lang w:eastAsia="en-US"/>
    </w:rPr>
  </w:style>
  <w:style w:type="paragraph" w:customStyle="1" w:styleId="Normal1310">
    <w:name w:val="Normal_131"/>
    <w:semiHidden/>
    <w:unhideWhenUsed/>
    <w:qFormat/>
    <w:rsid w:val="00F23605"/>
    <w:rPr>
      <w:rFonts w:ascii="Expert Sans Regular" w:eastAsia="Expert Sans Regular" w:hAnsi="Expert Sans Regular" w:cs="Expert Sans Regular"/>
      <w:szCs w:val="22"/>
      <w:lang w:eastAsia="en-US"/>
    </w:rPr>
  </w:style>
  <w:style w:type="paragraph" w:customStyle="1" w:styleId="HeadingLevel2-BarcRA32">
    <w:name w:val="Heading Level 2 - Barc RA_32"/>
    <w:basedOn w:val="Normal1310"/>
    <w:next w:val="BodyText-BarcRA96"/>
    <w:qFormat/>
    <w:locked/>
    <w:rsid w:val="00B35422"/>
    <w:pPr>
      <w:spacing w:before="240"/>
      <w:jc w:val="both"/>
    </w:pPr>
    <w:rPr>
      <w:b/>
      <w:bCs/>
      <w:color w:val="000000"/>
      <w:szCs w:val="20"/>
      <w:lang w:val="la-Latn"/>
    </w:rPr>
  </w:style>
  <w:style w:type="paragraph" w:customStyle="1" w:styleId="BodyText-BarcRA96">
    <w:name w:val="Body Text - Barc RA_96"/>
    <w:qFormat/>
    <w:locked/>
    <w:rsid w:val="00CE2264"/>
    <w:pPr>
      <w:spacing w:before="180" w:after="180"/>
      <w:jc w:val="both"/>
    </w:pPr>
    <w:rPr>
      <w:rFonts w:ascii="Expert Sans Regular" w:eastAsia="Expert Sans Regular" w:hAnsi="Expert Sans Regular" w:cs="Expert Sans Regular"/>
      <w:sz w:val="18"/>
      <w:lang w:eastAsia="en-US"/>
    </w:rPr>
  </w:style>
  <w:style w:type="paragraph" w:customStyle="1" w:styleId="BarclaysBodyTextHeadingL10">
    <w:name w:val="Barclays Body Text Heading L1_0"/>
    <w:basedOn w:val="Normal132"/>
    <w:link w:val="BarclaysBodyTextHeadingL1CharChar0"/>
    <w:rsid w:val="00F5136A"/>
    <w:pPr>
      <w:spacing w:after="180"/>
      <w:jc w:val="both"/>
    </w:pPr>
    <w:rPr>
      <w:rFonts w:eastAsia="Expert Sans Regular" w:cs="Expert Sans Regular"/>
      <w:b/>
      <w:bCs/>
      <w:color w:val="000000"/>
      <w:sz w:val="24"/>
      <w:szCs w:val="20"/>
      <w:lang w:val="la-Latn"/>
    </w:rPr>
  </w:style>
  <w:style w:type="paragraph" w:customStyle="1" w:styleId="Normal132">
    <w:name w:val="Normal_132"/>
    <w:qFormat/>
    <w:rsid w:val="009705AC"/>
    <w:rPr>
      <w:rFonts w:ascii="Expert Sans Regular" w:hAnsi="Expert Sans Regular"/>
      <w:sz w:val="18"/>
      <w:szCs w:val="24"/>
      <w:lang w:eastAsia="en-US"/>
    </w:rPr>
  </w:style>
  <w:style w:type="character" w:customStyle="1" w:styleId="BarclaysBodyTextHeadingL1CharChar0">
    <w:name w:val="Barclays Body Text Heading L1 Char Char_0"/>
    <w:basedOn w:val="DefaultParagraphFont"/>
    <w:link w:val="BarclaysBodyTextHeadingL10"/>
    <w:locked/>
    <w:rsid w:val="00F5136A"/>
    <w:rPr>
      <w:rFonts w:ascii="Barclays Serif" w:hAnsi="Barclays Serif"/>
      <w:b/>
      <w:bCs/>
      <w:color w:val="000000"/>
      <w:sz w:val="24"/>
      <w:lang w:val="la-Latn" w:eastAsia="en-US" w:bidi="ar-SA"/>
    </w:rPr>
  </w:style>
  <w:style w:type="paragraph" w:customStyle="1" w:styleId="BodyText-BarcRA99">
    <w:name w:val="Body Text - Barc RA_99"/>
    <w:link w:val="BodyText-BarcRAChar68"/>
    <w:qFormat/>
    <w:rsid w:val="00300807"/>
    <w:pPr>
      <w:spacing w:before="180" w:after="180"/>
      <w:jc w:val="both"/>
    </w:pPr>
    <w:rPr>
      <w:rFonts w:ascii="Expert Sans Regular" w:eastAsia="Expert Sans Regular" w:hAnsi="Expert Sans Regular" w:cs="Expert Sans Regular"/>
      <w:sz w:val="18"/>
    </w:rPr>
  </w:style>
  <w:style w:type="character" w:customStyle="1" w:styleId="BodyText-BarcRAChar68">
    <w:name w:val="Body Text - Barc RA Char_68"/>
    <w:basedOn w:val="DefaultParagraphFont"/>
    <w:link w:val="BodyText-BarcRA99"/>
    <w:locked/>
    <w:rsid w:val="00300807"/>
    <w:rPr>
      <w:rFonts w:ascii="Expert Sans Regular" w:eastAsia="Expert Sans Regular" w:hAnsi="Expert Sans Regular" w:cs="Expert Sans Regular"/>
      <w:sz w:val="18"/>
      <w:lang w:val="en-GB" w:eastAsia="en-GB" w:bidi="ar-SA"/>
    </w:rPr>
  </w:style>
  <w:style w:type="paragraph" w:customStyle="1" w:styleId="NumberedBullet-BarcRA">
    <w:name w:val="Numbered Bullet - Barc RA"/>
    <w:basedOn w:val="Level1Bullet-BarcRA44"/>
    <w:qFormat/>
    <w:rsid w:val="002D4186"/>
    <w:pPr>
      <w:numPr>
        <w:numId w:val="220"/>
      </w:numPr>
    </w:pPr>
  </w:style>
  <w:style w:type="paragraph" w:customStyle="1" w:styleId="Level1Bullet-BarcRA44">
    <w:name w:val="Level 1 Bullet - Barc RA_44"/>
    <w:basedOn w:val="BodyText-BarcRA97"/>
    <w:link w:val="Level1Bullet-BarcRAChar35"/>
    <w:rsid w:val="00A85CEE"/>
    <w:pPr>
      <w:numPr>
        <w:numId w:val="221"/>
      </w:numPr>
    </w:pPr>
    <w:rPr>
      <w:lang w:val="la-Latn"/>
    </w:rPr>
  </w:style>
  <w:style w:type="paragraph" w:customStyle="1" w:styleId="BodyText-BarcRA97">
    <w:name w:val="Body Text - Barc RA_97"/>
    <w:link w:val="BodyText-BarcRAChar63"/>
    <w:qFormat/>
    <w:rsid w:val="005D52ED"/>
    <w:pPr>
      <w:spacing w:before="180" w:after="180"/>
      <w:jc w:val="both"/>
    </w:pPr>
    <w:rPr>
      <w:rFonts w:ascii="Expert Sans Regular" w:eastAsia="Expert Sans Regular" w:hAnsi="Expert Sans Regular" w:cs="Expert Sans Regular"/>
      <w:sz w:val="18"/>
      <w:lang w:eastAsia="en-US"/>
    </w:rPr>
  </w:style>
  <w:style w:type="character" w:customStyle="1" w:styleId="BodyText-BarcRAChar63">
    <w:name w:val="Body Text - Barc RA Char_63"/>
    <w:basedOn w:val="DefaultParagraphFont"/>
    <w:link w:val="BodyText-BarcRA97"/>
    <w:rsid w:val="005D52ED"/>
    <w:rPr>
      <w:rFonts w:ascii="Expert Sans Regular" w:eastAsia="Expert Sans Regular" w:hAnsi="Expert Sans Regular" w:cs="Expert Sans Regular"/>
      <w:sz w:val="18"/>
      <w:lang w:val="en-GB" w:eastAsia="en-US" w:bidi="ar-SA"/>
    </w:rPr>
  </w:style>
  <w:style w:type="character" w:customStyle="1" w:styleId="Level1Bullet-BarcRAChar35">
    <w:name w:val="Level 1 Bullet - Barc RA Char_35"/>
    <w:basedOn w:val="BodyText-BarcRAChar63"/>
    <w:link w:val="Level1Bullet-BarcRA44"/>
    <w:rsid w:val="00A85CEE"/>
    <w:rPr>
      <w:rFonts w:ascii="Expert Sans Regular" w:eastAsia="Expert Sans Regular" w:hAnsi="Expert Sans Regular" w:cs="Expert Sans Regular"/>
      <w:sz w:val="18"/>
      <w:lang w:val="la-Latn" w:eastAsia="en-US" w:bidi="ar-SA"/>
    </w:rPr>
  </w:style>
  <w:style w:type="paragraph" w:customStyle="1" w:styleId="MyLastParagraph0">
    <w:name w:val="MyLastParagraph_0"/>
    <w:rsid w:val="0080371C"/>
    <w:rPr>
      <w:sz w:val="4"/>
    </w:rPr>
  </w:style>
  <w:style w:type="paragraph" w:customStyle="1" w:styleId="MyLastParagraph00">
    <w:name w:val="MyLastParagraph_0_0"/>
    <w:rsid w:val="00DC5358"/>
    <w:rPr>
      <w:sz w:val="4"/>
    </w:rPr>
  </w:style>
  <w:style w:type="paragraph" w:customStyle="1" w:styleId="BodyText-BarcRA1000">
    <w:name w:val="Body Text - Barc RA_100"/>
    <w:qFormat/>
    <w:locked/>
    <w:rsid w:val="00DC5358"/>
    <w:pPr>
      <w:spacing w:before="180" w:after="180"/>
      <w:jc w:val="both"/>
    </w:pPr>
    <w:rPr>
      <w:rFonts w:ascii="Expert Sans Regular" w:hAnsi="Expert Sans Regular"/>
      <w:sz w:val="18"/>
      <w:lang w:eastAsia="en-US"/>
    </w:rPr>
  </w:style>
  <w:style w:type="character" w:styleId="CommentReference">
    <w:name w:val="annotation reference"/>
    <w:basedOn w:val="DefaultParagraphFont"/>
    <w:uiPriority w:val="99"/>
    <w:semiHidden/>
    <w:unhideWhenUsed/>
    <w:rsid w:val="00DC5358"/>
    <w:rPr>
      <w:sz w:val="16"/>
      <w:szCs w:val="16"/>
    </w:rPr>
  </w:style>
  <w:style w:type="paragraph" w:customStyle="1" w:styleId="Normal1160">
    <w:name w:val="Normal_116_0"/>
    <w:qFormat/>
    <w:rsid w:val="00DC5358"/>
    <w:pPr>
      <w:spacing w:after="200" w:line="276" w:lineRule="auto"/>
    </w:pPr>
    <w:rPr>
      <w:sz w:val="22"/>
      <w:szCs w:val="22"/>
      <w:lang w:eastAsia="en-US"/>
    </w:rPr>
  </w:style>
  <w:style w:type="paragraph" w:customStyle="1" w:styleId="Normal133">
    <w:name w:val="Normal_133"/>
    <w:qFormat/>
    <w:rsid w:val="00DE0D86"/>
    <w:pPr>
      <w:spacing w:after="200" w:line="276" w:lineRule="auto"/>
    </w:pPr>
    <w:rPr>
      <w:sz w:val="22"/>
      <w:szCs w:val="22"/>
      <w:lang w:eastAsia="en-US"/>
    </w:rPr>
  </w:style>
  <w:style w:type="paragraph" w:customStyle="1" w:styleId="NoteandSourceText-BarcRA28">
    <w:name w:val="Note and Source Text - Barc RA_28"/>
    <w:basedOn w:val="Normal133"/>
    <w:qFormat/>
    <w:rsid w:val="004B2085"/>
    <w:pPr>
      <w:numPr>
        <w:numId w:val="222"/>
      </w:numPr>
      <w:tabs>
        <w:tab w:val="left" w:pos="284"/>
      </w:tabs>
      <w:spacing w:before="20" w:after="20" w:line="240" w:lineRule="auto"/>
      <w:jc w:val="both"/>
    </w:pPr>
    <w:rPr>
      <w:rFonts w:ascii="Expert Sans Regular" w:hAnsi="Expert Sans Regular"/>
      <w:i/>
      <w:iCs/>
      <w:sz w:val="14"/>
      <w:szCs w:val="14"/>
    </w:rPr>
  </w:style>
  <w:style w:type="paragraph" w:customStyle="1" w:styleId="NoteandSourceText-BarcRA260">
    <w:name w:val="Note and Source Text - Barc RA_26_0"/>
    <w:basedOn w:val="Normal133"/>
    <w:qFormat/>
    <w:rsid w:val="00AA4A1C"/>
    <w:pPr>
      <w:numPr>
        <w:numId w:val="223"/>
      </w:numPr>
      <w:tabs>
        <w:tab w:val="left" w:pos="284"/>
      </w:tabs>
      <w:spacing w:before="20" w:after="20" w:line="240" w:lineRule="auto"/>
      <w:jc w:val="both"/>
    </w:pPr>
    <w:rPr>
      <w:rFonts w:ascii="Expert Sans Regular" w:hAnsi="Expert Sans Regular"/>
      <w:i/>
      <w:iCs/>
      <w:sz w:val="14"/>
      <w:szCs w:val="14"/>
    </w:rPr>
  </w:style>
  <w:style w:type="paragraph" w:customStyle="1" w:styleId="Normal134">
    <w:name w:val="Normal_134"/>
    <w:qFormat/>
    <w:rsid w:val="009705AC"/>
    <w:rPr>
      <w:rFonts w:ascii="Expert Sans Regular" w:hAnsi="Expert Sans Regular"/>
      <w:sz w:val="18"/>
      <w:szCs w:val="24"/>
      <w:lang w:eastAsia="en-US"/>
    </w:rPr>
  </w:style>
  <w:style w:type="paragraph" w:customStyle="1" w:styleId="BodyText-BarcRA98">
    <w:name w:val="Body Text - Barc RA_98"/>
    <w:link w:val="BodyText-BarcRAChar64"/>
    <w:qFormat/>
    <w:rsid w:val="005D52ED"/>
    <w:pPr>
      <w:spacing w:before="180" w:after="180"/>
      <w:jc w:val="both"/>
    </w:pPr>
    <w:rPr>
      <w:rFonts w:ascii="Expert Sans Regular" w:hAnsi="Expert Sans Regular"/>
      <w:sz w:val="18"/>
      <w:lang w:eastAsia="en-US"/>
    </w:rPr>
  </w:style>
  <w:style w:type="character" w:customStyle="1" w:styleId="BodyText-BarcRAChar64">
    <w:name w:val="Body Text - Barc RA Char_64"/>
    <w:basedOn w:val="DefaultParagraphFont"/>
    <w:link w:val="BodyText-BarcRA98"/>
    <w:rsid w:val="005D52ED"/>
    <w:rPr>
      <w:rFonts w:ascii="Expert Sans Regular" w:hAnsi="Expert Sans Regular"/>
      <w:sz w:val="18"/>
      <w:lang w:val="en-GB" w:eastAsia="en-US" w:bidi="ar-SA"/>
    </w:rPr>
  </w:style>
  <w:style w:type="paragraph" w:customStyle="1" w:styleId="BodyText-BarcRA101">
    <w:name w:val="Body Text - Barc RA_101"/>
    <w:link w:val="BodyText-BarcRAChar65"/>
    <w:qFormat/>
    <w:rsid w:val="005D52ED"/>
    <w:pPr>
      <w:spacing w:before="180" w:after="180"/>
      <w:jc w:val="both"/>
    </w:pPr>
    <w:rPr>
      <w:rFonts w:ascii="Expert Sans Regular" w:hAnsi="Expert Sans Regular"/>
      <w:sz w:val="18"/>
      <w:lang w:eastAsia="en-US"/>
    </w:rPr>
  </w:style>
  <w:style w:type="character" w:customStyle="1" w:styleId="BodyText-BarcRAChar65">
    <w:name w:val="Body Text - Barc RA Char_65"/>
    <w:basedOn w:val="DefaultParagraphFont"/>
    <w:link w:val="BodyText-BarcRA101"/>
    <w:rsid w:val="005D52ED"/>
    <w:rPr>
      <w:rFonts w:ascii="Expert Sans Regular" w:hAnsi="Expert Sans Regular"/>
      <w:sz w:val="18"/>
      <w:lang w:val="en-GB" w:eastAsia="en-US" w:bidi="ar-SA"/>
    </w:rPr>
  </w:style>
  <w:style w:type="paragraph" w:customStyle="1" w:styleId="BodyText-BarcRA890">
    <w:name w:val="Body Text - Barc RA_89_0"/>
    <w:basedOn w:val="Normal135"/>
    <w:link w:val="BodyText-BarcRAChar680"/>
    <w:rsid w:val="00264B84"/>
    <w:pPr>
      <w:spacing w:before="180" w:after="180"/>
      <w:jc w:val="both"/>
    </w:pPr>
    <w:rPr>
      <w:sz w:val="20"/>
      <w:szCs w:val="20"/>
      <w:lang w:eastAsia="en-GB"/>
    </w:rPr>
  </w:style>
  <w:style w:type="paragraph" w:customStyle="1" w:styleId="Normal135">
    <w:name w:val="Normal_135"/>
    <w:qFormat/>
    <w:rsid w:val="009705AC"/>
    <w:rPr>
      <w:rFonts w:ascii="Expert Sans Regular" w:hAnsi="Expert Sans Regular"/>
      <w:sz w:val="18"/>
      <w:szCs w:val="24"/>
      <w:lang w:eastAsia="en-US"/>
    </w:rPr>
  </w:style>
  <w:style w:type="character" w:customStyle="1" w:styleId="BodyText-BarcRAChar680">
    <w:name w:val="Body Text - Barc RA Char_68_0"/>
    <w:basedOn w:val="DefaultParagraphFont"/>
    <w:link w:val="BodyText-BarcRA890"/>
    <w:locked/>
    <w:rsid w:val="00264B84"/>
    <w:rPr>
      <w:rFonts w:ascii="Expert Sans Regular" w:hAnsi="Expert Sans Regular"/>
    </w:rPr>
  </w:style>
  <w:style w:type="paragraph" w:customStyle="1" w:styleId="BodyText-AR01">
    <w:name w:val="Body Text - AR_0_1"/>
    <w:basedOn w:val="Normal135"/>
    <w:uiPriority w:val="99"/>
    <w:rsid w:val="00B14319"/>
    <w:rPr>
      <w:rFonts w:cs="Expert Sans Regular"/>
      <w:sz w:val="16"/>
      <w:szCs w:val="22"/>
    </w:rPr>
  </w:style>
  <w:style w:type="paragraph" w:customStyle="1" w:styleId="NoteandSourceText-BarcRA29">
    <w:name w:val="Note and Source Text - Barc RA_29"/>
    <w:basedOn w:val="Normal135"/>
    <w:qFormat/>
    <w:rsid w:val="007B433B"/>
    <w:pPr>
      <w:numPr>
        <w:numId w:val="224"/>
      </w:numPr>
      <w:tabs>
        <w:tab w:val="left" w:pos="284"/>
      </w:tabs>
      <w:spacing w:before="20" w:after="20"/>
      <w:jc w:val="both"/>
    </w:pPr>
    <w:rPr>
      <w:i/>
      <w:iCs/>
      <w:sz w:val="14"/>
      <w:szCs w:val="14"/>
    </w:rPr>
  </w:style>
  <w:style w:type="paragraph" w:customStyle="1" w:styleId="BodyText-BarcRA8900">
    <w:name w:val="Body Text - Barc RA_89_0_0"/>
    <w:basedOn w:val="Normal135"/>
    <w:link w:val="BodyText-BarcRAChar6800"/>
    <w:uiPriority w:val="99"/>
    <w:rsid w:val="00B14319"/>
    <w:pPr>
      <w:spacing w:before="180" w:after="180"/>
      <w:jc w:val="both"/>
    </w:pPr>
    <w:rPr>
      <w:sz w:val="20"/>
      <w:szCs w:val="20"/>
      <w:lang w:eastAsia="en-GB"/>
    </w:rPr>
  </w:style>
  <w:style w:type="character" w:customStyle="1" w:styleId="BodyText-BarcRAChar6800">
    <w:name w:val="Body Text - Barc RA Char_68_0_0"/>
    <w:basedOn w:val="DefaultParagraphFont"/>
    <w:link w:val="BodyText-BarcRA8900"/>
    <w:uiPriority w:val="99"/>
    <w:locked/>
    <w:rsid w:val="00B14319"/>
    <w:rPr>
      <w:rFonts w:ascii="Expert Sans Regular" w:hAnsi="Expert Sans Regular"/>
    </w:rPr>
  </w:style>
  <w:style w:type="paragraph" w:customStyle="1" w:styleId="BulletsLevel1-AR">
    <w:name w:val="Bullets Level 1 - AR"/>
    <w:basedOn w:val="Normal135"/>
    <w:uiPriority w:val="99"/>
    <w:qFormat/>
    <w:rsid w:val="007B433B"/>
    <w:pPr>
      <w:numPr>
        <w:numId w:val="226"/>
      </w:numPr>
    </w:pPr>
    <w:rPr>
      <w:rFonts w:eastAsia="Calibri"/>
      <w:sz w:val="16"/>
      <w:szCs w:val="22"/>
    </w:rPr>
  </w:style>
  <w:style w:type="paragraph" w:customStyle="1" w:styleId="BodyText-AR1">
    <w:name w:val="Body Text - AR_1"/>
    <w:basedOn w:val="Normal135"/>
    <w:qFormat/>
    <w:rsid w:val="007B433B"/>
    <w:rPr>
      <w:rFonts w:eastAsia="Calibri"/>
      <w:sz w:val="16"/>
      <w:szCs w:val="22"/>
    </w:rPr>
  </w:style>
  <w:style w:type="paragraph" w:customStyle="1" w:styleId="BodyText-AR10">
    <w:name w:val="Body Text - AR_1_0"/>
    <w:basedOn w:val="Normal135"/>
    <w:qFormat/>
    <w:rsid w:val="00576F39"/>
    <w:rPr>
      <w:rFonts w:eastAsia="Calibri"/>
      <w:sz w:val="16"/>
      <w:szCs w:val="22"/>
    </w:rPr>
  </w:style>
  <w:style w:type="paragraph" w:customStyle="1" w:styleId="Normal1161">
    <w:name w:val="Normal_116_1"/>
    <w:qFormat/>
    <w:rsid w:val="00576F39"/>
    <w:rPr>
      <w:rFonts w:ascii="Expert Sans Regular" w:hAnsi="Expert Sans Regular"/>
      <w:sz w:val="18"/>
      <w:szCs w:val="24"/>
      <w:lang w:eastAsia="en-US"/>
    </w:rPr>
  </w:style>
  <w:style w:type="paragraph" w:customStyle="1" w:styleId="Footnotes-AR0">
    <w:name w:val="Footnotes - AR_0"/>
    <w:basedOn w:val="Normal135"/>
    <w:uiPriority w:val="1"/>
    <w:qFormat/>
    <w:rsid w:val="007B433B"/>
    <w:rPr>
      <w:rFonts w:eastAsia="Calibri"/>
      <w:sz w:val="13"/>
      <w:szCs w:val="13"/>
    </w:rPr>
  </w:style>
  <w:style w:type="paragraph" w:customStyle="1" w:styleId="BodyText-BarcRA891">
    <w:name w:val="Body Text - Barc RA_89_1"/>
    <w:basedOn w:val="Normal136"/>
    <w:link w:val="BodyText-BarcRAChar681"/>
    <w:rsid w:val="00264B84"/>
    <w:pPr>
      <w:spacing w:before="180" w:after="180"/>
      <w:jc w:val="both"/>
    </w:pPr>
    <w:rPr>
      <w:sz w:val="20"/>
      <w:szCs w:val="20"/>
      <w:lang w:eastAsia="en-GB"/>
    </w:rPr>
  </w:style>
  <w:style w:type="paragraph" w:customStyle="1" w:styleId="Normal136">
    <w:name w:val="Normal_136"/>
    <w:qFormat/>
    <w:rsid w:val="009705AC"/>
    <w:rPr>
      <w:rFonts w:ascii="Expert Sans Regular" w:hAnsi="Expert Sans Regular"/>
      <w:sz w:val="18"/>
      <w:szCs w:val="24"/>
      <w:lang w:eastAsia="en-US"/>
    </w:rPr>
  </w:style>
  <w:style w:type="character" w:customStyle="1" w:styleId="BodyText-BarcRAChar681">
    <w:name w:val="Body Text - Barc RA Char_68_1"/>
    <w:basedOn w:val="DefaultParagraphFont"/>
    <w:link w:val="BodyText-BarcRA891"/>
    <w:locked/>
    <w:rsid w:val="00264B84"/>
    <w:rPr>
      <w:rFonts w:ascii="Expert Sans Regular" w:hAnsi="Expert Sans Regular"/>
    </w:rPr>
  </w:style>
  <w:style w:type="paragraph" w:customStyle="1" w:styleId="BodyText-BarcRA102">
    <w:name w:val="Body Text - Barc RA_102"/>
    <w:link w:val="BodyText-BarcRAChar66"/>
    <w:qFormat/>
    <w:rsid w:val="005D52ED"/>
    <w:pPr>
      <w:spacing w:before="180" w:after="180"/>
      <w:jc w:val="both"/>
    </w:pPr>
    <w:rPr>
      <w:rFonts w:ascii="Expert Sans Regular" w:hAnsi="Expert Sans Regular"/>
      <w:sz w:val="18"/>
      <w:lang w:eastAsia="en-US"/>
    </w:rPr>
  </w:style>
  <w:style w:type="character" w:customStyle="1" w:styleId="BodyText-BarcRAChar66">
    <w:name w:val="Body Text - Barc RA Char_66"/>
    <w:basedOn w:val="DefaultParagraphFont"/>
    <w:link w:val="BodyText-BarcRA102"/>
    <w:rsid w:val="005D52ED"/>
    <w:rPr>
      <w:rFonts w:ascii="Expert Sans Regular" w:hAnsi="Expert Sans Regular"/>
      <w:sz w:val="18"/>
      <w:lang w:val="en-GB" w:eastAsia="en-US" w:bidi="ar-SA"/>
    </w:rPr>
  </w:style>
  <w:style w:type="paragraph" w:customStyle="1" w:styleId="NoteandSourceText-BarcRA30">
    <w:name w:val="Note and Source Text - Barc RA_30"/>
    <w:basedOn w:val="Normal136"/>
    <w:qFormat/>
    <w:rsid w:val="007B433B"/>
    <w:pPr>
      <w:numPr>
        <w:numId w:val="227"/>
      </w:numPr>
      <w:tabs>
        <w:tab w:val="left" w:pos="284"/>
      </w:tabs>
      <w:spacing w:before="20" w:after="20"/>
      <w:jc w:val="both"/>
    </w:pPr>
    <w:rPr>
      <w:i/>
      <w:iCs/>
      <w:sz w:val="14"/>
      <w:szCs w:val="14"/>
    </w:rPr>
  </w:style>
  <w:style w:type="paragraph" w:customStyle="1" w:styleId="Footnotes-AR1">
    <w:name w:val="Footnotes - AR_1"/>
    <w:basedOn w:val="Normal136"/>
    <w:uiPriority w:val="1"/>
    <w:qFormat/>
    <w:rsid w:val="007B433B"/>
    <w:rPr>
      <w:rFonts w:eastAsia="Calibri"/>
      <w:sz w:val="13"/>
      <w:szCs w:val="13"/>
    </w:rPr>
  </w:style>
  <w:style w:type="paragraph" w:customStyle="1" w:styleId="HeadingLevel1-BarcRA53">
    <w:name w:val="Heading Level 1 - Barc RA_53"/>
    <w:basedOn w:val="BodyText-BarcRA103"/>
    <w:next w:val="BodyText-BarcRA103"/>
    <w:link w:val="HeadingLevel1-BarcRAChar43"/>
    <w:rsid w:val="002611B5"/>
    <w:pPr>
      <w:spacing w:before="0"/>
    </w:pPr>
    <w:rPr>
      <w:b/>
      <w:bCs/>
      <w:color w:val="000000"/>
      <w:sz w:val="24"/>
      <w:lang w:val="la-Latn"/>
    </w:rPr>
  </w:style>
  <w:style w:type="paragraph" w:customStyle="1" w:styleId="BodyText-BarcRA103">
    <w:name w:val="Body Text - Barc RA_103"/>
    <w:link w:val="BodyText-BarcRAChar67"/>
    <w:qFormat/>
    <w:rsid w:val="005D52ED"/>
    <w:pPr>
      <w:spacing w:before="180" w:after="180"/>
      <w:jc w:val="both"/>
    </w:pPr>
    <w:rPr>
      <w:rFonts w:ascii="Expert Sans Regular" w:hAnsi="Expert Sans Regular"/>
      <w:sz w:val="18"/>
      <w:lang w:eastAsia="en-US"/>
    </w:rPr>
  </w:style>
  <w:style w:type="character" w:customStyle="1" w:styleId="BodyText-BarcRAChar67">
    <w:name w:val="Body Text - Barc RA Char_67"/>
    <w:basedOn w:val="DefaultParagraphFont"/>
    <w:link w:val="BodyText-BarcRA103"/>
    <w:rsid w:val="005D52ED"/>
    <w:rPr>
      <w:rFonts w:ascii="Expert Sans Regular" w:hAnsi="Expert Sans Regular"/>
      <w:sz w:val="18"/>
      <w:lang w:val="en-GB" w:eastAsia="en-US" w:bidi="ar-SA"/>
    </w:rPr>
  </w:style>
  <w:style w:type="character" w:customStyle="1" w:styleId="HeadingLevel1-BarcRAChar43">
    <w:name w:val="Heading Level 1 - Barc RA Char_43"/>
    <w:basedOn w:val="DefaultParagraphFont"/>
    <w:link w:val="HeadingLevel1-BarcRA53"/>
    <w:rsid w:val="009705AC"/>
    <w:rPr>
      <w:rFonts w:ascii="Expert Sans Regular" w:hAnsi="Expert Sans Regular"/>
      <w:b/>
      <w:bCs/>
      <w:color w:val="000000"/>
      <w:sz w:val="24"/>
      <w:lang w:val="la-Latn"/>
    </w:rPr>
  </w:style>
  <w:style w:type="paragraph" w:customStyle="1" w:styleId="HeadingLevel4-AR">
    <w:name w:val="Heading Level 4 - AR"/>
    <w:basedOn w:val="Normal137"/>
    <w:qFormat/>
    <w:rsid w:val="00232B8F"/>
    <w:rPr>
      <w:rFonts w:eastAsia="Calibri"/>
      <w:b/>
      <w:sz w:val="16"/>
      <w:szCs w:val="22"/>
    </w:rPr>
  </w:style>
  <w:style w:type="paragraph" w:customStyle="1" w:styleId="Normal137">
    <w:name w:val="Normal_137"/>
    <w:qFormat/>
    <w:rsid w:val="009705AC"/>
    <w:rPr>
      <w:rFonts w:ascii="Expert Sans Regular" w:hAnsi="Expert Sans Regular"/>
      <w:sz w:val="18"/>
      <w:szCs w:val="24"/>
      <w:lang w:eastAsia="en-US"/>
    </w:rPr>
  </w:style>
  <w:style w:type="paragraph" w:customStyle="1" w:styleId="BodyText-BarcRA120">
    <w:name w:val="Body Text - Barc RA_1_2"/>
    <w:link w:val="BodyText-BarcRAChar120"/>
    <w:qFormat/>
    <w:rsid w:val="003835C0"/>
    <w:pPr>
      <w:spacing w:before="180" w:after="180"/>
      <w:jc w:val="both"/>
    </w:pPr>
    <w:rPr>
      <w:rFonts w:ascii="Expert Sans Regular" w:hAnsi="Expert Sans Regular"/>
      <w:sz w:val="18"/>
      <w:lang w:eastAsia="en-US"/>
    </w:rPr>
  </w:style>
  <w:style w:type="character" w:customStyle="1" w:styleId="BodyText-BarcRAChar120">
    <w:name w:val="Body Text - Barc RA Char_1_2"/>
    <w:basedOn w:val="DefaultParagraphFont"/>
    <w:link w:val="BodyText-BarcRA120"/>
    <w:rsid w:val="003835C0"/>
    <w:rPr>
      <w:rFonts w:ascii="Expert Sans Regular" w:hAnsi="Expert Sans Regular"/>
      <w:sz w:val="18"/>
      <w:lang w:val="en-GB" w:eastAsia="en-US" w:bidi="ar-SA"/>
    </w:rPr>
  </w:style>
  <w:style w:type="paragraph" w:customStyle="1" w:styleId="HeadingLevel1-BarcRA54">
    <w:name w:val="Heading Level 1 - Barc RA_54"/>
    <w:basedOn w:val="BodyText-BarcRA104"/>
    <w:next w:val="BodyText-BarcRA104"/>
    <w:link w:val="HeadingLevel1-BarcRAChar44"/>
    <w:rsid w:val="002611B5"/>
    <w:pPr>
      <w:spacing w:before="0"/>
    </w:pPr>
    <w:rPr>
      <w:b/>
      <w:bCs/>
      <w:color w:val="000000"/>
      <w:sz w:val="24"/>
      <w:lang w:val="la-Latn"/>
    </w:rPr>
  </w:style>
  <w:style w:type="paragraph" w:customStyle="1" w:styleId="BodyText-BarcRA104">
    <w:name w:val="Body Text - Barc RA_104"/>
    <w:link w:val="BodyText-BarcRAChar69"/>
    <w:qFormat/>
    <w:rsid w:val="005D52ED"/>
    <w:pPr>
      <w:spacing w:before="180" w:after="180"/>
      <w:jc w:val="both"/>
    </w:pPr>
    <w:rPr>
      <w:rFonts w:ascii="Expert Sans Regular" w:hAnsi="Expert Sans Regular"/>
      <w:sz w:val="18"/>
      <w:lang w:eastAsia="en-US"/>
    </w:rPr>
  </w:style>
  <w:style w:type="character" w:customStyle="1" w:styleId="BodyText-BarcRAChar69">
    <w:name w:val="Body Text - Barc RA Char_69"/>
    <w:basedOn w:val="DefaultParagraphFont"/>
    <w:link w:val="BodyText-BarcRA104"/>
    <w:rsid w:val="005D52ED"/>
    <w:rPr>
      <w:rFonts w:ascii="Expert Sans Regular" w:hAnsi="Expert Sans Regular"/>
      <w:sz w:val="18"/>
      <w:lang w:val="en-GB" w:eastAsia="en-US" w:bidi="ar-SA"/>
    </w:rPr>
  </w:style>
  <w:style w:type="character" w:customStyle="1" w:styleId="HeadingLevel1-BarcRAChar44">
    <w:name w:val="Heading Level 1 - Barc RA Char_44"/>
    <w:basedOn w:val="DefaultParagraphFont"/>
    <w:link w:val="HeadingLevel1-BarcRA54"/>
    <w:rsid w:val="009705AC"/>
    <w:rPr>
      <w:rFonts w:ascii="Expert Sans Regular" w:hAnsi="Expert Sans Regular"/>
      <w:b/>
      <w:bCs/>
      <w:color w:val="000000"/>
      <w:sz w:val="24"/>
      <w:lang w:val="la-Latn"/>
    </w:rPr>
  </w:style>
  <w:style w:type="paragraph" w:customStyle="1" w:styleId="HeadingLevel1-BarcRA55">
    <w:name w:val="Heading Level 1 - Barc RA_55"/>
    <w:basedOn w:val="BodyText-BarcRA105"/>
    <w:next w:val="BodyText-BarcRA105"/>
    <w:link w:val="HeadingLevel1-BarcRAChar45"/>
    <w:rsid w:val="002611B5"/>
    <w:pPr>
      <w:spacing w:before="0"/>
    </w:pPr>
    <w:rPr>
      <w:b/>
      <w:bCs/>
      <w:color w:val="000000"/>
      <w:sz w:val="24"/>
      <w:lang w:val="la-Latn"/>
    </w:rPr>
  </w:style>
  <w:style w:type="paragraph" w:customStyle="1" w:styleId="BodyText-BarcRA105">
    <w:name w:val="Body Text - Barc RA_105"/>
    <w:link w:val="BodyText-BarcRAChar70"/>
    <w:qFormat/>
    <w:rsid w:val="005D52ED"/>
    <w:pPr>
      <w:spacing w:before="180" w:after="180"/>
      <w:jc w:val="both"/>
    </w:pPr>
    <w:rPr>
      <w:rFonts w:ascii="Expert Sans Regular" w:hAnsi="Expert Sans Regular"/>
      <w:sz w:val="18"/>
      <w:lang w:eastAsia="en-US"/>
    </w:rPr>
  </w:style>
  <w:style w:type="character" w:customStyle="1" w:styleId="BodyText-BarcRAChar70">
    <w:name w:val="Body Text - Barc RA Char_70"/>
    <w:basedOn w:val="DefaultParagraphFont"/>
    <w:link w:val="BodyText-BarcRA105"/>
    <w:rsid w:val="005D52ED"/>
    <w:rPr>
      <w:rFonts w:ascii="Expert Sans Regular" w:hAnsi="Expert Sans Regular"/>
      <w:sz w:val="18"/>
      <w:lang w:val="en-GB" w:eastAsia="en-US" w:bidi="ar-SA"/>
    </w:rPr>
  </w:style>
  <w:style w:type="character" w:customStyle="1" w:styleId="HeadingLevel1-BarcRAChar45">
    <w:name w:val="Heading Level 1 - Barc RA Char_45"/>
    <w:basedOn w:val="DefaultParagraphFont"/>
    <w:link w:val="HeadingLevel1-BarcRA55"/>
    <w:rsid w:val="009705AC"/>
    <w:rPr>
      <w:rFonts w:ascii="Expert Sans Regular" w:hAnsi="Expert Sans Regular"/>
      <w:b/>
      <w:bCs/>
      <w:color w:val="000000"/>
      <w:sz w:val="24"/>
      <w:lang w:val="la-Latn"/>
    </w:rPr>
  </w:style>
  <w:style w:type="paragraph" w:customStyle="1" w:styleId="HeadingLevel2-BarcRA33">
    <w:name w:val="Heading Level 2 - Barc RA_33"/>
    <w:basedOn w:val="HeadingLevel1-BarcRA55"/>
    <w:next w:val="BodyText-BarcRA105"/>
    <w:rsid w:val="00EE71E7"/>
    <w:pPr>
      <w:spacing w:before="240" w:after="0"/>
    </w:pPr>
    <w:rPr>
      <w:sz w:val="20"/>
    </w:rPr>
  </w:style>
  <w:style w:type="paragraph" w:customStyle="1" w:styleId="HeadingLevel2-BarcRA34">
    <w:name w:val="Heading Level 2 - Barc RA_34"/>
    <w:basedOn w:val="HeadingLevel1-BarcRA56"/>
    <w:next w:val="BodyText-BarcRA106"/>
    <w:rsid w:val="00EE71E7"/>
    <w:pPr>
      <w:spacing w:before="240" w:after="0"/>
    </w:pPr>
    <w:rPr>
      <w:sz w:val="20"/>
    </w:rPr>
  </w:style>
  <w:style w:type="paragraph" w:customStyle="1" w:styleId="HeadingLevel1-BarcRA56">
    <w:name w:val="Heading Level 1 - Barc RA_56"/>
    <w:basedOn w:val="BodyText-BarcRA106"/>
    <w:next w:val="BodyText-BarcRA106"/>
    <w:link w:val="HeadingLevel1-BarcRAChar46"/>
    <w:rsid w:val="002611B5"/>
    <w:pPr>
      <w:spacing w:before="0"/>
    </w:pPr>
    <w:rPr>
      <w:b/>
      <w:bCs/>
      <w:color w:val="000000"/>
      <w:sz w:val="24"/>
      <w:lang w:val="la-Latn"/>
    </w:rPr>
  </w:style>
  <w:style w:type="paragraph" w:customStyle="1" w:styleId="BodyText-BarcRA106">
    <w:name w:val="Body Text - Barc RA_106"/>
    <w:link w:val="BodyText-BarcRAChar71"/>
    <w:qFormat/>
    <w:rsid w:val="005D52ED"/>
    <w:pPr>
      <w:spacing w:before="180" w:after="180"/>
      <w:jc w:val="both"/>
    </w:pPr>
    <w:rPr>
      <w:rFonts w:ascii="Expert Sans Regular" w:hAnsi="Expert Sans Regular"/>
      <w:sz w:val="18"/>
      <w:lang w:eastAsia="en-US"/>
    </w:rPr>
  </w:style>
  <w:style w:type="character" w:customStyle="1" w:styleId="BodyText-BarcRAChar71">
    <w:name w:val="Body Text - Barc RA Char_71"/>
    <w:basedOn w:val="DefaultParagraphFont"/>
    <w:link w:val="BodyText-BarcRA106"/>
    <w:rsid w:val="005D52ED"/>
    <w:rPr>
      <w:rFonts w:ascii="Expert Sans Regular" w:hAnsi="Expert Sans Regular"/>
      <w:sz w:val="18"/>
      <w:lang w:val="en-GB" w:eastAsia="en-US" w:bidi="ar-SA"/>
    </w:rPr>
  </w:style>
  <w:style w:type="character" w:customStyle="1" w:styleId="HeadingLevel1-BarcRAChar46">
    <w:name w:val="Heading Level 1 - Barc RA Char_46"/>
    <w:basedOn w:val="DefaultParagraphFont"/>
    <w:link w:val="HeadingLevel1-BarcRA56"/>
    <w:rsid w:val="009705AC"/>
    <w:rPr>
      <w:rFonts w:ascii="Expert Sans Regular" w:hAnsi="Expert Sans Regular"/>
      <w:b/>
      <w:bCs/>
      <w:color w:val="000000"/>
      <w:sz w:val="24"/>
      <w:lang w:val="la-Latn"/>
    </w:rPr>
  </w:style>
  <w:style w:type="paragraph" w:customStyle="1" w:styleId="HeadingLevel2-BarcRA35">
    <w:name w:val="Heading Level 2 - Barc RA_35"/>
    <w:basedOn w:val="HeadingLevel1-BarcRA57"/>
    <w:next w:val="BodyText-BarcRA107"/>
    <w:rsid w:val="00EE71E7"/>
    <w:pPr>
      <w:spacing w:before="240" w:after="0"/>
    </w:pPr>
    <w:rPr>
      <w:sz w:val="20"/>
    </w:rPr>
  </w:style>
  <w:style w:type="paragraph" w:customStyle="1" w:styleId="HeadingLevel1-BarcRA57">
    <w:name w:val="Heading Level 1 - Barc RA_57"/>
    <w:basedOn w:val="BodyText-BarcRA107"/>
    <w:next w:val="BodyText-BarcRA107"/>
    <w:link w:val="HeadingLevel1-BarcRAChar47"/>
    <w:rsid w:val="002611B5"/>
    <w:pPr>
      <w:spacing w:before="0"/>
    </w:pPr>
    <w:rPr>
      <w:b/>
      <w:bCs/>
      <w:color w:val="000000"/>
      <w:sz w:val="24"/>
      <w:lang w:val="la-Latn"/>
    </w:rPr>
  </w:style>
  <w:style w:type="paragraph" w:customStyle="1" w:styleId="BodyText-BarcRA107">
    <w:name w:val="Body Text - Barc RA_107"/>
    <w:link w:val="BodyText-BarcRAChar72"/>
    <w:qFormat/>
    <w:rsid w:val="005D52ED"/>
    <w:pPr>
      <w:spacing w:before="180" w:after="180"/>
      <w:jc w:val="both"/>
    </w:pPr>
    <w:rPr>
      <w:rFonts w:ascii="Expert Sans Regular" w:hAnsi="Expert Sans Regular"/>
      <w:sz w:val="18"/>
      <w:lang w:eastAsia="en-US"/>
    </w:rPr>
  </w:style>
  <w:style w:type="character" w:customStyle="1" w:styleId="BodyText-BarcRAChar72">
    <w:name w:val="Body Text - Barc RA Char_72"/>
    <w:basedOn w:val="DefaultParagraphFont"/>
    <w:link w:val="BodyText-BarcRA107"/>
    <w:rsid w:val="005D52ED"/>
    <w:rPr>
      <w:rFonts w:ascii="Expert Sans Regular" w:hAnsi="Expert Sans Regular"/>
      <w:sz w:val="18"/>
      <w:lang w:val="en-GB" w:eastAsia="en-US" w:bidi="ar-SA"/>
    </w:rPr>
  </w:style>
  <w:style w:type="character" w:customStyle="1" w:styleId="HeadingLevel1-BarcRAChar47">
    <w:name w:val="Heading Level 1 - Barc RA Char_47"/>
    <w:basedOn w:val="DefaultParagraphFont"/>
    <w:link w:val="HeadingLevel1-BarcRA57"/>
    <w:rsid w:val="009705AC"/>
    <w:rPr>
      <w:rFonts w:ascii="Expert Sans Regular" w:hAnsi="Expert Sans Regular"/>
      <w:b/>
      <w:bCs/>
      <w:color w:val="000000"/>
      <w:sz w:val="24"/>
      <w:lang w:val="la-Latn"/>
    </w:rPr>
  </w:style>
  <w:style w:type="paragraph" w:customStyle="1" w:styleId="HeadingLevel2-BarcRA36">
    <w:name w:val="Heading Level 2 - Barc RA_36"/>
    <w:basedOn w:val="HeadingLevel1-BarcRA58"/>
    <w:next w:val="BodyText-BarcRA108"/>
    <w:rsid w:val="00EE71E7"/>
    <w:pPr>
      <w:spacing w:before="240" w:after="0"/>
    </w:pPr>
    <w:rPr>
      <w:sz w:val="20"/>
    </w:rPr>
  </w:style>
  <w:style w:type="paragraph" w:customStyle="1" w:styleId="HeadingLevel1-BarcRA58">
    <w:name w:val="Heading Level 1 - Barc RA_58"/>
    <w:basedOn w:val="BodyText-BarcRA108"/>
    <w:next w:val="BodyText-BarcRA108"/>
    <w:link w:val="HeadingLevel1-BarcRAChar48"/>
    <w:rsid w:val="002611B5"/>
    <w:pPr>
      <w:spacing w:before="0"/>
    </w:pPr>
    <w:rPr>
      <w:b/>
      <w:bCs/>
      <w:color w:val="000000"/>
      <w:sz w:val="24"/>
      <w:lang w:val="la-Latn"/>
    </w:rPr>
  </w:style>
  <w:style w:type="paragraph" w:customStyle="1" w:styleId="BodyText-BarcRA108">
    <w:name w:val="Body Text - Barc RA_108"/>
    <w:link w:val="BodyText-BarcRAChar73"/>
    <w:qFormat/>
    <w:rsid w:val="005D52ED"/>
    <w:pPr>
      <w:spacing w:before="180" w:after="180"/>
      <w:jc w:val="both"/>
    </w:pPr>
    <w:rPr>
      <w:rFonts w:ascii="Expert Sans Regular" w:hAnsi="Expert Sans Regular"/>
      <w:sz w:val="18"/>
      <w:lang w:eastAsia="en-US"/>
    </w:rPr>
  </w:style>
  <w:style w:type="character" w:customStyle="1" w:styleId="BodyText-BarcRAChar73">
    <w:name w:val="Body Text - Barc RA Char_73"/>
    <w:basedOn w:val="DefaultParagraphFont"/>
    <w:link w:val="BodyText-BarcRA108"/>
    <w:rsid w:val="005D52ED"/>
    <w:rPr>
      <w:rFonts w:ascii="Expert Sans Regular" w:hAnsi="Expert Sans Regular"/>
      <w:sz w:val="18"/>
      <w:lang w:val="en-GB" w:eastAsia="en-US" w:bidi="ar-SA"/>
    </w:rPr>
  </w:style>
  <w:style w:type="character" w:customStyle="1" w:styleId="HeadingLevel1-BarcRAChar48">
    <w:name w:val="Heading Level 1 - Barc RA Char_48"/>
    <w:basedOn w:val="DefaultParagraphFont"/>
    <w:link w:val="HeadingLevel1-BarcRA58"/>
    <w:rsid w:val="009705AC"/>
    <w:rPr>
      <w:rFonts w:ascii="Expert Sans Regular" w:hAnsi="Expert Sans Regular"/>
      <w:b/>
      <w:bCs/>
      <w:color w:val="000000"/>
      <w:sz w:val="24"/>
      <w:lang w:val="la-Latn"/>
    </w:rPr>
  </w:style>
  <w:style w:type="paragraph" w:customStyle="1" w:styleId="HeadingLevel2-BarcRA37">
    <w:name w:val="Heading Level 2 - Barc RA_37"/>
    <w:basedOn w:val="HeadingLevel1-BarcRA59"/>
    <w:next w:val="BodyText-BarcRA109"/>
    <w:rsid w:val="00EE71E7"/>
    <w:pPr>
      <w:spacing w:before="240" w:after="0"/>
    </w:pPr>
    <w:rPr>
      <w:sz w:val="20"/>
    </w:rPr>
  </w:style>
  <w:style w:type="paragraph" w:customStyle="1" w:styleId="HeadingLevel1-BarcRA59">
    <w:name w:val="Heading Level 1 - Barc RA_59"/>
    <w:basedOn w:val="BodyText-BarcRA109"/>
    <w:next w:val="BodyText-BarcRA109"/>
    <w:link w:val="HeadingLevel1-BarcRAChar49"/>
    <w:rsid w:val="002611B5"/>
    <w:pPr>
      <w:spacing w:before="0"/>
    </w:pPr>
    <w:rPr>
      <w:b/>
      <w:bCs/>
      <w:color w:val="000000"/>
      <w:sz w:val="24"/>
      <w:lang w:val="la-Latn"/>
    </w:rPr>
  </w:style>
  <w:style w:type="paragraph" w:customStyle="1" w:styleId="BodyText-BarcRA109">
    <w:name w:val="Body Text - Barc RA_109"/>
    <w:link w:val="BodyText-BarcRAChar74"/>
    <w:qFormat/>
    <w:rsid w:val="005D52ED"/>
    <w:pPr>
      <w:spacing w:before="180" w:after="180"/>
      <w:jc w:val="both"/>
    </w:pPr>
    <w:rPr>
      <w:rFonts w:ascii="Expert Sans Regular" w:hAnsi="Expert Sans Regular"/>
      <w:sz w:val="18"/>
      <w:lang w:eastAsia="en-US"/>
    </w:rPr>
  </w:style>
  <w:style w:type="character" w:customStyle="1" w:styleId="BodyText-BarcRAChar74">
    <w:name w:val="Body Text - Barc RA Char_74"/>
    <w:basedOn w:val="DefaultParagraphFont"/>
    <w:link w:val="BodyText-BarcRA109"/>
    <w:rsid w:val="005D52ED"/>
    <w:rPr>
      <w:rFonts w:ascii="Expert Sans Regular" w:hAnsi="Expert Sans Regular"/>
      <w:sz w:val="18"/>
      <w:lang w:val="en-GB" w:eastAsia="en-US" w:bidi="ar-SA"/>
    </w:rPr>
  </w:style>
  <w:style w:type="character" w:customStyle="1" w:styleId="HeadingLevel1-BarcRAChar49">
    <w:name w:val="Heading Level 1 - Barc RA Char_49"/>
    <w:basedOn w:val="DefaultParagraphFont"/>
    <w:link w:val="HeadingLevel1-BarcRA59"/>
    <w:rsid w:val="009705AC"/>
    <w:rPr>
      <w:rFonts w:ascii="Expert Sans Regular" w:hAnsi="Expert Sans Regular"/>
      <w:b/>
      <w:bCs/>
      <w:color w:val="000000"/>
      <w:sz w:val="24"/>
      <w:lang w:val="la-Latn"/>
    </w:rPr>
  </w:style>
  <w:style w:type="paragraph" w:customStyle="1" w:styleId="BodyText-BarcRA1060">
    <w:name w:val="Body Text - Barc RA_106_0"/>
    <w:basedOn w:val="Normal138"/>
    <w:link w:val="BodyText-BarcRAChar730"/>
    <w:rsid w:val="00D3372C"/>
    <w:pPr>
      <w:spacing w:before="180" w:after="180"/>
      <w:jc w:val="both"/>
    </w:pPr>
    <w:rPr>
      <w:sz w:val="20"/>
      <w:szCs w:val="20"/>
      <w:lang w:eastAsia="en-GB"/>
    </w:rPr>
  </w:style>
  <w:style w:type="paragraph" w:customStyle="1" w:styleId="Normal138">
    <w:name w:val="Normal_138"/>
    <w:qFormat/>
    <w:rsid w:val="009705AC"/>
    <w:rPr>
      <w:rFonts w:ascii="Expert Sans Regular" w:hAnsi="Expert Sans Regular"/>
      <w:sz w:val="18"/>
      <w:szCs w:val="24"/>
      <w:lang w:eastAsia="en-US"/>
    </w:rPr>
  </w:style>
  <w:style w:type="character" w:customStyle="1" w:styleId="BodyText-BarcRAChar730">
    <w:name w:val="Body Text - Barc RA Char_73_0"/>
    <w:basedOn w:val="DefaultParagraphFont"/>
    <w:link w:val="BodyText-BarcRA1060"/>
    <w:locked/>
    <w:rsid w:val="00D3372C"/>
    <w:rPr>
      <w:rFonts w:ascii="Expert Sans Regular" w:hAnsi="Expert Sans Regular"/>
    </w:rPr>
  </w:style>
  <w:style w:type="paragraph" w:customStyle="1" w:styleId="HeadingLevel2-BarcRA38">
    <w:name w:val="Heading Level 2 - Barc RA_38"/>
    <w:basedOn w:val="HeadingLevel1-BarcRA60"/>
    <w:next w:val="BodyText-BarcRA1100"/>
    <w:qFormat/>
    <w:rsid w:val="00EE71E7"/>
    <w:pPr>
      <w:spacing w:before="240" w:after="0"/>
    </w:pPr>
    <w:rPr>
      <w:sz w:val="20"/>
    </w:rPr>
  </w:style>
  <w:style w:type="paragraph" w:customStyle="1" w:styleId="HeadingLevel1-BarcRA60">
    <w:name w:val="Heading Level 1 - Barc RA_60"/>
    <w:basedOn w:val="BodyText-BarcRA1100"/>
    <w:next w:val="BodyText-BarcRA1100"/>
    <w:link w:val="HeadingLevel1-BarcRAChar50"/>
    <w:rsid w:val="002611B5"/>
    <w:pPr>
      <w:spacing w:before="0"/>
    </w:pPr>
    <w:rPr>
      <w:b/>
      <w:bCs/>
      <w:color w:val="000000"/>
      <w:sz w:val="24"/>
      <w:lang w:val="la-Latn"/>
    </w:rPr>
  </w:style>
  <w:style w:type="paragraph" w:customStyle="1" w:styleId="BodyText-BarcRA1100">
    <w:name w:val="Body Text - Barc RA_110"/>
    <w:link w:val="BodyText-BarcRAChar75"/>
    <w:qFormat/>
    <w:rsid w:val="005D52ED"/>
    <w:pPr>
      <w:spacing w:before="180" w:after="180"/>
      <w:jc w:val="both"/>
    </w:pPr>
    <w:rPr>
      <w:rFonts w:ascii="Expert Sans Regular" w:hAnsi="Expert Sans Regular"/>
      <w:sz w:val="18"/>
      <w:lang w:eastAsia="en-US"/>
    </w:rPr>
  </w:style>
  <w:style w:type="character" w:customStyle="1" w:styleId="BodyText-BarcRAChar75">
    <w:name w:val="Body Text - Barc RA Char_75"/>
    <w:basedOn w:val="DefaultParagraphFont"/>
    <w:link w:val="BodyText-BarcRA1100"/>
    <w:rsid w:val="005D52ED"/>
    <w:rPr>
      <w:rFonts w:ascii="Expert Sans Regular" w:hAnsi="Expert Sans Regular"/>
      <w:sz w:val="18"/>
      <w:lang w:val="en-GB" w:eastAsia="en-US" w:bidi="ar-SA"/>
    </w:rPr>
  </w:style>
  <w:style w:type="character" w:customStyle="1" w:styleId="HeadingLevel1-BarcRAChar50">
    <w:name w:val="Heading Level 1 - Barc RA Char_50"/>
    <w:basedOn w:val="DefaultParagraphFont"/>
    <w:link w:val="HeadingLevel1-BarcRA60"/>
    <w:rsid w:val="009705AC"/>
    <w:rPr>
      <w:rFonts w:ascii="Expert Sans Regular" w:hAnsi="Expert Sans Regular"/>
      <w:b/>
      <w:bCs/>
      <w:color w:val="000000"/>
      <w:sz w:val="24"/>
      <w:lang w:val="la-Latn"/>
    </w:rPr>
  </w:style>
  <w:style w:type="paragraph" w:customStyle="1" w:styleId="Normal139">
    <w:name w:val="Normal_139"/>
    <w:qFormat/>
    <w:rsid w:val="009705AC"/>
    <w:rPr>
      <w:rFonts w:ascii="Expert Sans Regular" w:hAnsi="Expert Sans Regular"/>
      <w:sz w:val="18"/>
      <w:szCs w:val="24"/>
      <w:lang w:eastAsia="en-US"/>
    </w:rPr>
  </w:style>
  <w:style w:type="paragraph" w:customStyle="1" w:styleId="HeadingLevel1-BarcRA61">
    <w:name w:val="Heading Level 1 - Barc RA_61"/>
    <w:basedOn w:val="BodyText-BarcRA111"/>
    <w:next w:val="BodyText-BarcRA111"/>
    <w:link w:val="HeadingLevel1-BarcRAChar51"/>
    <w:qFormat/>
    <w:rsid w:val="002611B5"/>
    <w:pPr>
      <w:spacing w:before="0"/>
    </w:pPr>
    <w:rPr>
      <w:b/>
      <w:bCs/>
      <w:color w:val="000000"/>
      <w:sz w:val="24"/>
      <w:lang w:val="la-Latn"/>
    </w:rPr>
  </w:style>
  <w:style w:type="paragraph" w:customStyle="1" w:styleId="BodyText-BarcRA111">
    <w:name w:val="Body Text - Barc RA_111"/>
    <w:link w:val="BodyText-BarcRAChar76"/>
    <w:qFormat/>
    <w:rsid w:val="005D52ED"/>
    <w:pPr>
      <w:spacing w:before="180" w:after="180"/>
      <w:jc w:val="both"/>
    </w:pPr>
    <w:rPr>
      <w:rFonts w:ascii="Expert Sans Regular" w:hAnsi="Expert Sans Regular"/>
      <w:sz w:val="18"/>
      <w:lang w:eastAsia="en-US"/>
    </w:rPr>
  </w:style>
  <w:style w:type="character" w:customStyle="1" w:styleId="BodyText-BarcRAChar76">
    <w:name w:val="Body Text - Barc RA Char_76"/>
    <w:basedOn w:val="DefaultParagraphFont"/>
    <w:link w:val="BodyText-BarcRA111"/>
    <w:rsid w:val="005D52ED"/>
    <w:rPr>
      <w:rFonts w:ascii="Expert Sans Regular" w:hAnsi="Expert Sans Regular"/>
      <w:sz w:val="18"/>
      <w:lang w:val="en-GB" w:eastAsia="en-US" w:bidi="ar-SA"/>
    </w:rPr>
  </w:style>
  <w:style w:type="character" w:customStyle="1" w:styleId="HeadingLevel1-BarcRAChar51">
    <w:name w:val="Heading Level 1 - Barc RA Char_51"/>
    <w:basedOn w:val="DefaultParagraphFont"/>
    <w:link w:val="HeadingLevel1-BarcRA61"/>
    <w:rsid w:val="009705AC"/>
    <w:rPr>
      <w:rFonts w:ascii="Expert Sans Regular" w:hAnsi="Expert Sans Regular"/>
      <w:b/>
      <w:bCs/>
      <w:color w:val="000000"/>
      <w:sz w:val="24"/>
      <w:lang w:val="la-Latn"/>
    </w:rPr>
  </w:style>
  <w:style w:type="paragraph" w:customStyle="1" w:styleId="Normal140">
    <w:name w:val="Normal_140"/>
    <w:qFormat/>
    <w:rsid w:val="009705AC"/>
    <w:rPr>
      <w:rFonts w:ascii="Expert Sans Regular" w:hAnsi="Expert Sans Regular"/>
      <w:sz w:val="18"/>
      <w:szCs w:val="24"/>
      <w:lang w:eastAsia="en-US"/>
    </w:rPr>
  </w:style>
  <w:style w:type="paragraph" w:customStyle="1" w:styleId="HeadingLevel1-BarcRA62">
    <w:name w:val="Heading Level 1 - Barc RA_62"/>
    <w:basedOn w:val="BodyText-BarcRA112"/>
    <w:next w:val="BodyText-BarcRA112"/>
    <w:link w:val="HeadingLevel1-BarcRAChar52"/>
    <w:qFormat/>
    <w:rsid w:val="002611B5"/>
    <w:pPr>
      <w:spacing w:before="0"/>
    </w:pPr>
    <w:rPr>
      <w:b/>
      <w:bCs/>
      <w:color w:val="000000"/>
      <w:sz w:val="24"/>
      <w:lang w:val="la-Latn"/>
    </w:rPr>
  </w:style>
  <w:style w:type="paragraph" w:customStyle="1" w:styleId="BodyText-BarcRA112">
    <w:name w:val="Body Text - Barc RA_112"/>
    <w:link w:val="BodyText-BarcRAChar77"/>
    <w:qFormat/>
    <w:rsid w:val="005D52ED"/>
    <w:pPr>
      <w:spacing w:before="180" w:after="180"/>
      <w:jc w:val="both"/>
    </w:pPr>
    <w:rPr>
      <w:rFonts w:ascii="Expert Sans Regular" w:hAnsi="Expert Sans Regular"/>
      <w:sz w:val="18"/>
      <w:lang w:eastAsia="en-US"/>
    </w:rPr>
  </w:style>
  <w:style w:type="character" w:customStyle="1" w:styleId="BodyText-BarcRAChar77">
    <w:name w:val="Body Text - Barc RA Char_77"/>
    <w:basedOn w:val="DefaultParagraphFont"/>
    <w:link w:val="BodyText-BarcRA112"/>
    <w:rsid w:val="005D52ED"/>
    <w:rPr>
      <w:rFonts w:ascii="Expert Sans Regular" w:hAnsi="Expert Sans Regular"/>
      <w:sz w:val="18"/>
      <w:lang w:val="en-GB" w:eastAsia="en-US" w:bidi="ar-SA"/>
    </w:rPr>
  </w:style>
  <w:style w:type="character" w:customStyle="1" w:styleId="HeadingLevel1-BarcRAChar52">
    <w:name w:val="Heading Level 1 - Barc RA Char_52"/>
    <w:basedOn w:val="DefaultParagraphFont"/>
    <w:link w:val="HeadingLevel1-BarcRA62"/>
    <w:rsid w:val="009705AC"/>
    <w:rPr>
      <w:rFonts w:ascii="Expert Sans Regular" w:hAnsi="Expert Sans Regular"/>
      <w:b/>
      <w:bCs/>
      <w:color w:val="000000"/>
      <w:sz w:val="24"/>
      <w:lang w:val="la-Latn"/>
    </w:rPr>
  </w:style>
  <w:style w:type="paragraph" w:customStyle="1" w:styleId="c3">
    <w:name w:val="c3"/>
    <w:basedOn w:val="Normal141"/>
    <w:uiPriority w:val="99"/>
    <w:rsid w:val="00AF2BF7"/>
    <w:pPr>
      <w:spacing w:before="100" w:beforeAutospacing="1" w:after="100" w:afterAutospacing="1"/>
    </w:pPr>
    <w:rPr>
      <w:rFonts w:ascii="Times New Roman" w:hAnsi="Times New Roman"/>
      <w:sz w:val="24"/>
      <w:lang w:eastAsia="en-GB"/>
    </w:rPr>
  </w:style>
  <w:style w:type="paragraph" w:customStyle="1" w:styleId="Normal141">
    <w:name w:val="Normal_141"/>
    <w:qFormat/>
    <w:rsid w:val="009705AC"/>
    <w:rPr>
      <w:rFonts w:ascii="Expert Sans Regular" w:hAnsi="Expert Sans Regular"/>
      <w:sz w:val="18"/>
      <w:szCs w:val="24"/>
      <w:lang w:eastAsia="en-US"/>
    </w:rPr>
  </w:style>
  <w:style w:type="paragraph" w:customStyle="1" w:styleId="BodyText-AR249">
    <w:name w:val="Body Text - AR_249"/>
    <w:basedOn w:val="Normal141"/>
    <w:qFormat/>
    <w:rsid w:val="0062774D"/>
    <w:rPr>
      <w:rFonts w:eastAsia="Expert Sans Regular" w:cs="Expert Sans Regular"/>
      <w:sz w:val="16"/>
      <w:szCs w:val="22"/>
    </w:rPr>
  </w:style>
  <w:style w:type="paragraph" w:customStyle="1" w:styleId="HeadingLevel1-BarcRA63">
    <w:name w:val="Heading Level 1 - Barc RA_63"/>
    <w:basedOn w:val="BodyText-BarcRA113"/>
    <w:next w:val="BodyText-BarcRA113"/>
    <w:link w:val="HeadingLevel1-BarcRAChar53"/>
    <w:rsid w:val="002611B5"/>
    <w:pPr>
      <w:spacing w:before="0"/>
    </w:pPr>
    <w:rPr>
      <w:b/>
      <w:bCs/>
      <w:color w:val="000000"/>
      <w:sz w:val="24"/>
      <w:lang w:val="la-Latn"/>
    </w:rPr>
  </w:style>
  <w:style w:type="paragraph" w:customStyle="1" w:styleId="BodyText-BarcRA113">
    <w:name w:val="Body Text - Barc RA_113"/>
    <w:link w:val="BodyText-BarcRAChar78"/>
    <w:qFormat/>
    <w:rsid w:val="005D52ED"/>
    <w:pPr>
      <w:spacing w:before="180" w:after="180"/>
      <w:jc w:val="both"/>
    </w:pPr>
    <w:rPr>
      <w:rFonts w:ascii="Expert Sans Regular" w:hAnsi="Expert Sans Regular"/>
      <w:sz w:val="18"/>
      <w:lang w:eastAsia="en-US"/>
    </w:rPr>
  </w:style>
  <w:style w:type="character" w:customStyle="1" w:styleId="BodyText-BarcRAChar78">
    <w:name w:val="Body Text - Barc RA Char_78"/>
    <w:basedOn w:val="DefaultParagraphFont"/>
    <w:link w:val="BodyText-BarcRA113"/>
    <w:rsid w:val="005D52ED"/>
    <w:rPr>
      <w:rFonts w:ascii="Expert Sans Regular" w:hAnsi="Expert Sans Regular"/>
      <w:sz w:val="18"/>
      <w:lang w:val="en-GB" w:eastAsia="en-US" w:bidi="ar-SA"/>
    </w:rPr>
  </w:style>
  <w:style w:type="character" w:customStyle="1" w:styleId="HeadingLevel1-BarcRAChar53">
    <w:name w:val="Heading Level 1 - Barc RA Char_53"/>
    <w:basedOn w:val="DefaultParagraphFont"/>
    <w:link w:val="HeadingLevel1-BarcRA63"/>
    <w:rsid w:val="009705AC"/>
    <w:rPr>
      <w:rFonts w:ascii="Expert Sans Regular" w:hAnsi="Expert Sans Regular"/>
      <w:b/>
      <w:bCs/>
      <w:color w:val="000000"/>
      <w:sz w:val="24"/>
      <w:lang w:val="la-Latn"/>
    </w:rPr>
  </w:style>
  <w:style w:type="paragraph" w:customStyle="1" w:styleId="Normal142">
    <w:name w:val="Normal_142"/>
    <w:qFormat/>
    <w:rsid w:val="009705AC"/>
    <w:rPr>
      <w:rFonts w:ascii="Expert Sans Regular" w:hAnsi="Expert Sans Regular"/>
      <w:sz w:val="18"/>
      <w:szCs w:val="24"/>
      <w:lang w:eastAsia="en-US"/>
    </w:rPr>
  </w:style>
  <w:style w:type="paragraph" w:customStyle="1" w:styleId="HeadingLevel1-BarcRA64">
    <w:name w:val="Heading Level 1 - Barc RA_64"/>
    <w:basedOn w:val="Normal143"/>
    <w:next w:val="Normal143"/>
    <w:link w:val="HeadingLevel1-BarcRAChar54"/>
    <w:rsid w:val="00195ECC"/>
    <w:pPr>
      <w:spacing w:after="180"/>
      <w:jc w:val="both"/>
    </w:pPr>
    <w:rPr>
      <w:rFonts w:ascii="Expert Sans Regular" w:hAnsi="Expert Sans Regular"/>
      <w:b/>
      <w:bCs/>
      <w:color w:val="000000"/>
      <w:szCs w:val="20"/>
      <w:lang w:val="la-Latn" w:eastAsia="en-US"/>
    </w:rPr>
  </w:style>
  <w:style w:type="paragraph" w:customStyle="1" w:styleId="Normal143">
    <w:name w:val="Normal_143"/>
    <w:qFormat/>
    <w:rsid w:val="00CB686F"/>
    <w:rPr>
      <w:sz w:val="24"/>
      <w:szCs w:val="24"/>
    </w:rPr>
  </w:style>
  <w:style w:type="character" w:customStyle="1" w:styleId="HeadingLevel1-BarcRAChar54">
    <w:name w:val="Heading Level 1 - Barc RA Char_54"/>
    <w:basedOn w:val="DefaultParagraphFont"/>
    <w:link w:val="HeadingLevel1-BarcRA64"/>
    <w:locked/>
    <w:rsid w:val="00195ECC"/>
    <w:rPr>
      <w:rFonts w:ascii="Expert Sans Regular" w:hAnsi="Expert Sans Regular"/>
      <w:b/>
      <w:bCs/>
      <w:color w:val="000000"/>
      <w:sz w:val="24"/>
      <w:lang w:val="la-Latn" w:eastAsia="en-US"/>
    </w:rPr>
  </w:style>
  <w:style w:type="paragraph" w:customStyle="1" w:styleId="Normal144">
    <w:name w:val="Normal_144"/>
    <w:qFormat/>
    <w:rsid w:val="00772C0C"/>
    <w:rPr>
      <w:sz w:val="24"/>
      <w:szCs w:val="24"/>
    </w:rPr>
  </w:style>
  <w:style w:type="paragraph" w:customStyle="1" w:styleId="NoteandSourceText-BarcRA31">
    <w:name w:val="Note and Source Text - Barc RA_31"/>
    <w:basedOn w:val="Normal144"/>
    <w:qFormat/>
    <w:rsid w:val="003160CC"/>
    <w:pPr>
      <w:numPr>
        <w:numId w:val="229"/>
      </w:numPr>
      <w:tabs>
        <w:tab w:val="left" w:pos="284"/>
      </w:tabs>
      <w:spacing w:before="20" w:after="20"/>
      <w:jc w:val="both"/>
    </w:pPr>
    <w:rPr>
      <w:rFonts w:ascii="Expert Sans Regular" w:hAnsi="Expert Sans Regular"/>
      <w:i/>
      <w:iCs/>
      <w:sz w:val="14"/>
      <w:szCs w:val="14"/>
      <w:lang w:eastAsia="en-US"/>
    </w:rPr>
  </w:style>
  <w:style w:type="paragraph" w:customStyle="1" w:styleId="HeadingLevel1-BarcRA65">
    <w:name w:val="Heading Level 1 - Barc RA_65"/>
    <w:basedOn w:val="BodyText-BarcRA114"/>
    <w:next w:val="BodyText-BarcRA114"/>
    <w:link w:val="HeadingLevel1-BarcRAChar55"/>
    <w:rsid w:val="002611B5"/>
    <w:pPr>
      <w:spacing w:before="0"/>
    </w:pPr>
    <w:rPr>
      <w:b/>
      <w:bCs/>
      <w:color w:val="000000"/>
      <w:sz w:val="24"/>
      <w:lang w:val="la-Latn"/>
    </w:rPr>
  </w:style>
  <w:style w:type="paragraph" w:customStyle="1" w:styleId="BodyText-BarcRA114">
    <w:name w:val="Body Text - Barc RA_114"/>
    <w:link w:val="BodyText-BarcRAChar79"/>
    <w:qFormat/>
    <w:rsid w:val="005D52ED"/>
    <w:pPr>
      <w:spacing w:before="180" w:after="180"/>
      <w:jc w:val="both"/>
    </w:pPr>
    <w:rPr>
      <w:rFonts w:ascii="Expert Sans Regular" w:hAnsi="Expert Sans Regular"/>
      <w:sz w:val="18"/>
      <w:lang w:eastAsia="en-US"/>
    </w:rPr>
  </w:style>
  <w:style w:type="character" w:customStyle="1" w:styleId="BodyText-BarcRAChar79">
    <w:name w:val="Body Text - Barc RA Char_79"/>
    <w:basedOn w:val="DefaultParagraphFont"/>
    <w:link w:val="BodyText-BarcRA114"/>
    <w:rsid w:val="005D52ED"/>
    <w:rPr>
      <w:rFonts w:ascii="Expert Sans Regular" w:hAnsi="Expert Sans Regular"/>
      <w:sz w:val="18"/>
      <w:lang w:val="en-GB" w:eastAsia="en-US" w:bidi="ar-SA"/>
    </w:rPr>
  </w:style>
  <w:style w:type="character" w:customStyle="1" w:styleId="HeadingLevel1-BarcRAChar55">
    <w:name w:val="Heading Level 1 - Barc RA Char_55"/>
    <w:basedOn w:val="DefaultParagraphFont"/>
    <w:link w:val="HeadingLevel1-BarcRA65"/>
    <w:rsid w:val="009705AC"/>
    <w:rPr>
      <w:rFonts w:ascii="Expert Sans Regular" w:hAnsi="Expert Sans Regular"/>
      <w:b/>
      <w:bCs/>
      <w:color w:val="000000"/>
      <w:sz w:val="24"/>
      <w:lang w:val="la-Latn"/>
    </w:rPr>
  </w:style>
  <w:style w:type="paragraph" w:customStyle="1" w:styleId="HeadingLevel2-BarcRA39">
    <w:name w:val="Heading Level 2 - Barc RA_39"/>
    <w:basedOn w:val="HeadingLevel1-BarcRA66"/>
    <w:next w:val="BodyText-BarcRA115"/>
    <w:rsid w:val="00EE71E7"/>
    <w:pPr>
      <w:spacing w:before="240" w:after="0"/>
    </w:pPr>
    <w:rPr>
      <w:sz w:val="20"/>
    </w:rPr>
  </w:style>
  <w:style w:type="paragraph" w:customStyle="1" w:styleId="HeadingLevel1-BarcRA66">
    <w:name w:val="Heading Level 1 - Barc RA_66"/>
    <w:basedOn w:val="BodyText-BarcRA115"/>
    <w:next w:val="BodyText-BarcRA115"/>
    <w:link w:val="HeadingLevel1-BarcRAChar56"/>
    <w:rsid w:val="002611B5"/>
    <w:pPr>
      <w:spacing w:before="0"/>
    </w:pPr>
    <w:rPr>
      <w:b/>
      <w:bCs/>
      <w:color w:val="000000"/>
      <w:sz w:val="24"/>
      <w:lang w:val="la-Latn"/>
    </w:rPr>
  </w:style>
  <w:style w:type="paragraph" w:customStyle="1" w:styleId="BodyText-BarcRA115">
    <w:name w:val="Body Text - Barc RA_115"/>
    <w:link w:val="BodyText-BarcRAChar81"/>
    <w:qFormat/>
    <w:rsid w:val="005D52ED"/>
    <w:pPr>
      <w:spacing w:before="180" w:after="180"/>
      <w:jc w:val="both"/>
    </w:pPr>
    <w:rPr>
      <w:rFonts w:ascii="Expert Sans Regular" w:hAnsi="Expert Sans Regular"/>
      <w:sz w:val="18"/>
      <w:lang w:eastAsia="en-US"/>
    </w:rPr>
  </w:style>
  <w:style w:type="character" w:customStyle="1" w:styleId="BodyText-BarcRAChar81">
    <w:name w:val="Body Text - Barc RA Char_81"/>
    <w:basedOn w:val="DefaultParagraphFont"/>
    <w:link w:val="BodyText-BarcRA115"/>
    <w:rsid w:val="005D52ED"/>
    <w:rPr>
      <w:rFonts w:ascii="Expert Sans Regular" w:hAnsi="Expert Sans Regular"/>
      <w:sz w:val="18"/>
      <w:lang w:val="en-GB" w:eastAsia="en-US" w:bidi="ar-SA"/>
    </w:rPr>
  </w:style>
  <w:style w:type="character" w:customStyle="1" w:styleId="HeadingLevel1-BarcRAChar56">
    <w:name w:val="Heading Level 1 - Barc RA Char_56"/>
    <w:basedOn w:val="DefaultParagraphFont"/>
    <w:link w:val="HeadingLevel1-BarcRA66"/>
    <w:rsid w:val="009705AC"/>
    <w:rPr>
      <w:rFonts w:ascii="Expert Sans Regular" w:hAnsi="Expert Sans Regular"/>
      <w:b/>
      <w:bCs/>
      <w:color w:val="000000"/>
      <w:sz w:val="24"/>
      <w:lang w:val="la-Latn"/>
    </w:rPr>
  </w:style>
  <w:style w:type="paragraph" w:customStyle="1" w:styleId="NoteandSourceText-BarcRA230">
    <w:name w:val="Note and Source Text - Barc RA_23_0"/>
    <w:basedOn w:val="Normal145"/>
    <w:qFormat/>
    <w:rsid w:val="00EC5EC2"/>
    <w:pPr>
      <w:numPr>
        <w:numId w:val="231"/>
      </w:numPr>
      <w:tabs>
        <w:tab w:val="left" w:pos="284"/>
      </w:tabs>
      <w:spacing w:before="20" w:after="20"/>
      <w:jc w:val="both"/>
    </w:pPr>
    <w:rPr>
      <w:i/>
      <w:iCs/>
      <w:sz w:val="14"/>
      <w:szCs w:val="14"/>
    </w:rPr>
  </w:style>
  <w:style w:type="paragraph" w:customStyle="1" w:styleId="Normal145">
    <w:name w:val="Normal_145"/>
    <w:qFormat/>
    <w:rsid w:val="009705AC"/>
    <w:rPr>
      <w:rFonts w:ascii="Expert Sans Regular" w:hAnsi="Expert Sans Regular"/>
      <w:sz w:val="18"/>
      <w:szCs w:val="24"/>
      <w:lang w:eastAsia="en-US"/>
    </w:rPr>
  </w:style>
  <w:style w:type="paragraph" w:customStyle="1" w:styleId="HeadingLevel1-BarcRA67">
    <w:name w:val="Heading Level 1 - Barc RA_67"/>
    <w:basedOn w:val="BodyText-BarcRA116"/>
    <w:next w:val="BodyText-BarcRA116"/>
    <w:link w:val="HeadingLevel1-BarcRAChar57"/>
    <w:rsid w:val="002611B5"/>
    <w:pPr>
      <w:spacing w:before="0"/>
    </w:pPr>
    <w:rPr>
      <w:b/>
      <w:bCs/>
      <w:color w:val="000000"/>
      <w:sz w:val="24"/>
      <w:lang w:val="la-Latn"/>
    </w:rPr>
  </w:style>
  <w:style w:type="paragraph" w:customStyle="1" w:styleId="BodyText-BarcRA116">
    <w:name w:val="Body Text - Barc RA_116"/>
    <w:link w:val="BodyText-BarcRAChar82"/>
    <w:qFormat/>
    <w:rsid w:val="005D52ED"/>
    <w:pPr>
      <w:spacing w:before="180" w:after="180"/>
      <w:jc w:val="both"/>
    </w:pPr>
    <w:rPr>
      <w:rFonts w:ascii="Expert Sans Regular" w:hAnsi="Expert Sans Regular"/>
      <w:sz w:val="18"/>
      <w:lang w:eastAsia="en-US"/>
    </w:rPr>
  </w:style>
  <w:style w:type="character" w:customStyle="1" w:styleId="BodyText-BarcRAChar82">
    <w:name w:val="Body Text - Barc RA Char_82"/>
    <w:basedOn w:val="DefaultParagraphFont"/>
    <w:link w:val="BodyText-BarcRA116"/>
    <w:rsid w:val="005D52ED"/>
    <w:rPr>
      <w:rFonts w:ascii="Expert Sans Regular" w:hAnsi="Expert Sans Regular"/>
      <w:sz w:val="18"/>
      <w:lang w:val="en-GB" w:eastAsia="en-US" w:bidi="ar-SA"/>
    </w:rPr>
  </w:style>
  <w:style w:type="character" w:customStyle="1" w:styleId="HeadingLevel1-BarcRAChar57">
    <w:name w:val="Heading Level 1 - Barc RA Char_57"/>
    <w:basedOn w:val="DefaultParagraphFont"/>
    <w:link w:val="HeadingLevel1-BarcRA67"/>
    <w:rsid w:val="009705AC"/>
    <w:rPr>
      <w:rFonts w:ascii="Expert Sans Regular" w:hAnsi="Expert Sans Regular"/>
      <w:b/>
      <w:bCs/>
      <w:color w:val="000000"/>
      <w:sz w:val="24"/>
      <w:lang w:val="la-Latn"/>
    </w:rPr>
  </w:style>
  <w:style w:type="paragraph" w:customStyle="1" w:styleId="HeaderSpacerwithLine-BarcRA16">
    <w:name w:val="Header Spacer with Line - Barc RA_16"/>
    <w:basedOn w:val="BodyText-BarcRA116"/>
    <w:link w:val="HeaderSpacerwithLine-BarcRAChar10"/>
    <w:rsid w:val="00016DD8"/>
    <w:pPr>
      <w:pBdr>
        <w:top w:val="single" w:sz="4" w:space="1" w:color="auto"/>
      </w:pBdr>
      <w:spacing w:before="0" w:after="0"/>
    </w:pPr>
    <w:rPr>
      <w:sz w:val="10"/>
      <w:szCs w:val="10"/>
    </w:rPr>
  </w:style>
  <w:style w:type="character" w:customStyle="1" w:styleId="HeaderSpacerwithLine-BarcRAChar10">
    <w:name w:val="Header Spacer with Line - Barc RA Char_10"/>
    <w:basedOn w:val="BodyText-BarcRAChar82"/>
    <w:link w:val="HeaderSpacerwithLine-BarcRA16"/>
    <w:rsid w:val="000E2451"/>
    <w:rPr>
      <w:rFonts w:ascii="Expert Sans Regular" w:hAnsi="Expert Sans Regular"/>
      <w:sz w:val="10"/>
      <w:szCs w:val="10"/>
      <w:lang w:val="en-GB" w:eastAsia="en-US" w:bidi="ar-SA"/>
    </w:rPr>
  </w:style>
  <w:style w:type="paragraph" w:customStyle="1" w:styleId="Normal146">
    <w:name w:val="Normal_146"/>
    <w:qFormat/>
    <w:rsid w:val="009705AC"/>
    <w:rPr>
      <w:rFonts w:ascii="Expert Sans Regular" w:hAnsi="Expert Sans Regular"/>
      <w:sz w:val="18"/>
      <w:szCs w:val="24"/>
      <w:lang w:eastAsia="en-US"/>
    </w:rPr>
  </w:style>
  <w:style w:type="paragraph" w:customStyle="1" w:styleId="Normal620">
    <w:name w:val="Normal_62_0"/>
    <w:qFormat/>
    <w:rsid w:val="007C0402"/>
    <w:rPr>
      <w:rFonts w:ascii="Expert Sans Regular" w:hAnsi="Expert Sans Regular"/>
      <w:sz w:val="18"/>
      <w:szCs w:val="24"/>
      <w:lang w:eastAsia="en-US"/>
    </w:rPr>
  </w:style>
  <w:style w:type="paragraph" w:customStyle="1" w:styleId="MyLastParagraph1">
    <w:name w:val="MyLastParagraph_1"/>
    <w:rsid w:val="00654261"/>
    <w:rPr>
      <w:sz w:val="4"/>
    </w:rPr>
  </w:style>
  <w:style w:type="paragraph" w:customStyle="1" w:styleId="HeadingLevel2-BarcRA40">
    <w:name w:val="Heading Level 2 - Barc RA_40"/>
    <w:basedOn w:val="HeadingLevel1-BarcRA68"/>
    <w:next w:val="BodyText-BarcRA117"/>
    <w:qFormat/>
    <w:rsid w:val="00EE71E7"/>
    <w:pPr>
      <w:spacing w:before="240" w:after="0"/>
    </w:pPr>
    <w:rPr>
      <w:sz w:val="20"/>
    </w:rPr>
  </w:style>
  <w:style w:type="paragraph" w:customStyle="1" w:styleId="HeadingLevel1-BarcRA68">
    <w:name w:val="Heading Level 1 - Barc RA_68"/>
    <w:basedOn w:val="BodyText-BarcRA117"/>
    <w:next w:val="BodyText-BarcRA117"/>
    <w:link w:val="HeadingLevel1-BarcRAChar58"/>
    <w:qFormat/>
    <w:rsid w:val="002611B5"/>
    <w:pPr>
      <w:spacing w:before="0"/>
    </w:pPr>
    <w:rPr>
      <w:b/>
      <w:bCs/>
      <w:color w:val="000000"/>
      <w:sz w:val="24"/>
      <w:lang w:val="la-Latn"/>
    </w:rPr>
  </w:style>
  <w:style w:type="paragraph" w:customStyle="1" w:styleId="BodyText-BarcRA117">
    <w:name w:val="Body Text - Barc RA_117"/>
    <w:link w:val="BodyText-BarcRAChar83"/>
    <w:qFormat/>
    <w:rsid w:val="005D52ED"/>
    <w:pPr>
      <w:spacing w:before="180" w:after="180"/>
      <w:jc w:val="both"/>
    </w:pPr>
    <w:rPr>
      <w:rFonts w:ascii="Expert Sans Regular" w:hAnsi="Expert Sans Regular"/>
      <w:sz w:val="18"/>
      <w:lang w:eastAsia="en-US"/>
    </w:rPr>
  </w:style>
  <w:style w:type="character" w:customStyle="1" w:styleId="BodyText-BarcRAChar83">
    <w:name w:val="Body Text - Barc RA Char_83"/>
    <w:basedOn w:val="DefaultParagraphFont"/>
    <w:link w:val="BodyText-BarcRA117"/>
    <w:rsid w:val="005D52ED"/>
    <w:rPr>
      <w:rFonts w:ascii="Expert Sans Regular" w:hAnsi="Expert Sans Regular"/>
      <w:sz w:val="18"/>
      <w:lang w:val="en-GB" w:eastAsia="en-US" w:bidi="ar-SA"/>
    </w:rPr>
  </w:style>
  <w:style w:type="character" w:customStyle="1" w:styleId="HeadingLevel1-BarcRAChar58">
    <w:name w:val="Heading Level 1 - Barc RA Char_58"/>
    <w:basedOn w:val="DefaultParagraphFont"/>
    <w:link w:val="HeadingLevel1-BarcRA68"/>
    <w:rsid w:val="009705AC"/>
    <w:rPr>
      <w:rFonts w:ascii="Expert Sans Regular" w:hAnsi="Expert Sans Regular"/>
      <w:b/>
      <w:bCs/>
      <w:color w:val="000000"/>
      <w:sz w:val="24"/>
      <w:lang w:val="la-Latn"/>
    </w:rPr>
  </w:style>
  <w:style w:type="paragraph" w:customStyle="1" w:styleId="TableFormatColBody-BarcRA">
    <w:name w:val="Table Format Col Body - Barc RA"/>
    <w:basedOn w:val="TableFormat-BarcRA"/>
    <w:qFormat/>
    <w:locked/>
    <w:rsid w:val="00285FBB"/>
    <w:pPr>
      <w:jc w:val="right"/>
    </w:pPr>
  </w:style>
  <w:style w:type="paragraph" w:styleId="Header">
    <w:name w:val="header"/>
    <w:basedOn w:val="Normal"/>
    <w:link w:val="HeaderChar"/>
    <w:rsid w:val="000E33D1"/>
    <w:pPr>
      <w:tabs>
        <w:tab w:val="center" w:pos="4513"/>
        <w:tab w:val="right" w:pos="9026"/>
      </w:tabs>
    </w:pPr>
  </w:style>
  <w:style w:type="character" w:customStyle="1" w:styleId="HeaderChar">
    <w:name w:val="Header Char"/>
    <w:basedOn w:val="DefaultParagraphFont"/>
    <w:link w:val="Header"/>
    <w:rsid w:val="000E33D1"/>
    <w:rPr>
      <w:rFonts w:ascii="Expert Sans Regular" w:eastAsia="Expert Sans Regular" w:hAnsi="Expert Sans Regular" w:cs="Expert Sans Regular"/>
      <w:sz w:val="2"/>
      <w:szCs w:val="24"/>
      <w:lang w:val="en-US" w:eastAsia="en-US"/>
    </w:rPr>
  </w:style>
  <w:style w:type="paragraph" w:styleId="Footer">
    <w:name w:val="footer"/>
    <w:basedOn w:val="Normal"/>
    <w:link w:val="FooterChar"/>
    <w:rsid w:val="000E33D1"/>
    <w:pPr>
      <w:tabs>
        <w:tab w:val="center" w:pos="4513"/>
        <w:tab w:val="right" w:pos="9026"/>
      </w:tabs>
    </w:pPr>
  </w:style>
  <w:style w:type="character" w:customStyle="1" w:styleId="FooterChar">
    <w:name w:val="Footer Char"/>
    <w:basedOn w:val="DefaultParagraphFont"/>
    <w:link w:val="Footer"/>
    <w:rsid w:val="000E33D1"/>
    <w:rPr>
      <w:rFonts w:ascii="Expert Sans Regular" w:eastAsia="Expert Sans Regular" w:hAnsi="Expert Sans Regular" w:cs="Expert Sans Regular"/>
      <w:sz w:val="2"/>
      <w:szCs w:val="24"/>
      <w:lang w:val="en-US" w:eastAsia="en-US"/>
    </w:rPr>
  </w:style>
  <w:style w:type="paragraph" w:styleId="FootnoteText">
    <w:name w:val="footnote text"/>
    <w:basedOn w:val="Normal"/>
    <w:link w:val="FootnoteTextChar"/>
    <w:rsid w:val="005921C2"/>
    <w:pPr>
      <w:spacing w:line="240" w:lineRule="atLeast"/>
    </w:pPr>
    <w:rPr>
      <w:rFonts w:ascii="Arial" w:eastAsia="SimSun" w:hAnsi="Arial" w:cs="Times New Roman"/>
      <w:sz w:val="20"/>
      <w:szCs w:val="20"/>
      <w:lang w:val="en-GB" w:eastAsia="zh-CN"/>
    </w:rPr>
  </w:style>
  <w:style w:type="character" w:customStyle="1" w:styleId="FootnoteTextChar">
    <w:name w:val="Footnote Text Char"/>
    <w:basedOn w:val="DefaultParagraphFont"/>
    <w:link w:val="FootnoteText"/>
    <w:rsid w:val="005921C2"/>
    <w:rPr>
      <w:rFonts w:ascii="Arial" w:eastAsia="SimSun" w:hAnsi="Arial"/>
      <w:lang w:eastAsia="zh-CN"/>
    </w:rPr>
  </w:style>
  <w:style w:type="character" w:styleId="FootnoteReference">
    <w:name w:val="footnote reference"/>
    <w:basedOn w:val="DefaultParagraphFont"/>
    <w:rsid w:val="005921C2"/>
    <w:rPr>
      <w:b/>
      <w:bCs/>
      <w:vertAlign w:val="superscript"/>
    </w:rPr>
  </w:style>
  <w:style w:type="character" w:customStyle="1" w:styleId="DeltaViewInsertion">
    <w:name w:val="DeltaView Insertion"/>
    <w:uiPriority w:val="99"/>
    <w:rsid w:val="00560D72"/>
    <w:rPr>
      <w:color w:val="0000FF"/>
      <w:u w:val="double"/>
    </w:rPr>
  </w:style>
  <w:style w:type="character" w:customStyle="1" w:styleId="DeltaViewDeletion">
    <w:name w:val="DeltaView Deletion"/>
    <w:uiPriority w:val="99"/>
    <w:rsid w:val="00560D72"/>
    <w:rPr>
      <w:strike/>
      <w:color w:val="FF0000"/>
    </w:rPr>
  </w:style>
  <w:style w:type="paragraph" w:styleId="BalloonText">
    <w:name w:val="Balloon Text"/>
    <w:basedOn w:val="Normal"/>
    <w:link w:val="BalloonTextChar"/>
    <w:rsid w:val="00940C64"/>
    <w:rPr>
      <w:rFonts w:ascii="Tahoma" w:hAnsi="Tahoma" w:cs="Tahoma"/>
      <w:sz w:val="16"/>
      <w:szCs w:val="16"/>
    </w:rPr>
  </w:style>
  <w:style w:type="character" w:customStyle="1" w:styleId="BalloonTextChar">
    <w:name w:val="Balloon Text Char"/>
    <w:basedOn w:val="DefaultParagraphFont"/>
    <w:link w:val="BalloonText"/>
    <w:rsid w:val="00940C64"/>
    <w:rPr>
      <w:rFonts w:ascii="Tahoma" w:eastAsia="Expert Sans Regular" w:hAnsi="Tahoma" w:cs="Tahoma"/>
      <w:sz w:val="16"/>
      <w:szCs w:val="16"/>
      <w:lang w:val="en-US" w:eastAsia="en-US"/>
    </w:rPr>
  </w:style>
  <w:style w:type="paragraph" w:styleId="EndnoteText">
    <w:name w:val="endnote text"/>
    <w:basedOn w:val="Normal"/>
    <w:link w:val="EndnoteTextChar"/>
    <w:rsid w:val="008B3BCD"/>
    <w:rPr>
      <w:sz w:val="20"/>
      <w:szCs w:val="20"/>
    </w:rPr>
  </w:style>
  <w:style w:type="character" w:customStyle="1" w:styleId="EndnoteTextChar">
    <w:name w:val="Endnote Text Char"/>
    <w:basedOn w:val="DefaultParagraphFont"/>
    <w:link w:val="EndnoteText"/>
    <w:rsid w:val="008B3BCD"/>
    <w:rPr>
      <w:rFonts w:ascii="Expert Sans Regular" w:eastAsia="Expert Sans Regular" w:hAnsi="Expert Sans Regular" w:cs="Expert Sans Regular"/>
      <w:lang w:val="en-US" w:eastAsia="en-US"/>
    </w:rPr>
  </w:style>
  <w:style w:type="character" w:styleId="EndnoteReference">
    <w:name w:val="endnote reference"/>
    <w:basedOn w:val="DefaultParagraphFont"/>
    <w:rsid w:val="008B3BCD"/>
    <w:rPr>
      <w:vertAlign w:val="superscript"/>
    </w:rPr>
  </w:style>
  <w:style w:type="paragraph" w:styleId="DocumentMap">
    <w:name w:val="Document Map"/>
    <w:basedOn w:val="Normal"/>
    <w:link w:val="DocumentMapChar"/>
    <w:rsid w:val="008D6001"/>
    <w:rPr>
      <w:rFonts w:ascii="Tahoma" w:hAnsi="Tahoma" w:cs="Tahoma"/>
      <w:sz w:val="16"/>
      <w:szCs w:val="16"/>
    </w:rPr>
  </w:style>
  <w:style w:type="character" w:customStyle="1" w:styleId="DocumentMapChar">
    <w:name w:val="Document Map Char"/>
    <w:basedOn w:val="DefaultParagraphFont"/>
    <w:link w:val="DocumentMap"/>
    <w:rsid w:val="008D6001"/>
    <w:rPr>
      <w:rFonts w:ascii="Tahoma" w:eastAsia="Expert Sans Regular" w:hAnsi="Tahoma" w:cs="Tahoma"/>
      <w:sz w:val="16"/>
      <w:szCs w:val="16"/>
      <w:lang w:val="en-US" w:eastAsia="en-US"/>
    </w:rPr>
  </w:style>
  <w:style w:type="character" w:customStyle="1" w:styleId="BodyText-BarcRAChar201">
    <w:name w:val="Body Text - Barc RA Char_2_0"/>
    <w:basedOn w:val="DefaultParagraphFont"/>
    <w:locked/>
    <w:rsid w:val="00CC41A9"/>
    <w:rPr>
      <w:rFonts w:ascii="Expert Sans Regular" w:hAnsi="Expert Sans Regular"/>
      <w:sz w:val="18"/>
      <w:lang w:val="en-GB" w:eastAsia="en-US" w:bidi="ar-SA"/>
    </w:rPr>
  </w:style>
  <w:style w:type="paragraph" w:customStyle="1" w:styleId="Normal00">
    <w:name w:val="Normal_0_0"/>
    <w:qFormat/>
    <w:rsid w:val="00CC41A9"/>
    <w:rPr>
      <w:rFonts w:ascii="Expert Sans Regular" w:hAnsi="Expert Sans Regular"/>
      <w:sz w:val="18"/>
      <w:szCs w:val="24"/>
      <w:lang w:eastAsia="en-US"/>
    </w:rPr>
  </w:style>
  <w:style w:type="paragraph" w:customStyle="1" w:styleId="NoteSourceText-BarcRA17">
    <w:name w:val="Note &amp; Source Text - Barc RA_17"/>
    <w:basedOn w:val="Normal6"/>
    <w:link w:val="NoteSourceText-BarcRAChar17"/>
    <w:rsid w:val="00CC41A9"/>
    <w:pPr>
      <w:tabs>
        <w:tab w:val="left" w:pos="284"/>
      </w:tabs>
      <w:spacing w:before="20" w:after="20"/>
      <w:ind w:left="284" w:hanging="284"/>
      <w:jc w:val="both"/>
    </w:pPr>
    <w:rPr>
      <w:i/>
      <w:iCs/>
      <w:sz w:val="14"/>
      <w:szCs w:val="14"/>
    </w:rPr>
  </w:style>
  <w:style w:type="character" w:customStyle="1" w:styleId="NoteSourceText-BarcRAChar17">
    <w:name w:val="Note &amp; Source Text - Barc RA Char_17"/>
    <w:basedOn w:val="DefaultParagraphFont"/>
    <w:link w:val="NoteSourceText-BarcRA17"/>
    <w:locked/>
    <w:rsid w:val="00CC41A9"/>
    <w:rPr>
      <w:rFonts w:ascii="Expert Sans Regular" w:hAnsi="Expert Sans Regular"/>
      <w:i/>
      <w:iCs/>
      <w:sz w:val="14"/>
      <w:szCs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40E"/>
    <w:rPr>
      <w:rFonts w:ascii="Expert Sans Regular" w:eastAsia="Expert Sans Regular" w:hAnsi="Expert Sans Regular" w:cs="Expert Sans Regular"/>
      <w:sz w:val="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arcRA">
    <w:name w:val="Body Text - Barc RA"/>
    <w:link w:val="BodyText-BarcRAChar"/>
    <w:qFormat/>
    <w:rsid w:val="005D52ED"/>
    <w:pPr>
      <w:spacing w:before="180" w:after="180"/>
      <w:jc w:val="both"/>
    </w:pPr>
    <w:rPr>
      <w:rFonts w:ascii="Expert Sans Regular" w:hAnsi="Expert Sans Regular"/>
      <w:sz w:val="18"/>
      <w:lang w:eastAsia="en-US"/>
    </w:rPr>
  </w:style>
  <w:style w:type="character" w:customStyle="1" w:styleId="BodyText-BarcRAChar">
    <w:name w:val="Body Text - Barc RA Char"/>
    <w:basedOn w:val="DefaultParagraphFont"/>
    <w:link w:val="BodyText-BarcRA"/>
    <w:rsid w:val="005D52ED"/>
    <w:rPr>
      <w:rFonts w:ascii="Expert Sans Regular" w:hAnsi="Expert Sans Regular"/>
      <w:sz w:val="18"/>
      <w:lang w:val="en-GB" w:eastAsia="en-US" w:bidi="ar-SA"/>
    </w:rPr>
  </w:style>
  <w:style w:type="paragraph" w:customStyle="1" w:styleId="Normal0">
    <w:name w:val="Normal_0"/>
    <w:qFormat/>
    <w:rsid w:val="009705AC"/>
    <w:rPr>
      <w:rFonts w:ascii="Expert Sans Regular" w:hAnsi="Expert Sans Regular"/>
      <w:sz w:val="18"/>
      <w:szCs w:val="24"/>
      <w:lang w:eastAsia="en-US"/>
    </w:rPr>
  </w:style>
  <w:style w:type="paragraph" w:customStyle="1" w:styleId="MyLastParagraph">
    <w:name w:val="MyLastParagraph"/>
    <w:rsid w:val="008F540E"/>
    <w:rPr>
      <w:sz w:val="4"/>
    </w:rPr>
  </w:style>
  <w:style w:type="paragraph" w:customStyle="1" w:styleId="Normal1">
    <w:name w:val="Normal_1"/>
    <w:qFormat/>
    <w:rsid w:val="009705AC"/>
    <w:rPr>
      <w:rFonts w:ascii="Expert Sans Regular" w:hAnsi="Expert Sans Regular"/>
      <w:sz w:val="18"/>
      <w:szCs w:val="24"/>
      <w:lang w:eastAsia="en-US"/>
    </w:rPr>
  </w:style>
  <w:style w:type="paragraph" w:customStyle="1" w:styleId="BodyText-BarcRA0">
    <w:name w:val="Body Text - Barc RA_0"/>
    <w:link w:val="BodyText-BarcRAChar0"/>
    <w:qFormat/>
    <w:rsid w:val="005D52ED"/>
    <w:pPr>
      <w:spacing w:before="180" w:after="180"/>
      <w:jc w:val="both"/>
    </w:pPr>
    <w:rPr>
      <w:rFonts w:ascii="Expert Sans Regular" w:hAnsi="Expert Sans Regular"/>
      <w:sz w:val="18"/>
      <w:lang w:eastAsia="en-US"/>
    </w:rPr>
  </w:style>
  <w:style w:type="character" w:customStyle="1" w:styleId="BodyText-BarcRAChar0">
    <w:name w:val="Body Text - Barc RA Char_0"/>
    <w:basedOn w:val="DefaultParagraphFont"/>
    <w:link w:val="BodyText-BarcRA0"/>
    <w:rsid w:val="005D52ED"/>
    <w:rPr>
      <w:rFonts w:ascii="Expert Sans Regular" w:hAnsi="Expert Sans Regular"/>
      <w:sz w:val="18"/>
      <w:lang w:val="en-GB" w:eastAsia="en-US" w:bidi="ar-SA"/>
    </w:rPr>
  </w:style>
  <w:style w:type="paragraph" w:customStyle="1" w:styleId="DocumentTitle-BarcRA">
    <w:name w:val="Document Title - Barc RA"/>
    <w:basedOn w:val="Normal1"/>
    <w:rsid w:val="00492E08"/>
    <w:pPr>
      <w:jc w:val="center"/>
    </w:pPr>
    <w:rPr>
      <w:b/>
      <w:bCs/>
      <w:sz w:val="48"/>
      <w:szCs w:val="20"/>
    </w:rPr>
  </w:style>
  <w:style w:type="paragraph" w:customStyle="1" w:styleId="DocumentTitleDetails-BarcRA">
    <w:name w:val="Document Title Details - Barc RA"/>
    <w:basedOn w:val="Normal1"/>
    <w:rsid w:val="00492E08"/>
    <w:pPr>
      <w:jc w:val="center"/>
    </w:pPr>
    <w:rPr>
      <w:sz w:val="24"/>
      <w:szCs w:val="20"/>
    </w:rPr>
  </w:style>
  <w:style w:type="paragraph" w:customStyle="1" w:styleId="Normal10">
    <w:name w:val="Normal_1_0"/>
    <w:qFormat/>
    <w:rsid w:val="00953D99"/>
    <w:rPr>
      <w:rFonts w:ascii="Expert Sans Regular" w:hAnsi="Expert Sans Regular"/>
      <w:sz w:val="18"/>
      <w:szCs w:val="24"/>
      <w:lang w:eastAsia="en-US"/>
    </w:rPr>
  </w:style>
  <w:style w:type="paragraph" w:customStyle="1" w:styleId="BodyText-BarcRA1">
    <w:name w:val="Body Text - Barc RA_1"/>
    <w:qFormat/>
    <w:rsid w:val="00F60A0D"/>
    <w:pPr>
      <w:spacing w:before="180" w:after="180"/>
      <w:jc w:val="both"/>
    </w:pPr>
    <w:rPr>
      <w:rFonts w:ascii="Expert Sans Regular" w:hAnsi="Expert Sans Regular"/>
      <w:sz w:val="18"/>
      <w:lang w:eastAsia="en-US"/>
    </w:rPr>
  </w:style>
  <w:style w:type="paragraph" w:customStyle="1" w:styleId="Normal2">
    <w:name w:val="Normal_2"/>
    <w:qFormat/>
    <w:rsid w:val="00F60A0D"/>
    <w:rPr>
      <w:rFonts w:ascii="Expert Sans Regular" w:hAnsi="Expert Sans Regular"/>
      <w:sz w:val="18"/>
      <w:szCs w:val="24"/>
      <w:lang w:eastAsia="en-US"/>
    </w:rPr>
  </w:style>
  <w:style w:type="paragraph" w:customStyle="1" w:styleId="HeadingLevel1-BarcRA">
    <w:name w:val="Heading Level 1 - Barc RA"/>
    <w:basedOn w:val="BodyText-BarcRA2"/>
    <w:next w:val="BodyText-BarcRA2"/>
    <w:link w:val="HeadingLevel1-BarcRAChar"/>
    <w:rsid w:val="002611B5"/>
    <w:pPr>
      <w:spacing w:before="0"/>
    </w:pPr>
    <w:rPr>
      <w:b/>
      <w:bCs/>
      <w:color w:val="000000"/>
      <w:sz w:val="24"/>
      <w:lang w:val="la-Latn"/>
    </w:rPr>
  </w:style>
  <w:style w:type="paragraph" w:customStyle="1" w:styleId="BodyText-BarcRA2">
    <w:name w:val="Body Text - Barc RA_2"/>
    <w:link w:val="BodyText-BarcRAChar1"/>
    <w:qFormat/>
    <w:rsid w:val="005D52ED"/>
    <w:pPr>
      <w:spacing w:before="180" w:after="180"/>
      <w:jc w:val="both"/>
    </w:pPr>
    <w:rPr>
      <w:rFonts w:ascii="Expert Sans Regular" w:hAnsi="Expert Sans Regular"/>
      <w:sz w:val="18"/>
      <w:lang w:eastAsia="en-US"/>
    </w:rPr>
  </w:style>
  <w:style w:type="character" w:customStyle="1" w:styleId="BodyText-BarcRAChar1">
    <w:name w:val="Body Text - Barc RA Char_1"/>
    <w:basedOn w:val="DefaultParagraphFont"/>
    <w:link w:val="BodyText-BarcRA2"/>
    <w:rsid w:val="005D52ED"/>
    <w:rPr>
      <w:rFonts w:ascii="Expert Sans Regular" w:hAnsi="Expert Sans Regular"/>
      <w:sz w:val="18"/>
      <w:lang w:val="en-GB" w:eastAsia="en-US" w:bidi="ar-SA"/>
    </w:rPr>
  </w:style>
  <w:style w:type="character" w:customStyle="1" w:styleId="HeadingLevel1-BarcRAChar">
    <w:name w:val="Heading Level 1 - Barc RA Char"/>
    <w:basedOn w:val="DefaultParagraphFont"/>
    <w:link w:val="HeadingLevel1-BarcRA"/>
    <w:rsid w:val="009705AC"/>
    <w:rPr>
      <w:rFonts w:ascii="Expert Sans Regular" w:hAnsi="Expert Sans Regular"/>
      <w:b/>
      <w:bCs/>
      <w:color w:val="000000"/>
      <w:sz w:val="24"/>
      <w:lang w:val="la-Latn"/>
    </w:rPr>
  </w:style>
  <w:style w:type="paragraph" w:customStyle="1" w:styleId="HeaderSpacerwithLine-BarcRA">
    <w:name w:val="Header Spacer with Line - Barc RA"/>
    <w:basedOn w:val="BodyText-BarcRA2"/>
    <w:link w:val="HeaderSpacerwithLine-BarcRAChar"/>
    <w:rsid w:val="00016DD8"/>
    <w:pPr>
      <w:pBdr>
        <w:top w:val="single" w:sz="4" w:space="1" w:color="auto"/>
      </w:pBdr>
      <w:spacing w:before="0" w:after="0"/>
    </w:pPr>
    <w:rPr>
      <w:sz w:val="10"/>
      <w:szCs w:val="10"/>
    </w:rPr>
  </w:style>
  <w:style w:type="character" w:customStyle="1" w:styleId="HeaderSpacerwithLine-BarcRAChar">
    <w:name w:val="Header Spacer with Line - Barc RA Char"/>
    <w:basedOn w:val="BodyText-BarcRAChar1"/>
    <w:link w:val="HeaderSpacerwithLine-BarcRA"/>
    <w:rsid w:val="000E2451"/>
    <w:rPr>
      <w:rFonts w:ascii="Expert Sans Regular" w:hAnsi="Expert Sans Regular"/>
      <w:sz w:val="10"/>
      <w:szCs w:val="10"/>
      <w:lang w:val="en-GB" w:eastAsia="en-US" w:bidi="ar-SA"/>
    </w:rPr>
  </w:style>
  <w:style w:type="paragraph" w:customStyle="1" w:styleId="Level1Bullet-BarcRA">
    <w:name w:val="Level 1 Bullet - Barc RA"/>
    <w:basedOn w:val="BodyText-BarcRA2"/>
    <w:link w:val="Level1Bullet-BarcRAChar"/>
    <w:qFormat/>
    <w:rsid w:val="00A85CEE"/>
    <w:pPr>
      <w:numPr>
        <w:numId w:val="2"/>
      </w:numPr>
    </w:pPr>
    <w:rPr>
      <w:lang w:val="la-Latn"/>
    </w:rPr>
  </w:style>
  <w:style w:type="character" w:customStyle="1" w:styleId="Level1Bullet-BarcRAChar">
    <w:name w:val="Level 1 Bullet - Barc RA Char"/>
    <w:basedOn w:val="BodyText-BarcRAChar1"/>
    <w:link w:val="Level1Bullet-BarcRA"/>
    <w:rsid w:val="00A85CEE"/>
    <w:rPr>
      <w:rFonts w:ascii="Expert Sans Regular" w:hAnsi="Expert Sans Regular"/>
      <w:sz w:val="18"/>
      <w:lang w:val="la-Latn" w:eastAsia="en-US" w:bidi="ar-SA"/>
    </w:rPr>
  </w:style>
  <w:style w:type="paragraph" w:customStyle="1" w:styleId="Level2Bullet-BarcRA">
    <w:name w:val="Level 2 Bullet - Barc RA"/>
    <w:basedOn w:val="Level1Bullet-BarcRA"/>
    <w:qFormat/>
    <w:rsid w:val="007049EF"/>
    <w:pPr>
      <w:numPr>
        <w:ilvl w:val="2"/>
        <w:numId w:val="235"/>
      </w:numPr>
      <w:tabs>
        <w:tab w:val="left" w:pos="567"/>
      </w:tabs>
    </w:pPr>
  </w:style>
  <w:style w:type="paragraph" w:customStyle="1" w:styleId="TableFormat-BarcRA">
    <w:name w:val="Table Format - Barc RA"/>
    <w:basedOn w:val="BodyText-BarcRA2"/>
    <w:qFormat/>
    <w:rsid w:val="006D068D"/>
    <w:pPr>
      <w:spacing w:before="15" w:after="15"/>
      <w:jc w:val="left"/>
    </w:pPr>
    <w:rPr>
      <w:sz w:val="16"/>
      <w:lang w:eastAsia="en-GB"/>
    </w:rPr>
  </w:style>
  <w:style w:type="paragraph" w:customStyle="1" w:styleId="Special1-BarcRA">
    <w:name w:val="Special 1 - Barc RA"/>
    <w:basedOn w:val="BodyText-BarcRA2"/>
    <w:rsid w:val="00B87FAE"/>
    <w:pPr>
      <w:jc w:val="center"/>
    </w:pPr>
    <w:rPr>
      <w:sz w:val="12"/>
    </w:rPr>
  </w:style>
  <w:style w:type="paragraph" w:customStyle="1" w:styleId="HeadingLevel1-BarcRA0">
    <w:name w:val="Heading Level 1 - Barc RA_0"/>
    <w:basedOn w:val="BodyText-BarcRA3"/>
    <w:next w:val="BodyText-BarcRA3"/>
    <w:rsid w:val="00B86BA5"/>
    <w:pPr>
      <w:spacing w:before="0"/>
    </w:pPr>
    <w:rPr>
      <w:b/>
      <w:bCs/>
      <w:color w:val="000000"/>
      <w:sz w:val="24"/>
      <w:lang w:val="la-Latn"/>
    </w:rPr>
  </w:style>
  <w:style w:type="paragraph" w:customStyle="1" w:styleId="BodyText-BarcRA3">
    <w:name w:val="Body Text - Barc RA_3"/>
    <w:qFormat/>
    <w:rsid w:val="00B86BA5"/>
    <w:pPr>
      <w:spacing w:before="180" w:after="180"/>
      <w:jc w:val="both"/>
    </w:pPr>
    <w:rPr>
      <w:rFonts w:ascii="Expert Sans Regular" w:hAnsi="Expert Sans Regular"/>
      <w:sz w:val="18"/>
      <w:lang w:eastAsia="en-US"/>
    </w:rPr>
  </w:style>
  <w:style w:type="paragraph" w:customStyle="1" w:styleId="Normal3">
    <w:name w:val="Normal_3"/>
    <w:qFormat/>
    <w:rsid w:val="00136BB1"/>
    <w:rPr>
      <w:rFonts w:ascii="Expert Sans Regular" w:hAnsi="Expert Sans Regular"/>
      <w:sz w:val="18"/>
      <w:szCs w:val="24"/>
      <w:lang w:eastAsia="en-US"/>
    </w:rPr>
  </w:style>
  <w:style w:type="paragraph" w:customStyle="1" w:styleId="Normal4">
    <w:name w:val="Normal_4"/>
    <w:qFormat/>
    <w:rsid w:val="00435B3F"/>
    <w:rPr>
      <w:rFonts w:ascii="Expert Sans Regular" w:hAnsi="Expert Sans Regular"/>
      <w:sz w:val="18"/>
      <w:szCs w:val="24"/>
      <w:lang w:eastAsia="en-US"/>
    </w:rPr>
  </w:style>
  <w:style w:type="paragraph" w:customStyle="1" w:styleId="BodyText-BarcRA30">
    <w:name w:val="Body Text - Barc RA_3_0"/>
    <w:link w:val="BodyText-BarcRAChar2"/>
    <w:qFormat/>
    <w:rsid w:val="0049196A"/>
    <w:pPr>
      <w:spacing w:before="180" w:after="180"/>
      <w:jc w:val="both"/>
    </w:pPr>
    <w:rPr>
      <w:rFonts w:ascii="Expert Sans Regular" w:hAnsi="Expert Sans Regular"/>
      <w:sz w:val="18"/>
      <w:lang w:eastAsia="en-US"/>
    </w:rPr>
  </w:style>
  <w:style w:type="character" w:customStyle="1" w:styleId="BodyText-BarcRAChar2">
    <w:name w:val="Body Text - Barc RA Char_2"/>
    <w:basedOn w:val="DefaultParagraphFont"/>
    <w:link w:val="BodyText-BarcRA30"/>
    <w:locked/>
    <w:rsid w:val="0049196A"/>
    <w:rPr>
      <w:rFonts w:ascii="Expert Sans Regular" w:hAnsi="Expert Sans Regular"/>
      <w:sz w:val="18"/>
      <w:lang w:val="en-GB" w:eastAsia="en-US" w:bidi="ar-SA"/>
    </w:rPr>
  </w:style>
  <w:style w:type="paragraph" w:customStyle="1" w:styleId="HeadingLevel1-BarcRA1">
    <w:name w:val="Heading Level 1 - Barc RA_1"/>
    <w:basedOn w:val="Normal5"/>
    <w:next w:val="Normal5"/>
    <w:rsid w:val="00951185"/>
    <w:pPr>
      <w:spacing w:after="180"/>
      <w:jc w:val="both"/>
    </w:pPr>
    <w:rPr>
      <w:rFonts w:ascii="Expert Sans Regular" w:hAnsi="Expert Sans Regular"/>
      <w:b/>
      <w:bCs/>
      <w:color w:val="000000"/>
      <w:szCs w:val="20"/>
      <w:lang w:val="la-Latn" w:eastAsia="en-US"/>
    </w:rPr>
  </w:style>
  <w:style w:type="paragraph" w:customStyle="1" w:styleId="Normal5">
    <w:name w:val="Normal_5"/>
    <w:qFormat/>
    <w:rsid w:val="00772C0C"/>
    <w:rPr>
      <w:sz w:val="24"/>
      <w:szCs w:val="24"/>
    </w:rPr>
  </w:style>
  <w:style w:type="paragraph" w:customStyle="1" w:styleId="HeaderSpacerwithLine-BarcRA0">
    <w:name w:val="Header Spacer with Line - Barc RA_0"/>
    <w:basedOn w:val="Normal5"/>
    <w:rsid w:val="00951185"/>
    <w:pPr>
      <w:pBdr>
        <w:top w:val="single" w:sz="4" w:space="1" w:color="auto"/>
      </w:pBdr>
      <w:jc w:val="both"/>
    </w:pPr>
    <w:rPr>
      <w:rFonts w:ascii="Expert Sans Regular" w:hAnsi="Expert Sans Regular"/>
      <w:sz w:val="10"/>
      <w:szCs w:val="10"/>
      <w:lang w:eastAsia="en-US"/>
    </w:rPr>
  </w:style>
  <w:style w:type="paragraph" w:customStyle="1" w:styleId="BodyText-BarcRA4">
    <w:name w:val="Body Text - Barc RA_4"/>
    <w:qFormat/>
    <w:rsid w:val="007A0707"/>
    <w:pPr>
      <w:spacing w:before="180" w:after="180"/>
      <w:jc w:val="both"/>
    </w:pPr>
    <w:rPr>
      <w:rFonts w:ascii="Expert Sans Regular" w:hAnsi="Expert Sans Regular"/>
      <w:sz w:val="18"/>
      <w:lang w:eastAsia="en-US"/>
    </w:rPr>
  </w:style>
  <w:style w:type="paragraph" w:customStyle="1" w:styleId="Normal6">
    <w:name w:val="Normal_6"/>
    <w:qFormat/>
    <w:rsid w:val="007A0707"/>
    <w:rPr>
      <w:rFonts w:ascii="Expert Sans Regular" w:hAnsi="Expert Sans Regular"/>
      <w:sz w:val="18"/>
      <w:szCs w:val="24"/>
      <w:lang w:eastAsia="en-US"/>
    </w:rPr>
  </w:style>
  <w:style w:type="paragraph" w:customStyle="1" w:styleId="Normal60">
    <w:name w:val="Normal_6_0"/>
    <w:qFormat/>
    <w:rsid w:val="00235AA0"/>
    <w:rPr>
      <w:rFonts w:ascii="Expert Sans Regular" w:hAnsi="Expert Sans Regular"/>
      <w:sz w:val="18"/>
      <w:szCs w:val="24"/>
      <w:lang w:eastAsia="en-US"/>
    </w:rPr>
  </w:style>
  <w:style w:type="paragraph" w:customStyle="1" w:styleId="Level1Bullet-BarcRA1">
    <w:name w:val="Level 1 Bullet - Barc RA_1"/>
    <w:basedOn w:val="Normal7"/>
    <w:rsid w:val="007B7155"/>
    <w:pPr>
      <w:numPr>
        <w:numId w:val="3"/>
      </w:numPr>
      <w:spacing w:before="180" w:after="180"/>
      <w:jc w:val="both"/>
    </w:pPr>
    <w:rPr>
      <w:szCs w:val="20"/>
      <w:lang w:val="la-Latn"/>
    </w:rPr>
  </w:style>
  <w:style w:type="paragraph" w:customStyle="1" w:styleId="Normal7">
    <w:name w:val="Normal_7"/>
    <w:qFormat/>
    <w:rsid w:val="00435B3F"/>
    <w:rPr>
      <w:rFonts w:ascii="Expert Sans Regular" w:hAnsi="Expert Sans Regular"/>
      <w:sz w:val="18"/>
      <w:szCs w:val="24"/>
      <w:lang w:eastAsia="en-US"/>
    </w:rPr>
  </w:style>
  <w:style w:type="paragraph" w:customStyle="1" w:styleId="Level1Bullet-BarcRA11">
    <w:name w:val="Level 1 Bullet - Barc RA_11"/>
    <w:basedOn w:val="Normal7"/>
    <w:rsid w:val="007B7155"/>
    <w:pPr>
      <w:numPr>
        <w:numId w:val="4"/>
      </w:numPr>
      <w:spacing w:before="180" w:after="180"/>
      <w:jc w:val="both"/>
    </w:pPr>
    <w:rPr>
      <w:rFonts w:eastAsia="Calibri"/>
      <w:szCs w:val="18"/>
      <w:lang w:eastAsia="en-GB"/>
    </w:rPr>
  </w:style>
  <w:style w:type="paragraph" w:customStyle="1" w:styleId="Normal8">
    <w:name w:val="Normal_8"/>
    <w:qFormat/>
    <w:rsid w:val="00772C0C"/>
    <w:rPr>
      <w:sz w:val="24"/>
      <w:szCs w:val="24"/>
    </w:rPr>
  </w:style>
  <w:style w:type="character" w:styleId="Hyperlink">
    <w:name w:val="Hyperlink"/>
    <w:basedOn w:val="DefaultParagraphFont"/>
    <w:rsid w:val="009C260C"/>
    <w:rPr>
      <w:color w:val="0000FF"/>
      <w:u w:val="single"/>
    </w:rPr>
  </w:style>
  <w:style w:type="paragraph" w:customStyle="1" w:styleId="Normal70">
    <w:name w:val="Normal_7_0"/>
    <w:qFormat/>
    <w:rsid w:val="00EC0DB8"/>
    <w:rPr>
      <w:sz w:val="24"/>
      <w:szCs w:val="24"/>
    </w:rPr>
  </w:style>
  <w:style w:type="paragraph" w:customStyle="1" w:styleId="HeadingLevel1-BarcRA2">
    <w:name w:val="Heading Level 1 - Barc RA_2"/>
    <w:basedOn w:val="BodyText-BarcRA5"/>
    <w:next w:val="BodyText-BarcRA5"/>
    <w:rsid w:val="005530F1"/>
    <w:pPr>
      <w:spacing w:before="0"/>
    </w:pPr>
    <w:rPr>
      <w:b/>
      <w:bCs/>
      <w:color w:val="000000"/>
      <w:sz w:val="24"/>
      <w:lang w:val="la-Latn"/>
    </w:rPr>
  </w:style>
  <w:style w:type="paragraph" w:customStyle="1" w:styleId="BodyText-BarcRA5">
    <w:name w:val="Body Text - Barc RA_5"/>
    <w:qFormat/>
    <w:rsid w:val="005530F1"/>
    <w:pPr>
      <w:spacing w:before="180" w:after="180"/>
      <w:jc w:val="both"/>
    </w:pPr>
    <w:rPr>
      <w:rFonts w:ascii="Expert Sans Regular" w:hAnsi="Expert Sans Regular"/>
      <w:sz w:val="18"/>
      <w:lang w:eastAsia="en-US"/>
    </w:rPr>
  </w:style>
  <w:style w:type="paragraph" w:customStyle="1" w:styleId="HeaderSpacerwithLine-BarcRA1">
    <w:name w:val="Header Spacer with Line - Barc RA_1"/>
    <w:basedOn w:val="BodyText-BarcRA5"/>
    <w:rsid w:val="005530F1"/>
    <w:pPr>
      <w:pBdr>
        <w:top w:val="single" w:sz="4" w:space="1" w:color="auto"/>
      </w:pBdr>
      <w:spacing w:before="0" w:after="0"/>
    </w:pPr>
    <w:rPr>
      <w:sz w:val="10"/>
      <w:szCs w:val="10"/>
    </w:rPr>
  </w:style>
  <w:style w:type="paragraph" w:customStyle="1" w:styleId="Normal11">
    <w:name w:val="Normal_1_1"/>
    <w:qFormat/>
    <w:rsid w:val="000B3EC7"/>
    <w:rPr>
      <w:rFonts w:ascii="Expert Sans Regular" w:hAnsi="Expert Sans Regular"/>
      <w:sz w:val="18"/>
      <w:szCs w:val="24"/>
      <w:lang w:eastAsia="en-US"/>
    </w:rPr>
  </w:style>
  <w:style w:type="paragraph" w:customStyle="1" w:styleId="Normal600">
    <w:name w:val="Normal_6_0_0"/>
    <w:qFormat/>
    <w:rsid w:val="000B3EC7"/>
    <w:rPr>
      <w:rFonts w:ascii="Expert Sans Regular" w:hAnsi="Expert Sans Regular"/>
      <w:sz w:val="18"/>
      <w:szCs w:val="24"/>
      <w:lang w:eastAsia="en-US"/>
    </w:rPr>
  </w:style>
  <w:style w:type="paragraph" w:customStyle="1" w:styleId="HeadingLevel1-BarcRA3">
    <w:name w:val="Heading Level 1 - Barc RA_3"/>
    <w:basedOn w:val="BodyText-BarcRA6"/>
    <w:next w:val="BodyText-BarcRA6"/>
    <w:rsid w:val="00C747B7"/>
    <w:pPr>
      <w:spacing w:before="0"/>
    </w:pPr>
    <w:rPr>
      <w:b/>
      <w:bCs/>
      <w:color w:val="000000"/>
      <w:sz w:val="24"/>
      <w:lang w:val="la-Latn"/>
    </w:rPr>
  </w:style>
  <w:style w:type="paragraph" w:customStyle="1" w:styleId="BodyText-BarcRA6">
    <w:name w:val="Body Text - Barc RA_6"/>
    <w:qFormat/>
    <w:rsid w:val="00C747B7"/>
    <w:pPr>
      <w:spacing w:before="180" w:after="180"/>
      <w:jc w:val="both"/>
    </w:pPr>
    <w:rPr>
      <w:rFonts w:ascii="Expert Sans Regular" w:hAnsi="Expert Sans Regular"/>
      <w:sz w:val="18"/>
      <w:lang w:eastAsia="en-US"/>
    </w:rPr>
  </w:style>
  <w:style w:type="paragraph" w:customStyle="1" w:styleId="HeaderSpacerwithLine-BarcRA2">
    <w:name w:val="Header Spacer with Line - Barc RA_2"/>
    <w:basedOn w:val="BodyText-BarcRA6"/>
    <w:rsid w:val="00C747B7"/>
    <w:pPr>
      <w:pBdr>
        <w:top w:val="single" w:sz="4" w:space="1" w:color="auto"/>
      </w:pBdr>
      <w:spacing w:before="0" w:after="0"/>
    </w:pPr>
    <w:rPr>
      <w:sz w:val="10"/>
      <w:szCs w:val="10"/>
    </w:rPr>
  </w:style>
  <w:style w:type="paragraph" w:customStyle="1" w:styleId="HeadingLevel1-BarcRA7">
    <w:name w:val="Heading Level 1 - Barc RA_7"/>
    <w:basedOn w:val="Normal9"/>
    <w:next w:val="Normal9"/>
    <w:link w:val="HeadingLevel1-BarcRAChar0"/>
    <w:rsid w:val="0084588A"/>
    <w:pPr>
      <w:spacing w:after="180"/>
      <w:jc w:val="both"/>
    </w:pPr>
    <w:rPr>
      <w:b/>
      <w:bCs/>
      <w:color w:val="000000"/>
      <w:sz w:val="24"/>
      <w:szCs w:val="20"/>
      <w:lang w:val="la-Latn"/>
    </w:rPr>
  </w:style>
  <w:style w:type="paragraph" w:customStyle="1" w:styleId="Normal9">
    <w:name w:val="Normal_9"/>
    <w:qFormat/>
    <w:rsid w:val="00130880"/>
    <w:rPr>
      <w:rFonts w:ascii="Expert Sans Regular" w:hAnsi="Expert Sans Regular"/>
      <w:sz w:val="18"/>
      <w:szCs w:val="24"/>
      <w:lang w:eastAsia="en-US"/>
    </w:rPr>
  </w:style>
  <w:style w:type="character" w:customStyle="1" w:styleId="HeadingLevel1-BarcRAChar0">
    <w:name w:val="Heading Level 1 - Barc RA Char_0"/>
    <w:basedOn w:val="DefaultParagraphFont"/>
    <w:link w:val="HeadingLevel1-BarcRA7"/>
    <w:locked/>
    <w:rsid w:val="007B5B26"/>
    <w:rPr>
      <w:rFonts w:ascii="Expert Sans Regular" w:hAnsi="Expert Sans Regular"/>
      <w:b/>
      <w:bCs/>
      <w:color w:val="000000"/>
      <w:sz w:val="24"/>
      <w:lang w:val="la-Latn" w:eastAsia="en-US"/>
    </w:rPr>
  </w:style>
  <w:style w:type="paragraph" w:customStyle="1" w:styleId="Level1Bullet-BarcRA03">
    <w:name w:val="Level 1 Bullet - Barc RA_0_3"/>
    <w:basedOn w:val="Normal9"/>
    <w:rsid w:val="007B5B26"/>
    <w:pPr>
      <w:numPr>
        <w:numId w:val="6"/>
      </w:numPr>
      <w:spacing w:before="180" w:after="180"/>
      <w:jc w:val="both"/>
    </w:pPr>
    <w:rPr>
      <w:szCs w:val="20"/>
      <w:lang w:val="la-Latn"/>
    </w:rPr>
  </w:style>
  <w:style w:type="paragraph" w:customStyle="1" w:styleId="Level1Bullet-BarcRA02">
    <w:name w:val="Level 1 Bullet - Barc RA_0_2"/>
    <w:basedOn w:val="Normal9"/>
    <w:rsid w:val="007B5B26"/>
    <w:pPr>
      <w:numPr>
        <w:numId w:val="7"/>
      </w:numPr>
      <w:spacing w:before="180" w:after="180"/>
      <w:jc w:val="both"/>
    </w:pPr>
    <w:rPr>
      <w:szCs w:val="20"/>
      <w:lang w:val="la-Latn"/>
    </w:rPr>
  </w:style>
  <w:style w:type="paragraph" w:customStyle="1" w:styleId="Level1Bullet-BarcRA700">
    <w:name w:val="Level 1 Bullet - Barc RA_7_0_0"/>
    <w:basedOn w:val="Normal9"/>
    <w:rsid w:val="00DD6FD0"/>
    <w:pPr>
      <w:tabs>
        <w:tab w:val="num" w:pos="284"/>
      </w:tabs>
      <w:spacing w:before="180" w:after="180"/>
      <w:ind w:left="284" w:hanging="284"/>
      <w:jc w:val="both"/>
    </w:pPr>
    <w:rPr>
      <w:szCs w:val="20"/>
      <w:lang w:val="la-Latn"/>
    </w:rPr>
  </w:style>
  <w:style w:type="paragraph" w:customStyle="1" w:styleId="Level1Bullet-BarcRA20">
    <w:name w:val="Level 1 Bullet - Barc RA_2_0"/>
    <w:basedOn w:val="Normal9"/>
    <w:uiPriority w:val="99"/>
    <w:rsid w:val="001111B8"/>
    <w:pPr>
      <w:numPr>
        <w:numId w:val="9"/>
      </w:numPr>
      <w:spacing w:before="180" w:after="180"/>
      <w:jc w:val="both"/>
    </w:pPr>
    <w:rPr>
      <w:szCs w:val="20"/>
      <w:lang w:val="la-Latn"/>
    </w:rPr>
  </w:style>
  <w:style w:type="paragraph" w:customStyle="1" w:styleId="Level2Bullet-BarcRA0">
    <w:name w:val="Level 2 Bullet - Barc RA_0"/>
    <w:basedOn w:val="Normal9"/>
    <w:qFormat/>
    <w:rsid w:val="00F33652"/>
    <w:pPr>
      <w:numPr>
        <w:ilvl w:val="2"/>
        <w:numId w:val="10"/>
      </w:numPr>
      <w:spacing w:before="180" w:after="180"/>
      <w:jc w:val="both"/>
    </w:pPr>
    <w:rPr>
      <w:szCs w:val="20"/>
      <w:lang w:val="la-Latn"/>
    </w:rPr>
  </w:style>
  <w:style w:type="paragraph" w:customStyle="1" w:styleId="HeadingLevel1-BarcRA4">
    <w:name w:val="Heading Level 1 - Barc RA_4"/>
    <w:basedOn w:val="BodyText-BarcRA7"/>
    <w:next w:val="BodyText-BarcRA7"/>
    <w:link w:val="HeadingLevel1-BarcRAChar1"/>
    <w:rsid w:val="00130880"/>
    <w:pPr>
      <w:spacing w:before="0"/>
    </w:pPr>
    <w:rPr>
      <w:b/>
      <w:bCs/>
      <w:color w:val="000000"/>
      <w:sz w:val="24"/>
      <w:lang w:val="la-Latn"/>
    </w:rPr>
  </w:style>
  <w:style w:type="paragraph" w:customStyle="1" w:styleId="BodyText-BarcRA7">
    <w:name w:val="Body Text - Barc RA_7"/>
    <w:qFormat/>
    <w:rsid w:val="00130880"/>
    <w:pPr>
      <w:spacing w:before="180" w:after="180"/>
      <w:jc w:val="both"/>
    </w:pPr>
    <w:rPr>
      <w:rFonts w:ascii="Expert Sans Regular" w:hAnsi="Expert Sans Regular"/>
      <w:sz w:val="18"/>
      <w:lang w:eastAsia="en-US"/>
    </w:rPr>
  </w:style>
  <w:style w:type="character" w:customStyle="1" w:styleId="HeadingLevel1-BarcRAChar1">
    <w:name w:val="Heading Level 1 - Barc RA Char_1"/>
    <w:basedOn w:val="DefaultParagraphFont"/>
    <w:link w:val="HeadingLevel1-BarcRA4"/>
    <w:rsid w:val="00AC3BF6"/>
    <w:rPr>
      <w:rFonts w:ascii="Expert Sans Regular" w:hAnsi="Expert Sans Regular"/>
      <w:b/>
      <w:bCs/>
      <w:color w:val="000000"/>
      <w:sz w:val="24"/>
      <w:lang w:val="la-Latn" w:eastAsia="en-US"/>
    </w:rPr>
  </w:style>
  <w:style w:type="paragraph" w:customStyle="1" w:styleId="Level1Bullet-BarcRA0">
    <w:name w:val="Level 1 Bullet - Barc RA_0"/>
    <w:basedOn w:val="BodyText-BarcRA7"/>
    <w:link w:val="Level1Bullet-BarcRAChar0"/>
    <w:qFormat/>
    <w:rsid w:val="00130880"/>
    <w:pPr>
      <w:numPr>
        <w:numId w:val="11"/>
      </w:numPr>
    </w:pPr>
    <w:rPr>
      <w:lang w:val="la-Latn"/>
    </w:rPr>
  </w:style>
  <w:style w:type="character" w:customStyle="1" w:styleId="Level1Bullet-BarcRAChar0">
    <w:name w:val="Level 1 Bullet - Barc RA Char_0"/>
    <w:basedOn w:val="DefaultParagraphFont"/>
    <w:link w:val="Level1Bullet-BarcRA0"/>
    <w:rsid w:val="00AC3BF6"/>
    <w:rPr>
      <w:rFonts w:ascii="Expert Sans Regular" w:hAnsi="Expert Sans Regular"/>
      <w:sz w:val="18"/>
      <w:lang w:val="la-Latn" w:eastAsia="en-US"/>
    </w:rPr>
  </w:style>
  <w:style w:type="paragraph" w:customStyle="1" w:styleId="HeadingLevel1-BarcRA5">
    <w:name w:val="Heading Level 1 - Barc RA_5"/>
    <w:basedOn w:val="BodyText-BarcRA8"/>
    <w:next w:val="BodyText-BarcRA8"/>
    <w:rsid w:val="00130880"/>
    <w:pPr>
      <w:spacing w:before="0"/>
    </w:pPr>
    <w:rPr>
      <w:b/>
      <w:bCs/>
      <w:color w:val="000000"/>
      <w:sz w:val="24"/>
      <w:lang w:val="la-Latn"/>
    </w:rPr>
  </w:style>
  <w:style w:type="paragraph" w:customStyle="1" w:styleId="BodyText-BarcRA8">
    <w:name w:val="Body Text - Barc RA_8"/>
    <w:qFormat/>
    <w:rsid w:val="00130880"/>
    <w:pPr>
      <w:spacing w:before="180" w:after="180"/>
      <w:jc w:val="both"/>
    </w:pPr>
    <w:rPr>
      <w:rFonts w:ascii="Expert Sans Regular" w:hAnsi="Expert Sans Regular"/>
      <w:sz w:val="18"/>
      <w:lang w:eastAsia="en-US"/>
    </w:rPr>
  </w:style>
  <w:style w:type="paragraph" w:customStyle="1" w:styleId="Level1Bullet-BarcRA2">
    <w:name w:val="Level 1 Bullet - Barc RA_2"/>
    <w:basedOn w:val="Normal100"/>
    <w:link w:val="Level1Bullet-BarcRAChar1"/>
    <w:qFormat/>
    <w:rsid w:val="002B1053"/>
    <w:pPr>
      <w:numPr>
        <w:numId w:val="13"/>
      </w:numPr>
      <w:spacing w:before="180" w:after="180"/>
      <w:jc w:val="both"/>
    </w:pPr>
    <w:rPr>
      <w:szCs w:val="20"/>
      <w:lang w:val="la-Latn"/>
    </w:rPr>
  </w:style>
  <w:style w:type="paragraph" w:customStyle="1" w:styleId="Normal100">
    <w:name w:val="Normal_10"/>
    <w:qFormat/>
    <w:rsid w:val="00130880"/>
    <w:rPr>
      <w:rFonts w:ascii="Expert Sans Regular" w:hAnsi="Expert Sans Regular"/>
      <w:sz w:val="18"/>
      <w:szCs w:val="24"/>
      <w:lang w:eastAsia="en-US"/>
    </w:rPr>
  </w:style>
  <w:style w:type="character" w:customStyle="1" w:styleId="Level1Bullet-BarcRAChar1">
    <w:name w:val="Level 1 Bullet - Barc RA Char_1"/>
    <w:basedOn w:val="DefaultParagraphFont"/>
    <w:link w:val="Level1Bullet-BarcRA2"/>
    <w:locked/>
    <w:rsid w:val="002B1053"/>
    <w:rPr>
      <w:rFonts w:ascii="Expert Sans Regular" w:hAnsi="Expert Sans Regular"/>
      <w:sz w:val="18"/>
      <w:lang w:val="la-Latn" w:eastAsia="en-US"/>
    </w:rPr>
  </w:style>
  <w:style w:type="paragraph" w:customStyle="1" w:styleId="HeadingLevel1-BarcRA6">
    <w:name w:val="Heading Level 1 - Barc RA_6"/>
    <w:basedOn w:val="BodyText-BarcRA9"/>
    <w:next w:val="BodyText-BarcRA9"/>
    <w:link w:val="HeadingLevel1-BarcRAChar2"/>
    <w:qFormat/>
    <w:rsid w:val="002611B5"/>
    <w:pPr>
      <w:spacing w:before="0"/>
    </w:pPr>
    <w:rPr>
      <w:b/>
      <w:bCs/>
      <w:color w:val="000000"/>
      <w:sz w:val="24"/>
      <w:lang w:val="la-Latn"/>
    </w:rPr>
  </w:style>
  <w:style w:type="paragraph" w:customStyle="1" w:styleId="BodyText-BarcRA9">
    <w:name w:val="Body Text - Barc RA_9"/>
    <w:link w:val="BodyText-BarcRAChar3"/>
    <w:qFormat/>
    <w:rsid w:val="005D52ED"/>
    <w:pPr>
      <w:spacing w:before="180" w:after="180"/>
      <w:jc w:val="both"/>
    </w:pPr>
    <w:rPr>
      <w:rFonts w:ascii="Expert Sans Regular" w:hAnsi="Expert Sans Regular"/>
      <w:sz w:val="18"/>
      <w:lang w:eastAsia="en-US"/>
    </w:rPr>
  </w:style>
  <w:style w:type="character" w:customStyle="1" w:styleId="BodyText-BarcRAChar3">
    <w:name w:val="Body Text - Barc RA Char_3"/>
    <w:basedOn w:val="DefaultParagraphFont"/>
    <w:link w:val="BodyText-BarcRA9"/>
    <w:rsid w:val="005D52ED"/>
    <w:rPr>
      <w:rFonts w:ascii="Expert Sans Regular" w:hAnsi="Expert Sans Regular"/>
      <w:sz w:val="18"/>
      <w:lang w:val="en-GB" w:eastAsia="en-US" w:bidi="ar-SA"/>
    </w:rPr>
  </w:style>
  <w:style w:type="character" w:customStyle="1" w:styleId="HeadingLevel1-BarcRAChar2">
    <w:name w:val="Heading Level 1 - Barc RA Char_2"/>
    <w:basedOn w:val="DefaultParagraphFont"/>
    <w:link w:val="HeadingLevel1-BarcRA6"/>
    <w:rsid w:val="009705AC"/>
    <w:rPr>
      <w:rFonts w:ascii="Expert Sans Regular" w:hAnsi="Expert Sans Regular"/>
      <w:b/>
      <w:bCs/>
      <w:color w:val="000000"/>
      <w:sz w:val="24"/>
      <w:lang w:val="la-Latn"/>
    </w:rPr>
  </w:style>
  <w:style w:type="paragraph" w:customStyle="1" w:styleId="Level1Bullet-BarcRA300">
    <w:name w:val="Level 1 Bullet - Barc RA_3_0_0"/>
    <w:basedOn w:val="Normal110"/>
    <w:qFormat/>
    <w:rsid w:val="000F0306"/>
    <w:pPr>
      <w:numPr>
        <w:numId w:val="15"/>
      </w:numPr>
      <w:spacing w:before="180" w:after="180"/>
      <w:jc w:val="both"/>
    </w:pPr>
    <w:rPr>
      <w:szCs w:val="20"/>
      <w:lang w:val="la-Latn"/>
    </w:rPr>
  </w:style>
  <w:style w:type="paragraph" w:customStyle="1" w:styleId="Normal110">
    <w:name w:val="Normal_11"/>
    <w:qFormat/>
    <w:rsid w:val="009705AC"/>
    <w:rPr>
      <w:rFonts w:ascii="Expert Sans Regular" w:hAnsi="Expert Sans Regular"/>
      <w:sz w:val="18"/>
      <w:szCs w:val="24"/>
      <w:lang w:eastAsia="en-US"/>
    </w:rPr>
  </w:style>
  <w:style w:type="paragraph" w:customStyle="1" w:styleId="Level1Bullet-BarcRA4">
    <w:name w:val="Level 1 Bullet - Barc RA_4"/>
    <w:basedOn w:val="Normal110"/>
    <w:link w:val="Level1Bullet-BarcRAChar3"/>
    <w:qFormat/>
    <w:rsid w:val="00367191"/>
    <w:pPr>
      <w:numPr>
        <w:numId w:val="16"/>
      </w:numPr>
      <w:spacing w:before="180" w:after="180"/>
      <w:jc w:val="both"/>
    </w:pPr>
    <w:rPr>
      <w:szCs w:val="20"/>
      <w:lang w:val="la-Latn"/>
    </w:rPr>
  </w:style>
  <w:style w:type="character" w:customStyle="1" w:styleId="Level1Bullet-BarcRAChar3">
    <w:name w:val="Level 1 Bullet - Barc RA Char_3"/>
    <w:basedOn w:val="DefaultParagraphFont"/>
    <w:link w:val="Level1Bullet-BarcRA4"/>
    <w:locked/>
    <w:rsid w:val="00367191"/>
    <w:rPr>
      <w:rFonts w:ascii="Expert Sans Regular" w:hAnsi="Expert Sans Regular"/>
      <w:sz w:val="18"/>
      <w:lang w:val="la-Latn" w:eastAsia="en-US"/>
    </w:rPr>
  </w:style>
  <w:style w:type="paragraph" w:customStyle="1" w:styleId="Level1Bullet-BarcRA0300">
    <w:name w:val="Level 1 Bullet - Barc RA_0_3_0_0"/>
    <w:basedOn w:val="Normal110"/>
    <w:rsid w:val="00195FA9"/>
    <w:pPr>
      <w:tabs>
        <w:tab w:val="num" w:pos="284"/>
      </w:tabs>
      <w:spacing w:before="180" w:after="180"/>
      <w:ind w:left="284" w:hanging="284"/>
      <w:jc w:val="both"/>
    </w:pPr>
    <w:rPr>
      <w:szCs w:val="20"/>
      <w:lang w:val="la-Latn"/>
    </w:rPr>
  </w:style>
  <w:style w:type="paragraph" w:customStyle="1" w:styleId="Level1Bullet-BarcRA030">
    <w:name w:val="Level 1 Bullet - Barc RA_0_3_0"/>
    <w:basedOn w:val="Normal110"/>
    <w:rsid w:val="000F0306"/>
    <w:pPr>
      <w:numPr>
        <w:numId w:val="17"/>
      </w:numPr>
      <w:spacing w:before="180" w:after="180"/>
      <w:jc w:val="both"/>
    </w:pPr>
    <w:rPr>
      <w:szCs w:val="20"/>
      <w:lang w:val="la-Latn"/>
    </w:rPr>
  </w:style>
  <w:style w:type="paragraph" w:customStyle="1" w:styleId="HeadingLevel2-BarcRA">
    <w:name w:val="Heading Level 2 - Barc RA"/>
    <w:basedOn w:val="HeadingLevel1-BarcRA8"/>
    <w:next w:val="BodyText-BarcRA10"/>
    <w:qFormat/>
    <w:rsid w:val="00130880"/>
    <w:pPr>
      <w:spacing w:before="240" w:after="0"/>
    </w:pPr>
    <w:rPr>
      <w:sz w:val="20"/>
    </w:rPr>
  </w:style>
  <w:style w:type="paragraph" w:customStyle="1" w:styleId="HeadingLevel1-BarcRA8">
    <w:name w:val="Heading Level 1 - Barc RA_8"/>
    <w:basedOn w:val="BodyText-BarcRA10"/>
    <w:next w:val="BodyText-BarcRA10"/>
    <w:rsid w:val="00130880"/>
    <w:pPr>
      <w:spacing w:before="0"/>
    </w:pPr>
    <w:rPr>
      <w:b/>
      <w:bCs/>
      <w:color w:val="000000"/>
      <w:sz w:val="24"/>
      <w:lang w:val="la-Latn"/>
    </w:rPr>
  </w:style>
  <w:style w:type="paragraph" w:customStyle="1" w:styleId="BodyText-BarcRA10">
    <w:name w:val="Body Text - Barc RA_10"/>
    <w:qFormat/>
    <w:rsid w:val="00130880"/>
    <w:pPr>
      <w:spacing w:before="180" w:after="180"/>
      <w:jc w:val="both"/>
    </w:pPr>
    <w:rPr>
      <w:rFonts w:ascii="Expert Sans Regular" w:hAnsi="Expert Sans Regular"/>
      <w:sz w:val="18"/>
      <w:lang w:eastAsia="en-US"/>
    </w:rPr>
  </w:style>
  <w:style w:type="paragraph" w:customStyle="1" w:styleId="Level1Bullet-BarcRA1110">
    <w:name w:val="Level 1 Bullet - Barc RA_11_1_0"/>
    <w:basedOn w:val="Normal13"/>
    <w:rsid w:val="000A4DBC"/>
    <w:pPr>
      <w:tabs>
        <w:tab w:val="num" w:pos="284"/>
      </w:tabs>
      <w:spacing w:before="180" w:after="180"/>
      <w:ind w:left="284" w:hanging="284"/>
      <w:jc w:val="both"/>
    </w:pPr>
    <w:rPr>
      <w:szCs w:val="20"/>
      <w:lang w:val="la-Latn"/>
    </w:rPr>
  </w:style>
  <w:style w:type="paragraph" w:customStyle="1" w:styleId="Normal13">
    <w:name w:val="Normal_13"/>
    <w:qFormat/>
    <w:rsid w:val="000A4DBC"/>
    <w:rPr>
      <w:rFonts w:ascii="Expert Sans Regular" w:hAnsi="Expert Sans Regular"/>
      <w:sz w:val="18"/>
      <w:szCs w:val="24"/>
      <w:lang w:eastAsia="en-US"/>
    </w:rPr>
  </w:style>
  <w:style w:type="paragraph" w:customStyle="1" w:styleId="Level1Bullet-BarcRA5">
    <w:name w:val="Level 1 Bullet - Barc RA_5"/>
    <w:basedOn w:val="Normal12"/>
    <w:qFormat/>
    <w:rsid w:val="00506D54"/>
    <w:pPr>
      <w:numPr>
        <w:numId w:val="18"/>
      </w:numPr>
      <w:spacing w:before="180" w:after="180"/>
      <w:jc w:val="both"/>
    </w:pPr>
    <w:rPr>
      <w:szCs w:val="20"/>
      <w:lang w:val="la-Latn"/>
    </w:rPr>
  </w:style>
  <w:style w:type="paragraph" w:customStyle="1" w:styleId="Normal12">
    <w:name w:val="Normal_12"/>
    <w:qFormat/>
    <w:rsid w:val="00130880"/>
    <w:rPr>
      <w:rFonts w:ascii="Expert Sans Regular" w:hAnsi="Expert Sans Regular"/>
      <w:sz w:val="18"/>
      <w:szCs w:val="24"/>
      <w:lang w:eastAsia="en-US"/>
    </w:rPr>
  </w:style>
  <w:style w:type="paragraph" w:customStyle="1" w:styleId="Level1Bullet-BarcRA111">
    <w:name w:val="Level 1 Bullet - Barc RA_11_1"/>
    <w:basedOn w:val="Normal12"/>
    <w:rsid w:val="00E140CE"/>
    <w:pPr>
      <w:numPr>
        <w:numId w:val="20"/>
      </w:numPr>
      <w:spacing w:before="180" w:after="180"/>
      <w:jc w:val="both"/>
    </w:pPr>
    <w:rPr>
      <w:szCs w:val="20"/>
      <w:lang w:val="la-Latn"/>
    </w:rPr>
  </w:style>
  <w:style w:type="paragraph" w:customStyle="1" w:styleId="HeadingLevel2-BarcRA0">
    <w:name w:val="Heading Level 2 - Barc RA_0"/>
    <w:basedOn w:val="Normal12"/>
    <w:next w:val="Normal12"/>
    <w:qFormat/>
    <w:rsid w:val="000A4DBC"/>
    <w:pPr>
      <w:spacing w:before="240"/>
      <w:jc w:val="both"/>
    </w:pPr>
    <w:rPr>
      <w:b/>
      <w:bCs/>
      <w:color w:val="000000"/>
      <w:sz w:val="20"/>
      <w:szCs w:val="20"/>
      <w:lang w:val="la-Latn"/>
    </w:rPr>
  </w:style>
  <w:style w:type="paragraph" w:customStyle="1" w:styleId="Level1Bullet-BarcRA100">
    <w:name w:val="Level 1 Bullet - Barc RA_10_0"/>
    <w:basedOn w:val="Normal12"/>
    <w:uiPriority w:val="99"/>
    <w:rsid w:val="000A4DBC"/>
    <w:pPr>
      <w:numPr>
        <w:numId w:val="21"/>
      </w:numPr>
      <w:spacing w:before="180" w:after="180"/>
      <w:jc w:val="both"/>
    </w:pPr>
    <w:rPr>
      <w:rFonts w:eastAsia="Calibri"/>
      <w:szCs w:val="18"/>
      <w:lang w:eastAsia="en-GB"/>
    </w:rPr>
  </w:style>
  <w:style w:type="paragraph" w:customStyle="1" w:styleId="Level2Bullet-BarcRA30">
    <w:name w:val="Level 2 Bullet - Barc RA_3_0"/>
    <w:basedOn w:val="Normal12"/>
    <w:qFormat/>
    <w:rsid w:val="000A4DBC"/>
    <w:pPr>
      <w:numPr>
        <w:ilvl w:val="2"/>
        <w:numId w:val="22"/>
      </w:numPr>
      <w:spacing w:before="180" w:after="180"/>
      <w:jc w:val="both"/>
    </w:pPr>
    <w:rPr>
      <w:szCs w:val="20"/>
      <w:lang w:val="la-Latn"/>
    </w:rPr>
  </w:style>
  <w:style w:type="paragraph" w:customStyle="1" w:styleId="HeadingLevel2-BarcRA5">
    <w:name w:val="Heading Level 2 - Barc RA_5"/>
    <w:basedOn w:val="Normal12"/>
    <w:next w:val="Normal12"/>
    <w:qFormat/>
    <w:rsid w:val="000A4DBC"/>
    <w:pPr>
      <w:spacing w:before="240"/>
      <w:jc w:val="both"/>
    </w:pPr>
    <w:rPr>
      <w:b/>
      <w:bCs/>
      <w:color w:val="000000"/>
      <w:sz w:val="20"/>
      <w:szCs w:val="20"/>
      <w:lang w:val="la-Latn"/>
    </w:rPr>
  </w:style>
  <w:style w:type="paragraph" w:customStyle="1" w:styleId="HeadingLevel1-BarcRA9">
    <w:name w:val="Heading Level 1 - Barc RA_9"/>
    <w:basedOn w:val="BodyText-BarcRA11"/>
    <w:next w:val="BodyText-BarcRA11"/>
    <w:rsid w:val="00C747B7"/>
    <w:pPr>
      <w:spacing w:before="0"/>
    </w:pPr>
    <w:rPr>
      <w:b/>
      <w:bCs/>
      <w:color w:val="000000"/>
      <w:sz w:val="24"/>
      <w:lang w:val="la-Latn"/>
    </w:rPr>
  </w:style>
  <w:style w:type="paragraph" w:customStyle="1" w:styleId="BodyText-BarcRA11">
    <w:name w:val="Body Text - Barc RA_11"/>
    <w:qFormat/>
    <w:rsid w:val="00C747B7"/>
    <w:pPr>
      <w:spacing w:before="180" w:after="180"/>
      <w:jc w:val="both"/>
    </w:pPr>
    <w:rPr>
      <w:rFonts w:ascii="Expert Sans Regular" w:hAnsi="Expert Sans Regular"/>
      <w:sz w:val="18"/>
      <w:lang w:eastAsia="en-US"/>
    </w:rPr>
  </w:style>
  <w:style w:type="paragraph" w:customStyle="1" w:styleId="HeaderSpacerwithLine-BarcRA3">
    <w:name w:val="Header Spacer with Line - Barc RA_3"/>
    <w:basedOn w:val="BodyText-BarcRA11"/>
    <w:rsid w:val="00C747B7"/>
    <w:pPr>
      <w:pBdr>
        <w:top w:val="single" w:sz="4" w:space="1" w:color="auto"/>
      </w:pBdr>
      <w:spacing w:before="0" w:after="0"/>
    </w:pPr>
    <w:rPr>
      <w:sz w:val="10"/>
      <w:szCs w:val="10"/>
    </w:rPr>
  </w:style>
  <w:style w:type="paragraph" w:customStyle="1" w:styleId="HeadingLevel1-BarcRA10">
    <w:name w:val="Heading Level 1 - Barc RA_10"/>
    <w:basedOn w:val="BodyText-BarcRA12"/>
    <w:next w:val="BodyText-BarcRA12"/>
    <w:rsid w:val="00B05725"/>
    <w:pPr>
      <w:spacing w:before="0"/>
    </w:pPr>
    <w:rPr>
      <w:b/>
      <w:bCs/>
      <w:color w:val="000000"/>
      <w:sz w:val="24"/>
      <w:lang w:val="la-Latn"/>
    </w:rPr>
  </w:style>
  <w:style w:type="paragraph" w:customStyle="1" w:styleId="BodyText-BarcRA12">
    <w:name w:val="Body Text - Barc RA_12"/>
    <w:qFormat/>
    <w:rsid w:val="00B05725"/>
    <w:pPr>
      <w:spacing w:before="180" w:after="180"/>
      <w:jc w:val="both"/>
    </w:pPr>
    <w:rPr>
      <w:rFonts w:ascii="Expert Sans Regular" w:hAnsi="Expert Sans Regular"/>
      <w:sz w:val="18"/>
      <w:lang w:eastAsia="en-US"/>
    </w:rPr>
  </w:style>
  <w:style w:type="paragraph" w:customStyle="1" w:styleId="HeaderSpacerwithLine-BarcRA4">
    <w:name w:val="Header Spacer with Line - Barc RA_4"/>
    <w:basedOn w:val="BodyText-BarcRA12"/>
    <w:rsid w:val="00B05725"/>
    <w:pPr>
      <w:pBdr>
        <w:top w:val="single" w:sz="4" w:space="1" w:color="auto"/>
      </w:pBdr>
      <w:spacing w:before="0" w:after="0"/>
    </w:pPr>
    <w:rPr>
      <w:sz w:val="10"/>
      <w:szCs w:val="10"/>
    </w:rPr>
  </w:style>
  <w:style w:type="paragraph" w:customStyle="1" w:styleId="Normal14">
    <w:name w:val="Normal_14"/>
    <w:qFormat/>
    <w:rsid w:val="001F0FD5"/>
    <w:rPr>
      <w:rFonts w:ascii="Expert Sans Regular" w:eastAsia="Expert Sans Regular" w:hAnsi="Expert Sans Regular" w:cs="Expert Sans Regular"/>
      <w:sz w:val="2"/>
      <w:szCs w:val="24"/>
      <w:lang w:val="en-US" w:eastAsia="en-US"/>
    </w:rPr>
  </w:style>
  <w:style w:type="paragraph" w:customStyle="1" w:styleId="Normal15">
    <w:name w:val="Normal_15"/>
    <w:qFormat/>
    <w:rsid w:val="00772C0C"/>
    <w:rPr>
      <w:sz w:val="24"/>
      <w:szCs w:val="24"/>
    </w:rPr>
  </w:style>
  <w:style w:type="paragraph" w:customStyle="1" w:styleId="Normal16">
    <w:name w:val="Normal_16"/>
    <w:qFormat/>
    <w:rsid w:val="00772C0C"/>
    <w:rPr>
      <w:sz w:val="24"/>
      <w:szCs w:val="24"/>
    </w:rPr>
  </w:style>
  <w:style w:type="paragraph" w:customStyle="1" w:styleId="Normal17">
    <w:name w:val="Normal_17"/>
    <w:qFormat/>
    <w:rsid w:val="00E074F3"/>
    <w:rPr>
      <w:sz w:val="24"/>
      <w:szCs w:val="24"/>
    </w:rPr>
  </w:style>
  <w:style w:type="paragraph" w:customStyle="1" w:styleId="Normal18">
    <w:name w:val="Normal_18"/>
    <w:qFormat/>
    <w:rsid w:val="00772C0C"/>
    <w:rPr>
      <w:sz w:val="24"/>
      <w:szCs w:val="24"/>
    </w:rPr>
  </w:style>
  <w:style w:type="paragraph" w:customStyle="1" w:styleId="HeaderSpacerwithLine-BarcRA5">
    <w:name w:val="Header Spacer with Line - Barc RA_5"/>
    <w:basedOn w:val="BodyText-BarcRA13"/>
    <w:rsid w:val="007C3A38"/>
    <w:pPr>
      <w:pBdr>
        <w:top w:val="single" w:sz="4" w:space="1" w:color="auto"/>
      </w:pBdr>
      <w:spacing w:before="0" w:after="0"/>
    </w:pPr>
    <w:rPr>
      <w:sz w:val="10"/>
      <w:szCs w:val="10"/>
    </w:rPr>
  </w:style>
  <w:style w:type="paragraph" w:customStyle="1" w:styleId="BodyText-BarcRA13">
    <w:name w:val="Body Text - Barc RA_13"/>
    <w:qFormat/>
    <w:rsid w:val="007C3A38"/>
    <w:pPr>
      <w:spacing w:before="180" w:after="180"/>
      <w:jc w:val="both"/>
    </w:pPr>
    <w:rPr>
      <w:rFonts w:ascii="Expert Sans Regular" w:hAnsi="Expert Sans Regular"/>
      <w:sz w:val="18"/>
      <w:lang w:eastAsia="en-US"/>
    </w:rPr>
  </w:style>
  <w:style w:type="paragraph" w:customStyle="1" w:styleId="Normal19">
    <w:name w:val="Normal_19"/>
    <w:qFormat/>
    <w:rsid w:val="00C3107E"/>
    <w:rPr>
      <w:rFonts w:ascii="Expert Sans Regular" w:hAnsi="Expert Sans Regular"/>
      <w:sz w:val="18"/>
      <w:szCs w:val="24"/>
      <w:lang w:eastAsia="en-US"/>
    </w:rPr>
  </w:style>
  <w:style w:type="paragraph" w:customStyle="1" w:styleId="HeadingLevel1-BarcRA11">
    <w:name w:val="Heading Level 1 - Barc RA_11"/>
    <w:basedOn w:val="BodyText-BarcRA14"/>
    <w:next w:val="BodyText-BarcRA14"/>
    <w:rsid w:val="001D6E1D"/>
    <w:pPr>
      <w:spacing w:before="0"/>
    </w:pPr>
    <w:rPr>
      <w:b/>
      <w:bCs/>
      <w:color w:val="000000"/>
      <w:sz w:val="24"/>
      <w:lang w:val="la-Latn"/>
    </w:rPr>
  </w:style>
  <w:style w:type="paragraph" w:customStyle="1" w:styleId="BodyText-BarcRA14">
    <w:name w:val="Body Text - Barc RA_14"/>
    <w:qFormat/>
    <w:rsid w:val="001D6E1D"/>
    <w:pPr>
      <w:spacing w:before="180" w:after="180"/>
      <w:jc w:val="both"/>
    </w:pPr>
    <w:rPr>
      <w:rFonts w:ascii="Expert Sans Regular" w:hAnsi="Expert Sans Regular"/>
      <w:sz w:val="18"/>
      <w:lang w:eastAsia="en-US"/>
    </w:rPr>
  </w:style>
  <w:style w:type="paragraph" w:customStyle="1" w:styleId="Level1Bullet-BarcRA200">
    <w:name w:val="Level 1 Bullet - Barc RA_2_0_0"/>
    <w:basedOn w:val="Normal19"/>
    <w:uiPriority w:val="99"/>
    <w:rsid w:val="0014599A"/>
    <w:pPr>
      <w:numPr>
        <w:numId w:val="25"/>
      </w:numPr>
      <w:spacing w:before="180" w:after="180"/>
      <w:jc w:val="both"/>
    </w:pPr>
    <w:rPr>
      <w:szCs w:val="20"/>
      <w:lang w:val="la-Latn"/>
    </w:rPr>
  </w:style>
  <w:style w:type="paragraph" w:customStyle="1" w:styleId="Level1Bullet-BarcRA20300">
    <w:name w:val="Level 1 Bullet - Barc RA_2_0_3_0_0"/>
    <w:basedOn w:val="Normal19"/>
    <w:rsid w:val="004B7041"/>
    <w:pPr>
      <w:tabs>
        <w:tab w:val="num" w:pos="284"/>
      </w:tabs>
      <w:spacing w:before="180" w:after="180"/>
      <w:ind w:left="284" w:hanging="284"/>
      <w:jc w:val="both"/>
    </w:pPr>
    <w:rPr>
      <w:szCs w:val="20"/>
      <w:lang w:val="la-Latn"/>
    </w:rPr>
  </w:style>
  <w:style w:type="paragraph" w:customStyle="1" w:styleId="Level1Bullet-BarcRA3000">
    <w:name w:val="Level 1 Bullet - Barc RA_3_0_0_0"/>
    <w:basedOn w:val="Normal19"/>
    <w:uiPriority w:val="99"/>
    <w:rsid w:val="00A12A45"/>
    <w:pPr>
      <w:numPr>
        <w:numId w:val="27"/>
      </w:numPr>
      <w:spacing w:before="180" w:after="180"/>
      <w:jc w:val="both"/>
    </w:pPr>
    <w:rPr>
      <w:szCs w:val="20"/>
      <w:lang w:val="la-Latn"/>
    </w:rPr>
  </w:style>
  <w:style w:type="paragraph" w:customStyle="1" w:styleId="Level2Bullet-BarcRA300">
    <w:name w:val="Level 2 Bullet - Barc RA_3_0_0"/>
    <w:basedOn w:val="Normal19"/>
    <w:qFormat/>
    <w:rsid w:val="004B7041"/>
    <w:pPr>
      <w:numPr>
        <w:ilvl w:val="2"/>
        <w:numId w:val="28"/>
      </w:numPr>
      <w:spacing w:before="180" w:after="180"/>
      <w:jc w:val="both"/>
    </w:pPr>
    <w:rPr>
      <w:szCs w:val="20"/>
      <w:lang w:val="la-Latn"/>
    </w:rPr>
  </w:style>
  <w:style w:type="paragraph" w:customStyle="1" w:styleId="Default">
    <w:name w:val="Default"/>
    <w:rsid w:val="001D6E1D"/>
    <w:pPr>
      <w:widowControl w:val="0"/>
      <w:autoSpaceDE w:val="0"/>
      <w:autoSpaceDN w:val="0"/>
      <w:adjustRightInd w:val="0"/>
    </w:pPr>
    <w:rPr>
      <w:rFonts w:ascii="Expert Serif Regular" w:hAnsi="Expert Serif Regular" w:cs="Expert Serif Regular"/>
      <w:color w:val="000000"/>
      <w:sz w:val="24"/>
      <w:szCs w:val="24"/>
    </w:rPr>
  </w:style>
  <w:style w:type="paragraph" w:customStyle="1" w:styleId="Level1Bullet-BarcRA2000">
    <w:name w:val="Level 1 Bullet - Barc RA_2_0_0_0"/>
    <w:basedOn w:val="Normal19"/>
    <w:uiPriority w:val="99"/>
    <w:rsid w:val="00A01F96"/>
    <w:pPr>
      <w:numPr>
        <w:numId w:val="29"/>
      </w:numPr>
      <w:spacing w:before="180" w:after="180"/>
      <w:jc w:val="both"/>
    </w:pPr>
    <w:rPr>
      <w:szCs w:val="20"/>
      <w:lang w:val="la-Latn"/>
    </w:rPr>
  </w:style>
  <w:style w:type="paragraph" w:customStyle="1" w:styleId="Level1Bullet-BarcRA20301">
    <w:name w:val="Level 1 Bullet - Barc RA_2_0_3_0_1"/>
    <w:basedOn w:val="Normal19"/>
    <w:rsid w:val="00A01F96"/>
    <w:pPr>
      <w:numPr>
        <w:numId w:val="30"/>
      </w:numPr>
      <w:spacing w:before="180" w:after="180"/>
      <w:jc w:val="both"/>
    </w:pPr>
    <w:rPr>
      <w:szCs w:val="20"/>
      <w:lang w:val="la-Latn"/>
    </w:rPr>
  </w:style>
  <w:style w:type="paragraph" w:customStyle="1" w:styleId="Normal20">
    <w:name w:val="Normal_20"/>
    <w:qFormat/>
    <w:rsid w:val="009705AC"/>
    <w:rPr>
      <w:rFonts w:ascii="Expert Sans Regular" w:hAnsi="Expert Sans Regular"/>
      <w:sz w:val="18"/>
      <w:szCs w:val="24"/>
      <w:lang w:eastAsia="en-US"/>
    </w:rPr>
  </w:style>
  <w:style w:type="paragraph" w:customStyle="1" w:styleId="Level1Bullet-BarcRA20010">
    <w:name w:val="Level 1 Bullet - Barc RA_2_0_0_1"/>
    <w:basedOn w:val="Normal20"/>
    <w:uiPriority w:val="99"/>
    <w:rsid w:val="00A01A13"/>
    <w:pPr>
      <w:tabs>
        <w:tab w:val="num" w:pos="284"/>
      </w:tabs>
      <w:spacing w:before="180" w:after="180"/>
      <w:ind w:left="284" w:hanging="284"/>
      <w:jc w:val="both"/>
    </w:pPr>
    <w:rPr>
      <w:szCs w:val="20"/>
      <w:lang w:val="la-Latn"/>
    </w:rPr>
  </w:style>
  <w:style w:type="paragraph" w:customStyle="1" w:styleId="Level1Bullet-BarcRA40">
    <w:name w:val="Level 1 Bullet - Barc RA_4_0"/>
    <w:basedOn w:val="Normal20"/>
    <w:link w:val="Level1Bullet-BarcRAChar10"/>
    <w:qFormat/>
    <w:rsid w:val="00FE05B8"/>
    <w:pPr>
      <w:numPr>
        <w:numId w:val="32"/>
      </w:numPr>
      <w:spacing w:before="180" w:after="180"/>
      <w:jc w:val="both"/>
    </w:pPr>
    <w:rPr>
      <w:szCs w:val="20"/>
      <w:lang w:val="la-Latn"/>
    </w:rPr>
  </w:style>
  <w:style w:type="character" w:customStyle="1" w:styleId="Level1Bullet-BarcRAChar10">
    <w:name w:val="Level 1 Bullet - Barc RA Char_1_0"/>
    <w:link w:val="Level1Bullet-BarcRA40"/>
    <w:locked/>
    <w:rsid w:val="00FE05B8"/>
    <w:rPr>
      <w:rFonts w:ascii="Expert Sans Regular" w:hAnsi="Expert Sans Regular"/>
      <w:sz w:val="18"/>
      <w:lang w:val="la-Latn" w:eastAsia="en-US"/>
    </w:rPr>
  </w:style>
  <w:style w:type="paragraph" w:customStyle="1" w:styleId="Level2Bullet-BarcRA301">
    <w:name w:val="Level 2 Bullet - Barc RA_3_0_1"/>
    <w:basedOn w:val="Normal20"/>
    <w:qFormat/>
    <w:rsid w:val="00357F3B"/>
    <w:pPr>
      <w:numPr>
        <w:ilvl w:val="2"/>
        <w:numId w:val="33"/>
      </w:numPr>
      <w:spacing w:before="180" w:after="180"/>
      <w:jc w:val="both"/>
    </w:pPr>
    <w:rPr>
      <w:szCs w:val="20"/>
      <w:lang w:val="la-Latn"/>
    </w:rPr>
  </w:style>
  <w:style w:type="paragraph" w:customStyle="1" w:styleId="Level1Bullet-BarcRA400">
    <w:name w:val="Level 1 Bullet - Barc RA_4_0_0"/>
    <w:basedOn w:val="Normal20"/>
    <w:link w:val="Level1Bullet-BarcRAChar100"/>
    <w:qFormat/>
    <w:rsid w:val="00E47305"/>
    <w:pPr>
      <w:numPr>
        <w:numId w:val="34"/>
      </w:numPr>
      <w:spacing w:before="180" w:after="180"/>
      <w:jc w:val="both"/>
    </w:pPr>
    <w:rPr>
      <w:szCs w:val="20"/>
      <w:lang w:val="la-Latn"/>
    </w:rPr>
  </w:style>
  <w:style w:type="character" w:customStyle="1" w:styleId="Level1Bullet-BarcRAChar100">
    <w:name w:val="Level 1 Bullet - Barc RA Char_1_0_0"/>
    <w:link w:val="Level1Bullet-BarcRA400"/>
    <w:locked/>
    <w:rsid w:val="00E47305"/>
    <w:rPr>
      <w:rFonts w:ascii="Expert Sans Regular" w:hAnsi="Expert Sans Regular"/>
      <w:sz w:val="18"/>
      <w:lang w:val="la-Latn" w:eastAsia="en-US"/>
    </w:rPr>
  </w:style>
  <w:style w:type="paragraph" w:customStyle="1" w:styleId="Level1Bullet-BarcRA3001">
    <w:name w:val="Level 1 Bullet - Barc RA_3_0_0_1"/>
    <w:basedOn w:val="Normal20"/>
    <w:uiPriority w:val="99"/>
    <w:rsid w:val="006720E9"/>
    <w:pPr>
      <w:tabs>
        <w:tab w:val="num" w:pos="284"/>
      </w:tabs>
      <w:spacing w:before="180" w:after="180"/>
      <w:ind w:left="284" w:hanging="284"/>
      <w:jc w:val="both"/>
    </w:pPr>
    <w:rPr>
      <w:szCs w:val="20"/>
      <w:lang w:val="la-Latn"/>
    </w:rPr>
  </w:style>
  <w:style w:type="paragraph" w:customStyle="1" w:styleId="Level1Bullet-BarcRA41">
    <w:name w:val="Level 1 Bullet - Barc RA_4_1"/>
    <w:basedOn w:val="Normal20"/>
    <w:rsid w:val="00740D2E"/>
    <w:pPr>
      <w:numPr>
        <w:numId w:val="35"/>
      </w:numPr>
      <w:spacing w:before="180" w:after="180"/>
      <w:jc w:val="both"/>
    </w:pPr>
    <w:rPr>
      <w:szCs w:val="20"/>
      <w:lang w:val="la-Latn"/>
    </w:rPr>
  </w:style>
  <w:style w:type="paragraph" w:customStyle="1" w:styleId="Level1Bullet-BarcRA3002">
    <w:name w:val="Level 1 Bullet - Barc RA_3_0_0_2"/>
    <w:basedOn w:val="Normal20"/>
    <w:qFormat/>
    <w:rsid w:val="00E25A58"/>
    <w:pPr>
      <w:numPr>
        <w:numId w:val="36"/>
      </w:numPr>
      <w:spacing w:before="180" w:after="180"/>
      <w:jc w:val="both"/>
    </w:pPr>
    <w:rPr>
      <w:szCs w:val="20"/>
      <w:lang w:val="la-Latn"/>
    </w:rPr>
  </w:style>
  <w:style w:type="paragraph" w:customStyle="1" w:styleId="Level1Bullet-BarcRA4000">
    <w:name w:val="Level 1 Bullet - Barc RA_4_0_0_0"/>
    <w:basedOn w:val="Normal20"/>
    <w:link w:val="Level1Bullet-BarcRAChar1000"/>
    <w:rsid w:val="00A01A13"/>
    <w:pPr>
      <w:tabs>
        <w:tab w:val="num" w:pos="284"/>
      </w:tabs>
      <w:spacing w:before="180" w:after="180"/>
      <w:ind w:left="284" w:hanging="284"/>
      <w:jc w:val="both"/>
    </w:pPr>
    <w:rPr>
      <w:szCs w:val="20"/>
      <w:lang w:val="la-Latn"/>
    </w:rPr>
  </w:style>
  <w:style w:type="character" w:customStyle="1" w:styleId="Level1Bullet-BarcRAChar1000">
    <w:name w:val="Level 1 Bullet - Barc RA Char_1_0_0_0"/>
    <w:link w:val="Level1Bullet-BarcRA4000"/>
    <w:locked/>
    <w:rsid w:val="00A01A13"/>
    <w:rPr>
      <w:rFonts w:ascii="Expert Sans Regular" w:hAnsi="Expert Sans Regular"/>
      <w:sz w:val="18"/>
      <w:lang w:val="la-Latn" w:eastAsia="en-US"/>
    </w:rPr>
  </w:style>
  <w:style w:type="paragraph" w:customStyle="1" w:styleId="Level1Bullet-BarcRA40000">
    <w:name w:val="Level 1 Bullet - Barc RA_4_0_0_0_0"/>
    <w:basedOn w:val="Normal20"/>
    <w:link w:val="Level1Bullet-BarcRAChar10000"/>
    <w:uiPriority w:val="99"/>
    <w:rsid w:val="006720E9"/>
    <w:pPr>
      <w:tabs>
        <w:tab w:val="num" w:pos="284"/>
      </w:tabs>
      <w:spacing w:before="180" w:after="180"/>
      <w:ind w:left="284" w:hanging="284"/>
      <w:jc w:val="both"/>
    </w:pPr>
    <w:rPr>
      <w:szCs w:val="20"/>
      <w:lang w:val="la-Latn"/>
    </w:rPr>
  </w:style>
  <w:style w:type="character" w:customStyle="1" w:styleId="Level1Bullet-BarcRAChar10000">
    <w:name w:val="Level 1 Bullet - Barc RA Char_1_0_0_0_0"/>
    <w:link w:val="Level1Bullet-BarcRA40000"/>
    <w:uiPriority w:val="99"/>
    <w:locked/>
    <w:rsid w:val="006720E9"/>
    <w:rPr>
      <w:rFonts w:ascii="Expert Sans Regular" w:hAnsi="Expert Sans Regular"/>
      <w:sz w:val="18"/>
      <w:lang w:val="la-Latn" w:eastAsia="en-US"/>
    </w:rPr>
  </w:style>
  <w:style w:type="paragraph" w:customStyle="1" w:styleId="Level1Bullet-BarcRA31">
    <w:name w:val="Level 1 Bullet - Barc RA_3_1"/>
    <w:basedOn w:val="Normal20"/>
    <w:uiPriority w:val="99"/>
    <w:rsid w:val="00E25A58"/>
    <w:pPr>
      <w:numPr>
        <w:numId w:val="37"/>
      </w:numPr>
      <w:spacing w:before="180" w:after="180"/>
      <w:jc w:val="both"/>
    </w:pPr>
    <w:rPr>
      <w:szCs w:val="20"/>
      <w:lang w:val="la-Latn"/>
    </w:rPr>
  </w:style>
  <w:style w:type="paragraph" w:customStyle="1" w:styleId="Normal21">
    <w:name w:val="Normal_21"/>
    <w:qFormat/>
    <w:rsid w:val="009705AC"/>
    <w:rPr>
      <w:rFonts w:ascii="Expert Sans Regular" w:hAnsi="Expert Sans Regular"/>
      <w:sz w:val="18"/>
      <w:szCs w:val="24"/>
      <w:lang w:eastAsia="en-US"/>
    </w:rPr>
  </w:style>
  <w:style w:type="paragraph" w:customStyle="1" w:styleId="Level1Bullet-BarcRA40001">
    <w:name w:val="Level 1 Bullet - Barc RA_4_0_0_0_1"/>
    <w:basedOn w:val="Normal21"/>
    <w:link w:val="Level1Bullet-BarcRAChar10001"/>
    <w:rsid w:val="00B51316"/>
    <w:pPr>
      <w:numPr>
        <w:numId w:val="39"/>
      </w:numPr>
      <w:spacing w:before="180" w:after="180"/>
      <w:jc w:val="both"/>
    </w:pPr>
    <w:rPr>
      <w:szCs w:val="20"/>
      <w:lang w:val="la-Latn"/>
    </w:rPr>
  </w:style>
  <w:style w:type="character" w:customStyle="1" w:styleId="Level1Bullet-BarcRAChar10001">
    <w:name w:val="Level 1 Bullet - Barc RA Char_1_0_0_0_1"/>
    <w:link w:val="Level1Bullet-BarcRA40001"/>
    <w:locked/>
    <w:rsid w:val="00B51316"/>
    <w:rPr>
      <w:rFonts w:ascii="Expert Sans Regular" w:hAnsi="Expert Sans Regular"/>
      <w:sz w:val="18"/>
      <w:lang w:val="la-Latn" w:eastAsia="en-US"/>
    </w:rPr>
  </w:style>
  <w:style w:type="paragraph" w:customStyle="1" w:styleId="Normal22">
    <w:name w:val="Normal_22"/>
    <w:qFormat/>
    <w:rsid w:val="009705AC"/>
    <w:rPr>
      <w:rFonts w:ascii="Expert Sans Regular" w:hAnsi="Expert Sans Regular"/>
      <w:sz w:val="18"/>
      <w:szCs w:val="24"/>
      <w:lang w:eastAsia="en-US"/>
    </w:rPr>
  </w:style>
  <w:style w:type="paragraph" w:customStyle="1" w:styleId="Level1Bullet-BarcRA2010">
    <w:name w:val="Level 1 Bullet - Barc RA_2_0_1"/>
    <w:basedOn w:val="Normal22"/>
    <w:uiPriority w:val="99"/>
    <w:rsid w:val="00B51316"/>
    <w:pPr>
      <w:tabs>
        <w:tab w:val="num" w:pos="284"/>
      </w:tabs>
      <w:spacing w:before="180" w:after="180"/>
      <w:ind w:left="284" w:hanging="284"/>
      <w:jc w:val="both"/>
    </w:pPr>
    <w:rPr>
      <w:szCs w:val="20"/>
      <w:lang w:val="la-Latn"/>
    </w:rPr>
  </w:style>
  <w:style w:type="paragraph" w:customStyle="1" w:styleId="Level2Bullet-BarcRA3010">
    <w:name w:val="Level 2 Bullet - Barc RA_3_0_1_0"/>
    <w:basedOn w:val="Normal22"/>
    <w:qFormat/>
    <w:rsid w:val="005B28F3"/>
    <w:pPr>
      <w:tabs>
        <w:tab w:val="num" w:pos="1401"/>
      </w:tabs>
      <w:spacing w:before="180" w:after="180"/>
      <w:ind w:left="1401" w:hanging="735"/>
      <w:jc w:val="both"/>
    </w:pPr>
    <w:rPr>
      <w:szCs w:val="20"/>
      <w:lang w:val="la-Latn"/>
    </w:rPr>
  </w:style>
  <w:style w:type="paragraph" w:customStyle="1" w:styleId="Level2Bullet-BarcRA302">
    <w:name w:val="Level 2 Bullet - Barc RA_3_0_2"/>
    <w:basedOn w:val="Normal22"/>
    <w:qFormat/>
    <w:rsid w:val="005B28F3"/>
    <w:pPr>
      <w:numPr>
        <w:ilvl w:val="2"/>
        <w:numId w:val="40"/>
      </w:numPr>
      <w:spacing w:before="180" w:after="180"/>
      <w:jc w:val="both"/>
    </w:pPr>
    <w:rPr>
      <w:szCs w:val="20"/>
      <w:lang w:val="la-Latn"/>
    </w:rPr>
  </w:style>
  <w:style w:type="paragraph" w:customStyle="1" w:styleId="Level1Bullet-BarcRA400000">
    <w:name w:val="Level 1 Bullet - Barc RA_4_0_0_0_0_0"/>
    <w:basedOn w:val="Normal22"/>
    <w:link w:val="Level1Bullet-BarcRAChar100000"/>
    <w:rsid w:val="005A40F4"/>
    <w:pPr>
      <w:numPr>
        <w:numId w:val="41"/>
      </w:numPr>
      <w:spacing w:before="180" w:after="180"/>
      <w:jc w:val="both"/>
    </w:pPr>
    <w:rPr>
      <w:szCs w:val="20"/>
      <w:lang w:val="la-Latn"/>
    </w:rPr>
  </w:style>
  <w:style w:type="character" w:customStyle="1" w:styleId="Level1Bullet-BarcRAChar100000">
    <w:name w:val="Level 1 Bullet - Barc RA Char_1_0_0_0_0_0"/>
    <w:link w:val="Level1Bullet-BarcRA400000"/>
    <w:locked/>
    <w:rsid w:val="005A40F4"/>
    <w:rPr>
      <w:rFonts w:ascii="Expert Sans Regular" w:hAnsi="Expert Sans Regular"/>
      <w:sz w:val="18"/>
      <w:lang w:val="la-Latn" w:eastAsia="en-US"/>
    </w:rPr>
  </w:style>
  <w:style w:type="paragraph" w:customStyle="1" w:styleId="Level1Bullet-BarcRA4001">
    <w:name w:val="Level 1 Bullet - Barc RA_4_0_0_1"/>
    <w:basedOn w:val="Normal22"/>
    <w:link w:val="Level1Bullet-BarcRAChar1001"/>
    <w:rsid w:val="00DA3A2A"/>
    <w:pPr>
      <w:tabs>
        <w:tab w:val="num" w:pos="284"/>
      </w:tabs>
      <w:spacing w:before="180" w:after="180"/>
      <w:ind w:left="284" w:hanging="284"/>
      <w:jc w:val="both"/>
    </w:pPr>
    <w:rPr>
      <w:szCs w:val="20"/>
      <w:lang w:val="la-Latn"/>
    </w:rPr>
  </w:style>
  <w:style w:type="character" w:customStyle="1" w:styleId="Level1Bullet-BarcRAChar1001">
    <w:name w:val="Level 1 Bullet - Barc RA Char_1_0_0_1"/>
    <w:link w:val="Level1Bullet-BarcRA4001"/>
    <w:locked/>
    <w:rsid w:val="00B25211"/>
    <w:rPr>
      <w:rFonts w:ascii="Expert Sans Regular" w:hAnsi="Expert Sans Regular"/>
      <w:sz w:val="18"/>
      <w:lang w:val="la-Latn" w:eastAsia="en-US"/>
    </w:rPr>
  </w:style>
  <w:style w:type="paragraph" w:customStyle="1" w:styleId="Level2Bullet-BarcRA3011">
    <w:name w:val="Level 2 Bullet - Barc RA_3_0_1_1"/>
    <w:basedOn w:val="Normal22"/>
    <w:qFormat/>
    <w:rsid w:val="00B25211"/>
    <w:pPr>
      <w:numPr>
        <w:ilvl w:val="2"/>
        <w:numId w:val="42"/>
      </w:numPr>
      <w:spacing w:before="180" w:after="180"/>
      <w:jc w:val="both"/>
    </w:pPr>
    <w:rPr>
      <w:szCs w:val="20"/>
      <w:lang w:val="la-Latn"/>
    </w:rPr>
  </w:style>
  <w:style w:type="paragraph" w:customStyle="1" w:styleId="Level2Bullet-BarcRA303">
    <w:name w:val="Level 2 Bullet - Barc RA_3_0_3"/>
    <w:basedOn w:val="Normal22"/>
    <w:qFormat/>
    <w:rsid w:val="00DA3A2A"/>
    <w:pPr>
      <w:numPr>
        <w:ilvl w:val="2"/>
        <w:numId w:val="43"/>
      </w:numPr>
      <w:spacing w:before="180" w:after="180"/>
      <w:jc w:val="both"/>
    </w:pPr>
    <w:rPr>
      <w:szCs w:val="20"/>
      <w:lang w:val="la-Latn"/>
    </w:rPr>
  </w:style>
  <w:style w:type="paragraph" w:customStyle="1" w:styleId="Normal23">
    <w:name w:val="Normal_23"/>
    <w:qFormat/>
    <w:rsid w:val="009705AC"/>
    <w:rPr>
      <w:rFonts w:ascii="Expert Sans Regular" w:hAnsi="Expert Sans Regular"/>
      <w:sz w:val="18"/>
      <w:szCs w:val="24"/>
      <w:lang w:eastAsia="en-US"/>
    </w:rPr>
  </w:style>
  <w:style w:type="paragraph" w:customStyle="1" w:styleId="Level1Bullet-BarcRA202">
    <w:name w:val="Level 1 Bullet - Barc RA_2_0_2"/>
    <w:basedOn w:val="Normal23"/>
    <w:uiPriority w:val="99"/>
    <w:rsid w:val="00892373"/>
    <w:pPr>
      <w:tabs>
        <w:tab w:val="num" w:pos="284"/>
      </w:tabs>
      <w:spacing w:before="180" w:after="180"/>
      <w:ind w:left="284" w:hanging="284"/>
      <w:jc w:val="both"/>
    </w:pPr>
    <w:rPr>
      <w:szCs w:val="20"/>
      <w:lang w:val="la-Latn"/>
    </w:rPr>
  </w:style>
  <w:style w:type="paragraph" w:customStyle="1" w:styleId="Level1Bullet-BarcRA203000">
    <w:name w:val="Level 1 Bullet - Barc RA_2_0_3_0_0_0"/>
    <w:basedOn w:val="Normal23"/>
    <w:rsid w:val="00C107A7"/>
    <w:pPr>
      <w:numPr>
        <w:numId w:val="45"/>
      </w:numPr>
      <w:spacing w:before="180" w:after="180"/>
      <w:jc w:val="both"/>
    </w:pPr>
    <w:rPr>
      <w:szCs w:val="20"/>
      <w:lang w:val="la-Latn"/>
    </w:rPr>
  </w:style>
  <w:style w:type="paragraph" w:customStyle="1" w:styleId="Level2Bullet-BarcRA304">
    <w:name w:val="Level 2 Bullet - Barc RA_3_0_4"/>
    <w:basedOn w:val="Normal23"/>
    <w:qFormat/>
    <w:rsid w:val="006023F1"/>
    <w:pPr>
      <w:numPr>
        <w:ilvl w:val="2"/>
        <w:numId w:val="46"/>
      </w:numPr>
      <w:spacing w:before="180" w:after="180"/>
      <w:jc w:val="both"/>
    </w:pPr>
    <w:rPr>
      <w:szCs w:val="20"/>
      <w:lang w:val="la-Latn"/>
    </w:rPr>
  </w:style>
  <w:style w:type="paragraph" w:customStyle="1" w:styleId="Level1Bullet-BarcRA2030">
    <w:name w:val="Level 1 Bullet - Barc RA_2_0_3_0"/>
    <w:basedOn w:val="Normal23"/>
    <w:rsid w:val="006023F1"/>
    <w:pPr>
      <w:numPr>
        <w:numId w:val="47"/>
      </w:numPr>
      <w:spacing w:before="180" w:after="180"/>
      <w:jc w:val="both"/>
    </w:pPr>
    <w:rPr>
      <w:szCs w:val="20"/>
      <w:lang w:val="la-Latn"/>
    </w:rPr>
  </w:style>
  <w:style w:type="paragraph" w:customStyle="1" w:styleId="Level2Bullet-BarcRA3000">
    <w:name w:val="Level 2 Bullet - Barc RA_3_0_0_0"/>
    <w:basedOn w:val="Normal23"/>
    <w:qFormat/>
    <w:rsid w:val="003A5F8C"/>
    <w:pPr>
      <w:numPr>
        <w:ilvl w:val="2"/>
        <w:numId w:val="48"/>
      </w:numPr>
      <w:spacing w:before="180" w:after="180"/>
      <w:jc w:val="both"/>
    </w:pPr>
    <w:rPr>
      <w:szCs w:val="20"/>
      <w:lang w:val="la-Latn"/>
    </w:rPr>
  </w:style>
  <w:style w:type="paragraph" w:customStyle="1" w:styleId="Normal24">
    <w:name w:val="Normal_24"/>
    <w:qFormat/>
    <w:rsid w:val="006E56A6"/>
    <w:rPr>
      <w:rFonts w:ascii="Expert Sans Regular" w:hAnsi="Expert Sans Regular"/>
      <w:sz w:val="18"/>
      <w:szCs w:val="24"/>
      <w:lang w:eastAsia="en-US"/>
    </w:rPr>
  </w:style>
  <w:style w:type="paragraph" w:customStyle="1" w:styleId="HeadingLevel1-BarcRA12">
    <w:name w:val="Heading Level 1 - Barc RA_12"/>
    <w:basedOn w:val="BodyText-BarcRA15"/>
    <w:next w:val="BodyText-BarcRA15"/>
    <w:link w:val="HeadingLevel1-BarcRAChar3"/>
    <w:rsid w:val="002611B5"/>
    <w:pPr>
      <w:spacing w:before="0"/>
    </w:pPr>
    <w:rPr>
      <w:b/>
      <w:bCs/>
      <w:color w:val="000000"/>
      <w:sz w:val="24"/>
      <w:lang w:val="la-Latn"/>
    </w:rPr>
  </w:style>
  <w:style w:type="paragraph" w:customStyle="1" w:styleId="BodyText-BarcRA15">
    <w:name w:val="Body Text - Barc RA_15"/>
    <w:link w:val="BodyText-BarcRAChar4"/>
    <w:qFormat/>
    <w:rsid w:val="005D52ED"/>
    <w:pPr>
      <w:spacing w:before="180" w:after="180"/>
      <w:jc w:val="both"/>
    </w:pPr>
    <w:rPr>
      <w:rFonts w:ascii="Expert Sans Regular" w:hAnsi="Expert Sans Regular"/>
      <w:sz w:val="18"/>
      <w:lang w:eastAsia="en-US"/>
    </w:rPr>
  </w:style>
  <w:style w:type="character" w:customStyle="1" w:styleId="BodyText-BarcRAChar4">
    <w:name w:val="Body Text - Barc RA Char_4"/>
    <w:basedOn w:val="DefaultParagraphFont"/>
    <w:link w:val="BodyText-BarcRA15"/>
    <w:rsid w:val="005D52ED"/>
    <w:rPr>
      <w:rFonts w:ascii="Expert Sans Regular" w:hAnsi="Expert Sans Regular"/>
      <w:sz w:val="18"/>
      <w:lang w:val="en-GB" w:eastAsia="en-US" w:bidi="ar-SA"/>
    </w:rPr>
  </w:style>
  <w:style w:type="character" w:customStyle="1" w:styleId="HeadingLevel1-BarcRAChar3">
    <w:name w:val="Heading Level 1 - Barc RA Char_3"/>
    <w:basedOn w:val="DefaultParagraphFont"/>
    <w:link w:val="HeadingLevel1-BarcRA12"/>
    <w:rsid w:val="009705AC"/>
    <w:rPr>
      <w:rFonts w:ascii="Expert Sans Regular" w:hAnsi="Expert Sans Regular"/>
      <w:b/>
      <w:bCs/>
      <w:color w:val="000000"/>
      <w:sz w:val="24"/>
      <w:lang w:val="la-Latn"/>
    </w:rPr>
  </w:style>
  <w:style w:type="paragraph" w:customStyle="1" w:styleId="Level1Bullet-BarcRA70">
    <w:name w:val="Level 1 Bullet - Barc RA_7_0"/>
    <w:basedOn w:val="Normal25"/>
    <w:rsid w:val="00886C43"/>
    <w:pPr>
      <w:numPr>
        <w:numId w:val="50"/>
      </w:numPr>
      <w:spacing w:before="180" w:after="180"/>
      <w:jc w:val="both"/>
    </w:pPr>
    <w:rPr>
      <w:szCs w:val="20"/>
      <w:lang w:val="la-Latn"/>
    </w:rPr>
  </w:style>
  <w:style w:type="paragraph" w:customStyle="1" w:styleId="Normal25">
    <w:name w:val="Normal_25"/>
    <w:qFormat/>
    <w:rsid w:val="009705AC"/>
    <w:rPr>
      <w:rFonts w:ascii="Expert Sans Regular" w:hAnsi="Expert Sans Regular"/>
      <w:sz w:val="18"/>
      <w:szCs w:val="24"/>
      <w:lang w:eastAsia="en-US"/>
    </w:rPr>
  </w:style>
  <w:style w:type="paragraph" w:customStyle="1" w:styleId="Normal26">
    <w:name w:val="Normal_26"/>
    <w:qFormat/>
    <w:rsid w:val="009705AC"/>
    <w:rPr>
      <w:rFonts w:ascii="Expert Sans Regular" w:hAnsi="Expert Sans Regular"/>
      <w:sz w:val="18"/>
      <w:szCs w:val="24"/>
      <w:lang w:eastAsia="en-US"/>
    </w:rPr>
  </w:style>
  <w:style w:type="paragraph" w:customStyle="1" w:styleId="Level1Bullet-BarcRA7000">
    <w:name w:val="Level 1 Bullet - Barc RA_7_0_0_0"/>
    <w:basedOn w:val="Normal26"/>
    <w:rsid w:val="00732067"/>
    <w:pPr>
      <w:tabs>
        <w:tab w:val="num" w:pos="284"/>
      </w:tabs>
      <w:spacing w:before="180" w:after="180"/>
      <w:ind w:left="284" w:hanging="284"/>
      <w:jc w:val="both"/>
    </w:pPr>
    <w:rPr>
      <w:szCs w:val="20"/>
      <w:lang w:val="la-Latn"/>
    </w:rPr>
  </w:style>
  <w:style w:type="paragraph" w:customStyle="1" w:styleId="Level2Bullet-BarcRA3">
    <w:name w:val="Level 2 Bullet - Barc RA_3"/>
    <w:basedOn w:val="Level1Bullet-BarcRA7"/>
    <w:qFormat/>
    <w:rsid w:val="004A43C8"/>
    <w:pPr>
      <w:numPr>
        <w:ilvl w:val="2"/>
        <w:numId w:val="52"/>
      </w:numPr>
    </w:pPr>
  </w:style>
  <w:style w:type="paragraph" w:customStyle="1" w:styleId="Level1Bullet-BarcRA7">
    <w:name w:val="Level 1 Bullet - Barc RA_7"/>
    <w:basedOn w:val="Normal26"/>
    <w:rsid w:val="004A43C8"/>
    <w:pPr>
      <w:numPr>
        <w:numId w:val="53"/>
      </w:numPr>
      <w:spacing w:before="180" w:after="180"/>
      <w:jc w:val="both"/>
    </w:pPr>
    <w:rPr>
      <w:szCs w:val="20"/>
      <w:lang w:val="la-Latn"/>
    </w:rPr>
  </w:style>
  <w:style w:type="paragraph" w:customStyle="1" w:styleId="HeadingLevel1-BarcRA15">
    <w:name w:val="Heading Level 1 - Barc RA_15"/>
    <w:basedOn w:val="Normal27"/>
    <w:next w:val="Normal27"/>
    <w:link w:val="HeadingLevel1-BarcRAChar4"/>
    <w:rsid w:val="008E5E48"/>
    <w:pPr>
      <w:spacing w:after="180"/>
      <w:jc w:val="both"/>
    </w:pPr>
    <w:rPr>
      <w:b/>
      <w:bCs/>
      <w:color w:val="000000"/>
      <w:szCs w:val="20"/>
      <w:lang w:val="la-Latn"/>
    </w:rPr>
  </w:style>
  <w:style w:type="paragraph" w:customStyle="1" w:styleId="Normal27">
    <w:name w:val="Normal_27"/>
    <w:qFormat/>
    <w:rsid w:val="006E56A6"/>
    <w:rPr>
      <w:rFonts w:ascii="Expert Sans Regular" w:hAnsi="Expert Sans Regular"/>
      <w:sz w:val="18"/>
      <w:szCs w:val="24"/>
      <w:lang w:eastAsia="en-US"/>
    </w:rPr>
  </w:style>
  <w:style w:type="character" w:customStyle="1" w:styleId="HeadingLevel1-BarcRAChar4">
    <w:name w:val="Heading Level 1 - Barc RA Char_4"/>
    <w:basedOn w:val="DefaultParagraphFont"/>
    <w:link w:val="HeadingLevel1-BarcRA15"/>
    <w:locked/>
    <w:rsid w:val="008E5E48"/>
    <w:rPr>
      <w:rFonts w:ascii="Expert Sans Regular" w:hAnsi="Expert Sans Regular"/>
      <w:b/>
      <w:bCs/>
      <w:color w:val="000000"/>
      <w:sz w:val="24"/>
      <w:lang w:val="la-Latn" w:eastAsia="en-US"/>
    </w:rPr>
  </w:style>
  <w:style w:type="paragraph" w:customStyle="1" w:styleId="HeadingLevel1-BarcRA13">
    <w:name w:val="Heading Level 1 - Barc RA_13"/>
    <w:basedOn w:val="BodyText-BarcRA16"/>
    <w:next w:val="BodyText-BarcRA16"/>
    <w:link w:val="HeadingLevel1-BarcRAChar5"/>
    <w:rsid w:val="002611B5"/>
    <w:pPr>
      <w:spacing w:before="0"/>
    </w:pPr>
    <w:rPr>
      <w:b/>
      <w:bCs/>
      <w:color w:val="000000"/>
      <w:sz w:val="24"/>
      <w:lang w:val="la-Latn"/>
    </w:rPr>
  </w:style>
  <w:style w:type="paragraph" w:customStyle="1" w:styleId="BodyText-BarcRA16">
    <w:name w:val="Body Text - Barc RA_16"/>
    <w:link w:val="BodyText-BarcRAChar5"/>
    <w:qFormat/>
    <w:rsid w:val="005D52ED"/>
    <w:pPr>
      <w:spacing w:before="180" w:after="180"/>
      <w:jc w:val="both"/>
    </w:pPr>
    <w:rPr>
      <w:rFonts w:ascii="Expert Sans Regular" w:hAnsi="Expert Sans Regular"/>
      <w:sz w:val="18"/>
      <w:lang w:eastAsia="en-US"/>
    </w:rPr>
  </w:style>
  <w:style w:type="character" w:customStyle="1" w:styleId="BodyText-BarcRAChar5">
    <w:name w:val="Body Text - Barc RA Char_5"/>
    <w:basedOn w:val="DefaultParagraphFont"/>
    <w:link w:val="BodyText-BarcRA16"/>
    <w:rsid w:val="005D52ED"/>
    <w:rPr>
      <w:rFonts w:ascii="Expert Sans Regular" w:hAnsi="Expert Sans Regular"/>
      <w:sz w:val="18"/>
      <w:lang w:val="en-GB" w:eastAsia="en-US" w:bidi="ar-SA"/>
    </w:rPr>
  </w:style>
  <w:style w:type="character" w:customStyle="1" w:styleId="HeadingLevel1-BarcRAChar5">
    <w:name w:val="Heading Level 1 - Barc RA Char_5"/>
    <w:basedOn w:val="DefaultParagraphFont"/>
    <w:link w:val="HeadingLevel1-BarcRA13"/>
    <w:rsid w:val="009705AC"/>
    <w:rPr>
      <w:rFonts w:ascii="Expert Sans Regular" w:hAnsi="Expert Sans Regular"/>
      <w:b/>
      <w:bCs/>
      <w:color w:val="000000"/>
      <w:sz w:val="24"/>
      <w:lang w:val="la-Latn"/>
    </w:rPr>
  </w:style>
  <w:style w:type="paragraph" w:customStyle="1" w:styleId="Level1Bullet-BarcRA7001">
    <w:name w:val="Level 1 Bullet - Barc RA_7_0_0_1"/>
    <w:basedOn w:val="Normal28"/>
    <w:rsid w:val="00732067"/>
    <w:pPr>
      <w:tabs>
        <w:tab w:val="num" w:pos="284"/>
      </w:tabs>
      <w:spacing w:before="180" w:after="180"/>
      <w:ind w:left="284" w:hanging="284"/>
      <w:jc w:val="both"/>
    </w:pPr>
    <w:rPr>
      <w:szCs w:val="20"/>
      <w:lang w:val="la-Latn"/>
    </w:rPr>
  </w:style>
  <w:style w:type="paragraph" w:customStyle="1" w:styleId="Normal28">
    <w:name w:val="Normal_28"/>
    <w:qFormat/>
    <w:rsid w:val="009705AC"/>
    <w:rPr>
      <w:rFonts w:ascii="Expert Sans Regular" w:hAnsi="Expert Sans Regular"/>
      <w:sz w:val="18"/>
      <w:szCs w:val="24"/>
      <w:lang w:eastAsia="en-US"/>
    </w:rPr>
  </w:style>
  <w:style w:type="paragraph" w:customStyle="1" w:styleId="Level2Bullet-BarcRA31">
    <w:name w:val="Level 2 Bullet - Barc RA_3_1"/>
    <w:basedOn w:val="Level1Bullet-BarcRA71"/>
    <w:qFormat/>
    <w:rsid w:val="004A43C8"/>
    <w:pPr>
      <w:numPr>
        <w:ilvl w:val="2"/>
        <w:numId w:val="56"/>
      </w:numPr>
    </w:pPr>
  </w:style>
  <w:style w:type="paragraph" w:customStyle="1" w:styleId="Level1Bullet-BarcRA71">
    <w:name w:val="Level 1 Bullet - Barc RA_7_1"/>
    <w:basedOn w:val="Normal28"/>
    <w:rsid w:val="004A43C8"/>
    <w:pPr>
      <w:numPr>
        <w:numId w:val="57"/>
      </w:numPr>
      <w:spacing w:before="180" w:after="180"/>
      <w:jc w:val="both"/>
    </w:pPr>
    <w:rPr>
      <w:szCs w:val="20"/>
      <w:lang w:val="la-Latn"/>
    </w:rPr>
  </w:style>
  <w:style w:type="paragraph" w:customStyle="1" w:styleId="Level1Bullet-BarcRA70000">
    <w:name w:val="Level 1 Bullet - Barc RA_7_0_0_0_0"/>
    <w:basedOn w:val="Normal28"/>
    <w:rsid w:val="00F83CE1"/>
    <w:pPr>
      <w:tabs>
        <w:tab w:val="num" w:pos="284"/>
      </w:tabs>
      <w:spacing w:before="180" w:after="180"/>
      <w:ind w:left="284" w:hanging="284"/>
      <w:jc w:val="both"/>
    </w:pPr>
    <w:rPr>
      <w:szCs w:val="20"/>
      <w:lang w:val="la-Latn"/>
    </w:rPr>
  </w:style>
  <w:style w:type="paragraph" w:customStyle="1" w:styleId="BodyText-BarcRA17">
    <w:name w:val="Body Text - Barc RA_17"/>
    <w:link w:val="BodyText-BarcRAChar6"/>
    <w:qFormat/>
    <w:rsid w:val="00466E7E"/>
    <w:pPr>
      <w:spacing w:before="180" w:after="180"/>
      <w:jc w:val="both"/>
    </w:pPr>
    <w:rPr>
      <w:rFonts w:ascii="Expert Sans Regular" w:hAnsi="Expert Sans Regular"/>
      <w:sz w:val="18"/>
      <w:lang w:eastAsia="en-US"/>
    </w:rPr>
  </w:style>
  <w:style w:type="character" w:customStyle="1" w:styleId="BodyText-BarcRAChar6">
    <w:name w:val="Body Text - Barc RA Char_6"/>
    <w:basedOn w:val="DefaultParagraphFont"/>
    <w:link w:val="BodyText-BarcRA17"/>
    <w:rsid w:val="00466E7E"/>
    <w:rPr>
      <w:rFonts w:ascii="Expert Sans Regular" w:hAnsi="Expert Sans Regular"/>
      <w:sz w:val="18"/>
      <w:lang w:val="en-GB" w:eastAsia="en-US" w:bidi="ar-SA"/>
    </w:rPr>
  </w:style>
  <w:style w:type="paragraph" w:customStyle="1" w:styleId="HeadingLevel1-BarcRA14">
    <w:name w:val="Heading Level 1 - Barc RA_14"/>
    <w:basedOn w:val="BodyText-BarcRA17"/>
    <w:next w:val="BodyText-BarcRA17"/>
    <w:link w:val="HeadingLevel1-BarcRAChar6"/>
    <w:rsid w:val="00466E7E"/>
    <w:pPr>
      <w:spacing w:before="0"/>
    </w:pPr>
    <w:rPr>
      <w:b/>
      <w:bCs/>
      <w:color w:val="000000"/>
      <w:sz w:val="24"/>
      <w:lang w:val="la-Latn"/>
    </w:rPr>
  </w:style>
  <w:style w:type="character" w:customStyle="1" w:styleId="HeadingLevel1-BarcRAChar6">
    <w:name w:val="Heading Level 1 - Barc RA Char_6"/>
    <w:basedOn w:val="DefaultParagraphFont"/>
    <w:link w:val="HeadingLevel1-BarcRA14"/>
    <w:rsid w:val="00466E7E"/>
    <w:rPr>
      <w:rFonts w:ascii="Expert Sans Regular" w:hAnsi="Expert Sans Regular"/>
      <w:b/>
      <w:bCs/>
      <w:color w:val="000000"/>
      <w:sz w:val="24"/>
      <w:lang w:val="la-Latn" w:eastAsia="en-US"/>
    </w:rPr>
  </w:style>
  <w:style w:type="paragraph" w:customStyle="1" w:styleId="BodyText-BarcRA18">
    <w:name w:val="Body Text - Barc RA_18"/>
    <w:link w:val="BodyText-BarcRAChar7"/>
    <w:qFormat/>
    <w:rsid w:val="00466E7E"/>
    <w:pPr>
      <w:spacing w:before="180" w:after="180"/>
      <w:jc w:val="both"/>
    </w:pPr>
    <w:rPr>
      <w:rFonts w:ascii="Expert Sans Regular" w:hAnsi="Expert Sans Regular"/>
      <w:sz w:val="18"/>
      <w:lang w:eastAsia="en-US"/>
    </w:rPr>
  </w:style>
  <w:style w:type="character" w:customStyle="1" w:styleId="BodyText-BarcRAChar7">
    <w:name w:val="Body Text - Barc RA Char_7"/>
    <w:basedOn w:val="DefaultParagraphFont"/>
    <w:link w:val="BodyText-BarcRA18"/>
    <w:rsid w:val="00466E7E"/>
    <w:rPr>
      <w:rFonts w:ascii="Expert Sans Regular" w:hAnsi="Expert Sans Regular"/>
      <w:sz w:val="18"/>
      <w:lang w:val="en-GB" w:eastAsia="en-US" w:bidi="ar-SA"/>
    </w:rPr>
  </w:style>
  <w:style w:type="paragraph" w:customStyle="1" w:styleId="HeadingLevel1-BarcRA16">
    <w:name w:val="Heading Level 1 - Barc RA_16"/>
    <w:basedOn w:val="BodyText-BarcRA18"/>
    <w:next w:val="BodyText-BarcRA18"/>
    <w:link w:val="HeadingLevel1-BarcRAChar7"/>
    <w:rsid w:val="00466E7E"/>
    <w:pPr>
      <w:spacing w:before="0"/>
    </w:pPr>
    <w:rPr>
      <w:b/>
      <w:bCs/>
      <w:color w:val="000000"/>
      <w:sz w:val="24"/>
      <w:lang w:val="la-Latn"/>
    </w:rPr>
  </w:style>
  <w:style w:type="character" w:customStyle="1" w:styleId="HeadingLevel1-BarcRAChar7">
    <w:name w:val="Heading Level 1 - Barc RA Char_7"/>
    <w:basedOn w:val="DefaultParagraphFont"/>
    <w:link w:val="HeadingLevel1-BarcRA16"/>
    <w:rsid w:val="00466E7E"/>
    <w:rPr>
      <w:rFonts w:ascii="Expert Sans Regular" w:hAnsi="Expert Sans Regular"/>
      <w:b/>
      <w:bCs/>
      <w:color w:val="000000"/>
      <w:sz w:val="24"/>
      <w:lang w:val="la-Latn" w:eastAsia="en-US"/>
    </w:rPr>
  </w:style>
  <w:style w:type="paragraph" w:customStyle="1" w:styleId="HeadingLevel1-BarcRA17">
    <w:name w:val="Heading Level 1 - Barc RA_17"/>
    <w:basedOn w:val="BodyText-BarcRA19"/>
    <w:next w:val="BodyText-BarcRA19"/>
    <w:link w:val="HeadingLevel1-BarcRAChar8"/>
    <w:rsid w:val="002611B5"/>
    <w:pPr>
      <w:spacing w:before="0"/>
    </w:pPr>
    <w:rPr>
      <w:b/>
      <w:bCs/>
      <w:color w:val="000000"/>
      <w:sz w:val="24"/>
      <w:lang w:val="la-Latn"/>
    </w:rPr>
  </w:style>
  <w:style w:type="paragraph" w:customStyle="1" w:styleId="BodyText-BarcRA19">
    <w:name w:val="Body Text - Barc RA_19"/>
    <w:link w:val="BodyText-BarcRAChar8"/>
    <w:qFormat/>
    <w:rsid w:val="005D52ED"/>
    <w:pPr>
      <w:spacing w:before="180" w:after="180"/>
      <w:jc w:val="both"/>
    </w:pPr>
    <w:rPr>
      <w:rFonts w:ascii="Expert Sans Regular" w:hAnsi="Expert Sans Regular"/>
      <w:sz w:val="18"/>
      <w:lang w:eastAsia="en-US"/>
    </w:rPr>
  </w:style>
  <w:style w:type="character" w:customStyle="1" w:styleId="BodyText-BarcRAChar8">
    <w:name w:val="Body Text - Barc RA Char_8"/>
    <w:basedOn w:val="DefaultParagraphFont"/>
    <w:link w:val="BodyText-BarcRA19"/>
    <w:rsid w:val="005D52ED"/>
    <w:rPr>
      <w:rFonts w:ascii="Expert Sans Regular" w:hAnsi="Expert Sans Regular"/>
      <w:sz w:val="18"/>
      <w:lang w:val="en-GB" w:eastAsia="en-US" w:bidi="ar-SA"/>
    </w:rPr>
  </w:style>
  <w:style w:type="character" w:customStyle="1" w:styleId="HeadingLevel1-BarcRAChar8">
    <w:name w:val="Heading Level 1 - Barc RA Char_8"/>
    <w:basedOn w:val="DefaultParagraphFont"/>
    <w:link w:val="HeadingLevel1-BarcRA17"/>
    <w:rsid w:val="009705AC"/>
    <w:rPr>
      <w:rFonts w:ascii="Expert Sans Regular" w:hAnsi="Expert Sans Regular"/>
      <w:b/>
      <w:bCs/>
      <w:color w:val="000000"/>
      <w:sz w:val="24"/>
      <w:lang w:val="la-Latn"/>
    </w:rPr>
  </w:style>
  <w:style w:type="paragraph" w:customStyle="1" w:styleId="Normal29">
    <w:name w:val="Normal_29"/>
    <w:qFormat/>
    <w:rsid w:val="009705AC"/>
    <w:rPr>
      <w:rFonts w:ascii="Expert Sans Regular" w:hAnsi="Expert Sans Regular"/>
      <w:sz w:val="18"/>
      <w:szCs w:val="24"/>
      <w:lang w:eastAsia="en-US"/>
    </w:rPr>
  </w:style>
  <w:style w:type="paragraph" w:customStyle="1" w:styleId="Level1Bullet-BarcRA203001">
    <w:name w:val="Level 1 Bullet - Barc RA_2_0_3_0_0_1"/>
    <w:basedOn w:val="Normal29"/>
    <w:rsid w:val="004271B9"/>
    <w:pPr>
      <w:tabs>
        <w:tab w:val="num" w:pos="284"/>
      </w:tabs>
      <w:spacing w:before="180" w:after="180"/>
      <w:ind w:left="284" w:hanging="284"/>
      <w:jc w:val="both"/>
    </w:pPr>
    <w:rPr>
      <w:szCs w:val="20"/>
      <w:lang w:val="la-Latn"/>
    </w:rPr>
  </w:style>
  <w:style w:type="paragraph" w:customStyle="1" w:styleId="Level1Bullet-BarcRA30000">
    <w:name w:val="Level 1 Bullet - Barc RA_3_0_0_0_0"/>
    <w:basedOn w:val="Normal29"/>
    <w:uiPriority w:val="99"/>
    <w:rsid w:val="004271B9"/>
    <w:pPr>
      <w:numPr>
        <w:numId w:val="61"/>
      </w:numPr>
      <w:spacing w:before="180" w:after="180"/>
      <w:jc w:val="both"/>
    </w:pPr>
    <w:rPr>
      <w:szCs w:val="20"/>
      <w:lang w:val="la-Latn"/>
    </w:rPr>
  </w:style>
  <w:style w:type="paragraph" w:customStyle="1" w:styleId="Level1Bullet-BarcRA300000">
    <w:name w:val="Level 1 Bullet - Barc RA_3_0_0_0_0_0"/>
    <w:basedOn w:val="Normal29"/>
    <w:uiPriority w:val="99"/>
    <w:rsid w:val="00D35114"/>
    <w:pPr>
      <w:numPr>
        <w:numId w:val="62"/>
      </w:numPr>
      <w:spacing w:before="180" w:after="180"/>
      <w:jc w:val="both"/>
    </w:pPr>
    <w:rPr>
      <w:szCs w:val="20"/>
      <w:lang w:val="la-Latn"/>
    </w:rPr>
  </w:style>
  <w:style w:type="paragraph" w:customStyle="1" w:styleId="Level2Bullet-BarcRA00">
    <w:name w:val="Level 2 Bullet - Barc RA_0_0"/>
    <w:basedOn w:val="Normal29"/>
    <w:qFormat/>
    <w:rsid w:val="004271B9"/>
    <w:pPr>
      <w:numPr>
        <w:ilvl w:val="2"/>
        <w:numId w:val="63"/>
      </w:numPr>
      <w:spacing w:before="180" w:after="180"/>
      <w:jc w:val="both"/>
    </w:pPr>
    <w:rPr>
      <w:szCs w:val="20"/>
      <w:lang w:val="la-Latn"/>
    </w:rPr>
  </w:style>
  <w:style w:type="paragraph" w:customStyle="1" w:styleId="Level1Bullet-BarcRA20302">
    <w:name w:val="Level 1 Bullet - Barc RA_2_0_3_0_2"/>
    <w:basedOn w:val="Normal29"/>
    <w:rsid w:val="002B501B"/>
    <w:pPr>
      <w:numPr>
        <w:numId w:val="64"/>
      </w:numPr>
      <w:spacing w:before="180" w:after="180"/>
      <w:jc w:val="both"/>
    </w:pPr>
    <w:rPr>
      <w:szCs w:val="20"/>
      <w:lang w:val="la-Latn"/>
    </w:rPr>
  </w:style>
  <w:style w:type="paragraph" w:customStyle="1" w:styleId="Level1Bullet-BarcRA9">
    <w:name w:val="Level 1 Bullet - Barc RA_9"/>
    <w:basedOn w:val="Normal29"/>
    <w:link w:val="Level1Bullet-BarcRAChar5"/>
    <w:qFormat/>
    <w:rsid w:val="0080420C"/>
    <w:pPr>
      <w:numPr>
        <w:numId w:val="65"/>
      </w:numPr>
      <w:spacing w:before="180" w:after="180"/>
      <w:jc w:val="both"/>
    </w:pPr>
    <w:rPr>
      <w:szCs w:val="20"/>
      <w:lang w:val="la-Latn"/>
    </w:rPr>
  </w:style>
  <w:style w:type="character" w:customStyle="1" w:styleId="Level1Bullet-BarcRAChar5">
    <w:name w:val="Level 1 Bullet - Barc RA Char_5"/>
    <w:basedOn w:val="DefaultParagraphFont"/>
    <w:link w:val="Level1Bullet-BarcRA9"/>
    <w:locked/>
    <w:rsid w:val="0080420C"/>
    <w:rPr>
      <w:rFonts w:ascii="Expert Sans Regular" w:hAnsi="Expert Sans Regular"/>
      <w:sz w:val="18"/>
      <w:lang w:val="la-Latn" w:eastAsia="en-US"/>
    </w:rPr>
  </w:style>
  <w:style w:type="paragraph" w:customStyle="1" w:styleId="Level2Bullet-BarcRA4">
    <w:name w:val="Level 2 Bullet - Barc RA_4"/>
    <w:basedOn w:val="Normal29"/>
    <w:qFormat/>
    <w:rsid w:val="00440361"/>
    <w:pPr>
      <w:numPr>
        <w:ilvl w:val="2"/>
        <w:numId w:val="67"/>
      </w:numPr>
      <w:spacing w:before="180" w:after="180"/>
      <w:jc w:val="both"/>
    </w:pPr>
    <w:rPr>
      <w:szCs w:val="20"/>
      <w:lang w:val="la-Latn"/>
    </w:rPr>
  </w:style>
  <w:style w:type="paragraph" w:customStyle="1" w:styleId="HeadingLevel1-BarcRA18">
    <w:name w:val="Heading Level 1 - Barc RA_18"/>
    <w:basedOn w:val="BodyText-BarcRA20"/>
    <w:next w:val="BodyText-BarcRA20"/>
    <w:link w:val="HeadingLevel1-BarcRAChar9"/>
    <w:rsid w:val="002611B5"/>
    <w:pPr>
      <w:spacing w:before="0"/>
    </w:pPr>
    <w:rPr>
      <w:b/>
      <w:bCs/>
      <w:color w:val="000000"/>
      <w:sz w:val="24"/>
      <w:lang w:val="la-Latn"/>
    </w:rPr>
  </w:style>
  <w:style w:type="paragraph" w:customStyle="1" w:styleId="BodyText-BarcRA20">
    <w:name w:val="Body Text - Barc RA_20"/>
    <w:link w:val="BodyText-BarcRAChar9"/>
    <w:qFormat/>
    <w:rsid w:val="005D52ED"/>
    <w:pPr>
      <w:spacing w:before="180" w:after="180"/>
      <w:jc w:val="both"/>
    </w:pPr>
    <w:rPr>
      <w:rFonts w:ascii="Expert Sans Regular" w:hAnsi="Expert Sans Regular"/>
      <w:sz w:val="18"/>
      <w:lang w:eastAsia="en-US"/>
    </w:rPr>
  </w:style>
  <w:style w:type="character" w:customStyle="1" w:styleId="BodyText-BarcRAChar9">
    <w:name w:val="Body Text - Barc RA Char_9"/>
    <w:basedOn w:val="DefaultParagraphFont"/>
    <w:link w:val="BodyText-BarcRA20"/>
    <w:rsid w:val="005D52ED"/>
    <w:rPr>
      <w:rFonts w:ascii="Expert Sans Regular" w:hAnsi="Expert Sans Regular"/>
      <w:sz w:val="18"/>
      <w:lang w:val="en-GB" w:eastAsia="en-US" w:bidi="ar-SA"/>
    </w:rPr>
  </w:style>
  <w:style w:type="character" w:customStyle="1" w:styleId="HeadingLevel1-BarcRAChar9">
    <w:name w:val="Heading Level 1 - Barc RA Char_9"/>
    <w:basedOn w:val="DefaultParagraphFont"/>
    <w:link w:val="HeadingLevel1-BarcRA18"/>
    <w:rsid w:val="009705AC"/>
    <w:rPr>
      <w:rFonts w:ascii="Expert Sans Regular" w:hAnsi="Expert Sans Regular"/>
      <w:b/>
      <w:bCs/>
      <w:color w:val="000000"/>
      <w:sz w:val="24"/>
      <w:lang w:val="la-Latn"/>
    </w:rPr>
  </w:style>
  <w:style w:type="paragraph" w:customStyle="1" w:styleId="Normal30">
    <w:name w:val="Normal_30"/>
    <w:qFormat/>
    <w:rsid w:val="009705AC"/>
    <w:rPr>
      <w:rFonts w:ascii="Expert Sans Regular" w:hAnsi="Expert Sans Regular"/>
      <w:sz w:val="18"/>
      <w:szCs w:val="24"/>
      <w:lang w:eastAsia="en-US"/>
    </w:rPr>
  </w:style>
  <w:style w:type="paragraph" w:customStyle="1" w:styleId="Level1Bullet-BarcRA8">
    <w:name w:val="Level 1 Bullet - Barc RA_8"/>
    <w:basedOn w:val="Normal30"/>
    <w:link w:val="Level1Bullet-BarcRAChar6"/>
    <w:qFormat/>
    <w:rsid w:val="004F6481"/>
    <w:pPr>
      <w:numPr>
        <w:numId w:val="69"/>
      </w:numPr>
      <w:spacing w:before="180" w:after="180"/>
      <w:jc w:val="both"/>
    </w:pPr>
    <w:rPr>
      <w:szCs w:val="20"/>
      <w:lang w:val="la-Latn"/>
    </w:rPr>
  </w:style>
  <w:style w:type="character" w:customStyle="1" w:styleId="Level1Bullet-BarcRAChar6">
    <w:name w:val="Level 1 Bullet - Barc RA Char_6"/>
    <w:basedOn w:val="DefaultParagraphFont"/>
    <w:link w:val="Level1Bullet-BarcRA8"/>
    <w:rsid w:val="004F6481"/>
    <w:rPr>
      <w:rFonts w:ascii="Expert Sans Regular" w:hAnsi="Expert Sans Regular"/>
      <w:sz w:val="18"/>
      <w:lang w:val="la-Latn" w:eastAsia="en-US"/>
    </w:rPr>
  </w:style>
  <w:style w:type="paragraph" w:customStyle="1" w:styleId="Level2Bullet-BarcRA40">
    <w:name w:val="Level 2 Bullet - Barc RA_4_0"/>
    <w:basedOn w:val="Normal30"/>
    <w:qFormat/>
    <w:rsid w:val="00657249"/>
    <w:pPr>
      <w:numPr>
        <w:ilvl w:val="2"/>
        <w:numId w:val="70"/>
      </w:numPr>
      <w:spacing w:before="180" w:after="180"/>
      <w:jc w:val="both"/>
    </w:pPr>
    <w:rPr>
      <w:szCs w:val="20"/>
      <w:lang w:val="la-Latn"/>
    </w:rPr>
  </w:style>
  <w:style w:type="paragraph" w:customStyle="1" w:styleId="Level1Bullet-BarcRA300001">
    <w:name w:val="Level 1 Bullet - Barc RA_3_0_0_0_0_1"/>
    <w:basedOn w:val="Normal30"/>
    <w:uiPriority w:val="99"/>
    <w:rsid w:val="004950DA"/>
    <w:pPr>
      <w:numPr>
        <w:numId w:val="71"/>
      </w:numPr>
      <w:spacing w:before="180" w:after="180"/>
      <w:jc w:val="both"/>
    </w:pPr>
    <w:rPr>
      <w:szCs w:val="20"/>
      <w:lang w:val="la-Latn"/>
    </w:rPr>
  </w:style>
  <w:style w:type="paragraph" w:customStyle="1" w:styleId="Level2Bullet-BarcRA01">
    <w:name w:val="Level 2 Bullet - Barc RA_0_1"/>
    <w:basedOn w:val="Normal30"/>
    <w:qFormat/>
    <w:rsid w:val="004950DA"/>
    <w:pPr>
      <w:numPr>
        <w:ilvl w:val="2"/>
        <w:numId w:val="72"/>
      </w:numPr>
      <w:spacing w:before="180" w:after="180"/>
      <w:jc w:val="both"/>
    </w:pPr>
    <w:rPr>
      <w:szCs w:val="20"/>
      <w:lang w:val="la-Latn"/>
    </w:rPr>
  </w:style>
  <w:style w:type="paragraph" w:customStyle="1" w:styleId="BarclaysFooterText">
    <w:name w:val="Barclays Footer Text"/>
    <w:basedOn w:val="Normal31"/>
    <w:rsid w:val="00B04DC7"/>
    <w:pPr>
      <w:spacing w:before="120" w:after="120"/>
      <w:jc w:val="both"/>
    </w:pPr>
    <w:rPr>
      <w:b/>
      <w:bCs/>
      <w:sz w:val="16"/>
      <w:szCs w:val="16"/>
    </w:rPr>
  </w:style>
  <w:style w:type="paragraph" w:customStyle="1" w:styleId="Normal31">
    <w:name w:val="Normal_31"/>
    <w:qFormat/>
    <w:rsid w:val="009705AC"/>
    <w:rPr>
      <w:rFonts w:ascii="Expert Sans Regular" w:hAnsi="Expert Sans Regular"/>
      <w:sz w:val="18"/>
      <w:szCs w:val="24"/>
      <w:lang w:eastAsia="en-US"/>
    </w:rPr>
  </w:style>
  <w:style w:type="paragraph" w:customStyle="1" w:styleId="Level1Bullet-BarcRA203">
    <w:name w:val="Level 1 Bullet - Barc RA_2_0_3"/>
    <w:basedOn w:val="Normal32"/>
    <w:rsid w:val="00127031"/>
    <w:pPr>
      <w:numPr>
        <w:numId w:val="73"/>
      </w:numPr>
      <w:spacing w:before="180" w:after="180"/>
      <w:jc w:val="both"/>
    </w:pPr>
    <w:rPr>
      <w:szCs w:val="20"/>
      <w:lang w:val="la-Latn"/>
    </w:rPr>
  </w:style>
  <w:style w:type="paragraph" w:customStyle="1" w:styleId="Normal32">
    <w:name w:val="Normal_32"/>
    <w:qFormat/>
    <w:rsid w:val="009705AC"/>
    <w:rPr>
      <w:rFonts w:ascii="Expert Sans Regular" w:hAnsi="Expert Sans Regular"/>
      <w:sz w:val="18"/>
      <w:szCs w:val="24"/>
      <w:lang w:eastAsia="en-US"/>
    </w:rPr>
  </w:style>
  <w:style w:type="paragraph" w:customStyle="1" w:styleId="Level1Bullet-BarcRA80">
    <w:name w:val="Level 1 Bullet - Barc RA_8_0"/>
    <w:basedOn w:val="Normal32"/>
    <w:rsid w:val="00365813"/>
    <w:pPr>
      <w:numPr>
        <w:numId w:val="74"/>
      </w:numPr>
      <w:spacing w:before="180" w:after="180"/>
      <w:jc w:val="both"/>
    </w:pPr>
    <w:rPr>
      <w:szCs w:val="20"/>
      <w:lang w:val="la-Latn"/>
    </w:rPr>
  </w:style>
  <w:style w:type="paragraph" w:customStyle="1" w:styleId="Level2Bullet-BarcRA100">
    <w:name w:val="Level 2 Bullet - Barc RA_1_0_0"/>
    <w:basedOn w:val="Normal32"/>
    <w:qFormat/>
    <w:rsid w:val="00305611"/>
    <w:pPr>
      <w:numPr>
        <w:ilvl w:val="2"/>
        <w:numId w:val="76"/>
      </w:numPr>
      <w:tabs>
        <w:tab w:val="num" w:pos="567"/>
      </w:tabs>
      <w:spacing w:before="180" w:after="180"/>
      <w:ind w:left="567" w:hanging="283"/>
      <w:jc w:val="both"/>
    </w:pPr>
    <w:rPr>
      <w:szCs w:val="20"/>
      <w:lang w:val="la-Latn"/>
    </w:rPr>
  </w:style>
  <w:style w:type="paragraph" w:customStyle="1" w:styleId="Level1Bullet-BarcRA81">
    <w:name w:val="Level 1 Bullet - Barc RA_8_1"/>
    <w:basedOn w:val="Normal32"/>
    <w:link w:val="Level1Bullet-BarcRAChar4"/>
    <w:rsid w:val="00305611"/>
    <w:pPr>
      <w:numPr>
        <w:numId w:val="77"/>
      </w:numPr>
      <w:spacing w:before="180" w:after="180"/>
      <w:jc w:val="both"/>
    </w:pPr>
    <w:rPr>
      <w:szCs w:val="20"/>
      <w:lang w:val="la-Latn"/>
    </w:rPr>
  </w:style>
  <w:style w:type="character" w:customStyle="1" w:styleId="Level1Bullet-BarcRAChar4">
    <w:name w:val="Level 1 Bullet - Barc RA Char_4"/>
    <w:basedOn w:val="DefaultParagraphFont"/>
    <w:link w:val="Level1Bullet-BarcRA81"/>
    <w:rsid w:val="00305611"/>
    <w:rPr>
      <w:rFonts w:ascii="Expert Sans Regular" w:hAnsi="Expert Sans Regular"/>
      <w:sz w:val="18"/>
      <w:lang w:val="la-Latn" w:eastAsia="en-US"/>
    </w:rPr>
  </w:style>
  <w:style w:type="paragraph" w:customStyle="1" w:styleId="Level2Bullet-BarcRA20">
    <w:name w:val="Level 2 Bullet - Barc RA_2_0"/>
    <w:basedOn w:val="Normal32"/>
    <w:uiPriority w:val="99"/>
    <w:qFormat/>
    <w:rsid w:val="00305611"/>
    <w:pPr>
      <w:numPr>
        <w:ilvl w:val="2"/>
        <w:numId w:val="79"/>
      </w:numPr>
      <w:tabs>
        <w:tab w:val="clear" w:pos="1401"/>
        <w:tab w:val="num" w:pos="360"/>
        <w:tab w:val="num" w:pos="567"/>
      </w:tabs>
      <w:spacing w:before="180" w:after="180"/>
      <w:ind w:left="567" w:hanging="283"/>
      <w:jc w:val="both"/>
    </w:pPr>
    <w:rPr>
      <w:szCs w:val="20"/>
      <w:lang w:val="la-Latn"/>
    </w:rPr>
  </w:style>
  <w:style w:type="paragraph" w:customStyle="1" w:styleId="Level1Bullet-BarcRA203002">
    <w:name w:val="Level 1 Bullet - Barc RA_2_0_3_0_0_2"/>
    <w:basedOn w:val="Normal32"/>
    <w:rsid w:val="00305611"/>
    <w:pPr>
      <w:tabs>
        <w:tab w:val="num" w:pos="284"/>
      </w:tabs>
      <w:spacing w:before="180" w:after="180"/>
      <w:ind w:left="284" w:hanging="284"/>
      <w:jc w:val="both"/>
    </w:pPr>
    <w:rPr>
      <w:szCs w:val="20"/>
      <w:lang w:val="la-Latn"/>
    </w:rPr>
  </w:style>
  <w:style w:type="paragraph" w:customStyle="1" w:styleId="HeadingLevel1-BarcRA19">
    <w:name w:val="Heading Level 1 - Barc RA_19"/>
    <w:basedOn w:val="BodyText-BarcRA21"/>
    <w:next w:val="BodyText-BarcRA21"/>
    <w:link w:val="HeadingLevel1-BarcRAChar10"/>
    <w:rsid w:val="002611B5"/>
    <w:pPr>
      <w:spacing w:before="0"/>
    </w:pPr>
    <w:rPr>
      <w:b/>
      <w:bCs/>
      <w:color w:val="000000"/>
      <w:sz w:val="24"/>
      <w:lang w:val="la-Latn"/>
    </w:rPr>
  </w:style>
  <w:style w:type="paragraph" w:customStyle="1" w:styleId="BodyText-BarcRA21">
    <w:name w:val="Body Text - Barc RA_21"/>
    <w:link w:val="BodyText-BarcRAChar10"/>
    <w:qFormat/>
    <w:rsid w:val="005D52ED"/>
    <w:pPr>
      <w:spacing w:before="180" w:after="180"/>
      <w:jc w:val="both"/>
    </w:pPr>
    <w:rPr>
      <w:rFonts w:ascii="Expert Sans Regular" w:hAnsi="Expert Sans Regular"/>
      <w:sz w:val="18"/>
      <w:lang w:eastAsia="en-US"/>
    </w:rPr>
  </w:style>
  <w:style w:type="character" w:customStyle="1" w:styleId="BodyText-BarcRAChar10">
    <w:name w:val="Body Text - Barc RA Char_10"/>
    <w:basedOn w:val="DefaultParagraphFont"/>
    <w:link w:val="BodyText-BarcRA21"/>
    <w:rsid w:val="005D52ED"/>
    <w:rPr>
      <w:rFonts w:ascii="Expert Sans Regular" w:hAnsi="Expert Sans Regular"/>
      <w:sz w:val="18"/>
      <w:lang w:val="en-GB" w:eastAsia="en-US" w:bidi="ar-SA"/>
    </w:rPr>
  </w:style>
  <w:style w:type="character" w:customStyle="1" w:styleId="HeadingLevel1-BarcRAChar10">
    <w:name w:val="Heading Level 1 - Barc RA Char_10"/>
    <w:basedOn w:val="DefaultParagraphFont"/>
    <w:link w:val="HeadingLevel1-BarcRA19"/>
    <w:rsid w:val="009705AC"/>
    <w:rPr>
      <w:rFonts w:ascii="Expert Sans Regular" w:hAnsi="Expert Sans Regular"/>
      <w:b/>
      <w:bCs/>
      <w:color w:val="000000"/>
      <w:sz w:val="24"/>
      <w:lang w:val="la-Latn"/>
    </w:rPr>
  </w:style>
  <w:style w:type="paragraph" w:customStyle="1" w:styleId="HeaderSpacerwithLine-BarcRA6">
    <w:name w:val="Header Spacer with Line - Barc RA_6"/>
    <w:basedOn w:val="BodyText-BarcRA21"/>
    <w:link w:val="HeaderSpacerwithLine-BarcRAChar0"/>
    <w:rsid w:val="00016DD8"/>
    <w:pPr>
      <w:pBdr>
        <w:top w:val="single" w:sz="4" w:space="1" w:color="auto"/>
      </w:pBdr>
      <w:spacing w:before="0" w:after="0"/>
    </w:pPr>
    <w:rPr>
      <w:sz w:val="10"/>
      <w:szCs w:val="10"/>
    </w:rPr>
  </w:style>
  <w:style w:type="character" w:customStyle="1" w:styleId="HeaderSpacerwithLine-BarcRAChar0">
    <w:name w:val="Header Spacer with Line - Barc RA Char_0"/>
    <w:basedOn w:val="BodyText-BarcRAChar10"/>
    <w:link w:val="HeaderSpacerwithLine-BarcRA6"/>
    <w:rsid w:val="000E2451"/>
    <w:rPr>
      <w:rFonts w:ascii="Expert Sans Regular" w:hAnsi="Expert Sans Regular"/>
      <w:sz w:val="10"/>
      <w:szCs w:val="10"/>
      <w:lang w:val="en-GB" w:eastAsia="en-US" w:bidi="ar-SA"/>
    </w:rPr>
  </w:style>
  <w:style w:type="paragraph" w:customStyle="1" w:styleId="HeadingLevel1-BarcRA20">
    <w:name w:val="Heading Level 1 - Barc RA_20"/>
    <w:basedOn w:val="BodyText-BarcRA22"/>
    <w:next w:val="BodyText-BarcRA22"/>
    <w:link w:val="HeadingLevel1-BarcRAChar11"/>
    <w:rsid w:val="002611B5"/>
    <w:pPr>
      <w:spacing w:before="0"/>
    </w:pPr>
    <w:rPr>
      <w:b/>
      <w:bCs/>
      <w:color w:val="000000"/>
      <w:sz w:val="24"/>
      <w:lang w:val="la-Latn"/>
    </w:rPr>
  </w:style>
  <w:style w:type="paragraph" w:customStyle="1" w:styleId="BodyText-BarcRA22">
    <w:name w:val="Body Text - Barc RA_22"/>
    <w:link w:val="BodyText-BarcRAChar11"/>
    <w:qFormat/>
    <w:rsid w:val="005D52ED"/>
    <w:pPr>
      <w:spacing w:before="180" w:after="180"/>
      <w:jc w:val="both"/>
    </w:pPr>
    <w:rPr>
      <w:rFonts w:ascii="Expert Sans Regular" w:hAnsi="Expert Sans Regular"/>
      <w:sz w:val="18"/>
      <w:lang w:eastAsia="en-US"/>
    </w:rPr>
  </w:style>
  <w:style w:type="character" w:customStyle="1" w:styleId="BodyText-BarcRAChar11">
    <w:name w:val="Body Text - Barc RA Char_11"/>
    <w:basedOn w:val="DefaultParagraphFont"/>
    <w:link w:val="BodyText-BarcRA22"/>
    <w:rsid w:val="005D52ED"/>
    <w:rPr>
      <w:rFonts w:ascii="Expert Sans Regular" w:hAnsi="Expert Sans Regular"/>
      <w:sz w:val="18"/>
      <w:lang w:val="en-GB" w:eastAsia="en-US" w:bidi="ar-SA"/>
    </w:rPr>
  </w:style>
  <w:style w:type="character" w:customStyle="1" w:styleId="HeadingLevel1-BarcRAChar11">
    <w:name w:val="Heading Level 1 - Barc RA Char_11"/>
    <w:basedOn w:val="DefaultParagraphFont"/>
    <w:link w:val="HeadingLevel1-BarcRA20"/>
    <w:rsid w:val="009705AC"/>
    <w:rPr>
      <w:rFonts w:ascii="Expert Sans Regular" w:hAnsi="Expert Sans Regular"/>
      <w:b/>
      <w:bCs/>
      <w:color w:val="000000"/>
      <w:sz w:val="24"/>
      <w:lang w:val="la-Latn"/>
    </w:rPr>
  </w:style>
  <w:style w:type="paragraph" w:customStyle="1" w:styleId="HeaderSpacerwithLine-BarcRA7">
    <w:name w:val="Header Spacer with Line - Barc RA_7"/>
    <w:basedOn w:val="BodyText-BarcRA22"/>
    <w:link w:val="HeaderSpacerwithLine-BarcRAChar1"/>
    <w:rsid w:val="00016DD8"/>
    <w:pPr>
      <w:pBdr>
        <w:top w:val="single" w:sz="4" w:space="1" w:color="auto"/>
      </w:pBdr>
      <w:spacing w:before="0" w:after="0"/>
    </w:pPr>
    <w:rPr>
      <w:sz w:val="10"/>
      <w:szCs w:val="10"/>
    </w:rPr>
  </w:style>
  <w:style w:type="character" w:customStyle="1" w:styleId="HeaderSpacerwithLine-BarcRAChar1">
    <w:name w:val="Header Spacer with Line - Barc RA Char_1"/>
    <w:basedOn w:val="BodyText-BarcRAChar11"/>
    <w:link w:val="HeaderSpacerwithLine-BarcRA7"/>
    <w:rsid w:val="000E2451"/>
    <w:rPr>
      <w:rFonts w:ascii="Expert Sans Regular" w:hAnsi="Expert Sans Regular"/>
      <w:sz w:val="10"/>
      <w:szCs w:val="10"/>
      <w:lang w:val="en-GB" w:eastAsia="en-US" w:bidi="ar-SA"/>
    </w:rPr>
  </w:style>
  <w:style w:type="paragraph" w:customStyle="1" w:styleId="HeadingLevel1-BarcRA21">
    <w:name w:val="Heading Level 1 - Barc RA_21"/>
    <w:basedOn w:val="BodyText-BarcRA23"/>
    <w:next w:val="BodyText-BarcRA23"/>
    <w:link w:val="HeadingLevel1-BarcRAChar12"/>
    <w:rsid w:val="002611B5"/>
    <w:pPr>
      <w:spacing w:before="0"/>
    </w:pPr>
    <w:rPr>
      <w:b/>
      <w:bCs/>
      <w:color w:val="000000"/>
      <w:sz w:val="24"/>
      <w:lang w:val="la-Latn"/>
    </w:rPr>
  </w:style>
  <w:style w:type="paragraph" w:customStyle="1" w:styleId="BodyText-BarcRA23">
    <w:name w:val="Body Text - Barc RA_23"/>
    <w:link w:val="BodyText-BarcRAChar12"/>
    <w:qFormat/>
    <w:rsid w:val="005D52ED"/>
    <w:pPr>
      <w:spacing w:before="180" w:after="180"/>
      <w:jc w:val="both"/>
    </w:pPr>
    <w:rPr>
      <w:rFonts w:ascii="Expert Sans Regular" w:hAnsi="Expert Sans Regular"/>
      <w:sz w:val="18"/>
      <w:lang w:eastAsia="en-US"/>
    </w:rPr>
  </w:style>
  <w:style w:type="character" w:customStyle="1" w:styleId="BodyText-BarcRAChar12">
    <w:name w:val="Body Text - Barc RA Char_12"/>
    <w:basedOn w:val="DefaultParagraphFont"/>
    <w:link w:val="BodyText-BarcRA23"/>
    <w:rsid w:val="005D52ED"/>
    <w:rPr>
      <w:rFonts w:ascii="Expert Sans Regular" w:hAnsi="Expert Sans Regular"/>
      <w:sz w:val="18"/>
      <w:lang w:val="en-GB" w:eastAsia="en-US" w:bidi="ar-SA"/>
    </w:rPr>
  </w:style>
  <w:style w:type="character" w:customStyle="1" w:styleId="HeadingLevel1-BarcRAChar12">
    <w:name w:val="Heading Level 1 - Barc RA Char_12"/>
    <w:basedOn w:val="DefaultParagraphFont"/>
    <w:link w:val="HeadingLevel1-BarcRA21"/>
    <w:rsid w:val="009705AC"/>
    <w:rPr>
      <w:rFonts w:ascii="Expert Sans Regular" w:hAnsi="Expert Sans Regular"/>
      <w:b/>
      <w:bCs/>
      <w:color w:val="000000"/>
      <w:sz w:val="24"/>
      <w:lang w:val="la-Latn"/>
    </w:rPr>
  </w:style>
  <w:style w:type="paragraph" w:customStyle="1" w:styleId="Normal33">
    <w:name w:val="Normal_33"/>
    <w:qFormat/>
    <w:rsid w:val="009A5C82"/>
    <w:rPr>
      <w:rFonts w:ascii="Expert Sans Regular" w:eastAsia="Expert Sans Regular" w:hAnsi="Expert Sans Regular" w:cs="Expert Sans Regular"/>
      <w:sz w:val="2"/>
      <w:szCs w:val="24"/>
      <w:lang w:val="en-US" w:eastAsia="en-US"/>
    </w:rPr>
  </w:style>
  <w:style w:type="paragraph" w:customStyle="1" w:styleId="NoteandSourceText-BarcRA">
    <w:name w:val="Note and Source Text - Barc RA"/>
    <w:basedOn w:val="Normal33"/>
    <w:qFormat/>
    <w:rsid w:val="007A5E16"/>
    <w:pPr>
      <w:numPr>
        <w:numId w:val="236"/>
      </w:numPr>
      <w:tabs>
        <w:tab w:val="left" w:pos="284"/>
      </w:tabs>
      <w:spacing w:before="20" w:after="20"/>
      <w:jc w:val="both"/>
    </w:pPr>
    <w:rPr>
      <w:rFonts w:eastAsia="Times New Roman" w:cs="Times New Roman"/>
      <w:i/>
      <w:iCs/>
      <w:sz w:val="14"/>
      <w:szCs w:val="14"/>
      <w:lang w:val="en-GB"/>
    </w:rPr>
  </w:style>
  <w:style w:type="paragraph" w:customStyle="1" w:styleId="Normal34">
    <w:name w:val="Normal_34"/>
    <w:qFormat/>
    <w:rsid w:val="009A5C82"/>
    <w:rPr>
      <w:rFonts w:ascii="Expert Sans Regular" w:eastAsia="Expert Sans Regular" w:hAnsi="Expert Sans Regular" w:cs="Expert Sans Regular"/>
      <w:sz w:val="2"/>
      <w:szCs w:val="24"/>
      <w:lang w:val="en-US" w:eastAsia="en-US"/>
    </w:rPr>
  </w:style>
  <w:style w:type="paragraph" w:customStyle="1" w:styleId="NoteandSourceText-BarcRA0">
    <w:name w:val="Note and Source Text - Barc RA_0"/>
    <w:basedOn w:val="Normal34"/>
    <w:qFormat/>
    <w:rsid w:val="007A5E16"/>
    <w:pPr>
      <w:numPr>
        <w:numId w:val="80"/>
      </w:numPr>
      <w:tabs>
        <w:tab w:val="left" w:pos="284"/>
      </w:tabs>
      <w:spacing w:before="20" w:after="20"/>
      <w:jc w:val="both"/>
    </w:pPr>
    <w:rPr>
      <w:rFonts w:eastAsia="Times New Roman" w:cs="Times New Roman"/>
      <w:i/>
      <w:iCs/>
      <w:sz w:val="14"/>
      <w:szCs w:val="14"/>
      <w:lang w:val="en-GB"/>
    </w:rPr>
  </w:style>
  <w:style w:type="paragraph" w:customStyle="1" w:styleId="HeadingLevel1-BarcRA200">
    <w:name w:val="Heading Level 1 - Barc RA_20_0"/>
    <w:basedOn w:val="Normal35"/>
    <w:next w:val="Normal35"/>
    <w:link w:val="HeadingLevel1-BarcRAChar90"/>
    <w:rsid w:val="00651805"/>
    <w:pPr>
      <w:spacing w:after="180"/>
      <w:jc w:val="both"/>
    </w:pPr>
    <w:rPr>
      <w:b/>
      <w:bCs/>
      <w:color w:val="000000"/>
      <w:sz w:val="24"/>
      <w:szCs w:val="20"/>
      <w:lang w:val="la-Latn"/>
    </w:rPr>
  </w:style>
  <w:style w:type="paragraph" w:customStyle="1" w:styleId="Normal35">
    <w:name w:val="Normal_35"/>
    <w:qFormat/>
    <w:rsid w:val="009705AC"/>
    <w:rPr>
      <w:rFonts w:ascii="Expert Sans Regular" w:hAnsi="Expert Sans Regular"/>
      <w:sz w:val="18"/>
      <w:szCs w:val="24"/>
      <w:lang w:eastAsia="en-US"/>
    </w:rPr>
  </w:style>
  <w:style w:type="character" w:customStyle="1" w:styleId="HeadingLevel1-BarcRAChar90">
    <w:name w:val="Heading Level 1 - Barc RA Char_9_0"/>
    <w:basedOn w:val="DefaultParagraphFont"/>
    <w:link w:val="HeadingLevel1-BarcRA200"/>
    <w:locked/>
    <w:rsid w:val="00651805"/>
    <w:rPr>
      <w:rFonts w:ascii="Expert Sans Regular" w:hAnsi="Expert Sans Regular"/>
      <w:b/>
      <w:bCs/>
      <w:color w:val="000000"/>
      <w:sz w:val="24"/>
      <w:lang w:val="la-Latn" w:eastAsia="en-US"/>
    </w:rPr>
  </w:style>
  <w:style w:type="paragraph" w:customStyle="1" w:styleId="HeadingLevel1-BarcRA22">
    <w:name w:val="Heading Level 1 - Barc RA_22"/>
    <w:basedOn w:val="BodyText-BarcRA24"/>
    <w:next w:val="BodyText-BarcRA24"/>
    <w:link w:val="HeadingLevel1-BarcRAChar13"/>
    <w:rsid w:val="002611B5"/>
    <w:pPr>
      <w:spacing w:before="0"/>
    </w:pPr>
    <w:rPr>
      <w:b/>
      <w:bCs/>
      <w:color w:val="000000"/>
      <w:sz w:val="24"/>
      <w:lang w:val="la-Latn"/>
    </w:rPr>
  </w:style>
  <w:style w:type="paragraph" w:customStyle="1" w:styleId="BodyText-BarcRA24">
    <w:name w:val="Body Text - Barc RA_24"/>
    <w:link w:val="BodyText-BarcRAChar13"/>
    <w:qFormat/>
    <w:rsid w:val="005D52ED"/>
    <w:pPr>
      <w:spacing w:before="180" w:after="180"/>
      <w:jc w:val="both"/>
    </w:pPr>
    <w:rPr>
      <w:rFonts w:ascii="Expert Sans Regular" w:hAnsi="Expert Sans Regular"/>
      <w:sz w:val="18"/>
      <w:lang w:eastAsia="en-US"/>
    </w:rPr>
  </w:style>
  <w:style w:type="character" w:customStyle="1" w:styleId="BodyText-BarcRAChar13">
    <w:name w:val="Body Text - Barc RA Char_13"/>
    <w:basedOn w:val="DefaultParagraphFont"/>
    <w:link w:val="BodyText-BarcRA24"/>
    <w:rsid w:val="005D52ED"/>
    <w:rPr>
      <w:rFonts w:ascii="Expert Sans Regular" w:hAnsi="Expert Sans Regular"/>
      <w:sz w:val="18"/>
      <w:lang w:val="en-GB" w:eastAsia="en-US" w:bidi="ar-SA"/>
    </w:rPr>
  </w:style>
  <w:style w:type="character" w:customStyle="1" w:styleId="HeadingLevel1-BarcRAChar13">
    <w:name w:val="Heading Level 1 - Barc RA Char_13"/>
    <w:basedOn w:val="DefaultParagraphFont"/>
    <w:link w:val="HeadingLevel1-BarcRA22"/>
    <w:rsid w:val="009705AC"/>
    <w:rPr>
      <w:rFonts w:ascii="Expert Sans Regular" w:hAnsi="Expert Sans Regular"/>
      <w:b/>
      <w:bCs/>
      <w:color w:val="000000"/>
      <w:sz w:val="24"/>
      <w:lang w:val="la-Latn"/>
    </w:rPr>
  </w:style>
  <w:style w:type="paragraph" w:customStyle="1" w:styleId="BodyText-BarcRA640">
    <w:name w:val="Body Text - Barc RA_64_0"/>
    <w:link w:val="BodyText-BarcRAChar470"/>
    <w:qFormat/>
    <w:rsid w:val="00727C99"/>
    <w:pPr>
      <w:spacing w:before="180" w:after="180"/>
      <w:jc w:val="both"/>
    </w:pPr>
    <w:rPr>
      <w:rFonts w:ascii="Expert Sans Regular" w:hAnsi="Expert Sans Regular"/>
      <w:sz w:val="18"/>
      <w:lang w:eastAsia="en-US"/>
    </w:rPr>
  </w:style>
  <w:style w:type="character" w:customStyle="1" w:styleId="BodyText-BarcRAChar470">
    <w:name w:val="Body Text - Barc RA Char_47_0"/>
    <w:basedOn w:val="DefaultParagraphFont"/>
    <w:link w:val="BodyText-BarcRA640"/>
    <w:locked/>
    <w:rsid w:val="00727C99"/>
    <w:rPr>
      <w:rFonts w:ascii="Expert Sans Regular" w:hAnsi="Expert Sans Regular"/>
      <w:sz w:val="18"/>
      <w:lang w:val="en-GB" w:eastAsia="en-US" w:bidi="ar-SA"/>
    </w:rPr>
  </w:style>
  <w:style w:type="paragraph" w:customStyle="1" w:styleId="Normal36">
    <w:name w:val="Normal_36"/>
    <w:qFormat/>
    <w:rsid w:val="009705AC"/>
    <w:rPr>
      <w:rFonts w:ascii="Expert Sans Regular" w:hAnsi="Expert Sans Regular"/>
      <w:sz w:val="18"/>
      <w:szCs w:val="24"/>
      <w:lang w:eastAsia="en-US"/>
    </w:rPr>
  </w:style>
  <w:style w:type="paragraph" w:styleId="ListParagraph">
    <w:name w:val="List Paragraph"/>
    <w:basedOn w:val="Normal36"/>
    <w:uiPriority w:val="34"/>
    <w:qFormat/>
    <w:rsid w:val="001F7D5F"/>
    <w:pPr>
      <w:ind w:left="720"/>
    </w:pPr>
  </w:style>
  <w:style w:type="paragraph" w:customStyle="1" w:styleId="NoteandSourceText-BarcRA1">
    <w:name w:val="Note and Source Text - Barc RA_1"/>
    <w:basedOn w:val="Normal36"/>
    <w:qFormat/>
    <w:rsid w:val="001F7D5F"/>
    <w:pPr>
      <w:numPr>
        <w:numId w:val="82"/>
      </w:numPr>
      <w:tabs>
        <w:tab w:val="left" w:pos="284"/>
      </w:tabs>
      <w:spacing w:before="20" w:after="20"/>
      <w:jc w:val="both"/>
    </w:pPr>
    <w:rPr>
      <w:i/>
      <w:iCs/>
      <w:sz w:val="14"/>
      <w:szCs w:val="14"/>
    </w:rPr>
  </w:style>
  <w:style w:type="paragraph" w:customStyle="1" w:styleId="HeadingLevel2-BarcRA1">
    <w:name w:val="Heading Level 2 - Barc RA_1"/>
    <w:basedOn w:val="HeadingLevel1-BarcRA23"/>
    <w:next w:val="BodyText-BarcRA25"/>
    <w:qFormat/>
    <w:rsid w:val="00EE71E7"/>
    <w:pPr>
      <w:spacing w:before="240" w:after="0"/>
    </w:pPr>
    <w:rPr>
      <w:sz w:val="20"/>
    </w:rPr>
  </w:style>
  <w:style w:type="paragraph" w:customStyle="1" w:styleId="HeadingLevel1-BarcRA23">
    <w:name w:val="Heading Level 1 - Barc RA_23"/>
    <w:basedOn w:val="BodyText-BarcRA25"/>
    <w:next w:val="BodyText-BarcRA25"/>
    <w:link w:val="HeadingLevel1-BarcRAChar14"/>
    <w:qFormat/>
    <w:rsid w:val="002611B5"/>
    <w:pPr>
      <w:spacing w:before="0"/>
    </w:pPr>
    <w:rPr>
      <w:b/>
      <w:bCs/>
      <w:color w:val="000000"/>
      <w:sz w:val="24"/>
      <w:lang w:val="la-Latn"/>
    </w:rPr>
  </w:style>
  <w:style w:type="paragraph" w:customStyle="1" w:styleId="BodyText-BarcRA25">
    <w:name w:val="Body Text - Barc RA_25"/>
    <w:link w:val="BodyText-BarcRAChar14"/>
    <w:qFormat/>
    <w:rsid w:val="005D52ED"/>
    <w:pPr>
      <w:spacing w:before="180" w:after="180"/>
      <w:jc w:val="both"/>
    </w:pPr>
    <w:rPr>
      <w:rFonts w:ascii="Expert Sans Regular" w:hAnsi="Expert Sans Regular"/>
      <w:sz w:val="18"/>
      <w:lang w:eastAsia="en-US"/>
    </w:rPr>
  </w:style>
  <w:style w:type="character" w:customStyle="1" w:styleId="BodyText-BarcRAChar14">
    <w:name w:val="Body Text - Barc RA Char_14"/>
    <w:basedOn w:val="DefaultParagraphFont"/>
    <w:link w:val="BodyText-BarcRA25"/>
    <w:rsid w:val="005D52ED"/>
    <w:rPr>
      <w:rFonts w:ascii="Expert Sans Regular" w:hAnsi="Expert Sans Regular"/>
      <w:sz w:val="18"/>
      <w:lang w:val="en-GB" w:eastAsia="en-US" w:bidi="ar-SA"/>
    </w:rPr>
  </w:style>
  <w:style w:type="character" w:customStyle="1" w:styleId="HeadingLevel1-BarcRAChar14">
    <w:name w:val="Heading Level 1 - Barc RA Char_14"/>
    <w:basedOn w:val="DefaultParagraphFont"/>
    <w:link w:val="HeadingLevel1-BarcRA23"/>
    <w:rsid w:val="009705AC"/>
    <w:rPr>
      <w:rFonts w:ascii="Expert Sans Regular" w:hAnsi="Expert Sans Regular"/>
      <w:b/>
      <w:bCs/>
      <w:color w:val="000000"/>
      <w:sz w:val="24"/>
      <w:lang w:val="la-Latn"/>
    </w:rPr>
  </w:style>
  <w:style w:type="paragraph" w:customStyle="1" w:styleId="BodyText-BarcRA100">
    <w:name w:val="Body Text - Barc RA_1_0"/>
    <w:link w:val="BodyText-BarcRAChar100"/>
    <w:qFormat/>
    <w:rsid w:val="00B77487"/>
    <w:pPr>
      <w:spacing w:before="180" w:after="180"/>
      <w:jc w:val="both"/>
    </w:pPr>
    <w:rPr>
      <w:rFonts w:ascii="Expert Sans Regular" w:hAnsi="Expert Sans Regular"/>
      <w:sz w:val="18"/>
      <w:lang w:eastAsia="en-US"/>
    </w:rPr>
  </w:style>
  <w:style w:type="character" w:customStyle="1" w:styleId="BodyText-BarcRAChar100">
    <w:name w:val="Body Text - Barc RA Char_1_0"/>
    <w:link w:val="BodyText-BarcRA100"/>
    <w:locked/>
    <w:rsid w:val="00B77487"/>
    <w:rPr>
      <w:rFonts w:ascii="Expert Sans Regular" w:hAnsi="Expert Sans Regular"/>
      <w:sz w:val="18"/>
      <w:lang w:eastAsia="en-US" w:bidi="ar-SA"/>
    </w:rPr>
  </w:style>
  <w:style w:type="paragraph" w:customStyle="1" w:styleId="BodyText-BarcRA33">
    <w:name w:val="Body Text - Barc RA_33"/>
    <w:link w:val="BodyText-BarcRAChar19"/>
    <w:qFormat/>
    <w:rsid w:val="004C4B34"/>
    <w:pPr>
      <w:spacing w:before="180" w:after="180"/>
      <w:jc w:val="both"/>
    </w:pPr>
    <w:rPr>
      <w:rFonts w:ascii="Expert Sans Regular" w:hAnsi="Expert Sans Regular"/>
      <w:sz w:val="18"/>
      <w:lang w:eastAsia="en-US"/>
    </w:rPr>
  </w:style>
  <w:style w:type="character" w:customStyle="1" w:styleId="BodyText-BarcRAChar19">
    <w:name w:val="Body Text - Barc RA Char_19"/>
    <w:basedOn w:val="DefaultParagraphFont"/>
    <w:link w:val="BodyText-BarcRA33"/>
    <w:locked/>
    <w:rsid w:val="004C4B34"/>
    <w:rPr>
      <w:rFonts w:ascii="Expert Sans Regular" w:hAnsi="Expert Sans Regular"/>
      <w:sz w:val="18"/>
      <w:lang w:val="en-GB" w:eastAsia="en-US" w:bidi="ar-SA"/>
    </w:rPr>
  </w:style>
  <w:style w:type="paragraph" w:customStyle="1" w:styleId="Level1Bullet-BarcRA3">
    <w:name w:val="Level 1 Bullet - Barc RA_3"/>
    <w:basedOn w:val="BodyText-BarcRA25"/>
    <w:link w:val="Level1Bullet-BarcRAChar2"/>
    <w:qFormat/>
    <w:rsid w:val="00A85CEE"/>
    <w:pPr>
      <w:numPr>
        <w:numId w:val="83"/>
      </w:numPr>
    </w:pPr>
    <w:rPr>
      <w:lang w:val="la-Latn"/>
    </w:rPr>
  </w:style>
  <w:style w:type="character" w:customStyle="1" w:styleId="Level1Bullet-BarcRAChar2">
    <w:name w:val="Level 1 Bullet - Barc RA Char_2"/>
    <w:basedOn w:val="BodyText-BarcRAChar14"/>
    <w:link w:val="Level1Bullet-BarcRA3"/>
    <w:rsid w:val="00A85CEE"/>
    <w:rPr>
      <w:rFonts w:ascii="Expert Sans Regular" w:hAnsi="Expert Sans Regular"/>
      <w:sz w:val="18"/>
      <w:lang w:val="la-Latn" w:eastAsia="en-US" w:bidi="ar-SA"/>
    </w:rPr>
  </w:style>
  <w:style w:type="paragraph" w:customStyle="1" w:styleId="Level1Bullet-BarcRA13">
    <w:name w:val="Level 1 Bullet - Barc RA_13"/>
    <w:basedOn w:val="Normal37"/>
    <w:link w:val="Level1Bullet-BarcRAChar7"/>
    <w:qFormat/>
    <w:rsid w:val="00462422"/>
    <w:pPr>
      <w:numPr>
        <w:numId w:val="84"/>
      </w:numPr>
      <w:spacing w:before="180" w:after="180"/>
      <w:jc w:val="both"/>
    </w:pPr>
    <w:rPr>
      <w:szCs w:val="20"/>
      <w:lang w:val="la-Latn"/>
    </w:rPr>
  </w:style>
  <w:style w:type="paragraph" w:customStyle="1" w:styleId="Normal37">
    <w:name w:val="Normal_37"/>
    <w:qFormat/>
    <w:rsid w:val="009705AC"/>
    <w:rPr>
      <w:rFonts w:ascii="Expert Sans Regular" w:hAnsi="Expert Sans Regular"/>
      <w:sz w:val="18"/>
      <w:szCs w:val="24"/>
      <w:lang w:eastAsia="en-US"/>
    </w:rPr>
  </w:style>
  <w:style w:type="character" w:customStyle="1" w:styleId="Level1Bullet-BarcRAChar7">
    <w:name w:val="Level 1 Bullet - Barc RA Char_7"/>
    <w:basedOn w:val="DefaultParagraphFont"/>
    <w:link w:val="Level1Bullet-BarcRA13"/>
    <w:locked/>
    <w:rsid w:val="00462422"/>
    <w:rPr>
      <w:rFonts w:ascii="Expert Sans Regular" w:hAnsi="Expert Sans Regular"/>
      <w:sz w:val="18"/>
      <w:lang w:val="la-Latn" w:eastAsia="en-US"/>
    </w:rPr>
  </w:style>
  <w:style w:type="paragraph" w:customStyle="1" w:styleId="NoteandSourceText-BarcRA100">
    <w:name w:val="Note and Source Text - Barc RA_1_0"/>
    <w:basedOn w:val="Normal37"/>
    <w:qFormat/>
    <w:rsid w:val="00B77487"/>
    <w:pPr>
      <w:numPr>
        <w:numId w:val="244"/>
      </w:numPr>
      <w:spacing w:before="20" w:after="20"/>
      <w:jc w:val="both"/>
    </w:pPr>
    <w:rPr>
      <w:i/>
      <w:iCs/>
      <w:sz w:val="14"/>
      <w:szCs w:val="14"/>
    </w:rPr>
  </w:style>
  <w:style w:type="paragraph" w:customStyle="1" w:styleId="HeadingLevel1-BarcRA24">
    <w:name w:val="Heading Level 1 - Barc RA_24"/>
    <w:basedOn w:val="BodyText-BarcRA26"/>
    <w:next w:val="BodyText-BarcRA26"/>
    <w:link w:val="HeadingLevel1-BarcRAChar15"/>
    <w:rsid w:val="002611B5"/>
    <w:pPr>
      <w:spacing w:before="0"/>
    </w:pPr>
    <w:rPr>
      <w:b/>
      <w:bCs/>
      <w:color w:val="000000"/>
      <w:sz w:val="24"/>
      <w:lang w:val="la-Latn"/>
    </w:rPr>
  </w:style>
  <w:style w:type="paragraph" w:customStyle="1" w:styleId="BodyText-BarcRA26">
    <w:name w:val="Body Text - Barc RA_26"/>
    <w:link w:val="BodyText-BarcRAChar15"/>
    <w:qFormat/>
    <w:rsid w:val="005D52ED"/>
    <w:pPr>
      <w:spacing w:before="180" w:after="180"/>
      <w:jc w:val="both"/>
    </w:pPr>
    <w:rPr>
      <w:rFonts w:ascii="Expert Sans Regular" w:hAnsi="Expert Sans Regular"/>
      <w:sz w:val="18"/>
      <w:lang w:eastAsia="en-US"/>
    </w:rPr>
  </w:style>
  <w:style w:type="character" w:customStyle="1" w:styleId="BodyText-BarcRAChar15">
    <w:name w:val="Body Text - Barc RA Char_15"/>
    <w:basedOn w:val="DefaultParagraphFont"/>
    <w:link w:val="BodyText-BarcRA26"/>
    <w:rsid w:val="005D52ED"/>
    <w:rPr>
      <w:rFonts w:ascii="Expert Sans Regular" w:hAnsi="Expert Sans Regular"/>
      <w:sz w:val="18"/>
      <w:lang w:val="en-GB" w:eastAsia="en-US" w:bidi="ar-SA"/>
    </w:rPr>
  </w:style>
  <w:style w:type="character" w:customStyle="1" w:styleId="HeadingLevel1-BarcRAChar15">
    <w:name w:val="Heading Level 1 - Barc RA Char_15"/>
    <w:basedOn w:val="DefaultParagraphFont"/>
    <w:link w:val="HeadingLevel1-BarcRA24"/>
    <w:rsid w:val="009705AC"/>
    <w:rPr>
      <w:rFonts w:ascii="Expert Sans Regular" w:hAnsi="Expert Sans Regular"/>
      <w:b/>
      <w:bCs/>
      <w:color w:val="000000"/>
      <w:sz w:val="24"/>
      <w:lang w:val="la-Latn"/>
    </w:rPr>
  </w:style>
  <w:style w:type="paragraph" w:customStyle="1" w:styleId="HeaderSpacerwithLine-BarcRA8">
    <w:name w:val="Header Spacer with Line - Barc RA_8"/>
    <w:basedOn w:val="BodyText-BarcRA26"/>
    <w:link w:val="HeaderSpacerwithLine-BarcRAChar2"/>
    <w:rsid w:val="00016DD8"/>
    <w:pPr>
      <w:pBdr>
        <w:top w:val="single" w:sz="4" w:space="1" w:color="auto"/>
      </w:pBdr>
      <w:spacing w:before="0" w:after="0"/>
    </w:pPr>
    <w:rPr>
      <w:sz w:val="10"/>
      <w:szCs w:val="10"/>
    </w:rPr>
  </w:style>
  <w:style w:type="character" w:customStyle="1" w:styleId="HeaderSpacerwithLine-BarcRAChar2">
    <w:name w:val="Header Spacer with Line - Barc RA Char_2"/>
    <w:basedOn w:val="BodyText-BarcRAChar15"/>
    <w:link w:val="HeaderSpacerwithLine-BarcRA8"/>
    <w:rsid w:val="000E2451"/>
    <w:rPr>
      <w:rFonts w:ascii="Expert Sans Regular" w:hAnsi="Expert Sans Regular"/>
      <w:sz w:val="10"/>
      <w:szCs w:val="10"/>
      <w:lang w:val="en-GB" w:eastAsia="en-US" w:bidi="ar-SA"/>
    </w:rPr>
  </w:style>
  <w:style w:type="paragraph" w:customStyle="1" w:styleId="HeadingLevel1-BarcRA25">
    <w:name w:val="Heading Level 1 - Barc RA_25"/>
    <w:basedOn w:val="BodyText-BarcRA27"/>
    <w:next w:val="BodyText-BarcRA27"/>
    <w:link w:val="HeadingLevel1-BarcRAChar16"/>
    <w:rsid w:val="002611B5"/>
    <w:pPr>
      <w:spacing w:before="0"/>
    </w:pPr>
    <w:rPr>
      <w:b/>
      <w:bCs/>
      <w:color w:val="000000"/>
      <w:sz w:val="24"/>
      <w:lang w:val="la-Latn"/>
    </w:rPr>
  </w:style>
  <w:style w:type="paragraph" w:customStyle="1" w:styleId="BodyText-BarcRA27">
    <w:name w:val="Body Text - Barc RA_27"/>
    <w:link w:val="BodyText-BarcRAChar16"/>
    <w:qFormat/>
    <w:rsid w:val="005D52ED"/>
    <w:pPr>
      <w:spacing w:before="180" w:after="180"/>
      <w:jc w:val="both"/>
    </w:pPr>
    <w:rPr>
      <w:rFonts w:ascii="Expert Sans Regular" w:hAnsi="Expert Sans Regular"/>
      <w:sz w:val="18"/>
      <w:lang w:eastAsia="en-US"/>
    </w:rPr>
  </w:style>
  <w:style w:type="character" w:customStyle="1" w:styleId="BodyText-BarcRAChar16">
    <w:name w:val="Body Text - Barc RA Char_16"/>
    <w:basedOn w:val="DefaultParagraphFont"/>
    <w:link w:val="BodyText-BarcRA27"/>
    <w:rsid w:val="005D52ED"/>
    <w:rPr>
      <w:rFonts w:ascii="Expert Sans Regular" w:hAnsi="Expert Sans Regular"/>
      <w:sz w:val="18"/>
      <w:lang w:val="en-GB" w:eastAsia="en-US" w:bidi="ar-SA"/>
    </w:rPr>
  </w:style>
  <w:style w:type="character" w:customStyle="1" w:styleId="HeadingLevel1-BarcRAChar16">
    <w:name w:val="Heading Level 1 - Barc RA Char_16"/>
    <w:basedOn w:val="DefaultParagraphFont"/>
    <w:link w:val="HeadingLevel1-BarcRA25"/>
    <w:rsid w:val="009705AC"/>
    <w:rPr>
      <w:rFonts w:ascii="Expert Sans Regular" w:hAnsi="Expert Sans Regular"/>
      <w:b/>
      <w:bCs/>
      <w:color w:val="000000"/>
      <w:sz w:val="24"/>
      <w:lang w:val="la-Latn"/>
    </w:rPr>
  </w:style>
  <w:style w:type="paragraph" w:customStyle="1" w:styleId="BodyText-BarcRA29">
    <w:name w:val="Body Text - Barc RA_29"/>
    <w:link w:val="BodyText-BarcRAChar160"/>
    <w:qFormat/>
    <w:rsid w:val="00E646E5"/>
    <w:pPr>
      <w:spacing w:before="180" w:after="180"/>
      <w:jc w:val="both"/>
    </w:pPr>
    <w:rPr>
      <w:rFonts w:ascii="Expert Sans Regular" w:hAnsi="Expert Sans Regular"/>
      <w:sz w:val="18"/>
      <w:lang w:eastAsia="en-US"/>
    </w:rPr>
  </w:style>
  <w:style w:type="character" w:customStyle="1" w:styleId="BodyText-BarcRAChar160">
    <w:name w:val="Body Text - Barc RA Char_16_0"/>
    <w:basedOn w:val="DefaultParagraphFont"/>
    <w:link w:val="BodyText-BarcRA29"/>
    <w:rsid w:val="00E646E5"/>
    <w:rPr>
      <w:rFonts w:ascii="Expert Sans Regular" w:hAnsi="Expert Sans Regular"/>
      <w:sz w:val="18"/>
      <w:lang w:val="en-GB" w:eastAsia="en-US" w:bidi="ar-SA"/>
    </w:rPr>
  </w:style>
  <w:style w:type="paragraph" w:customStyle="1" w:styleId="BodyText-BarcRA290">
    <w:name w:val="Body Text - Barc RA_29_0"/>
    <w:link w:val="BodyText-BarcRAChar1600"/>
    <w:qFormat/>
    <w:rsid w:val="00C31509"/>
    <w:pPr>
      <w:spacing w:before="180" w:after="180"/>
      <w:jc w:val="both"/>
    </w:pPr>
    <w:rPr>
      <w:rFonts w:ascii="Expert Sans Regular" w:hAnsi="Expert Sans Regular"/>
      <w:sz w:val="18"/>
      <w:lang w:eastAsia="en-US"/>
    </w:rPr>
  </w:style>
  <w:style w:type="character" w:customStyle="1" w:styleId="BodyText-BarcRAChar1600">
    <w:name w:val="Body Text - Barc RA Char_16_0_0"/>
    <w:basedOn w:val="DefaultParagraphFont"/>
    <w:link w:val="BodyText-BarcRA290"/>
    <w:rsid w:val="00C31509"/>
    <w:rPr>
      <w:rFonts w:ascii="Expert Sans Regular" w:hAnsi="Expert Sans Regular"/>
      <w:sz w:val="18"/>
      <w:lang w:val="en-GB" w:eastAsia="en-US" w:bidi="ar-SA"/>
    </w:rPr>
  </w:style>
  <w:style w:type="paragraph" w:customStyle="1" w:styleId="Level1Bullet-BarcRA130">
    <w:name w:val="Level 1 Bullet - Barc RA_13_0"/>
    <w:basedOn w:val="BodyText-BarcRA290"/>
    <w:link w:val="Level1Bullet-BarcRAChar90"/>
    <w:rsid w:val="00A10E0B"/>
    <w:pPr>
      <w:tabs>
        <w:tab w:val="num" w:pos="284"/>
      </w:tabs>
      <w:ind w:left="284" w:hanging="284"/>
    </w:pPr>
    <w:rPr>
      <w:lang w:val="la-Latn"/>
    </w:rPr>
  </w:style>
  <w:style w:type="character" w:customStyle="1" w:styleId="Level1Bullet-BarcRAChar90">
    <w:name w:val="Level 1 Bullet - Barc RA Char_9_0"/>
    <w:basedOn w:val="BodyText-BarcRAChar1600"/>
    <w:link w:val="Level1Bullet-BarcRA130"/>
    <w:locked/>
    <w:rsid w:val="00A10E0B"/>
    <w:rPr>
      <w:rFonts w:ascii="Expert Sans Regular" w:hAnsi="Expert Sans Regular"/>
      <w:sz w:val="18"/>
      <w:lang w:val="la-Latn" w:eastAsia="en-US" w:bidi="ar-SA"/>
    </w:rPr>
  </w:style>
  <w:style w:type="paragraph" w:customStyle="1" w:styleId="Level1Bullet-BarcRA1300">
    <w:name w:val="Level 1 Bullet - Barc RA_13_0_0"/>
    <w:basedOn w:val="Normal38"/>
    <w:rsid w:val="00791A47"/>
    <w:pPr>
      <w:tabs>
        <w:tab w:val="num" w:pos="284"/>
      </w:tabs>
      <w:spacing w:before="180" w:after="180"/>
      <w:ind w:left="284" w:hanging="284"/>
      <w:jc w:val="both"/>
    </w:pPr>
    <w:rPr>
      <w:szCs w:val="20"/>
      <w:lang w:val="la-Latn"/>
    </w:rPr>
  </w:style>
  <w:style w:type="paragraph" w:customStyle="1" w:styleId="Normal38">
    <w:name w:val="Normal_38"/>
    <w:qFormat/>
    <w:rsid w:val="009705AC"/>
    <w:rPr>
      <w:rFonts w:ascii="Expert Sans Regular" w:hAnsi="Expert Sans Regular"/>
      <w:sz w:val="18"/>
      <w:szCs w:val="24"/>
      <w:lang w:eastAsia="en-US"/>
    </w:rPr>
  </w:style>
  <w:style w:type="character" w:customStyle="1" w:styleId="Hyperlink0">
    <w:name w:val="Hyperlink_0"/>
    <w:basedOn w:val="DefaultParagraphFont"/>
    <w:semiHidden/>
    <w:rsid w:val="00C21A02"/>
    <w:rPr>
      <w:color w:val="0000FF"/>
      <w:u w:val="single"/>
    </w:rPr>
  </w:style>
  <w:style w:type="paragraph" w:customStyle="1" w:styleId="Normal1100">
    <w:name w:val="Normal_11_0"/>
    <w:qFormat/>
    <w:rsid w:val="00A10E0B"/>
    <w:rPr>
      <w:rFonts w:ascii="Expert Sans Regular" w:hAnsi="Expert Sans Regular"/>
      <w:sz w:val="18"/>
      <w:szCs w:val="24"/>
      <w:lang w:eastAsia="en-US"/>
    </w:rPr>
  </w:style>
  <w:style w:type="paragraph" w:customStyle="1" w:styleId="HeadingLevel1-BarcRA26">
    <w:name w:val="Heading Level 1 - Barc RA_26"/>
    <w:basedOn w:val="BodyText-BarcRA28"/>
    <w:next w:val="BodyText-BarcRA28"/>
    <w:link w:val="HeadingLevel1-BarcRAChar17"/>
    <w:rsid w:val="002611B5"/>
    <w:pPr>
      <w:spacing w:before="0"/>
    </w:pPr>
    <w:rPr>
      <w:b/>
      <w:bCs/>
      <w:color w:val="000000"/>
      <w:sz w:val="24"/>
      <w:lang w:val="la-Latn"/>
    </w:rPr>
  </w:style>
  <w:style w:type="paragraph" w:customStyle="1" w:styleId="BodyText-BarcRA28">
    <w:name w:val="Body Text - Barc RA_28"/>
    <w:link w:val="BodyText-BarcRAChar17"/>
    <w:qFormat/>
    <w:rsid w:val="005D52ED"/>
    <w:pPr>
      <w:spacing w:before="180" w:after="180"/>
      <w:jc w:val="both"/>
    </w:pPr>
    <w:rPr>
      <w:rFonts w:ascii="Expert Sans Regular" w:hAnsi="Expert Sans Regular"/>
      <w:sz w:val="18"/>
      <w:lang w:eastAsia="en-US"/>
    </w:rPr>
  </w:style>
  <w:style w:type="character" w:customStyle="1" w:styleId="BodyText-BarcRAChar17">
    <w:name w:val="Body Text - Barc RA Char_17"/>
    <w:basedOn w:val="DefaultParagraphFont"/>
    <w:link w:val="BodyText-BarcRA28"/>
    <w:rsid w:val="005D52ED"/>
    <w:rPr>
      <w:rFonts w:ascii="Expert Sans Regular" w:hAnsi="Expert Sans Regular"/>
      <w:sz w:val="18"/>
      <w:lang w:val="en-GB" w:eastAsia="en-US" w:bidi="ar-SA"/>
    </w:rPr>
  </w:style>
  <w:style w:type="character" w:customStyle="1" w:styleId="HeadingLevel1-BarcRAChar17">
    <w:name w:val="Heading Level 1 - Barc RA Char_17"/>
    <w:basedOn w:val="DefaultParagraphFont"/>
    <w:link w:val="HeadingLevel1-BarcRA26"/>
    <w:rsid w:val="009705AC"/>
    <w:rPr>
      <w:rFonts w:ascii="Expert Sans Regular" w:hAnsi="Expert Sans Regular"/>
      <w:b/>
      <w:bCs/>
      <w:color w:val="000000"/>
      <w:sz w:val="24"/>
      <w:lang w:val="la-Latn"/>
    </w:rPr>
  </w:style>
  <w:style w:type="paragraph" w:customStyle="1" w:styleId="HeaderSpacerwithLine-BarcRA9">
    <w:name w:val="Header Spacer with Line - Barc RA_9"/>
    <w:basedOn w:val="BodyText-BarcRA28"/>
    <w:link w:val="HeaderSpacerwithLine-BarcRAChar3"/>
    <w:rsid w:val="00016DD8"/>
    <w:pPr>
      <w:pBdr>
        <w:top w:val="single" w:sz="4" w:space="1" w:color="auto"/>
      </w:pBdr>
      <w:spacing w:before="0" w:after="0"/>
    </w:pPr>
    <w:rPr>
      <w:sz w:val="10"/>
      <w:szCs w:val="10"/>
    </w:rPr>
  </w:style>
  <w:style w:type="character" w:customStyle="1" w:styleId="HeaderSpacerwithLine-BarcRAChar3">
    <w:name w:val="Header Spacer with Line - Barc RA Char_3"/>
    <w:basedOn w:val="BodyText-BarcRAChar17"/>
    <w:link w:val="HeaderSpacerwithLine-BarcRA9"/>
    <w:rsid w:val="000E2451"/>
    <w:rPr>
      <w:rFonts w:ascii="Expert Sans Regular" w:hAnsi="Expert Sans Regular"/>
      <w:sz w:val="10"/>
      <w:szCs w:val="10"/>
      <w:lang w:val="en-GB" w:eastAsia="en-US" w:bidi="ar-SA"/>
    </w:rPr>
  </w:style>
  <w:style w:type="paragraph" w:customStyle="1" w:styleId="Level1Bullet-BarcRA6">
    <w:name w:val="Level 1 Bullet - Barc RA_6"/>
    <w:basedOn w:val="BodyText-BarcRA300"/>
    <w:link w:val="Level1Bullet-BarcRAChar8"/>
    <w:qFormat/>
    <w:rsid w:val="00A85CEE"/>
    <w:pPr>
      <w:numPr>
        <w:numId w:val="91"/>
      </w:numPr>
    </w:pPr>
    <w:rPr>
      <w:lang w:val="la-Latn"/>
    </w:rPr>
  </w:style>
  <w:style w:type="paragraph" w:customStyle="1" w:styleId="BodyText-BarcRA300">
    <w:name w:val="Body Text - Barc RA_30"/>
    <w:link w:val="BodyText-BarcRAChar18"/>
    <w:qFormat/>
    <w:rsid w:val="005D52ED"/>
    <w:pPr>
      <w:spacing w:before="180" w:after="180"/>
      <w:jc w:val="both"/>
    </w:pPr>
    <w:rPr>
      <w:rFonts w:ascii="Expert Sans Regular" w:hAnsi="Expert Sans Regular"/>
      <w:sz w:val="18"/>
      <w:lang w:eastAsia="en-US"/>
    </w:rPr>
  </w:style>
  <w:style w:type="character" w:customStyle="1" w:styleId="BodyText-BarcRAChar18">
    <w:name w:val="Body Text - Barc RA Char_18"/>
    <w:basedOn w:val="DefaultParagraphFont"/>
    <w:link w:val="BodyText-BarcRA300"/>
    <w:rsid w:val="005D52ED"/>
    <w:rPr>
      <w:rFonts w:ascii="Expert Sans Regular" w:hAnsi="Expert Sans Regular"/>
      <w:sz w:val="18"/>
      <w:lang w:val="en-GB" w:eastAsia="en-US" w:bidi="ar-SA"/>
    </w:rPr>
  </w:style>
  <w:style w:type="character" w:customStyle="1" w:styleId="Level1Bullet-BarcRAChar8">
    <w:name w:val="Level 1 Bullet - Barc RA Char_8"/>
    <w:basedOn w:val="BodyText-BarcRAChar18"/>
    <w:link w:val="Level1Bullet-BarcRA6"/>
    <w:rsid w:val="00A85CEE"/>
    <w:rPr>
      <w:rFonts w:ascii="Expert Sans Regular" w:hAnsi="Expert Sans Regular"/>
      <w:sz w:val="18"/>
      <w:lang w:val="la-Latn" w:eastAsia="en-US" w:bidi="ar-SA"/>
    </w:rPr>
  </w:style>
  <w:style w:type="paragraph" w:customStyle="1" w:styleId="Level2Bullet-BarcRA1">
    <w:name w:val="Level 2 Bullet - Barc RA_1"/>
    <w:basedOn w:val="Level1Bullet-BarcRA6"/>
    <w:qFormat/>
    <w:rsid w:val="00A85CEE"/>
    <w:pPr>
      <w:numPr>
        <w:ilvl w:val="2"/>
        <w:numId w:val="92"/>
      </w:numPr>
    </w:pPr>
  </w:style>
  <w:style w:type="paragraph" w:customStyle="1" w:styleId="NoteandSourceText-BarcRA2">
    <w:name w:val="Note and Source Text - Barc RA_2"/>
    <w:basedOn w:val="Normal39"/>
    <w:qFormat/>
    <w:rsid w:val="001B0076"/>
    <w:pPr>
      <w:numPr>
        <w:numId w:val="93"/>
      </w:numPr>
      <w:tabs>
        <w:tab w:val="left" w:pos="284"/>
      </w:tabs>
      <w:spacing w:before="20" w:after="20"/>
      <w:jc w:val="both"/>
    </w:pPr>
    <w:rPr>
      <w:i/>
      <w:iCs/>
      <w:sz w:val="14"/>
      <w:szCs w:val="14"/>
    </w:rPr>
  </w:style>
  <w:style w:type="paragraph" w:customStyle="1" w:styleId="Normal39">
    <w:name w:val="Normal_39"/>
    <w:qFormat/>
    <w:rsid w:val="009705AC"/>
    <w:rPr>
      <w:rFonts w:ascii="Expert Sans Regular" w:hAnsi="Expert Sans Regular"/>
      <w:sz w:val="18"/>
      <w:szCs w:val="24"/>
      <w:lang w:eastAsia="en-US"/>
    </w:rPr>
  </w:style>
  <w:style w:type="paragraph" w:customStyle="1" w:styleId="Normal40">
    <w:name w:val="Normal_40"/>
    <w:qFormat/>
    <w:rsid w:val="009705AC"/>
    <w:rPr>
      <w:rFonts w:ascii="Expert Sans Regular" w:hAnsi="Expert Sans Regular"/>
      <w:sz w:val="18"/>
      <w:szCs w:val="24"/>
      <w:lang w:eastAsia="en-US"/>
    </w:rPr>
  </w:style>
  <w:style w:type="paragraph" w:customStyle="1" w:styleId="Default0">
    <w:name w:val="Default_0"/>
    <w:rsid w:val="00186496"/>
    <w:pPr>
      <w:widowControl w:val="0"/>
      <w:autoSpaceDE w:val="0"/>
      <w:autoSpaceDN w:val="0"/>
      <w:adjustRightInd w:val="0"/>
    </w:pPr>
    <w:rPr>
      <w:rFonts w:ascii="Expert Serif Regular" w:hAnsi="Expert Serif Regular" w:cs="Expert Serif Regular"/>
      <w:color w:val="000000"/>
      <w:sz w:val="24"/>
      <w:szCs w:val="24"/>
    </w:rPr>
  </w:style>
  <w:style w:type="paragraph" w:customStyle="1" w:styleId="ListParagraph0">
    <w:name w:val="List Paragraph_0"/>
    <w:basedOn w:val="Normal40"/>
    <w:uiPriority w:val="34"/>
    <w:qFormat/>
    <w:rsid w:val="004151CF"/>
    <w:pPr>
      <w:ind w:left="720"/>
    </w:pPr>
  </w:style>
  <w:style w:type="paragraph" w:customStyle="1" w:styleId="HeadingLevel1-AR">
    <w:name w:val="Heading Level 1 - AR"/>
    <w:basedOn w:val="Normal41"/>
    <w:qFormat/>
    <w:rsid w:val="00BE6A65"/>
    <w:rPr>
      <w:rFonts w:eastAsia="Calibri"/>
      <w:b/>
      <w:sz w:val="20"/>
      <w:szCs w:val="22"/>
    </w:rPr>
  </w:style>
  <w:style w:type="paragraph" w:customStyle="1" w:styleId="Normal41">
    <w:name w:val="Normal_41"/>
    <w:qFormat/>
    <w:rsid w:val="009705AC"/>
    <w:rPr>
      <w:rFonts w:ascii="Expert Sans Regular" w:hAnsi="Expert Sans Regular"/>
      <w:sz w:val="18"/>
      <w:szCs w:val="24"/>
      <w:lang w:eastAsia="en-US"/>
    </w:rPr>
  </w:style>
  <w:style w:type="paragraph" w:customStyle="1" w:styleId="Level1Bullet-BarcRA00">
    <w:name w:val="Level 1 Bullet - Barc RA_0_0"/>
    <w:basedOn w:val="BodyText-BarcRA110"/>
    <w:link w:val="Level1Bullet-BarcRAChar00"/>
    <w:qFormat/>
    <w:rsid w:val="0069771B"/>
    <w:pPr>
      <w:numPr>
        <w:numId w:val="96"/>
      </w:numPr>
    </w:pPr>
    <w:rPr>
      <w:lang w:val="la-Latn"/>
    </w:rPr>
  </w:style>
  <w:style w:type="paragraph" w:customStyle="1" w:styleId="BodyText-BarcRA110">
    <w:name w:val="Body Text - Barc RA_1_1"/>
    <w:link w:val="BodyText-BarcRAChar110"/>
    <w:qFormat/>
    <w:rsid w:val="0069771B"/>
    <w:pPr>
      <w:spacing w:before="180" w:after="180"/>
      <w:jc w:val="both"/>
    </w:pPr>
    <w:rPr>
      <w:rFonts w:ascii="Expert Sans Regular" w:hAnsi="Expert Sans Regular"/>
      <w:sz w:val="18"/>
      <w:lang w:eastAsia="en-US"/>
    </w:rPr>
  </w:style>
  <w:style w:type="character" w:customStyle="1" w:styleId="BodyText-BarcRAChar110">
    <w:name w:val="Body Text - Barc RA Char_1_1"/>
    <w:basedOn w:val="DefaultParagraphFont"/>
    <w:link w:val="BodyText-BarcRA110"/>
    <w:locked/>
    <w:rsid w:val="0069771B"/>
    <w:rPr>
      <w:rFonts w:ascii="Expert Sans Regular" w:hAnsi="Expert Sans Regular"/>
      <w:sz w:val="18"/>
      <w:lang w:val="en-GB" w:eastAsia="en-US" w:bidi="ar-SA"/>
    </w:rPr>
  </w:style>
  <w:style w:type="character" w:customStyle="1" w:styleId="Level1Bullet-BarcRAChar00">
    <w:name w:val="Level 1 Bullet - Barc RA Char_0_0"/>
    <w:basedOn w:val="BodyText-BarcRAChar110"/>
    <w:link w:val="Level1Bullet-BarcRA00"/>
    <w:locked/>
    <w:rsid w:val="0069771B"/>
    <w:rPr>
      <w:rFonts w:ascii="Expert Sans Regular" w:hAnsi="Expert Sans Regular"/>
      <w:sz w:val="18"/>
      <w:lang w:val="la-Latn" w:eastAsia="en-US" w:bidi="ar-SA"/>
    </w:rPr>
  </w:style>
  <w:style w:type="paragraph" w:customStyle="1" w:styleId="HeadingLevel3-AR26">
    <w:name w:val="Heading Level 3 - AR_26"/>
    <w:basedOn w:val="Normal42"/>
    <w:qFormat/>
    <w:rsid w:val="0013082A"/>
    <w:rPr>
      <w:rFonts w:eastAsia="Expert Sans Regular" w:cs="Expert Sans Regular"/>
      <w:b/>
      <w:color w:val="00B0F0"/>
      <w:sz w:val="16"/>
      <w:szCs w:val="22"/>
    </w:rPr>
  </w:style>
  <w:style w:type="paragraph" w:customStyle="1" w:styleId="Normal42">
    <w:name w:val="Normal_42"/>
    <w:qFormat/>
    <w:rsid w:val="009705AC"/>
    <w:rPr>
      <w:rFonts w:ascii="Expert Sans Regular" w:hAnsi="Expert Sans Regular"/>
      <w:sz w:val="18"/>
      <w:szCs w:val="24"/>
      <w:lang w:eastAsia="en-US"/>
    </w:rPr>
  </w:style>
  <w:style w:type="paragraph" w:customStyle="1" w:styleId="HeadingLevel2-BarcRA2">
    <w:name w:val="Heading Level 2 - Barc RA_2"/>
    <w:basedOn w:val="HeadingLevel1-BarcRA27"/>
    <w:next w:val="BodyText-BarcRA31"/>
    <w:qFormat/>
    <w:rsid w:val="00EE71E7"/>
    <w:pPr>
      <w:spacing w:before="240" w:after="0"/>
    </w:pPr>
    <w:rPr>
      <w:sz w:val="20"/>
    </w:rPr>
  </w:style>
  <w:style w:type="paragraph" w:customStyle="1" w:styleId="HeadingLevel1-BarcRA27">
    <w:name w:val="Heading Level 1 - Barc RA_27"/>
    <w:basedOn w:val="BodyText-BarcRA31"/>
    <w:next w:val="BodyText-BarcRA31"/>
    <w:link w:val="HeadingLevel1-BarcRAChar18"/>
    <w:qFormat/>
    <w:rsid w:val="002611B5"/>
    <w:pPr>
      <w:spacing w:before="0"/>
    </w:pPr>
    <w:rPr>
      <w:b/>
      <w:bCs/>
      <w:color w:val="000000"/>
      <w:sz w:val="24"/>
      <w:lang w:val="la-Latn"/>
    </w:rPr>
  </w:style>
  <w:style w:type="paragraph" w:customStyle="1" w:styleId="BodyText-BarcRA31">
    <w:name w:val="Body Text - Barc RA_31"/>
    <w:link w:val="BodyText-BarcRAChar20"/>
    <w:qFormat/>
    <w:rsid w:val="005D52ED"/>
    <w:pPr>
      <w:spacing w:before="180" w:after="180"/>
      <w:jc w:val="both"/>
    </w:pPr>
    <w:rPr>
      <w:rFonts w:ascii="Expert Sans Regular" w:hAnsi="Expert Sans Regular"/>
      <w:sz w:val="18"/>
      <w:lang w:eastAsia="en-US"/>
    </w:rPr>
  </w:style>
  <w:style w:type="character" w:customStyle="1" w:styleId="BodyText-BarcRAChar20">
    <w:name w:val="Body Text - Barc RA Char_20"/>
    <w:basedOn w:val="DefaultParagraphFont"/>
    <w:link w:val="BodyText-BarcRA31"/>
    <w:rsid w:val="005D52ED"/>
    <w:rPr>
      <w:rFonts w:ascii="Expert Sans Regular" w:hAnsi="Expert Sans Regular"/>
      <w:sz w:val="18"/>
      <w:lang w:val="en-GB" w:eastAsia="en-US" w:bidi="ar-SA"/>
    </w:rPr>
  </w:style>
  <w:style w:type="character" w:customStyle="1" w:styleId="HeadingLevel1-BarcRAChar18">
    <w:name w:val="Heading Level 1 - Barc RA Char_18"/>
    <w:basedOn w:val="DefaultParagraphFont"/>
    <w:link w:val="HeadingLevel1-BarcRA27"/>
    <w:rsid w:val="009705AC"/>
    <w:rPr>
      <w:rFonts w:ascii="Expert Sans Regular" w:hAnsi="Expert Sans Regular"/>
      <w:b/>
      <w:bCs/>
      <w:color w:val="000000"/>
      <w:sz w:val="24"/>
      <w:lang w:val="la-Latn"/>
    </w:rPr>
  </w:style>
  <w:style w:type="paragraph" w:customStyle="1" w:styleId="Level1Bullet-BarcRA10">
    <w:name w:val="Level 1 Bullet - Barc RA_1_0"/>
    <w:basedOn w:val="Normal42"/>
    <w:link w:val="Level1Bullet-BarcRAChar11"/>
    <w:qFormat/>
    <w:rsid w:val="004D0F5D"/>
    <w:pPr>
      <w:numPr>
        <w:numId w:val="97"/>
      </w:numPr>
      <w:spacing w:before="180" w:after="180"/>
      <w:jc w:val="both"/>
    </w:pPr>
    <w:rPr>
      <w:szCs w:val="20"/>
      <w:lang w:val="la-Latn"/>
    </w:rPr>
  </w:style>
  <w:style w:type="character" w:customStyle="1" w:styleId="Level1Bullet-BarcRAChar11">
    <w:name w:val="Level 1 Bullet - Barc RA Char_1_1"/>
    <w:basedOn w:val="DefaultParagraphFont"/>
    <w:link w:val="Level1Bullet-BarcRA10"/>
    <w:locked/>
    <w:rsid w:val="004D0F5D"/>
    <w:rPr>
      <w:rFonts w:ascii="Expert Sans Regular" w:hAnsi="Expert Sans Regular"/>
      <w:sz w:val="18"/>
      <w:lang w:val="la-Latn" w:eastAsia="en-US"/>
    </w:rPr>
  </w:style>
  <w:style w:type="paragraph" w:customStyle="1" w:styleId="HeadingLevel2-BarcRA3">
    <w:name w:val="Heading Level 2 - Barc RA_3"/>
    <w:basedOn w:val="HeadingLevel1-BarcRA28"/>
    <w:next w:val="BodyText-BarcRA32"/>
    <w:qFormat/>
    <w:rsid w:val="00EE71E7"/>
    <w:pPr>
      <w:spacing w:before="240" w:after="0"/>
    </w:pPr>
    <w:rPr>
      <w:sz w:val="20"/>
    </w:rPr>
  </w:style>
  <w:style w:type="paragraph" w:customStyle="1" w:styleId="HeadingLevel1-BarcRA28">
    <w:name w:val="Heading Level 1 - Barc RA_28"/>
    <w:basedOn w:val="BodyText-BarcRA32"/>
    <w:next w:val="BodyText-BarcRA32"/>
    <w:link w:val="HeadingLevel1-BarcRAChar19"/>
    <w:qFormat/>
    <w:rsid w:val="002611B5"/>
    <w:pPr>
      <w:spacing w:before="0"/>
    </w:pPr>
    <w:rPr>
      <w:b/>
      <w:bCs/>
      <w:color w:val="000000"/>
      <w:sz w:val="24"/>
      <w:lang w:val="la-Latn"/>
    </w:rPr>
  </w:style>
  <w:style w:type="paragraph" w:customStyle="1" w:styleId="BodyText-BarcRA32">
    <w:name w:val="Body Text - Barc RA_32"/>
    <w:link w:val="BodyText-BarcRAChar21"/>
    <w:qFormat/>
    <w:rsid w:val="005D52ED"/>
    <w:pPr>
      <w:spacing w:before="180" w:after="180"/>
      <w:jc w:val="both"/>
    </w:pPr>
    <w:rPr>
      <w:rFonts w:ascii="Expert Sans Regular" w:hAnsi="Expert Sans Regular"/>
      <w:sz w:val="18"/>
      <w:lang w:eastAsia="en-US"/>
    </w:rPr>
  </w:style>
  <w:style w:type="character" w:customStyle="1" w:styleId="BodyText-BarcRAChar21">
    <w:name w:val="Body Text - Barc RA Char_21"/>
    <w:basedOn w:val="DefaultParagraphFont"/>
    <w:link w:val="BodyText-BarcRA32"/>
    <w:rsid w:val="005D52ED"/>
    <w:rPr>
      <w:rFonts w:ascii="Expert Sans Regular" w:hAnsi="Expert Sans Regular"/>
      <w:sz w:val="18"/>
      <w:lang w:val="en-GB" w:eastAsia="en-US" w:bidi="ar-SA"/>
    </w:rPr>
  </w:style>
  <w:style w:type="character" w:customStyle="1" w:styleId="HeadingLevel1-BarcRAChar19">
    <w:name w:val="Heading Level 1 - Barc RA Char_19"/>
    <w:basedOn w:val="DefaultParagraphFont"/>
    <w:link w:val="HeadingLevel1-BarcRA28"/>
    <w:rsid w:val="009705AC"/>
    <w:rPr>
      <w:rFonts w:ascii="Expert Sans Regular" w:hAnsi="Expert Sans Regular"/>
      <w:b/>
      <w:bCs/>
      <w:color w:val="000000"/>
      <w:sz w:val="24"/>
      <w:lang w:val="la-Latn"/>
    </w:rPr>
  </w:style>
  <w:style w:type="paragraph" w:customStyle="1" w:styleId="BodyText-BarcRA310">
    <w:name w:val="Body Text - Barc RA_3_1"/>
    <w:link w:val="BodyText-BarcRAChar30"/>
    <w:qFormat/>
    <w:rsid w:val="00BC0EEE"/>
    <w:pPr>
      <w:spacing w:before="180" w:after="180"/>
      <w:jc w:val="both"/>
    </w:pPr>
    <w:rPr>
      <w:rFonts w:ascii="Expert Sans Regular" w:hAnsi="Expert Sans Regular"/>
      <w:sz w:val="18"/>
      <w:lang w:eastAsia="en-US"/>
    </w:rPr>
  </w:style>
  <w:style w:type="character" w:customStyle="1" w:styleId="BodyText-BarcRAChar30">
    <w:name w:val="Body Text - Barc RA Char_3_0"/>
    <w:basedOn w:val="DefaultParagraphFont"/>
    <w:link w:val="BodyText-BarcRA310"/>
    <w:locked/>
    <w:rsid w:val="00BC0EEE"/>
    <w:rPr>
      <w:rFonts w:ascii="Expert Sans Regular" w:hAnsi="Expert Sans Regular"/>
      <w:sz w:val="18"/>
      <w:lang w:val="en-GB" w:eastAsia="en-US" w:bidi="ar-SA"/>
    </w:rPr>
  </w:style>
  <w:style w:type="paragraph" w:customStyle="1" w:styleId="HeadingLevel2-BarcRA00">
    <w:name w:val="Heading Level 2 - Barc RA_0_0"/>
    <w:basedOn w:val="Normal43"/>
    <w:next w:val="Normal43"/>
    <w:qFormat/>
    <w:rsid w:val="00BC0EEE"/>
    <w:pPr>
      <w:spacing w:before="240"/>
      <w:jc w:val="both"/>
    </w:pPr>
    <w:rPr>
      <w:b/>
      <w:bCs/>
      <w:color w:val="000000"/>
      <w:sz w:val="20"/>
      <w:szCs w:val="20"/>
      <w:lang w:val="la-Latn"/>
    </w:rPr>
  </w:style>
  <w:style w:type="paragraph" w:customStyle="1" w:styleId="Normal43">
    <w:name w:val="Normal_43"/>
    <w:qFormat/>
    <w:rsid w:val="009705AC"/>
    <w:rPr>
      <w:rFonts w:ascii="Expert Sans Regular" w:hAnsi="Expert Sans Regular"/>
      <w:sz w:val="18"/>
      <w:szCs w:val="24"/>
      <w:lang w:eastAsia="en-US"/>
    </w:rPr>
  </w:style>
  <w:style w:type="paragraph" w:customStyle="1" w:styleId="Level1Bullet-BarcRA21">
    <w:name w:val="Level 1 Bullet - Barc RA_2_1"/>
    <w:basedOn w:val="BodyText-BarcRA310"/>
    <w:link w:val="Level1Bullet-BarcRAChar20"/>
    <w:qFormat/>
    <w:rsid w:val="00BC0EEE"/>
    <w:pPr>
      <w:numPr>
        <w:numId w:val="98"/>
      </w:numPr>
    </w:pPr>
    <w:rPr>
      <w:lang w:val="la-Latn"/>
    </w:rPr>
  </w:style>
  <w:style w:type="character" w:customStyle="1" w:styleId="Level1Bullet-BarcRAChar20">
    <w:name w:val="Level 1 Bullet - Barc RA Char_2_0"/>
    <w:basedOn w:val="BodyText-BarcRAChar30"/>
    <w:link w:val="Level1Bullet-BarcRA21"/>
    <w:locked/>
    <w:rsid w:val="00BC0EEE"/>
    <w:rPr>
      <w:rFonts w:ascii="Expert Sans Regular" w:hAnsi="Expert Sans Regular"/>
      <w:sz w:val="18"/>
      <w:lang w:val="la-Latn" w:eastAsia="en-US" w:bidi="ar-SA"/>
    </w:rPr>
  </w:style>
  <w:style w:type="paragraph" w:customStyle="1" w:styleId="Normal44">
    <w:name w:val="Normal_44"/>
    <w:qFormat/>
    <w:rsid w:val="0009441D"/>
    <w:rPr>
      <w:sz w:val="24"/>
      <w:szCs w:val="24"/>
    </w:rPr>
  </w:style>
  <w:style w:type="paragraph" w:customStyle="1" w:styleId="NoteandSourceText-BarcRA3">
    <w:name w:val="Note and Source Text - Barc RA_3"/>
    <w:basedOn w:val="Normal44"/>
    <w:qFormat/>
    <w:rsid w:val="005E402E"/>
    <w:pPr>
      <w:numPr>
        <w:numId w:val="99"/>
      </w:numPr>
      <w:tabs>
        <w:tab w:val="left" w:pos="284"/>
      </w:tabs>
      <w:spacing w:before="20" w:after="20"/>
      <w:jc w:val="both"/>
    </w:pPr>
    <w:rPr>
      <w:rFonts w:ascii="Expert Sans Regular" w:hAnsi="Expert Sans Regular"/>
      <w:i/>
      <w:iCs/>
      <w:sz w:val="14"/>
      <w:szCs w:val="14"/>
      <w:lang w:eastAsia="en-US"/>
    </w:rPr>
  </w:style>
  <w:style w:type="paragraph" w:customStyle="1" w:styleId="Level1Bullet-BarcRA101">
    <w:name w:val="Level 1 Bullet - Barc RA_10"/>
    <w:basedOn w:val="BodyText-BarcRA34"/>
    <w:link w:val="Level1Bullet-BarcRAChar9"/>
    <w:qFormat/>
    <w:rsid w:val="00A85CEE"/>
    <w:pPr>
      <w:numPr>
        <w:numId w:val="100"/>
      </w:numPr>
    </w:pPr>
    <w:rPr>
      <w:lang w:val="la-Latn"/>
    </w:rPr>
  </w:style>
  <w:style w:type="paragraph" w:customStyle="1" w:styleId="BodyText-BarcRA34">
    <w:name w:val="Body Text - Barc RA_34"/>
    <w:link w:val="BodyText-BarcRAChar22"/>
    <w:qFormat/>
    <w:rsid w:val="005D52ED"/>
    <w:pPr>
      <w:spacing w:before="180" w:after="180"/>
      <w:jc w:val="both"/>
    </w:pPr>
    <w:rPr>
      <w:rFonts w:ascii="Expert Sans Regular" w:hAnsi="Expert Sans Regular"/>
      <w:sz w:val="18"/>
      <w:lang w:eastAsia="en-US"/>
    </w:rPr>
  </w:style>
  <w:style w:type="character" w:customStyle="1" w:styleId="BodyText-BarcRAChar22">
    <w:name w:val="Body Text - Barc RA Char_22"/>
    <w:basedOn w:val="DefaultParagraphFont"/>
    <w:link w:val="BodyText-BarcRA34"/>
    <w:rsid w:val="005D52ED"/>
    <w:rPr>
      <w:rFonts w:ascii="Expert Sans Regular" w:hAnsi="Expert Sans Regular"/>
      <w:sz w:val="18"/>
      <w:lang w:val="en-GB" w:eastAsia="en-US" w:bidi="ar-SA"/>
    </w:rPr>
  </w:style>
  <w:style w:type="character" w:customStyle="1" w:styleId="Level1Bullet-BarcRAChar9">
    <w:name w:val="Level 1 Bullet - Barc RA Char_9"/>
    <w:basedOn w:val="BodyText-BarcRAChar22"/>
    <w:link w:val="Level1Bullet-BarcRA101"/>
    <w:rsid w:val="00A85CEE"/>
    <w:rPr>
      <w:rFonts w:ascii="Expert Sans Regular" w:hAnsi="Expert Sans Regular"/>
      <w:sz w:val="18"/>
      <w:lang w:val="la-Latn" w:eastAsia="en-US" w:bidi="ar-SA"/>
    </w:rPr>
  </w:style>
  <w:style w:type="paragraph" w:customStyle="1" w:styleId="Normal45">
    <w:name w:val="Normal_45"/>
    <w:qFormat/>
    <w:rsid w:val="009705AC"/>
    <w:rPr>
      <w:rFonts w:ascii="Expert Sans Regular" w:hAnsi="Expert Sans Regular"/>
      <w:sz w:val="18"/>
      <w:szCs w:val="24"/>
      <w:lang w:eastAsia="en-US"/>
    </w:rPr>
  </w:style>
  <w:style w:type="paragraph" w:customStyle="1" w:styleId="Level1Bullet-BarcRA12">
    <w:name w:val="Level 1 Bullet - Barc RA_12"/>
    <w:basedOn w:val="BodyText-BarcRA35"/>
    <w:link w:val="Level1Bullet-BarcRAChar101"/>
    <w:qFormat/>
    <w:rsid w:val="00A85CEE"/>
    <w:pPr>
      <w:numPr>
        <w:numId w:val="101"/>
      </w:numPr>
    </w:pPr>
    <w:rPr>
      <w:lang w:val="la-Latn"/>
    </w:rPr>
  </w:style>
  <w:style w:type="paragraph" w:customStyle="1" w:styleId="BodyText-BarcRA35">
    <w:name w:val="Body Text - Barc RA_35"/>
    <w:link w:val="BodyText-BarcRAChar23"/>
    <w:qFormat/>
    <w:rsid w:val="005D52ED"/>
    <w:pPr>
      <w:spacing w:before="180" w:after="180"/>
      <w:jc w:val="both"/>
    </w:pPr>
    <w:rPr>
      <w:rFonts w:ascii="Expert Sans Regular" w:hAnsi="Expert Sans Regular"/>
      <w:sz w:val="18"/>
      <w:lang w:eastAsia="en-US"/>
    </w:rPr>
  </w:style>
  <w:style w:type="character" w:customStyle="1" w:styleId="BodyText-BarcRAChar23">
    <w:name w:val="Body Text - Barc RA Char_23"/>
    <w:basedOn w:val="DefaultParagraphFont"/>
    <w:link w:val="BodyText-BarcRA35"/>
    <w:rsid w:val="005D52ED"/>
    <w:rPr>
      <w:rFonts w:ascii="Expert Sans Regular" w:hAnsi="Expert Sans Regular"/>
      <w:sz w:val="18"/>
      <w:lang w:val="en-GB" w:eastAsia="en-US" w:bidi="ar-SA"/>
    </w:rPr>
  </w:style>
  <w:style w:type="character" w:customStyle="1" w:styleId="Level1Bullet-BarcRAChar101">
    <w:name w:val="Level 1 Bullet - Barc RA Char_10"/>
    <w:basedOn w:val="BodyText-BarcRAChar23"/>
    <w:link w:val="Level1Bullet-BarcRA12"/>
    <w:rsid w:val="00A85CEE"/>
    <w:rPr>
      <w:rFonts w:ascii="Expert Sans Regular" w:hAnsi="Expert Sans Regular"/>
      <w:sz w:val="18"/>
      <w:lang w:val="la-Latn" w:eastAsia="en-US" w:bidi="ar-SA"/>
    </w:rPr>
  </w:style>
  <w:style w:type="paragraph" w:customStyle="1" w:styleId="BodyText-BarcRA2900">
    <w:name w:val="Body Text - Barc RA_29_0_0"/>
    <w:link w:val="BodyText-BarcRAChar16000"/>
    <w:qFormat/>
    <w:rsid w:val="006942F8"/>
    <w:pPr>
      <w:spacing w:before="180" w:after="180"/>
      <w:jc w:val="both"/>
    </w:pPr>
    <w:rPr>
      <w:rFonts w:ascii="Expert Sans Regular" w:hAnsi="Expert Sans Regular"/>
      <w:sz w:val="18"/>
      <w:lang w:eastAsia="en-US"/>
    </w:rPr>
  </w:style>
  <w:style w:type="character" w:customStyle="1" w:styleId="BodyText-BarcRAChar16000">
    <w:name w:val="Body Text - Barc RA Char_16_0_0_0"/>
    <w:basedOn w:val="DefaultParagraphFont"/>
    <w:link w:val="BodyText-BarcRA2900"/>
    <w:locked/>
    <w:rsid w:val="006942F8"/>
    <w:rPr>
      <w:rFonts w:ascii="Expert Sans Regular" w:hAnsi="Expert Sans Regular"/>
      <w:sz w:val="18"/>
      <w:lang w:val="en-GB" w:eastAsia="en-US" w:bidi="ar-SA"/>
    </w:rPr>
  </w:style>
  <w:style w:type="paragraph" w:customStyle="1" w:styleId="NoteSourceText-BarcRA">
    <w:name w:val="Note &amp; Source Text - Barc RA"/>
    <w:basedOn w:val="Normal46"/>
    <w:link w:val="NoteSourceText-BarcRAChar"/>
    <w:rsid w:val="00E75B5D"/>
    <w:pPr>
      <w:tabs>
        <w:tab w:val="left" w:pos="284"/>
      </w:tabs>
      <w:spacing w:before="20" w:after="20"/>
      <w:ind w:left="284" w:hanging="284"/>
      <w:jc w:val="both"/>
    </w:pPr>
    <w:rPr>
      <w:i/>
      <w:iCs/>
      <w:sz w:val="14"/>
      <w:szCs w:val="14"/>
    </w:rPr>
  </w:style>
  <w:style w:type="paragraph" w:customStyle="1" w:styleId="Normal46">
    <w:name w:val="Normal_46"/>
    <w:qFormat/>
    <w:rsid w:val="009705AC"/>
    <w:rPr>
      <w:rFonts w:ascii="Expert Sans Regular" w:hAnsi="Expert Sans Regular"/>
      <w:sz w:val="18"/>
      <w:szCs w:val="24"/>
      <w:lang w:eastAsia="en-US"/>
    </w:rPr>
  </w:style>
  <w:style w:type="character" w:customStyle="1" w:styleId="NoteSourceText-BarcRAChar">
    <w:name w:val="Note &amp; Source Text - Barc RA Char"/>
    <w:basedOn w:val="DefaultParagraphFont"/>
    <w:link w:val="NoteSourceText-BarcRA"/>
    <w:rsid w:val="00E75B5D"/>
    <w:rPr>
      <w:rFonts w:ascii="Expert Sans Regular" w:hAnsi="Expert Sans Regular"/>
      <w:i/>
      <w:iCs/>
      <w:sz w:val="14"/>
      <w:szCs w:val="14"/>
      <w:lang w:eastAsia="en-US"/>
    </w:rPr>
  </w:style>
  <w:style w:type="paragraph" w:customStyle="1" w:styleId="NoteandSourceText-BarcRA4">
    <w:name w:val="Note and Source Text - Barc RA_4"/>
    <w:basedOn w:val="Normal46"/>
    <w:qFormat/>
    <w:rsid w:val="006A09D1"/>
    <w:pPr>
      <w:numPr>
        <w:numId w:val="102"/>
      </w:numPr>
      <w:tabs>
        <w:tab w:val="left" w:pos="284"/>
      </w:tabs>
      <w:spacing w:before="20" w:after="20"/>
      <w:jc w:val="both"/>
    </w:pPr>
    <w:rPr>
      <w:i/>
      <w:iCs/>
      <w:sz w:val="14"/>
      <w:szCs w:val="14"/>
    </w:rPr>
  </w:style>
  <w:style w:type="paragraph" w:customStyle="1" w:styleId="HeadingLevel1-BarcRA29">
    <w:name w:val="Heading Level 1 - Barc RA_29"/>
    <w:basedOn w:val="BodyText-BarcRA36"/>
    <w:next w:val="BodyText-BarcRA36"/>
    <w:link w:val="HeadingLevel1-BarcRAChar20"/>
    <w:qFormat/>
    <w:rsid w:val="002611B5"/>
    <w:pPr>
      <w:spacing w:before="0"/>
    </w:pPr>
    <w:rPr>
      <w:b/>
      <w:bCs/>
      <w:color w:val="000000"/>
      <w:sz w:val="24"/>
      <w:lang w:val="la-Latn"/>
    </w:rPr>
  </w:style>
  <w:style w:type="paragraph" w:customStyle="1" w:styleId="BodyText-BarcRA36">
    <w:name w:val="Body Text - Barc RA_36"/>
    <w:link w:val="BodyText-BarcRAChar24"/>
    <w:qFormat/>
    <w:rsid w:val="005D52ED"/>
    <w:pPr>
      <w:spacing w:before="180" w:after="180"/>
      <w:jc w:val="both"/>
    </w:pPr>
    <w:rPr>
      <w:rFonts w:ascii="Expert Sans Regular" w:hAnsi="Expert Sans Regular"/>
      <w:sz w:val="18"/>
      <w:lang w:eastAsia="en-US"/>
    </w:rPr>
  </w:style>
  <w:style w:type="character" w:customStyle="1" w:styleId="BodyText-BarcRAChar24">
    <w:name w:val="Body Text - Barc RA Char_24"/>
    <w:basedOn w:val="DefaultParagraphFont"/>
    <w:link w:val="BodyText-BarcRA36"/>
    <w:rsid w:val="005D52ED"/>
    <w:rPr>
      <w:rFonts w:ascii="Expert Sans Regular" w:hAnsi="Expert Sans Regular"/>
      <w:sz w:val="18"/>
      <w:lang w:val="en-GB" w:eastAsia="en-US" w:bidi="ar-SA"/>
    </w:rPr>
  </w:style>
  <w:style w:type="character" w:customStyle="1" w:styleId="HeadingLevel1-BarcRAChar20">
    <w:name w:val="Heading Level 1 - Barc RA Char_20"/>
    <w:basedOn w:val="DefaultParagraphFont"/>
    <w:link w:val="HeadingLevel1-BarcRA29"/>
    <w:rsid w:val="009705AC"/>
    <w:rPr>
      <w:rFonts w:ascii="Expert Sans Regular" w:hAnsi="Expert Sans Regular"/>
      <w:b/>
      <w:bCs/>
      <w:color w:val="000000"/>
      <w:sz w:val="24"/>
      <w:lang w:val="la-Latn"/>
    </w:rPr>
  </w:style>
  <w:style w:type="paragraph" w:customStyle="1" w:styleId="HeaderSpacerwithLine-BarcRA10">
    <w:name w:val="Header Spacer with Line - Barc RA_10"/>
    <w:basedOn w:val="BodyText-BarcRA36"/>
    <w:link w:val="HeaderSpacerwithLine-BarcRAChar4"/>
    <w:rsid w:val="00016DD8"/>
    <w:pPr>
      <w:pBdr>
        <w:top w:val="single" w:sz="4" w:space="1" w:color="auto"/>
      </w:pBdr>
      <w:spacing w:before="0" w:after="0"/>
    </w:pPr>
    <w:rPr>
      <w:sz w:val="10"/>
      <w:szCs w:val="10"/>
    </w:rPr>
  </w:style>
  <w:style w:type="character" w:customStyle="1" w:styleId="HeaderSpacerwithLine-BarcRAChar4">
    <w:name w:val="Header Spacer with Line - Barc RA Char_4"/>
    <w:basedOn w:val="BodyText-BarcRAChar24"/>
    <w:link w:val="HeaderSpacerwithLine-BarcRA10"/>
    <w:rsid w:val="000E2451"/>
    <w:rPr>
      <w:rFonts w:ascii="Expert Sans Regular" w:hAnsi="Expert Sans Regular"/>
      <w:sz w:val="10"/>
      <w:szCs w:val="10"/>
      <w:lang w:val="en-GB" w:eastAsia="en-US" w:bidi="ar-SA"/>
    </w:rPr>
  </w:style>
  <w:style w:type="paragraph" w:customStyle="1" w:styleId="HeadingLevel2-BarcRA4">
    <w:name w:val="Heading Level 2 - Barc RA_4"/>
    <w:basedOn w:val="HeadingLevel1-BarcRA30"/>
    <w:next w:val="BodyText-BarcRA37"/>
    <w:qFormat/>
    <w:locked/>
    <w:rsid w:val="000E5655"/>
    <w:pPr>
      <w:spacing w:before="240" w:after="0"/>
    </w:pPr>
    <w:rPr>
      <w:sz w:val="20"/>
    </w:rPr>
  </w:style>
  <w:style w:type="paragraph" w:customStyle="1" w:styleId="HeadingLevel1-BarcRA30">
    <w:name w:val="Heading Level 1 - Barc RA_30"/>
    <w:basedOn w:val="BodyText-BarcRA37"/>
    <w:next w:val="BodyText-BarcRA37"/>
    <w:qFormat/>
    <w:locked/>
    <w:rsid w:val="000E5655"/>
    <w:pPr>
      <w:spacing w:before="0"/>
    </w:pPr>
    <w:rPr>
      <w:b/>
      <w:bCs/>
      <w:color w:val="000000"/>
      <w:sz w:val="24"/>
      <w:lang w:val="la-Latn"/>
    </w:rPr>
  </w:style>
  <w:style w:type="paragraph" w:customStyle="1" w:styleId="BodyText-BarcRA37">
    <w:name w:val="Body Text - Barc RA_37"/>
    <w:link w:val="BodyText-BarcRAChar25"/>
    <w:qFormat/>
    <w:rsid w:val="00855EB0"/>
    <w:pPr>
      <w:spacing w:before="180" w:after="180"/>
      <w:jc w:val="both"/>
    </w:pPr>
    <w:rPr>
      <w:rFonts w:ascii="Expert Sans Regular" w:hAnsi="Expert Sans Regular"/>
      <w:sz w:val="18"/>
      <w:lang w:eastAsia="en-US"/>
    </w:rPr>
  </w:style>
  <w:style w:type="character" w:customStyle="1" w:styleId="BodyText-BarcRAChar25">
    <w:name w:val="Body Text - Barc RA Char_25"/>
    <w:basedOn w:val="DefaultParagraphFont"/>
    <w:link w:val="BodyText-BarcRA37"/>
    <w:locked/>
    <w:rsid w:val="00855EB0"/>
    <w:rPr>
      <w:rFonts w:ascii="Expert Sans Regular" w:hAnsi="Expert Sans Regular"/>
      <w:sz w:val="18"/>
      <w:lang w:val="en-GB" w:eastAsia="en-US" w:bidi="ar-SA"/>
    </w:rPr>
  </w:style>
  <w:style w:type="paragraph" w:customStyle="1" w:styleId="BodyText-BarcRA320">
    <w:name w:val="Body Text - Barc RA_3_2"/>
    <w:qFormat/>
    <w:locked/>
    <w:rsid w:val="001B0C6C"/>
    <w:pPr>
      <w:spacing w:before="180" w:after="180"/>
      <w:jc w:val="both"/>
    </w:pPr>
    <w:rPr>
      <w:rFonts w:ascii="Expert Sans Regular" w:hAnsi="Expert Sans Regular"/>
      <w:sz w:val="18"/>
      <w:lang w:eastAsia="en-US"/>
    </w:rPr>
  </w:style>
  <w:style w:type="paragraph" w:customStyle="1" w:styleId="NoteSourceText-BarcRA2">
    <w:name w:val="Note &amp; Source Text - Barc RA_2"/>
    <w:basedOn w:val="Normal47"/>
    <w:link w:val="NoteSourceText-BarcRAChar2"/>
    <w:rsid w:val="00E348F4"/>
    <w:pPr>
      <w:tabs>
        <w:tab w:val="left" w:pos="284"/>
      </w:tabs>
      <w:spacing w:before="20" w:after="20"/>
      <w:ind w:left="284" w:hanging="284"/>
      <w:jc w:val="both"/>
    </w:pPr>
    <w:rPr>
      <w:rFonts w:ascii="Expert Sans Regular" w:hAnsi="Expert Sans Regular"/>
      <w:i/>
      <w:iCs/>
      <w:sz w:val="14"/>
      <w:szCs w:val="14"/>
      <w:lang w:eastAsia="en-US"/>
    </w:rPr>
  </w:style>
  <w:style w:type="paragraph" w:customStyle="1" w:styleId="Normal47">
    <w:name w:val="Normal_47"/>
    <w:qFormat/>
    <w:rsid w:val="0095536F"/>
    <w:rPr>
      <w:sz w:val="24"/>
      <w:szCs w:val="24"/>
    </w:rPr>
  </w:style>
  <w:style w:type="character" w:customStyle="1" w:styleId="NoteSourceText-BarcRAChar2">
    <w:name w:val="Note &amp; Source Text - Barc RA Char_2"/>
    <w:basedOn w:val="DefaultParagraphFont"/>
    <w:link w:val="NoteSourceText-BarcRA2"/>
    <w:locked/>
    <w:rsid w:val="00E348F4"/>
    <w:rPr>
      <w:rFonts w:ascii="Expert Sans Regular" w:hAnsi="Expert Sans Regular"/>
      <w:i/>
      <w:iCs/>
      <w:sz w:val="14"/>
      <w:szCs w:val="14"/>
      <w:lang w:eastAsia="en-US"/>
    </w:rPr>
  </w:style>
  <w:style w:type="paragraph" w:customStyle="1" w:styleId="HeadingLevel2-BarcRA6">
    <w:name w:val="Heading Level 2 - Barc RA_6"/>
    <w:basedOn w:val="HeadingLevel1-BarcRA31"/>
    <w:next w:val="BodyText-BarcRA38"/>
    <w:qFormat/>
    <w:rsid w:val="00EE71E7"/>
    <w:pPr>
      <w:spacing w:before="240" w:after="0"/>
    </w:pPr>
    <w:rPr>
      <w:sz w:val="20"/>
    </w:rPr>
  </w:style>
  <w:style w:type="paragraph" w:customStyle="1" w:styleId="HeadingLevel1-BarcRA31">
    <w:name w:val="Heading Level 1 - Barc RA_31"/>
    <w:basedOn w:val="BodyText-BarcRA38"/>
    <w:next w:val="BodyText-BarcRA38"/>
    <w:link w:val="HeadingLevel1-BarcRAChar21"/>
    <w:rsid w:val="002611B5"/>
    <w:pPr>
      <w:spacing w:before="0"/>
    </w:pPr>
    <w:rPr>
      <w:b/>
      <w:bCs/>
      <w:color w:val="000000"/>
      <w:sz w:val="24"/>
      <w:lang w:val="la-Latn"/>
    </w:rPr>
  </w:style>
  <w:style w:type="paragraph" w:customStyle="1" w:styleId="BodyText-BarcRA38">
    <w:name w:val="Body Text - Barc RA_38"/>
    <w:link w:val="BodyText-BarcRAChar26"/>
    <w:qFormat/>
    <w:rsid w:val="005D52ED"/>
    <w:pPr>
      <w:spacing w:before="180" w:after="180"/>
      <w:jc w:val="both"/>
    </w:pPr>
    <w:rPr>
      <w:rFonts w:ascii="Expert Sans Regular" w:hAnsi="Expert Sans Regular"/>
      <w:sz w:val="18"/>
      <w:lang w:eastAsia="en-US"/>
    </w:rPr>
  </w:style>
  <w:style w:type="character" w:customStyle="1" w:styleId="BodyText-BarcRAChar26">
    <w:name w:val="Body Text - Barc RA Char_26"/>
    <w:basedOn w:val="DefaultParagraphFont"/>
    <w:link w:val="BodyText-BarcRA38"/>
    <w:rsid w:val="005D52ED"/>
    <w:rPr>
      <w:rFonts w:ascii="Expert Sans Regular" w:hAnsi="Expert Sans Regular"/>
      <w:sz w:val="18"/>
      <w:lang w:val="en-GB" w:eastAsia="en-US" w:bidi="ar-SA"/>
    </w:rPr>
  </w:style>
  <w:style w:type="character" w:customStyle="1" w:styleId="HeadingLevel1-BarcRAChar21">
    <w:name w:val="Heading Level 1 - Barc RA Char_21"/>
    <w:basedOn w:val="DefaultParagraphFont"/>
    <w:link w:val="HeadingLevel1-BarcRA31"/>
    <w:rsid w:val="009705AC"/>
    <w:rPr>
      <w:rFonts w:ascii="Expert Sans Regular" w:hAnsi="Expert Sans Regular"/>
      <w:b/>
      <w:bCs/>
      <w:color w:val="000000"/>
      <w:sz w:val="24"/>
      <w:lang w:val="la-Latn"/>
    </w:rPr>
  </w:style>
  <w:style w:type="paragraph" w:customStyle="1" w:styleId="BodyText-BarcRA39">
    <w:name w:val="Body Text - Barc RA_39"/>
    <w:link w:val="BodyText-BarcRAChar27"/>
    <w:qFormat/>
    <w:rsid w:val="005D52ED"/>
    <w:pPr>
      <w:spacing w:before="180" w:after="180"/>
      <w:jc w:val="both"/>
    </w:pPr>
    <w:rPr>
      <w:rFonts w:ascii="Expert Sans Regular" w:hAnsi="Expert Sans Regular"/>
      <w:sz w:val="18"/>
      <w:lang w:eastAsia="en-US"/>
    </w:rPr>
  </w:style>
  <w:style w:type="character" w:customStyle="1" w:styleId="BodyText-BarcRAChar27">
    <w:name w:val="Body Text - Barc RA Char_27"/>
    <w:basedOn w:val="DefaultParagraphFont"/>
    <w:link w:val="BodyText-BarcRA39"/>
    <w:rsid w:val="005D52ED"/>
    <w:rPr>
      <w:rFonts w:ascii="Expert Sans Regular" w:hAnsi="Expert Sans Regular"/>
      <w:sz w:val="18"/>
      <w:lang w:val="en-GB" w:eastAsia="en-US" w:bidi="ar-SA"/>
    </w:rPr>
  </w:style>
  <w:style w:type="paragraph" w:customStyle="1" w:styleId="NoteSourceText-BarcRA20">
    <w:name w:val="Note &amp; Source Text - Barc RA_2_0"/>
    <w:basedOn w:val="Normal48"/>
    <w:link w:val="NoteSourceText-BarcRAChar20"/>
    <w:rsid w:val="00666044"/>
    <w:pPr>
      <w:tabs>
        <w:tab w:val="left" w:pos="284"/>
      </w:tabs>
      <w:spacing w:before="20" w:after="20"/>
      <w:ind w:left="284" w:hanging="284"/>
      <w:jc w:val="both"/>
    </w:pPr>
    <w:rPr>
      <w:rFonts w:ascii="Expert Sans Regular" w:hAnsi="Expert Sans Regular"/>
      <w:i/>
      <w:iCs/>
      <w:sz w:val="14"/>
      <w:szCs w:val="14"/>
      <w:lang w:eastAsia="en-US"/>
    </w:rPr>
  </w:style>
  <w:style w:type="paragraph" w:customStyle="1" w:styleId="Normal48">
    <w:name w:val="Normal_48"/>
    <w:qFormat/>
    <w:rsid w:val="0095536F"/>
    <w:rPr>
      <w:sz w:val="24"/>
      <w:szCs w:val="24"/>
    </w:rPr>
  </w:style>
  <w:style w:type="character" w:customStyle="1" w:styleId="NoteSourceText-BarcRAChar20">
    <w:name w:val="Note &amp; Source Text - Barc RA Char_2_0"/>
    <w:basedOn w:val="DefaultParagraphFont"/>
    <w:link w:val="NoteSourceText-BarcRA20"/>
    <w:locked/>
    <w:rsid w:val="00666044"/>
    <w:rPr>
      <w:rFonts w:ascii="Expert Sans Regular" w:hAnsi="Expert Sans Regular"/>
      <w:i/>
      <w:iCs/>
      <w:sz w:val="14"/>
      <w:szCs w:val="14"/>
      <w:lang w:eastAsia="en-US"/>
    </w:rPr>
  </w:style>
  <w:style w:type="paragraph" w:customStyle="1" w:styleId="Normal49">
    <w:name w:val="Normal_49"/>
    <w:qFormat/>
    <w:rsid w:val="0095536F"/>
    <w:rPr>
      <w:sz w:val="24"/>
      <w:szCs w:val="24"/>
    </w:rPr>
  </w:style>
  <w:style w:type="paragraph" w:customStyle="1" w:styleId="BodyText-BarcRA140">
    <w:name w:val="Body Text - Barc RA_14_0"/>
    <w:qFormat/>
    <w:rsid w:val="00733E74"/>
    <w:pPr>
      <w:spacing w:before="180" w:after="180"/>
      <w:jc w:val="both"/>
    </w:pPr>
    <w:rPr>
      <w:rFonts w:ascii="Expert Sans Regular" w:hAnsi="Expert Sans Regular"/>
      <w:sz w:val="18"/>
      <w:lang w:eastAsia="en-US"/>
    </w:rPr>
  </w:style>
  <w:style w:type="paragraph" w:customStyle="1" w:styleId="Normal50">
    <w:name w:val="Normal_50"/>
    <w:qFormat/>
    <w:rsid w:val="009705AC"/>
    <w:rPr>
      <w:rFonts w:ascii="Expert Sans Regular" w:hAnsi="Expert Sans Regular"/>
      <w:sz w:val="18"/>
      <w:szCs w:val="24"/>
      <w:lang w:eastAsia="en-US"/>
    </w:rPr>
  </w:style>
  <w:style w:type="paragraph" w:customStyle="1" w:styleId="Normal51">
    <w:name w:val="Normal_51"/>
    <w:qFormat/>
    <w:rsid w:val="00B43C25"/>
    <w:rPr>
      <w:sz w:val="24"/>
      <w:szCs w:val="24"/>
    </w:rPr>
  </w:style>
  <w:style w:type="paragraph" w:customStyle="1" w:styleId="NoteandSourceText-BarcRA5">
    <w:name w:val="Note and Source Text - Barc RA_5"/>
    <w:basedOn w:val="Normal51"/>
    <w:qFormat/>
    <w:rsid w:val="006B77B9"/>
    <w:pPr>
      <w:numPr>
        <w:numId w:val="105"/>
      </w:numPr>
      <w:tabs>
        <w:tab w:val="left" w:pos="284"/>
      </w:tabs>
      <w:spacing w:before="20" w:after="20"/>
      <w:jc w:val="both"/>
    </w:pPr>
    <w:rPr>
      <w:rFonts w:ascii="Expert Sans Regular" w:hAnsi="Expert Sans Regular"/>
      <w:i/>
      <w:iCs/>
      <w:sz w:val="14"/>
      <w:szCs w:val="14"/>
      <w:lang w:eastAsia="en-US"/>
    </w:rPr>
  </w:style>
  <w:style w:type="paragraph" w:customStyle="1" w:styleId="NoteandSourceText-BarcRA6">
    <w:name w:val="Note and Source Text - Barc RA_6"/>
    <w:basedOn w:val="Normal51"/>
    <w:qFormat/>
    <w:rsid w:val="00B43C25"/>
    <w:pPr>
      <w:numPr>
        <w:numId w:val="106"/>
      </w:numPr>
      <w:tabs>
        <w:tab w:val="left" w:pos="284"/>
      </w:tabs>
      <w:spacing w:before="20" w:after="20"/>
      <w:jc w:val="both"/>
    </w:pPr>
    <w:rPr>
      <w:rFonts w:ascii="Expert Sans Regular" w:hAnsi="Expert Sans Regular"/>
      <w:i/>
      <w:iCs/>
      <w:sz w:val="14"/>
      <w:szCs w:val="14"/>
      <w:lang w:eastAsia="en-US"/>
    </w:rPr>
  </w:style>
  <w:style w:type="paragraph" w:customStyle="1" w:styleId="Level1Bullet-BarcRA14">
    <w:name w:val="Level 1 Bullet - Barc RA_14"/>
    <w:basedOn w:val="Normal52"/>
    <w:qFormat/>
    <w:locked/>
    <w:rsid w:val="00250E45"/>
    <w:pPr>
      <w:numPr>
        <w:numId w:val="107"/>
      </w:numPr>
      <w:spacing w:before="180" w:after="180"/>
      <w:jc w:val="both"/>
    </w:pPr>
    <w:rPr>
      <w:rFonts w:ascii="Expert Sans Regular" w:hAnsi="Expert Sans Regular"/>
      <w:sz w:val="18"/>
      <w:szCs w:val="20"/>
      <w:lang w:val="la-Latn" w:eastAsia="en-US"/>
    </w:rPr>
  </w:style>
  <w:style w:type="paragraph" w:customStyle="1" w:styleId="Normal52">
    <w:name w:val="Normal_52"/>
    <w:qFormat/>
    <w:rsid w:val="0095536F"/>
    <w:rPr>
      <w:sz w:val="24"/>
      <w:szCs w:val="24"/>
    </w:rPr>
  </w:style>
  <w:style w:type="paragraph" w:customStyle="1" w:styleId="HeadingLevel2-BarcRA7">
    <w:name w:val="Heading Level 2 - Barc RA_7"/>
    <w:basedOn w:val="HeadingLevel1-BarcRA32"/>
    <w:next w:val="BodyText-BarcRA40"/>
    <w:qFormat/>
    <w:rsid w:val="00EE71E7"/>
    <w:pPr>
      <w:spacing w:before="240" w:after="0"/>
    </w:pPr>
    <w:rPr>
      <w:sz w:val="20"/>
    </w:rPr>
  </w:style>
  <w:style w:type="paragraph" w:customStyle="1" w:styleId="HeadingLevel1-BarcRA32">
    <w:name w:val="Heading Level 1 - Barc RA_32"/>
    <w:basedOn w:val="BodyText-BarcRA40"/>
    <w:next w:val="BodyText-BarcRA40"/>
    <w:link w:val="HeadingLevel1-BarcRAChar22"/>
    <w:rsid w:val="002611B5"/>
    <w:pPr>
      <w:spacing w:before="0"/>
    </w:pPr>
    <w:rPr>
      <w:b/>
      <w:bCs/>
      <w:color w:val="000000"/>
      <w:sz w:val="24"/>
      <w:lang w:val="la-Latn"/>
    </w:rPr>
  </w:style>
  <w:style w:type="paragraph" w:customStyle="1" w:styleId="BodyText-BarcRA40">
    <w:name w:val="Body Text - Barc RA_40"/>
    <w:link w:val="BodyText-BarcRAChar28"/>
    <w:qFormat/>
    <w:rsid w:val="005D52ED"/>
    <w:pPr>
      <w:spacing w:before="180" w:after="180"/>
      <w:jc w:val="both"/>
    </w:pPr>
    <w:rPr>
      <w:rFonts w:ascii="Expert Sans Regular" w:hAnsi="Expert Sans Regular"/>
      <w:sz w:val="18"/>
      <w:lang w:eastAsia="en-US"/>
    </w:rPr>
  </w:style>
  <w:style w:type="character" w:customStyle="1" w:styleId="BodyText-BarcRAChar28">
    <w:name w:val="Body Text - Barc RA Char_28"/>
    <w:basedOn w:val="DefaultParagraphFont"/>
    <w:link w:val="BodyText-BarcRA40"/>
    <w:rsid w:val="005D52ED"/>
    <w:rPr>
      <w:rFonts w:ascii="Expert Sans Regular" w:hAnsi="Expert Sans Regular"/>
      <w:sz w:val="18"/>
      <w:lang w:val="en-GB" w:eastAsia="en-US" w:bidi="ar-SA"/>
    </w:rPr>
  </w:style>
  <w:style w:type="character" w:customStyle="1" w:styleId="HeadingLevel1-BarcRAChar22">
    <w:name w:val="Heading Level 1 - Barc RA Char_22"/>
    <w:basedOn w:val="DefaultParagraphFont"/>
    <w:link w:val="HeadingLevel1-BarcRA32"/>
    <w:rsid w:val="009705AC"/>
    <w:rPr>
      <w:rFonts w:ascii="Expert Sans Regular" w:hAnsi="Expert Sans Regular"/>
      <w:b/>
      <w:bCs/>
      <w:color w:val="000000"/>
      <w:sz w:val="24"/>
      <w:lang w:val="la-Latn"/>
    </w:rPr>
  </w:style>
  <w:style w:type="paragraph" w:customStyle="1" w:styleId="BodyText-BarcRA41">
    <w:name w:val="Body Text - Barc RA_41"/>
    <w:link w:val="BodyText-BarcRAChar270"/>
    <w:qFormat/>
    <w:rsid w:val="0098665F"/>
    <w:pPr>
      <w:spacing w:before="180" w:after="180"/>
      <w:jc w:val="both"/>
    </w:pPr>
    <w:rPr>
      <w:rFonts w:ascii="Expert Sans Regular" w:hAnsi="Expert Sans Regular"/>
      <w:sz w:val="18"/>
      <w:lang w:eastAsia="en-US"/>
    </w:rPr>
  </w:style>
  <w:style w:type="character" w:customStyle="1" w:styleId="BodyText-BarcRAChar270">
    <w:name w:val="Body Text - Barc RA Char_27_0"/>
    <w:basedOn w:val="DefaultParagraphFont"/>
    <w:link w:val="BodyText-BarcRA41"/>
    <w:locked/>
    <w:rsid w:val="0098665F"/>
    <w:rPr>
      <w:rFonts w:ascii="Expert Sans Regular" w:hAnsi="Expert Sans Regular"/>
      <w:sz w:val="18"/>
      <w:lang w:val="en-GB" w:eastAsia="en-US" w:bidi="ar-SA"/>
    </w:rPr>
  </w:style>
  <w:style w:type="paragraph" w:customStyle="1" w:styleId="Normal53">
    <w:name w:val="Normal_53"/>
    <w:qFormat/>
    <w:rsid w:val="009705AC"/>
    <w:rPr>
      <w:rFonts w:ascii="Expert Sans Regular" w:hAnsi="Expert Sans Regular"/>
      <w:sz w:val="18"/>
      <w:szCs w:val="24"/>
      <w:lang w:eastAsia="en-US"/>
    </w:rPr>
  </w:style>
  <w:style w:type="paragraph" w:customStyle="1" w:styleId="NoteandSourceText-BarcRA20">
    <w:name w:val="Note and Source Text - Barc RA_2_0"/>
    <w:basedOn w:val="Normal54"/>
    <w:uiPriority w:val="99"/>
    <w:rsid w:val="00E63D78"/>
    <w:pPr>
      <w:numPr>
        <w:numId w:val="108"/>
      </w:numPr>
      <w:tabs>
        <w:tab w:val="left" w:pos="284"/>
      </w:tabs>
      <w:spacing w:before="20" w:after="20"/>
      <w:jc w:val="both"/>
    </w:pPr>
    <w:rPr>
      <w:i/>
      <w:iCs/>
      <w:sz w:val="14"/>
      <w:szCs w:val="14"/>
    </w:rPr>
  </w:style>
  <w:style w:type="paragraph" w:customStyle="1" w:styleId="Normal54">
    <w:name w:val="Normal_54"/>
    <w:qFormat/>
    <w:rsid w:val="009705AC"/>
    <w:rPr>
      <w:rFonts w:ascii="Expert Sans Regular" w:hAnsi="Expert Sans Regular"/>
      <w:sz w:val="18"/>
      <w:szCs w:val="24"/>
      <w:lang w:eastAsia="en-US"/>
    </w:rPr>
  </w:style>
  <w:style w:type="paragraph" w:customStyle="1" w:styleId="NoteandSourceText-BarcRA60">
    <w:name w:val="Note and Source Text - Barc RA_6_0"/>
    <w:basedOn w:val="Normal54"/>
    <w:qFormat/>
    <w:rsid w:val="00AF2603"/>
    <w:pPr>
      <w:numPr>
        <w:numId w:val="109"/>
      </w:numPr>
      <w:tabs>
        <w:tab w:val="left" w:pos="284"/>
      </w:tabs>
      <w:spacing w:before="20" w:after="20"/>
      <w:jc w:val="both"/>
    </w:pPr>
    <w:rPr>
      <w:i/>
      <w:iCs/>
      <w:sz w:val="14"/>
      <w:szCs w:val="14"/>
    </w:rPr>
  </w:style>
  <w:style w:type="paragraph" w:customStyle="1" w:styleId="Level1Bullet-BarcRA72">
    <w:name w:val="Level 1 Bullet - Barc RA_7_2"/>
    <w:basedOn w:val="Normal55"/>
    <w:link w:val="Level1Bullet-BarcRAChar60"/>
    <w:qFormat/>
    <w:rsid w:val="0048014D"/>
    <w:pPr>
      <w:numPr>
        <w:numId w:val="110"/>
      </w:numPr>
      <w:spacing w:before="180" w:after="180"/>
      <w:jc w:val="both"/>
    </w:pPr>
    <w:rPr>
      <w:szCs w:val="20"/>
      <w:lang w:val="la-Latn"/>
    </w:rPr>
  </w:style>
  <w:style w:type="paragraph" w:customStyle="1" w:styleId="Normal55">
    <w:name w:val="Normal_55"/>
    <w:qFormat/>
    <w:rsid w:val="009705AC"/>
    <w:rPr>
      <w:rFonts w:ascii="Expert Sans Regular" w:hAnsi="Expert Sans Regular"/>
      <w:sz w:val="18"/>
      <w:szCs w:val="24"/>
      <w:lang w:eastAsia="en-US"/>
    </w:rPr>
  </w:style>
  <w:style w:type="character" w:customStyle="1" w:styleId="Level1Bullet-BarcRAChar60">
    <w:name w:val="Level 1 Bullet - Barc RA Char_6_0"/>
    <w:basedOn w:val="DefaultParagraphFont"/>
    <w:link w:val="Level1Bullet-BarcRA72"/>
    <w:locked/>
    <w:rsid w:val="0048014D"/>
    <w:rPr>
      <w:rFonts w:ascii="Expert Sans Regular" w:hAnsi="Expert Sans Regular"/>
      <w:sz w:val="18"/>
      <w:lang w:val="la-Latn" w:eastAsia="en-US"/>
    </w:rPr>
  </w:style>
  <w:style w:type="paragraph" w:customStyle="1" w:styleId="HeadingLevel2-BarcRA8">
    <w:name w:val="Heading Level 2 - Barc RA_8"/>
    <w:basedOn w:val="HeadingLevel1-BarcRA33"/>
    <w:next w:val="BodyText-BarcRA42"/>
    <w:qFormat/>
    <w:rsid w:val="00EE71E7"/>
    <w:pPr>
      <w:spacing w:before="240" w:after="0"/>
    </w:pPr>
    <w:rPr>
      <w:sz w:val="20"/>
    </w:rPr>
  </w:style>
  <w:style w:type="paragraph" w:customStyle="1" w:styleId="HeadingLevel1-BarcRA33">
    <w:name w:val="Heading Level 1 - Barc RA_33"/>
    <w:basedOn w:val="BodyText-BarcRA42"/>
    <w:next w:val="BodyText-BarcRA42"/>
    <w:link w:val="HeadingLevel1-BarcRAChar23"/>
    <w:rsid w:val="002611B5"/>
    <w:pPr>
      <w:spacing w:before="0"/>
    </w:pPr>
    <w:rPr>
      <w:b/>
      <w:bCs/>
      <w:color w:val="000000"/>
      <w:sz w:val="24"/>
      <w:lang w:val="la-Latn"/>
    </w:rPr>
  </w:style>
  <w:style w:type="paragraph" w:customStyle="1" w:styleId="BodyText-BarcRA42">
    <w:name w:val="Body Text - Barc RA_42"/>
    <w:link w:val="BodyText-BarcRAChar29"/>
    <w:qFormat/>
    <w:rsid w:val="005D52ED"/>
    <w:pPr>
      <w:spacing w:before="180" w:after="180"/>
      <w:jc w:val="both"/>
    </w:pPr>
    <w:rPr>
      <w:rFonts w:ascii="Expert Sans Regular" w:hAnsi="Expert Sans Regular"/>
      <w:sz w:val="18"/>
      <w:lang w:eastAsia="en-US"/>
    </w:rPr>
  </w:style>
  <w:style w:type="character" w:customStyle="1" w:styleId="BodyText-BarcRAChar29">
    <w:name w:val="Body Text - Barc RA Char_29"/>
    <w:basedOn w:val="DefaultParagraphFont"/>
    <w:link w:val="BodyText-BarcRA42"/>
    <w:rsid w:val="005D52ED"/>
    <w:rPr>
      <w:rFonts w:ascii="Expert Sans Regular" w:hAnsi="Expert Sans Regular"/>
      <w:sz w:val="18"/>
      <w:lang w:val="en-GB" w:eastAsia="en-US" w:bidi="ar-SA"/>
    </w:rPr>
  </w:style>
  <w:style w:type="character" w:customStyle="1" w:styleId="HeadingLevel1-BarcRAChar23">
    <w:name w:val="Heading Level 1 - Barc RA Char_23"/>
    <w:basedOn w:val="DefaultParagraphFont"/>
    <w:link w:val="HeadingLevel1-BarcRA33"/>
    <w:rsid w:val="009705AC"/>
    <w:rPr>
      <w:rFonts w:ascii="Expert Sans Regular" w:hAnsi="Expert Sans Regular"/>
      <w:b/>
      <w:bCs/>
      <w:color w:val="000000"/>
      <w:sz w:val="24"/>
      <w:lang w:val="la-Latn"/>
    </w:rPr>
  </w:style>
  <w:style w:type="paragraph" w:customStyle="1" w:styleId="Level1Bullet-BarcRA15">
    <w:name w:val="Level 1 Bullet - Barc RA_15"/>
    <w:basedOn w:val="BodyText-BarcRA43"/>
    <w:qFormat/>
    <w:locked/>
    <w:rsid w:val="00903820"/>
    <w:pPr>
      <w:numPr>
        <w:numId w:val="111"/>
      </w:numPr>
    </w:pPr>
    <w:rPr>
      <w:lang w:val="la-Latn"/>
    </w:rPr>
  </w:style>
  <w:style w:type="paragraph" w:customStyle="1" w:styleId="BodyText-BarcRA43">
    <w:name w:val="Body Text - Barc RA_43"/>
    <w:qFormat/>
    <w:locked/>
    <w:rsid w:val="00903820"/>
    <w:pPr>
      <w:spacing w:before="180" w:after="180"/>
      <w:jc w:val="both"/>
    </w:pPr>
    <w:rPr>
      <w:rFonts w:ascii="Expert Sans Regular" w:hAnsi="Expert Sans Regular"/>
      <w:sz w:val="18"/>
      <w:lang w:eastAsia="en-US"/>
    </w:rPr>
  </w:style>
  <w:style w:type="paragraph" w:customStyle="1" w:styleId="HeadingLevel2-BarcRA9">
    <w:name w:val="Heading Level 2 - Barc RA_9"/>
    <w:basedOn w:val="HeadingLevel1-BarcRA34"/>
    <w:next w:val="BodyText-BarcRA44"/>
    <w:rsid w:val="00EE71E7"/>
    <w:pPr>
      <w:spacing w:before="240" w:after="0"/>
    </w:pPr>
    <w:rPr>
      <w:sz w:val="20"/>
    </w:rPr>
  </w:style>
  <w:style w:type="paragraph" w:customStyle="1" w:styleId="HeadingLevel1-BarcRA34">
    <w:name w:val="Heading Level 1 - Barc RA_34"/>
    <w:basedOn w:val="BodyText-BarcRA44"/>
    <w:next w:val="BodyText-BarcRA44"/>
    <w:link w:val="HeadingLevel1-BarcRAChar24"/>
    <w:rsid w:val="002611B5"/>
    <w:pPr>
      <w:spacing w:before="0"/>
    </w:pPr>
    <w:rPr>
      <w:b/>
      <w:bCs/>
      <w:color w:val="000000"/>
      <w:sz w:val="24"/>
      <w:lang w:val="la-Latn"/>
    </w:rPr>
  </w:style>
  <w:style w:type="paragraph" w:customStyle="1" w:styleId="BodyText-BarcRA44">
    <w:name w:val="Body Text - Barc RA_44"/>
    <w:link w:val="BodyText-BarcRAChar300"/>
    <w:qFormat/>
    <w:rsid w:val="005D52ED"/>
    <w:pPr>
      <w:spacing w:before="180" w:after="180"/>
      <w:jc w:val="both"/>
    </w:pPr>
    <w:rPr>
      <w:rFonts w:ascii="Expert Sans Regular" w:hAnsi="Expert Sans Regular"/>
      <w:sz w:val="18"/>
      <w:lang w:eastAsia="en-US"/>
    </w:rPr>
  </w:style>
  <w:style w:type="character" w:customStyle="1" w:styleId="BodyText-BarcRAChar300">
    <w:name w:val="Body Text - Barc RA Char_30"/>
    <w:basedOn w:val="DefaultParagraphFont"/>
    <w:link w:val="BodyText-BarcRA44"/>
    <w:rsid w:val="005D52ED"/>
    <w:rPr>
      <w:rFonts w:ascii="Expert Sans Regular" w:hAnsi="Expert Sans Regular"/>
      <w:sz w:val="18"/>
      <w:lang w:val="en-GB" w:eastAsia="en-US" w:bidi="ar-SA"/>
    </w:rPr>
  </w:style>
  <w:style w:type="character" w:customStyle="1" w:styleId="HeadingLevel1-BarcRAChar24">
    <w:name w:val="Heading Level 1 - Barc RA Char_24"/>
    <w:basedOn w:val="DefaultParagraphFont"/>
    <w:link w:val="HeadingLevel1-BarcRA34"/>
    <w:rsid w:val="009705AC"/>
    <w:rPr>
      <w:rFonts w:ascii="Expert Sans Regular" w:hAnsi="Expert Sans Regular"/>
      <w:b/>
      <w:bCs/>
      <w:color w:val="000000"/>
      <w:sz w:val="24"/>
      <w:lang w:val="la-Latn"/>
    </w:rPr>
  </w:style>
  <w:style w:type="paragraph" w:customStyle="1" w:styleId="Level1Bullet-BarcRA000">
    <w:name w:val="Level 1 Bullet - Barc RA_0_0_0"/>
    <w:basedOn w:val="BodyText-BarcRA80"/>
    <w:link w:val="Level1Bullet-BarcRAChar000"/>
    <w:rsid w:val="000A03E2"/>
    <w:pPr>
      <w:numPr>
        <w:numId w:val="112"/>
      </w:numPr>
    </w:pPr>
    <w:rPr>
      <w:lang w:val="la-Latn"/>
    </w:rPr>
  </w:style>
  <w:style w:type="paragraph" w:customStyle="1" w:styleId="BodyText-BarcRA80">
    <w:name w:val="Body Text - Barc RA_8_0"/>
    <w:link w:val="BodyText-BarcRAChar80"/>
    <w:qFormat/>
    <w:rsid w:val="000A03E2"/>
    <w:pPr>
      <w:spacing w:before="180" w:after="180"/>
      <w:jc w:val="both"/>
    </w:pPr>
    <w:rPr>
      <w:rFonts w:ascii="Expert Sans Regular" w:hAnsi="Expert Sans Regular"/>
      <w:sz w:val="18"/>
      <w:lang w:eastAsia="en-US"/>
    </w:rPr>
  </w:style>
  <w:style w:type="character" w:customStyle="1" w:styleId="BodyText-BarcRAChar80">
    <w:name w:val="Body Text - Barc RA Char_8_0"/>
    <w:basedOn w:val="DefaultParagraphFont"/>
    <w:link w:val="BodyText-BarcRA80"/>
    <w:locked/>
    <w:rsid w:val="000A03E2"/>
    <w:rPr>
      <w:rFonts w:ascii="Expert Sans Regular" w:hAnsi="Expert Sans Regular"/>
      <w:sz w:val="18"/>
      <w:lang w:val="en-GB" w:eastAsia="en-US" w:bidi="ar-SA"/>
    </w:rPr>
  </w:style>
  <w:style w:type="character" w:customStyle="1" w:styleId="Level1Bullet-BarcRAChar000">
    <w:name w:val="Level 1 Bullet - Barc RA Char_0_0_0"/>
    <w:basedOn w:val="BodyText-BarcRAChar80"/>
    <w:link w:val="Level1Bullet-BarcRA000"/>
    <w:locked/>
    <w:rsid w:val="000A03E2"/>
    <w:rPr>
      <w:rFonts w:ascii="Expert Sans Regular" w:hAnsi="Expert Sans Regular"/>
      <w:sz w:val="18"/>
      <w:lang w:val="la-Latn" w:eastAsia="en-US" w:bidi="ar-SA"/>
    </w:rPr>
  </w:style>
  <w:style w:type="paragraph" w:customStyle="1" w:styleId="BodyText-AR22">
    <w:name w:val="Body Text - AR_22"/>
    <w:basedOn w:val="Normal56"/>
    <w:qFormat/>
    <w:rsid w:val="00974ADD"/>
    <w:rPr>
      <w:rFonts w:eastAsia="Calibri"/>
      <w:sz w:val="16"/>
      <w:szCs w:val="22"/>
    </w:rPr>
  </w:style>
  <w:style w:type="paragraph" w:customStyle="1" w:styleId="Normal56">
    <w:name w:val="Normal_56"/>
    <w:qFormat/>
    <w:rsid w:val="009705AC"/>
    <w:rPr>
      <w:rFonts w:ascii="Expert Sans Regular" w:hAnsi="Expert Sans Regular"/>
      <w:sz w:val="18"/>
      <w:szCs w:val="24"/>
      <w:lang w:eastAsia="en-US"/>
    </w:rPr>
  </w:style>
  <w:style w:type="paragraph" w:customStyle="1" w:styleId="HeadingLevel3-AR">
    <w:name w:val="Heading Level 3 - AR"/>
    <w:basedOn w:val="Normal57"/>
    <w:qFormat/>
    <w:rsid w:val="00C80734"/>
    <w:rPr>
      <w:rFonts w:ascii="Expert Sans Regular" w:eastAsia="Calibri" w:hAnsi="Expert Sans Regular"/>
      <w:b/>
      <w:color w:val="00B0F0"/>
      <w:sz w:val="16"/>
      <w:szCs w:val="22"/>
      <w:lang w:eastAsia="en-US"/>
    </w:rPr>
  </w:style>
  <w:style w:type="paragraph" w:customStyle="1" w:styleId="Normal57">
    <w:name w:val="Normal_57"/>
    <w:qFormat/>
    <w:rsid w:val="00DA12CF"/>
    <w:rPr>
      <w:sz w:val="24"/>
      <w:szCs w:val="24"/>
    </w:rPr>
  </w:style>
  <w:style w:type="paragraph" w:customStyle="1" w:styleId="BodyText-AR220">
    <w:name w:val="Body Text - AR_22_0"/>
    <w:basedOn w:val="Normal57"/>
    <w:qFormat/>
    <w:rsid w:val="005C3131"/>
    <w:rPr>
      <w:rFonts w:ascii="Expert Sans Regular" w:eastAsia="Calibri" w:hAnsi="Expert Sans Regular"/>
      <w:sz w:val="16"/>
      <w:szCs w:val="22"/>
      <w:lang w:eastAsia="en-US"/>
    </w:rPr>
  </w:style>
  <w:style w:type="paragraph" w:customStyle="1" w:styleId="BodyText-AR221">
    <w:name w:val="Body Text - AR_22_1"/>
    <w:basedOn w:val="Normal57"/>
    <w:qFormat/>
    <w:rsid w:val="00DC278D"/>
    <w:rPr>
      <w:rFonts w:ascii="Expert Sans Regular" w:eastAsia="Calibri" w:hAnsi="Expert Sans Regular"/>
      <w:sz w:val="16"/>
      <w:szCs w:val="22"/>
      <w:lang w:eastAsia="en-US"/>
    </w:rPr>
  </w:style>
  <w:style w:type="paragraph" w:customStyle="1" w:styleId="NoteandSourceText-BarcRA7">
    <w:name w:val="Note and Source Text - Barc RA_7"/>
    <w:basedOn w:val="Normal58"/>
    <w:qFormat/>
    <w:rsid w:val="00E26A26"/>
    <w:pPr>
      <w:numPr>
        <w:numId w:val="113"/>
      </w:numPr>
      <w:tabs>
        <w:tab w:val="left" w:pos="284"/>
      </w:tabs>
      <w:spacing w:before="20" w:after="20"/>
      <w:jc w:val="both"/>
    </w:pPr>
    <w:rPr>
      <w:rFonts w:ascii="Expert Sans Regular" w:hAnsi="Expert Sans Regular"/>
      <w:i/>
      <w:iCs/>
      <w:sz w:val="14"/>
      <w:szCs w:val="14"/>
      <w:lang w:eastAsia="en-US"/>
    </w:rPr>
  </w:style>
  <w:style w:type="paragraph" w:customStyle="1" w:styleId="Normal58">
    <w:name w:val="Normal_58"/>
    <w:qFormat/>
    <w:rsid w:val="00ED6D4F"/>
    <w:rPr>
      <w:sz w:val="24"/>
      <w:szCs w:val="24"/>
    </w:rPr>
  </w:style>
  <w:style w:type="paragraph" w:customStyle="1" w:styleId="BodyText-BarcRA45">
    <w:name w:val="Body Text - Barc RA_45"/>
    <w:qFormat/>
    <w:locked/>
    <w:rsid w:val="00984101"/>
    <w:pPr>
      <w:spacing w:before="180" w:after="180"/>
      <w:jc w:val="both"/>
    </w:pPr>
    <w:rPr>
      <w:rFonts w:ascii="Expert Sans Regular" w:hAnsi="Expert Sans Regular"/>
      <w:sz w:val="18"/>
      <w:lang w:eastAsia="en-US"/>
    </w:rPr>
  </w:style>
  <w:style w:type="paragraph" w:customStyle="1" w:styleId="BodyText-BarcRA47">
    <w:name w:val="Body Text - Barc RA_47"/>
    <w:qFormat/>
    <w:locked/>
    <w:rsid w:val="004F7229"/>
    <w:pPr>
      <w:spacing w:before="180" w:after="180"/>
      <w:jc w:val="both"/>
    </w:pPr>
    <w:rPr>
      <w:rFonts w:ascii="Expert Sans Regular" w:hAnsi="Expert Sans Regular"/>
      <w:sz w:val="18"/>
      <w:lang w:eastAsia="en-US"/>
    </w:rPr>
  </w:style>
  <w:style w:type="paragraph" w:customStyle="1" w:styleId="NoteSourceText-BarcRA21">
    <w:name w:val="Note &amp; Source Text - Barc RA_2_1"/>
    <w:basedOn w:val="Normal59"/>
    <w:link w:val="NoteSourceText-BarcRAChar21"/>
    <w:rsid w:val="00C95DF8"/>
    <w:pPr>
      <w:tabs>
        <w:tab w:val="left" w:pos="284"/>
      </w:tabs>
      <w:spacing w:before="20" w:after="20"/>
      <w:ind w:left="284" w:hanging="284"/>
      <w:jc w:val="both"/>
    </w:pPr>
    <w:rPr>
      <w:rFonts w:ascii="Expert Sans Regular" w:hAnsi="Expert Sans Regular"/>
      <w:i/>
      <w:iCs/>
      <w:sz w:val="14"/>
      <w:szCs w:val="14"/>
      <w:lang w:eastAsia="en-US"/>
    </w:rPr>
  </w:style>
  <w:style w:type="paragraph" w:customStyle="1" w:styleId="Normal59">
    <w:name w:val="Normal_59"/>
    <w:qFormat/>
    <w:rsid w:val="0095536F"/>
    <w:rPr>
      <w:sz w:val="24"/>
      <w:szCs w:val="24"/>
    </w:rPr>
  </w:style>
  <w:style w:type="character" w:customStyle="1" w:styleId="NoteSourceText-BarcRAChar21">
    <w:name w:val="Note &amp; Source Text - Barc RA Char_2_1"/>
    <w:basedOn w:val="DefaultParagraphFont"/>
    <w:link w:val="NoteSourceText-BarcRA21"/>
    <w:locked/>
    <w:rsid w:val="00C95DF8"/>
    <w:rPr>
      <w:rFonts w:ascii="Expert Sans Regular" w:hAnsi="Expert Sans Regular"/>
      <w:i/>
      <w:iCs/>
      <w:sz w:val="14"/>
      <w:szCs w:val="14"/>
      <w:lang w:eastAsia="en-US"/>
    </w:rPr>
  </w:style>
  <w:style w:type="paragraph" w:customStyle="1" w:styleId="BodyText-BarcRA46">
    <w:name w:val="Body Text - Barc RA_46"/>
    <w:qFormat/>
    <w:locked/>
    <w:rsid w:val="00D0206A"/>
    <w:pPr>
      <w:spacing w:before="180" w:after="180"/>
      <w:jc w:val="both"/>
    </w:pPr>
    <w:rPr>
      <w:rFonts w:ascii="Expert Sans Regular" w:hAnsi="Expert Sans Regular"/>
      <w:sz w:val="18"/>
      <w:lang w:eastAsia="en-US"/>
    </w:rPr>
  </w:style>
  <w:style w:type="paragraph" w:customStyle="1" w:styleId="BodyText-BarcRA470">
    <w:name w:val="Body Text - Barc RA_47_0"/>
    <w:qFormat/>
    <w:locked/>
    <w:rsid w:val="00B22739"/>
    <w:pPr>
      <w:spacing w:before="180" w:after="180"/>
      <w:jc w:val="both"/>
    </w:pPr>
    <w:rPr>
      <w:rFonts w:ascii="Expert Sans Regular" w:hAnsi="Expert Sans Regular"/>
      <w:sz w:val="18"/>
      <w:lang w:eastAsia="en-US"/>
    </w:rPr>
  </w:style>
  <w:style w:type="paragraph" w:customStyle="1" w:styleId="BodyText-BarcRA48">
    <w:name w:val="Body Text - Barc RA_48"/>
    <w:qFormat/>
    <w:locked/>
    <w:rsid w:val="00B412A3"/>
    <w:pPr>
      <w:spacing w:before="180" w:after="180"/>
      <w:jc w:val="both"/>
    </w:pPr>
    <w:rPr>
      <w:rFonts w:ascii="Expert Sans Regular" w:hAnsi="Expert Sans Regular"/>
      <w:sz w:val="18"/>
      <w:lang w:eastAsia="en-US"/>
    </w:rPr>
  </w:style>
  <w:style w:type="paragraph" w:customStyle="1" w:styleId="Level1Bullet-BarcRA30">
    <w:name w:val="Level 1 Bullet - Barc RA_3_0"/>
    <w:basedOn w:val="Normal601"/>
    <w:qFormat/>
    <w:rsid w:val="00B412A3"/>
    <w:pPr>
      <w:numPr>
        <w:numId w:val="116"/>
      </w:numPr>
      <w:spacing w:before="180" w:after="180"/>
      <w:jc w:val="both"/>
    </w:pPr>
    <w:rPr>
      <w:rFonts w:eastAsia="Times New Roman" w:cs="Times New Roman"/>
      <w:sz w:val="18"/>
      <w:szCs w:val="20"/>
      <w:lang w:val="la-Latn"/>
    </w:rPr>
  </w:style>
  <w:style w:type="paragraph" w:customStyle="1" w:styleId="Normal601">
    <w:name w:val="Normal_60"/>
    <w:qFormat/>
    <w:rsid w:val="008944AF"/>
    <w:rPr>
      <w:rFonts w:ascii="Expert Sans Regular" w:eastAsia="Expert Sans Regular" w:hAnsi="Expert Sans Regular" w:cs="Expert Sans Regular"/>
      <w:szCs w:val="24"/>
      <w:lang w:val="en-US" w:eastAsia="en-US"/>
    </w:rPr>
  </w:style>
  <w:style w:type="paragraph" w:customStyle="1" w:styleId="BodyText-BarcRA471">
    <w:name w:val="Body Text - Barc RA_47_1"/>
    <w:qFormat/>
    <w:locked/>
    <w:rsid w:val="00C10251"/>
    <w:pPr>
      <w:spacing w:before="180" w:after="180"/>
      <w:jc w:val="both"/>
    </w:pPr>
    <w:rPr>
      <w:rFonts w:ascii="Expert Sans Regular" w:hAnsi="Expert Sans Regular"/>
      <w:sz w:val="18"/>
      <w:lang w:eastAsia="en-US"/>
    </w:rPr>
  </w:style>
  <w:style w:type="paragraph" w:customStyle="1" w:styleId="NoteSourceText-BarcRA210">
    <w:name w:val="Note &amp; Source Text - Barc RA_2_1_0"/>
    <w:basedOn w:val="Normal601"/>
    <w:link w:val="NoteSourceText-BarcRAChar210"/>
    <w:rsid w:val="00C10251"/>
    <w:pPr>
      <w:tabs>
        <w:tab w:val="left" w:pos="284"/>
      </w:tabs>
      <w:spacing w:before="20" w:after="20"/>
      <w:ind w:left="284" w:hanging="284"/>
      <w:jc w:val="both"/>
    </w:pPr>
    <w:rPr>
      <w:rFonts w:eastAsia="Times New Roman" w:cs="Times New Roman"/>
      <w:i/>
      <w:iCs/>
      <w:sz w:val="14"/>
      <w:szCs w:val="14"/>
      <w:lang w:val="en-GB"/>
    </w:rPr>
  </w:style>
  <w:style w:type="character" w:customStyle="1" w:styleId="NoteSourceText-BarcRAChar210">
    <w:name w:val="Note &amp; Source Text - Barc RA Char_2_1_0"/>
    <w:basedOn w:val="DefaultParagraphFont"/>
    <w:link w:val="NoteSourceText-BarcRA210"/>
    <w:locked/>
    <w:rsid w:val="00C10251"/>
    <w:rPr>
      <w:rFonts w:ascii="Expert Sans Regular" w:hAnsi="Expert Sans Regular"/>
      <w:i/>
      <w:iCs/>
      <w:sz w:val="14"/>
      <w:szCs w:val="14"/>
      <w:lang w:eastAsia="en-US"/>
    </w:rPr>
  </w:style>
  <w:style w:type="paragraph" w:customStyle="1" w:styleId="Footnotes-AR">
    <w:name w:val="Footnotes - AR"/>
    <w:basedOn w:val="Normal601"/>
    <w:uiPriority w:val="1"/>
    <w:qFormat/>
    <w:rsid w:val="008944AF"/>
    <w:rPr>
      <w:rFonts w:eastAsia="Calibri" w:cs="Times New Roman"/>
      <w:sz w:val="13"/>
      <w:szCs w:val="13"/>
      <w:lang w:val="en-GB"/>
    </w:rPr>
  </w:style>
  <w:style w:type="paragraph" w:customStyle="1" w:styleId="HeadingLevel1-BarcRA35">
    <w:name w:val="Heading Level 1 - Barc RA_35"/>
    <w:basedOn w:val="BodyText-BarcRA49"/>
    <w:next w:val="BodyText-BarcRA49"/>
    <w:link w:val="HeadingLevel1-BarcRAChar25"/>
    <w:rsid w:val="002611B5"/>
    <w:pPr>
      <w:spacing w:before="0"/>
    </w:pPr>
    <w:rPr>
      <w:b/>
      <w:bCs/>
      <w:color w:val="000000"/>
      <w:sz w:val="24"/>
      <w:lang w:val="la-Latn"/>
    </w:rPr>
  </w:style>
  <w:style w:type="paragraph" w:customStyle="1" w:styleId="BodyText-BarcRA49">
    <w:name w:val="Body Text - Barc RA_49"/>
    <w:link w:val="BodyText-BarcRAChar31"/>
    <w:qFormat/>
    <w:rsid w:val="005D52ED"/>
    <w:pPr>
      <w:spacing w:before="180" w:after="180"/>
      <w:jc w:val="both"/>
    </w:pPr>
    <w:rPr>
      <w:rFonts w:ascii="Expert Sans Regular" w:hAnsi="Expert Sans Regular"/>
      <w:sz w:val="18"/>
      <w:lang w:eastAsia="en-US"/>
    </w:rPr>
  </w:style>
  <w:style w:type="character" w:customStyle="1" w:styleId="BodyText-BarcRAChar31">
    <w:name w:val="Body Text - Barc RA Char_31"/>
    <w:basedOn w:val="DefaultParagraphFont"/>
    <w:link w:val="BodyText-BarcRA49"/>
    <w:rsid w:val="005D52ED"/>
    <w:rPr>
      <w:rFonts w:ascii="Expert Sans Regular" w:hAnsi="Expert Sans Regular"/>
      <w:sz w:val="18"/>
      <w:lang w:val="en-GB" w:eastAsia="en-US" w:bidi="ar-SA"/>
    </w:rPr>
  </w:style>
  <w:style w:type="character" w:customStyle="1" w:styleId="HeadingLevel1-BarcRAChar25">
    <w:name w:val="Heading Level 1 - Barc RA Char_25"/>
    <w:basedOn w:val="DefaultParagraphFont"/>
    <w:link w:val="HeadingLevel1-BarcRA35"/>
    <w:rsid w:val="009705AC"/>
    <w:rPr>
      <w:rFonts w:ascii="Expert Sans Regular" w:hAnsi="Expert Sans Regular"/>
      <w:b/>
      <w:bCs/>
      <w:color w:val="000000"/>
      <w:sz w:val="24"/>
      <w:lang w:val="la-Latn"/>
    </w:rPr>
  </w:style>
  <w:style w:type="paragraph" w:customStyle="1" w:styleId="HeaderSpacerwithLine-BarcRA11">
    <w:name w:val="Header Spacer with Line - Barc RA_11"/>
    <w:basedOn w:val="BodyText-BarcRA49"/>
    <w:link w:val="HeaderSpacerwithLine-BarcRAChar5"/>
    <w:rsid w:val="00016DD8"/>
    <w:pPr>
      <w:pBdr>
        <w:top w:val="single" w:sz="4" w:space="1" w:color="auto"/>
      </w:pBdr>
      <w:spacing w:before="0" w:after="0"/>
    </w:pPr>
    <w:rPr>
      <w:sz w:val="10"/>
      <w:szCs w:val="10"/>
    </w:rPr>
  </w:style>
  <w:style w:type="character" w:customStyle="1" w:styleId="HeaderSpacerwithLine-BarcRAChar5">
    <w:name w:val="Header Spacer with Line - Barc RA Char_5"/>
    <w:basedOn w:val="BodyText-BarcRAChar31"/>
    <w:link w:val="HeaderSpacerwithLine-BarcRA11"/>
    <w:rsid w:val="000E2451"/>
    <w:rPr>
      <w:rFonts w:ascii="Expert Sans Regular" w:hAnsi="Expert Sans Regular"/>
      <w:sz w:val="10"/>
      <w:szCs w:val="10"/>
      <w:lang w:val="en-GB" w:eastAsia="en-US" w:bidi="ar-SA"/>
    </w:rPr>
  </w:style>
  <w:style w:type="paragraph" w:customStyle="1" w:styleId="NoteSourceText-BarcRA0">
    <w:name w:val="Note &amp; Source Text - Barc RA_0"/>
    <w:basedOn w:val="Normal61"/>
    <w:link w:val="NoteSourceText-BarcRAChar0"/>
    <w:rsid w:val="00E75B5D"/>
    <w:pPr>
      <w:tabs>
        <w:tab w:val="left" w:pos="284"/>
      </w:tabs>
      <w:spacing w:before="20" w:after="20"/>
      <w:ind w:left="284" w:hanging="284"/>
      <w:jc w:val="both"/>
    </w:pPr>
    <w:rPr>
      <w:i/>
      <w:iCs/>
      <w:sz w:val="14"/>
      <w:szCs w:val="14"/>
    </w:rPr>
  </w:style>
  <w:style w:type="paragraph" w:customStyle="1" w:styleId="Normal61">
    <w:name w:val="Normal_61"/>
    <w:qFormat/>
    <w:rsid w:val="009705AC"/>
    <w:rPr>
      <w:rFonts w:ascii="Expert Sans Regular" w:hAnsi="Expert Sans Regular"/>
      <w:sz w:val="18"/>
      <w:szCs w:val="24"/>
      <w:lang w:eastAsia="en-US"/>
    </w:rPr>
  </w:style>
  <w:style w:type="character" w:customStyle="1" w:styleId="NoteSourceText-BarcRAChar0">
    <w:name w:val="Note &amp; Source Text - Barc RA Char_0"/>
    <w:basedOn w:val="DefaultParagraphFont"/>
    <w:link w:val="NoteSourceText-BarcRA0"/>
    <w:rsid w:val="00E75B5D"/>
    <w:rPr>
      <w:rFonts w:ascii="Expert Sans Regular" w:hAnsi="Expert Sans Regular"/>
      <w:i/>
      <w:iCs/>
      <w:sz w:val="14"/>
      <w:szCs w:val="14"/>
      <w:lang w:eastAsia="en-US"/>
    </w:rPr>
  </w:style>
  <w:style w:type="paragraph" w:customStyle="1" w:styleId="HeadingLevel1-BarcRA36">
    <w:name w:val="Heading Level 1 - Barc RA_36"/>
    <w:basedOn w:val="BodyText-BarcRA50"/>
    <w:next w:val="BodyText-BarcRA50"/>
    <w:link w:val="HeadingLevel1-BarcRAChar26"/>
    <w:qFormat/>
    <w:rsid w:val="002611B5"/>
    <w:pPr>
      <w:spacing w:before="0"/>
    </w:pPr>
    <w:rPr>
      <w:b/>
      <w:bCs/>
      <w:color w:val="000000"/>
      <w:sz w:val="24"/>
      <w:lang w:val="la-Latn"/>
    </w:rPr>
  </w:style>
  <w:style w:type="paragraph" w:customStyle="1" w:styleId="BodyText-BarcRA50">
    <w:name w:val="Body Text - Barc RA_50"/>
    <w:link w:val="BodyText-BarcRAChar32"/>
    <w:qFormat/>
    <w:rsid w:val="005D52ED"/>
    <w:pPr>
      <w:spacing w:before="180" w:after="180"/>
      <w:jc w:val="both"/>
    </w:pPr>
    <w:rPr>
      <w:rFonts w:ascii="Expert Sans Regular" w:hAnsi="Expert Sans Regular"/>
      <w:sz w:val="18"/>
      <w:lang w:eastAsia="en-US"/>
    </w:rPr>
  </w:style>
  <w:style w:type="character" w:customStyle="1" w:styleId="BodyText-BarcRAChar32">
    <w:name w:val="Body Text - Barc RA Char_32"/>
    <w:basedOn w:val="DefaultParagraphFont"/>
    <w:link w:val="BodyText-BarcRA50"/>
    <w:rsid w:val="005D52ED"/>
    <w:rPr>
      <w:rFonts w:ascii="Expert Sans Regular" w:hAnsi="Expert Sans Regular"/>
      <w:sz w:val="18"/>
      <w:lang w:val="en-GB" w:eastAsia="en-US" w:bidi="ar-SA"/>
    </w:rPr>
  </w:style>
  <w:style w:type="character" w:customStyle="1" w:styleId="HeadingLevel1-BarcRAChar26">
    <w:name w:val="Heading Level 1 - Barc RA Char_26"/>
    <w:basedOn w:val="DefaultParagraphFont"/>
    <w:link w:val="HeadingLevel1-BarcRA36"/>
    <w:rsid w:val="009705AC"/>
    <w:rPr>
      <w:rFonts w:ascii="Expert Sans Regular" w:hAnsi="Expert Sans Regular"/>
      <w:b/>
      <w:bCs/>
      <w:color w:val="000000"/>
      <w:sz w:val="24"/>
      <w:lang w:val="la-Latn"/>
    </w:rPr>
  </w:style>
  <w:style w:type="paragraph" w:customStyle="1" w:styleId="HeadingLevel2-BarcRA10">
    <w:name w:val="Heading Level 2 - Barc RA_10"/>
    <w:basedOn w:val="HeadingLevel1-BarcRA36"/>
    <w:next w:val="BodyText-BarcRA50"/>
    <w:qFormat/>
    <w:rsid w:val="00EE71E7"/>
    <w:pPr>
      <w:spacing w:before="240" w:after="0"/>
    </w:pPr>
    <w:rPr>
      <w:sz w:val="20"/>
    </w:rPr>
  </w:style>
  <w:style w:type="paragraph" w:customStyle="1" w:styleId="NoteandSourceText-BarcRA40">
    <w:name w:val="Note and Source Text - Barc RA_4_0"/>
    <w:basedOn w:val="Normal62"/>
    <w:qFormat/>
    <w:rsid w:val="00A31B74"/>
    <w:pPr>
      <w:numPr>
        <w:numId w:val="118"/>
      </w:numPr>
      <w:tabs>
        <w:tab w:val="left" w:pos="284"/>
      </w:tabs>
      <w:spacing w:before="20" w:after="20"/>
      <w:jc w:val="both"/>
    </w:pPr>
    <w:rPr>
      <w:i/>
      <w:iCs/>
      <w:sz w:val="14"/>
      <w:szCs w:val="14"/>
    </w:rPr>
  </w:style>
  <w:style w:type="paragraph" w:customStyle="1" w:styleId="Normal62">
    <w:name w:val="Normal_62"/>
    <w:qFormat/>
    <w:rsid w:val="009705AC"/>
    <w:rPr>
      <w:rFonts w:ascii="Expert Sans Regular" w:hAnsi="Expert Sans Regular"/>
      <w:sz w:val="18"/>
      <w:szCs w:val="24"/>
      <w:lang w:eastAsia="en-US"/>
    </w:rPr>
  </w:style>
  <w:style w:type="paragraph" w:customStyle="1" w:styleId="NoteandSourceText-BarcRA8">
    <w:name w:val="Note and Source Text - Barc RA_8"/>
    <w:basedOn w:val="Normal62"/>
    <w:qFormat/>
    <w:rsid w:val="00FD1A91"/>
    <w:pPr>
      <w:numPr>
        <w:numId w:val="119"/>
      </w:numPr>
      <w:tabs>
        <w:tab w:val="left" w:pos="284"/>
      </w:tabs>
      <w:spacing w:before="20" w:after="20"/>
      <w:jc w:val="both"/>
    </w:pPr>
    <w:rPr>
      <w:i/>
      <w:iCs/>
      <w:sz w:val="14"/>
      <w:szCs w:val="14"/>
    </w:rPr>
  </w:style>
  <w:style w:type="paragraph" w:customStyle="1" w:styleId="BodyText-BarcRA330">
    <w:name w:val="Body Text - Barc RA_33_0"/>
    <w:link w:val="BodyText-BarcRAChar200"/>
    <w:qFormat/>
    <w:rsid w:val="008325BD"/>
    <w:pPr>
      <w:spacing w:before="180" w:after="180"/>
      <w:jc w:val="both"/>
    </w:pPr>
    <w:rPr>
      <w:rFonts w:ascii="Expert Sans Regular" w:hAnsi="Expert Sans Regular"/>
      <w:sz w:val="18"/>
    </w:rPr>
  </w:style>
  <w:style w:type="character" w:customStyle="1" w:styleId="BodyText-BarcRAChar200">
    <w:name w:val="Body Text - Barc RA Char_20_0"/>
    <w:basedOn w:val="DefaultParagraphFont"/>
    <w:link w:val="BodyText-BarcRA330"/>
    <w:locked/>
    <w:rsid w:val="008325BD"/>
    <w:rPr>
      <w:rFonts w:ascii="Expert Sans Regular" w:hAnsi="Expert Sans Regular"/>
      <w:sz w:val="18"/>
      <w:lang w:val="en-GB" w:eastAsia="en-GB" w:bidi="ar-SA"/>
    </w:rPr>
  </w:style>
  <w:style w:type="paragraph" w:customStyle="1" w:styleId="Level1Bullet-BarcRA19">
    <w:name w:val="Level 1 Bullet - Barc RA_19"/>
    <w:basedOn w:val="Normal63"/>
    <w:link w:val="Level1Bullet-BarcRAChar14"/>
    <w:qFormat/>
    <w:rsid w:val="00A763EA"/>
    <w:pPr>
      <w:spacing w:before="180" w:after="180"/>
      <w:jc w:val="both"/>
    </w:pPr>
    <w:rPr>
      <w:sz w:val="20"/>
      <w:szCs w:val="20"/>
      <w:lang w:val="la-Latn"/>
    </w:rPr>
  </w:style>
  <w:style w:type="paragraph" w:customStyle="1" w:styleId="Normal63">
    <w:name w:val="Normal_63"/>
    <w:qFormat/>
    <w:rsid w:val="009705AC"/>
    <w:rPr>
      <w:rFonts w:ascii="Expert Sans Regular" w:hAnsi="Expert Sans Regular"/>
      <w:sz w:val="18"/>
      <w:szCs w:val="24"/>
      <w:lang w:eastAsia="en-US"/>
    </w:rPr>
  </w:style>
  <w:style w:type="character" w:customStyle="1" w:styleId="Level1Bullet-BarcRAChar14">
    <w:name w:val="Level 1 Bullet - Barc RA Char_14"/>
    <w:basedOn w:val="DefaultParagraphFont"/>
    <w:link w:val="Level1Bullet-BarcRA19"/>
    <w:locked/>
    <w:rsid w:val="00A763EA"/>
    <w:rPr>
      <w:rFonts w:ascii="Expert Sans Regular" w:hAnsi="Expert Sans Regular"/>
      <w:lang w:val="la-Latn"/>
    </w:rPr>
  </w:style>
  <w:style w:type="paragraph" w:customStyle="1" w:styleId="BodyText-BarcRA51">
    <w:name w:val="Body Text - Barc RA_51"/>
    <w:link w:val="BodyText-BarcRAChar33"/>
    <w:qFormat/>
    <w:rsid w:val="005D52ED"/>
    <w:pPr>
      <w:spacing w:before="180" w:after="180"/>
      <w:jc w:val="both"/>
    </w:pPr>
    <w:rPr>
      <w:rFonts w:ascii="Expert Sans Regular" w:hAnsi="Expert Sans Regular"/>
      <w:sz w:val="18"/>
      <w:lang w:eastAsia="en-US"/>
    </w:rPr>
  </w:style>
  <w:style w:type="character" w:customStyle="1" w:styleId="BodyText-BarcRAChar33">
    <w:name w:val="Body Text - Barc RA Char_33"/>
    <w:basedOn w:val="DefaultParagraphFont"/>
    <w:link w:val="BodyText-BarcRA51"/>
    <w:rsid w:val="005D52ED"/>
    <w:rPr>
      <w:rFonts w:ascii="Expert Sans Regular" w:hAnsi="Expert Sans Regular"/>
      <w:sz w:val="18"/>
      <w:lang w:val="en-GB" w:eastAsia="en-US" w:bidi="ar-SA"/>
    </w:rPr>
  </w:style>
  <w:style w:type="paragraph" w:customStyle="1" w:styleId="BodyText-BarcRA331">
    <w:name w:val="Body Text - Barc RA_33_1"/>
    <w:qFormat/>
    <w:rsid w:val="00AE7423"/>
    <w:pPr>
      <w:spacing w:before="180" w:after="180"/>
      <w:jc w:val="both"/>
    </w:pPr>
    <w:rPr>
      <w:rFonts w:ascii="Expert Sans Regular" w:hAnsi="Expert Sans Regular"/>
      <w:sz w:val="18"/>
      <w:lang w:eastAsia="en-US"/>
    </w:rPr>
  </w:style>
  <w:style w:type="paragraph" w:customStyle="1" w:styleId="HeadingLevel2-BarcRA11">
    <w:name w:val="Heading Level 2 - Barc RA_11"/>
    <w:basedOn w:val="HeadingLevel1-BarcRA37"/>
    <w:next w:val="BodyText-BarcRA51"/>
    <w:rsid w:val="00EE71E7"/>
    <w:pPr>
      <w:spacing w:before="240" w:after="0"/>
    </w:pPr>
    <w:rPr>
      <w:sz w:val="20"/>
    </w:rPr>
  </w:style>
  <w:style w:type="paragraph" w:customStyle="1" w:styleId="HeadingLevel1-BarcRA37">
    <w:name w:val="Heading Level 1 - Barc RA_37"/>
    <w:basedOn w:val="BodyText-BarcRA51"/>
    <w:next w:val="BodyText-BarcRA51"/>
    <w:link w:val="HeadingLevel1-BarcRAChar27"/>
    <w:rsid w:val="002611B5"/>
    <w:pPr>
      <w:spacing w:before="0"/>
    </w:pPr>
    <w:rPr>
      <w:b/>
      <w:bCs/>
      <w:color w:val="000000"/>
      <w:sz w:val="24"/>
      <w:lang w:val="la-Latn"/>
    </w:rPr>
  </w:style>
  <w:style w:type="character" w:customStyle="1" w:styleId="HeadingLevel1-BarcRAChar27">
    <w:name w:val="Heading Level 1 - Barc RA Char_27"/>
    <w:basedOn w:val="DefaultParagraphFont"/>
    <w:link w:val="HeadingLevel1-BarcRA37"/>
    <w:rsid w:val="009705AC"/>
    <w:rPr>
      <w:rFonts w:ascii="Expert Sans Regular" w:hAnsi="Expert Sans Regular"/>
      <w:b/>
      <w:bCs/>
      <w:color w:val="000000"/>
      <w:sz w:val="24"/>
      <w:lang w:val="la-Latn"/>
    </w:rPr>
  </w:style>
  <w:style w:type="paragraph" w:customStyle="1" w:styleId="Normal64">
    <w:name w:val="Normal_64"/>
    <w:qFormat/>
    <w:rsid w:val="009705AC"/>
    <w:rPr>
      <w:rFonts w:ascii="Expert Sans Regular" w:hAnsi="Expert Sans Regular"/>
      <w:sz w:val="18"/>
      <w:szCs w:val="24"/>
      <w:lang w:eastAsia="en-US"/>
    </w:rPr>
  </w:style>
  <w:style w:type="paragraph" w:customStyle="1" w:styleId="NoteSourceText-BarcRA1">
    <w:name w:val="Note &amp; Source Text - Barc RA_1"/>
    <w:basedOn w:val="Normal64"/>
    <w:link w:val="NoteSourceText-BarcRAChar1"/>
    <w:rsid w:val="004E69A5"/>
    <w:pPr>
      <w:tabs>
        <w:tab w:val="left" w:pos="284"/>
      </w:tabs>
      <w:spacing w:before="20" w:after="20"/>
      <w:ind w:left="284" w:hanging="284"/>
      <w:jc w:val="both"/>
    </w:pPr>
    <w:rPr>
      <w:i/>
      <w:iCs/>
      <w:sz w:val="14"/>
      <w:szCs w:val="14"/>
    </w:rPr>
  </w:style>
  <w:style w:type="character" w:customStyle="1" w:styleId="NoteSourceText-BarcRAChar1">
    <w:name w:val="Note &amp; Source Text - Barc RA Char_1"/>
    <w:basedOn w:val="DefaultParagraphFont"/>
    <w:link w:val="NoteSourceText-BarcRA1"/>
    <w:locked/>
    <w:rsid w:val="004E69A5"/>
    <w:rPr>
      <w:rFonts w:ascii="Expert Sans Regular" w:hAnsi="Expert Sans Regular"/>
      <w:i/>
      <w:iCs/>
      <w:sz w:val="14"/>
      <w:szCs w:val="14"/>
      <w:lang w:eastAsia="en-US"/>
    </w:rPr>
  </w:style>
  <w:style w:type="paragraph" w:customStyle="1" w:styleId="Level1Bullet-BarcRA16">
    <w:name w:val="Level 1 Bullet - Barc RA_16"/>
    <w:basedOn w:val="BodyText-BarcRA52"/>
    <w:link w:val="Level1Bullet-BarcRAChar110"/>
    <w:qFormat/>
    <w:rsid w:val="00A85CEE"/>
    <w:pPr>
      <w:numPr>
        <w:numId w:val="146"/>
      </w:numPr>
    </w:pPr>
    <w:rPr>
      <w:lang w:val="la-Latn"/>
    </w:rPr>
  </w:style>
  <w:style w:type="paragraph" w:customStyle="1" w:styleId="BodyText-BarcRA52">
    <w:name w:val="Body Text - Barc RA_52"/>
    <w:link w:val="BodyText-BarcRAChar34"/>
    <w:qFormat/>
    <w:rsid w:val="005D52ED"/>
    <w:pPr>
      <w:spacing w:before="180" w:after="180"/>
      <w:jc w:val="both"/>
    </w:pPr>
    <w:rPr>
      <w:rFonts w:ascii="Expert Sans Regular" w:hAnsi="Expert Sans Regular"/>
      <w:sz w:val="18"/>
      <w:lang w:eastAsia="en-US"/>
    </w:rPr>
  </w:style>
  <w:style w:type="character" w:customStyle="1" w:styleId="BodyText-BarcRAChar34">
    <w:name w:val="Body Text - Barc RA Char_34"/>
    <w:basedOn w:val="DefaultParagraphFont"/>
    <w:link w:val="BodyText-BarcRA52"/>
    <w:rsid w:val="005D52ED"/>
    <w:rPr>
      <w:rFonts w:ascii="Expert Sans Regular" w:hAnsi="Expert Sans Regular"/>
      <w:sz w:val="18"/>
      <w:lang w:val="en-GB" w:eastAsia="en-US" w:bidi="ar-SA"/>
    </w:rPr>
  </w:style>
  <w:style w:type="character" w:customStyle="1" w:styleId="Level1Bullet-BarcRAChar110">
    <w:name w:val="Level 1 Bullet - Barc RA Char_11"/>
    <w:basedOn w:val="BodyText-BarcRAChar34"/>
    <w:link w:val="Level1Bullet-BarcRA16"/>
    <w:rsid w:val="00A85CEE"/>
    <w:rPr>
      <w:rFonts w:ascii="Expert Sans Regular" w:hAnsi="Expert Sans Regular"/>
      <w:sz w:val="18"/>
      <w:lang w:val="la-Latn" w:eastAsia="en-US" w:bidi="ar-SA"/>
    </w:rPr>
  </w:style>
  <w:style w:type="paragraph" w:customStyle="1" w:styleId="Level1Bullet-BarcRA23">
    <w:name w:val="Level 1 Bullet - Barc RA_23"/>
    <w:basedOn w:val="Normal65"/>
    <w:link w:val="Level1Bullet-BarcRAChar15"/>
    <w:qFormat/>
    <w:rsid w:val="00EC3455"/>
    <w:pPr>
      <w:numPr>
        <w:numId w:val="121"/>
      </w:numPr>
      <w:spacing w:before="180" w:after="180"/>
      <w:jc w:val="both"/>
    </w:pPr>
    <w:rPr>
      <w:szCs w:val="20"/>
      <w:lang w:val="la-Latn"/>
    </w:rPr>
  </w:style>
  <w:style w:type="paragraph" w:customStyle="1" w:styleId="Normal65">
    <w:name w:val="Normal_65"/>
    <w:qFormat/>
    <w:rsid w:val="009705AC"/>
    <w:rPr>
      <w:rFonts w:ascii="Expert Sans Regular" w:hAnsi="Expert Sans Regular"/>
      <w:sz w:val="18"/>
      <w:szCs w:val="24"/>
      <w:lang w:eastAsia="en-US"/>
    </w:rPr>
  </w:style>
  <w:style w:type="character" w:customStyle="1" w:styleId="Level1Bullet-BarcRAChar15">
    <w:name w:val="Level 1 Bullet - Barc RA Char_15"/>
    <w:basedOn w:val="DefaultParagraphFont"/>
    <w:link w:val="Level1Bullet-BarcRA23"/>
    <w:rsid w:val="00EC3455"/>
    <w:rPr>
      <w:rFonts w:ascii="Expert Sans Regular" w:hAnsi="Expert Sans Regular"/>
      <w:sz w:val="18"/>
      <w:lang w:val="la-Latn" w:eastAsia="en-US"/>
    </w:rPr>
  </w:style>
  <w:style w:type="paragraph" w:customStyle="1" w:styleId="NoteandSourceText-BarcRA9">
    <w:name w:val="Note and Source Text - Barc RA_9"/>
    <w:basedOn w:val="Normal65"/>
    <w:qFormat/>
    <w:rsid w:val="000B4F09"/>
    <w:pPr>
      <w:numPr>
        <w:numId w:val="122"/>
      </w:numPr>
      <w:tabs>
        <w:tab w:val="left" w:pos="284"/>
      </w:tabs>
      <w:spacing w:before="20" w:after="20"/>
      <w:jc w:val="both"/>
    </w:pPr>
    <w:rPr>
      <w:i/>
      <w:iCs/>
      <w:sz w:val="14"/>
      <w:szCs w:val="14"/>
    </w:rPr>
  </w:style>
  <w:style w:type="paragraph" w:customStyle="1" w:styleId="NoteSourceText-BarcRA6">
    <w:name w:val="Note &amp; Source Text - Barc RA_6"/>
    <w:basedOn w:val="Normal66"/>
    <w:link w:val="NoteSourceText-BarcRAChar5"/>
    <w:rsid w:val="0091626A"/>
    <w:pPr>
      <w:tabs>
        <w:tab w:val="left" w:pos="284"/>
      </w:tabs>
      <w:spacing w:before="20" w:after="20"/>
      <w:ind w:left="284" w:hanging="284"/>
      <w:jc w:val="both"/>
    </w:pPr>
    <w:rPr>
      <w:i/>
      <w:iCs/>
      <w:sz w:val="14"/>
      <w:szCs w:val="14"/>
    </w:rPr>
  </w:style>
  <w:style w:type="paragraph" w:customStyle="1" w:styleId="Normal66">
    <w:name w:val="Normal_66"/>
    <w:qFormat/>
    <w:rsid w:val="00FB54D3"/>
    <w:rPr>
      <w:sz w:val="24"/>
      <w:szCs w:val="24"/>
    </w:rPr>
  </w:style>
  <w:style w:type="character" w:customStyle="1" w:styleId="NoteSourceText-BarcRAChar5">
    <w:name w:val="Note &amp; Source Text - Barc RA Char_5"/>
    <w:basedOn w:val="DefaultParagraphFont"/>
    <w:link w:val="NoteSourceText-BarcRA6"/>
    <w:rsid w:val="0091626A"/>
    <w:rPr>
      <w:rFonts w:ascii="Expert Sans Regular" w:hAnsi="Expert Sans Regular"/>
      <w:i/>
      <w:iCs/>
      <w:sz w:val="14"/>
      <w:szCs w:val="14"/>
      <w:lang w:eastAsia="en-US"/>
    </w:rPr>
  </w:style>
  <w:style w:type="paragraph" w:customStyle="1" w:styleId="Level1Bullet-BarcRA190">
    <w:name w:val="Level 1 Bullet - Barc RA_19_0"/>
    <w:basedOn w:val="Normal66"/>
    <w:link w:val="Level1Bullet-BarcRAChar140"/>
    <w:rsid w:val="00D05008"/>
    <w:pPr>
      <w:numPr>
        <w:numId w:val="123"/>
      </w:numPr>
      <w:spacing w:before="180" w:after="180"/>
      <w:jc w:val="both"/>
    </w:pPr>
    <w:rPr>
      <w:rFonts w:ascii="Expert Sans Regular" w:hAnsi="Expert Sans Regular"/>
      <w:sz w:val="20"/>
      <w:szCs w:val="20"/>
    </w:rPr>
  </w:style>
  <w:style w:type="character" w:customStyle="1" w:styleId="Level1Bullet-BarcRAChar140">
    <w:name w:val="Level 1 Bullet - Barc RA Char_14_0"/>
    <w:basedOn w:val="DefaultParagraphFont"/>
    <w:link w:val="Level1Bullet-BarcRA190"/>
    <w:locked/>
    <w:rsid w:val="00D05008"/>
    <w:rPr>
      <w:rFonts w:ascii="Expert Sans Regular" w:hAnsi="Expert Sans Regular"/>
    </w:rPr>
  </w:style>
  <w:style w:type="paragraph" w:customStyle="1" w:styleId="Level1Bullet-BarcRA191">
    <w:name w:val="Level 1 Bullet - Barc RA_19_1"/>
    <w:basedOn w:val="Normal67"/>
    <w:link w:val="Level1Bullet-BarcRAChar141"/>
    <w:qFormat/>
    <w:rsid w:val="000F4390"/>
    <w:pPr>
      <w:numPr>
        <w:numId w:val="124"/>
      </w:numPr>
      <w:spacing w:before="180" w:after="180"/>
      <w:jc w:val="both"/>
    </w:pPr>
    <w:rPr>
      <w:szCs w:val="20"/>
      <w:lang w:val="la-Latn"/>
    </w:rPr>
  </w:style>
  <w:style w:type="paragraph" w:customStyle="1" w:styleId="Normal67">
    <w:name w:val="Normal_67"/>
    <w:qFormat/>
    <w:rsid w:val="009705AC"/>
    <w:rPr>
      <w:rFonts w:ascii="Expert Sans Regular" w:hAnsi="Expert Sans Regular"/>
      <w:sz w:val="18"/>
      <w:szCs w:val="24"/>
      <w:lang w:eastAsia="en-US"/>
    </w:rPr>
  </w:style>
  <w:style w:type="character" w:customStyle="1" w:styleId="Level1Bullet-BarcRAChar141">
    <w:name w:val="Level 1 Bullet - Barc RA Char_14_1"/>
    <w:basedOn w:val="DefaultParagraphFont"/>
    <w:link w:val="Level1Bullet-BarcRA191"/>
    <w:locked/>
    <w:rsid w:val="000F4390"/>
    <w:rPr>
      <w:rFonts w:ascii="Expert Sans Regular" w:hAnsi="Expert Sans Regular"/>
      <w:sz w:val="18"/>
      <w:lang w:val="la-Latn" w:eastAsia="en-US"/>
    </w:rPr>
  </w:style>
  <w:style w:type="paragraph" w:customStyle="1" w:styleId="Level2Bullet-BarcRA2">
    <w:name w:val="Level 2 Bullet - Barc RA_2"/>
    <w:basedOn w:val="Level1Bullet-BarcRA17"/>
    <w:qFormat/>
    <w:rsid w:val="00A85CEE"/>
    <w:pPr>
      <w:numPr>
        <w:ilvl w:val="2"/>
        <w:numId w:val="125"/>
      </w:numPr>
    </w:pPr>
  </w:style>
  <w:style w:type="paragraph" w:customStyle="1" w:styleId="Level1Bullet-BarcRA17">
    <w:name w:val="Level 1 Bullet - Barc RA_17"/>
    <w:basedOn w:val="BodyText-BarcRA53"/>
    <w:link w:val="Level1Bullet-BarcRAChar12"/>
    <w:qFormat/>
    <w:rsid w:val="00A85CEE"/>
    <w:pPr>
      <w:numPr>
        <w:numId w:val="126"/>
      </w:numPr>
    </w:pPr>
    <w:rPr>
      <w:lang w:val="la-Latn"/>
    </w:rPr>
  </w:style>
  <w:style w:type="paragraph" w:customStyle="1" w:styleId="BodyText-BarcRA53">
    <w:name w:val="Body Text - Barc RA_53"/>
    <w:link w:val="BodyText-BarcRAChar35"/>
    <w:qFormat/>
    <w:rsid w:val="005D52ED"/>
    <w:pPr>
      <w:spacing w:before="180" w:after="180"/>
      <w:jc w:val="both"/>
    </w:pPr>
    <w:rPr>
      <w:rFonts w:ascii="Expert Sans Regular" w:hAnsi="Expert Sans Regular"/>
      <w:sz w:val="18"/>
      <w:lang w:eastAsia="en-US"/>
    </w:rPr>
  </w:style>
  <w:style w:type="character" w:customStyle="1" w:styleId="BodyText-BarcRAChar35">
    <w:name w:val="Body Text - Barc RA Char_35"/>
    <w:basedOn w:val="DefaultParagraphFont"/>
    <w:link w:val="BodyText-BarcRA53"/>
    <w:rsid w:val="005D52ED"/>
    <w:rPr>
      <w:rFonts w:ascii="Expert Sans Regular" w:hAnsi="Expert Sans Regular"/>
      <w:sz w:val="18"/>
      <w:lang w:val="en-GB" w:eastAsia="en-US" w:bidi="ar-SA"/>
    </w:rPr>
  </w:style>
  <w:style w:type="character" w:customStyle="1" w:styleId="Level1Bullet-BarcRAChar12">
    <w:name w:val="Level 1 Bullet - Barc RA Char_12"/>
    <w:basedOn w:val="BodyText-BarcRAChar35"/>
    <w:link w:val="Level1Bullet-BarcRA17"/>
    <w:rsid w:val="00A85CEE"/>
    <w:rPr>
      <w:rFonts w:ascii="Expert Sans Regular" w:hAnsi="Expert Sans Regular"/>
      <w:sz w:val="18"/>
      <w:lang w:val="la-Latn" w:eastAsia="en-US" w:bidi="ar-SA"/>
    </w:rPr>
  </w:style>
  <w:style w:type="paragraph" w:customStyle="1" w:styleId="Level2Bullet-BarcRA5">
    <w:name w:val="Level 2 Bullet - Barc RA_5"/>
    <w:basedOn w:val="Normal67"/>
    <w:qFormat/>
    <w:rsid w:val="004A517B"/>
    <w:pPr>
      <w:numPr>
        <w:ilvl w:val="2"/>
        <w:numId w:val="127"/>
      </w:numPr>
      <w:spacing w:before="180" w:after="180"/>
      <w:jc w:val="both"/>
    </w:pPr>
    <w:rPr>
      <w:szCs w:val="20"/>
      <w:lang w:val="la-Latn"/>
    </w:rPr>
  </w:style>
  <w:style w:type="paragraph" w:customStyle="1" w:styleId="Normal6000">
    <w:name w:val="Normal_60_0"/>
    <w:qFormat/>
    <w:rsid w:val="004A517B"/>
    <w:rPr>
      <w:rFonts w:ascii="Expert Sans Regular" w:hAnsi="Expert Sans Regular"/>
      <w:sz w:val="18"/>
      <w:szCs w:val="24"/>
      <w:lang w:eastAsia="en-US"/>
    </w:rPr>
  </w:style>
  <w:style w:type="paragraph" w:customStyle="1" w:styleId="BodyText-BarcRA370">
    <w:name w:val="Body Text - Barc RA_37_0"/>
    <w:link w:val="BodyText-BarcRAChar250"/>
    <w:qFormat/>
    <w:rsid w:val="00433081"/>
    <w:pPr>
      <w:spacing w:before="180" w:after="180"/>
      <w:jc w:val="both"/>
    </w:pPr>
    <w:rPr>
      <w:rFonts w:ascii="Expert Sans Regular" w:hAnsi="Expert Sans Regular"/>
      <w:sz w:val="18"/>
      <w:lang w:eastAsia="en-US"/>
    </w:rPr>
  </w:style>
  <w:style w:type="character" w:customStyle="1" w:styleId="BodyText-BarcRAChar250">
    <w:name w:val="Body Text - Barc RA Char_25_0"/>
    <w:basedOn w:val="DefaultParagraphFont"/>
    <w:link w:val="BodyText-BarcRA370"/>
    <w:rsid w:val="00433081"/>
    <w:rPr>
      <w:rFonts w:ascii="Expert Sans Regular" w:hAnsi="Expert Sans Regular"/>
      <w:sz w:val="18"/>
      <w:lang w:val="en-GB" w:eastAsia="en-US" w:bidi="ar-SA"/>
    </w:rPr>
  </w:style>
  <w:style w:type="paragraph" w:customStyle="1" w:styleId="NoteSourceText-BarcRA3">
    <w:name w:val="Note &amp; Source Text - Barc RA_3"/>
    <w:basedOn w:val="Normal67"/>
    <w:link w:val="NoteSourceText-BarcRAChar3"/>
    <w:rsid w:val="00E75B5D"/>
    <w:pPr>
      <w:tabs>
        <w:tab w:val="left" w:pos="284"/>
      </w:tabs>
      <w:spacing w:before="20" w:after="20"/>
      <w:ind w:left="284" w:hanging="284"/>
      <w:jc w:val="both"/>
    </w:pPr>
    <w:rPr>
      <w:i/>
      <w:iCs/>
      <w:sz w:val="14"/>
      <w:szCs w:val="14"/>
    </w:rPr>
  </w:style>
  <w:style w:type="character" w:customStyle="1" w:styleId="NoteSourceText-BarcRAChar3">
    <w:name w:val="Note &amp; Source Text - Barc RA Char_3"/>
    <w:basedOn w:val="DefaultParagraphFont"/>
    <w:link w:val="NoteSourceText-BarcRA3"/>
    <w:rsid w:val="00E75B5D"/>
    <w:rPr>
      <w:rFonts w:ascii="Expert Sans Regular" w:hAnsi="Expert Sans Regular"/>
      <w:i/>
      <w:iCs/>
      <w:sz w:val="14"/>
      <w:szCs w:val="14"/>
      <w:lang w:eastAsia="en-US"/>
    </w:rPr>
  </w:style>
  <w:style w:type="paragraph" w:customStyle="1" w:styleId="NoteandSourceText-BarcRA10">
    <w:name w:val="Note and Source Text - Barc RA_10"/>
    <w:basedOn w:val="Normal67"/>
    <w:qFormat/>
    <w:rsid w:val="00A02C78"/>
    <w:pPr>
      <w:numPr>
        <w:numId w:val="128"/>
      </w:numPr>
      <w:tabs>
        <w:tab w:val="left" w:pos="284"/>
      </w:tabs>
      <w:spacing w:before="20" w:after="20"/>
      <w:jc w:val="both"/>
    </w:pPr>
    <w:rPr>
      <w:i/>
      <w:iCs/>
      <w:sz w:val="14"/>
      <w:szCs w:val="14"/>
    </w:rPr>
  </w:style>
  <w:style w:type="paragraph" w:customStyle="1" w:styleId="Level1Bullet-BarcRA18">
    <w:name w:val="Level 1 Bullet - Barc RA_18"/>
    <w:basedOn w:val="BodyText-BarcRA54"/>
    <w:link w:val="Level1Bullet-BarcRAChar13"/>
    <w:qFormat/>
    <w:rsid w:val="00A85CEE"/>
    <w:pPr>
      <w:numPr>
        <w:numId w:val="129"/>
      </w:numPr>
    </w:pPr>
    <w:rPr>
      <w:lang w:val="la-Latn"/>
    </w:rPr>
  </w:style>
  <w:style w:type="paragraph" w:customStyle="1" w:styleId="BodyText-BarcRA54">
    <w:name w:val="Body Text - Barc RA_54"/>
    <w:link w:val="BodyText-BarcRAChar36"/>
    <w:qFormat/>
    <w:rsid w:val="005D52ED"/>
    <w:pPr>
      <w:spacing w:before="180" w:after="180"/>
      <w:jc w:val="both"/>
    </w:pPr>
    <w:rPr>
      <w:rFonts w:ascii="Expert Sans Regular" w:hAnsi="Expert Sans Regular"/>
      <w:sz w:val="18"/>
      <w:lang w:eastAsia="en-US"/>
    </w:rPr>
  </w:style>
  <w:style w:type="character" w:customStyle="1" w:styleId="BodyText-BarcRAChar36">
    <w:name w:val="Body Text - Barc RA Char_36"/>
    <w:basedOn w:val="DefaultParagraphFont"/>
    <w:link w:val="BodyText-BarcRA54"/>
    <w:rsid w:val="005D52ED"/>
    <w:rPr>
      <w:rFonts w:ascii="Expert Sans Regular" w:hAnsi="Expert Sans Regular"/>
      <w:sz w:val="18"/>
      <w:lang w:val="en-GB" w:eastAsia="en-US" w:bidi="ar-SA"/>
    </w:rPr>
  </w:style>
  <w:style w:type="character" w:customStyle="1" w:styleId="Level1Bullet-BarcRAChar13">
    <w:name w:val="Level 1 Bullet - Barc RA Char_13"/>
    <w:basedOn w:val="BodyText-BarcRAChar36"/>
    <w:link w:val="Level1Bullet-BarcRA18"/>
    <w:rsid w:val="00A85CEE"/>
    <w:rPr>
      <w:rFonts w:ascii="Expert Sans Regular" w:hAnsi="Expert Sans Regular"/>
      <w:sz w:val="18"/>
      <w:lang w:val="la-Latn" w:eastAsia="en-US" w:bidi="ar-SA"/>
    </w:rPr>
  </w:style>
  <w:style w:type="paragraph" w:customStyle="1" w:styleId="Level1Bullet-BarcRA110">
    <w:name w:val="Level 1 Bullet - Barc RA_1_1"/>
    <w:basedOn w:val="Normal68"/>
    <w:link w:val="Level1Bullet-BarcRAChar120"/>
    <w:qFormat/>
    <w:rsid w:val="00564A0F"/>
    <w:pPr>
      <w:numPr>
        <w:numId w:val="130"/>
      </w:numPr>
      <w:spacing w:before="180" w:after="180"/>
      <w:jc w:val="both"/>
    </w:pPr>
    <w:rPr>
      <w:szCs w:val="20"/>
      <w:lang w:val="la-Latn"/>
    </w:rPr>
  </w:style>
  <w:style w:type="paragraph" w:customStyle="1" w:styleId="Normal68">
    <w:name w:val="Normal_68"/>
    <w:qFormat/>
    <w:rsid w:val="009705AC"/>
    <w:rPr>
      <w:rFonts w:ascii="Expert Sans Regular" w:hAnsi="Expert Sans Regular"/>
      <w:sz w:val="18"/>
      <w:szCs w:val="24"/>
      <w:lang w:eastAsia="en-US"/>
    </w:rPr>
  </w:style>
  <w:style w:type="character" w:customStyle="1" w:styleId="Level1Bullet-BarcRAChar120">
    <w:name w:val="Level 1 Bullet - Barc RA Char_1_2"/>
    <w:basedOn w:val="DefaultParagraphFont"/>
    <w:link w:val="Level1Bullet-BarcRA110"/>
    <w:locked/>
    <w:rsid w:val="00564A0F"/>
    <w:rPr>
      <w:rFonts w:ascii="Expert Sans Regular" w:hAnsi="Expert Sans Regular"/>
      <w:sz w:val="18"/>
      <w:lang w:val="la-Latn" w:eastAsia="en-US"/>
    </w:rPr>
  </w:style>
  <w:style w:type="paragraph" w:customStyle="1" w:styleId="NoteandSourceText-BarcRA11">
    <w:name w:val="Note and Source Text - Barc RA_11"/>
    <w:basedOn w:val="Normal68"/>
    <w:qFormat/>
    <w:rsid w:val="003C1F05"/>
    <w:pPr>
      <w:numPr>
        <w:numId w:val="131"/>
      </w:numPr>
      <w:tabs>
        <w:tab w:val="left" w:pos="284"/>
      </w:tabs>
      <w:spacing w:before="20" w:after="20"/>
      <w:jc w:val="both"/>
    </w:pPr>
    <w:rPr>
      <w:i/>
      <w:iCs/>
      <w:sz w:val="14"/>
      <w:szCs w:val="14"/>
    </w:rPr>
  </w:style>
  <w:style w:type="paragraph" w:customStyle="1" w:styleId="Level1Bullet-BarcRA201">
    <w:name w:val="Level 1 Bullet - Barc RA_20"/>
    <w:basedOn w:val="BodyText-BarcRA55"/>
    <w:link w:val="Level1Bullet-BarcRAChar16"/>
    <w:qFormat/>
    <w:rsid w:val="00A85CEE"/>
    <w:pPr>
      <w:numPr>
        <w:numId w:val="132"/>
      </w:numPr>
    </w:pPr>
    <w:rPr>
      <w:lang w:val="la-Latn"/>
    </w:rPr>
  </w:style>
  <w:style w:type="paragraph" w:customStyle="1" w:styleId="BodyText-BarcRA55">
    <w:name w:val="Body Text - Barc RA_55"/>
    <w:link w:val="BodyText-BarcRAChar37"/>
    <w:qFormat/>
    <w:rsid w:val="005D52ED"/>
    <w:pPr>
      <w:spacing w:before="180" w:after="180"/>
      <w:jc w:val="both"/>
    </w:pPr>
    <w:rPr>
      <w:rFonts w:ascii="Expert Sans Regular" w:hAnsi="Expert Sans Regular"/>
      <w:sz w:val="18"/>
      <w:lang w:eastAsia="en-US"/>
    </w:rPr>
  </w:style>
  <w:style w:type="character" w:customStyle="1" w:styleId="BodyText-BarcRAChar37">
    <w:name w:val="Body Text - Barc RA Char_37"/>
    <w:basedOn w:val="DefaultParagraphFont"/>
    <w:link w:val="BodyText-BarcRA55"/>
    <w:rsid w:val="005D52ED"/>
    <w:rPr>
      <w:rFonts w:ascii="Expert Sans Regular" w:hAnsi="Expert Sans Regular"/>
      <w:sz w:val="18"/>
      <w:lang w:val="en-GB" w:eastAsia="en-US" w:bidi="ar-SA"/>
    </w:rPr>
  </w:style>
  <w:style w:type="character" w:customStyle="1" w:styleId="Level1Bullet-BarcRAChar16">
    <w:name w:val="Level 1 Bullet - Barc RA Char_16"/>
    <w:basedOn w:val="BodyText-BarcRAChar37"/>
    <w:link w:val="Level1Bullet-BarcRA201"/>
    <w:rsid w:val="00A85CEE"/>
    <w:rPr>
      <w:rFonts w:ascii="Expert Sans Regular" w:hAnsi="Expert Sans Regular"/>
      <w:sz w:val="18"/>
      <w:lang w:val="la-Latn" w:eastAsia="en-US" w:bidi="ar-SA"/>
    </w:rPr>
  </w:style>
  <w:style w:type="paragraph" w:customStyle="1" w:styleId="Level2Bullet-BarcRA6">
    <w:name w:val="Level 2 Bullet - Barc RA_6"/>
    <w:basedOn w:val="Level1Bullet-BarcRA201"/>
    <w:qFormat/>
    <w:rsid w:val="00A85CEE"/>
    <w:pPr>
      <w:numPr>
        <w:ilvl w:val="2"/>
        <w:numId w:val="134"/>
      </w:numPr>
    </w:pPr>
  </w:style>
  <w:style w:type="paragraph" w:customStyle="1" w:styleId="Level2Bullet-BarcRA60">
    <w:name w:val="Level 2 Bullet - Barc RA_6_0"/>
    <w:basedOn w:val="Normal69"/>
    <w:qFormat/>
    <w:rsid w:val="00630B29"/>
    <w:pPr>
      <w:numPr>
        <w:ilvl w:val="2"/>
        <w:numId w:val="136"/>
      </w:numPr>
      <w:tabs>
        <w:tab w:val="clear" w:pos="1401"/>
        <w:tab w:val="num" w:pos="567"/>
      </w:tabs>
      <w:spacing w:before="180" w:after="180"/>
      <w:ind w:left="567" w:hanging="283"/>
      <w:jc w:val="both"/>
    </w:pPr>
    <w:rPr>
      <w:szCs w:val="20"/>
      <w:lang w:val="la-Latn"/>
    </w:rPr>
  </w:style>
  <w:style w:type="paragraph" w:customStyle="1" w:styleId="Normal69">
    <w:name w:val="Normal_69"/>
    <w:qFormat/>
    <w:rsid w:val="009705AC"/>
    <w:rPr>
      <w:rFonts w:ascii="Expert Sans Regular" w:hAnsi="Expert Sans Regular"/>
      <w:sz w:val="18"/>
      <w:szCs w:val="24"/>
      <w:lang w:eastAsia="en-US"/>
    </w:rPr>
  </w:style>
  <w:style w:type="paragraph" w:customStyle="1" w:styleId="Level2Bullet-BarcRA21">
    <w:name w:val="Level 2 Bullet - Barc RA_2_1"/>
    <w:basedOn w:val="Normal69"/>
    <w:qFormat/>
    <w:rsid w:val="009A3A99"/>
    <w:pPr>
      <w:numPr>
        <w:ilvl w:val="2"/>
        <w:numId w:val="137"/>
      </w:numPr>
      <w:tabs>
        <w:tab w:val="num" w:pos="567"/>
      </w:tabs>
      <w:spacing w:before="180" w:after="180"/>
      <w:ind w:left="567" w:hanging="283"/>
      <w:jc w:val="both"/>
    </w:pPr>
    <w:rPr>
      <w:szCs w:val="20"/>
      <w:lang w:val="la-Latn"/>
    </w:rPr>
  </w:style>
  <w:style w:type="paragraph" w:customStyle="1" w:styleId="HeadingLevel2-BarcRA12">
    <w:name w:val="Heading Level 2 - Barc RA_12"/>
    <w:basedOn w:val="HeadingLevel1-BarcRA38"/>
    <w:next w:val="BodyText-BarcRA55"/>
    <w:rsid w:val="00EE71E7"/>
    <w:pPr>
      <w:spacing w:before="240" w:after="0"/>
    </w:pPr>
    <w:rPr>
      <w:sz w:val="20"/>
    </w:rPr>
  </w:style>
  <w:style w:type="paragraph" w:customStyle="1" w:styleId="HeadingLevel1-BarcRA38">
    <w:name w:val="Heading Level 1 - Barc RA_38"/>
    <w:basedOn w:val="BodyText-BarcRA55"/>
    <w:next w:val="BodyText-BarcRA55"/>
    <w:link w:val="HeadingLevel1-BarcRAChar28"/>
    <w:rsid w:val="002611B5"/>
    <w:pPr>
      <w:spacing w:before="0"/>
    </w:pPr>
    <w:rPr>
      <w:b/>
      <w:bCs/>
      <w:color w:val="000000"/>
      <w:sz w:val="24"/>
      <w:lang w:val="la-Latn"/>
    </w:rPr>
  </w:style>
  <w:style w:type="character" w:customStyle="1" w:styleId="HeadingLevel1-BarcRAChar28">
    <w:name w:val="Heading Level 1 - Barc RA Char_28"/>
    <w:basedOn w:val="DefaultParagraphFont"/>
    <w:link w:val="HeadingLevel1-BarcRA38"/>
    <w:rsid w:val="009705AC"/>
    <w:rPr>
      <w:rFonts w:ascii="Expert Sans Regular" w:hAnsi="Expert Sans Regular"/>
      <w:b/>
      <w:bCs/>
      <w:color w:val="000000"/>
      <w:sz w:val="24"/>
      <w:lang w:val="la-Latn"/>
    </w:rPr>
  </w:style>
  <w:style w:type="paragraph" w:customStyle="1" w:styleId="Level1Bullet-BarcRA120">
    <w:name w:val="Level 1 Bullet - Barc RA_1_2"/>
    <w:basedOn w:val="Normal69"/>
    <w:qFormat/>
    <w:rsid w:val="00D6278D"/>
    <w:pPr>
      <w:numPr>
        <w:numId w:val="138"/>
      </w:numPr>
      <w:spacing w:before="180" w:after="180"/>
      <w:jc w:val="both"/>
    </w:pPr>
    <w:rPr>
      <w:szCs w:val="20"/>
      <w:lang w:val="la-Latn"/>
    </w:rPr>
  </w:style>
  <w:style w:type="paragraph" w:customStyle="1" w:styleId="BodyText-BarcRA3700">
    <w:name w:val="Body Text - Barc RA_37_0_0"/>
    <w:link w:val="BodyText-BarcRAChar260"/>
    <w:rsid w:val="00446962"/>
    <w:pPr>
      <w:spacing w:before="180" w:after="180"/>
      <w:jc w:val="both"/>
    </w:pPr>
    <w:rPr>
      <w:rFonts w:ascii="Expert Sans Regular" w:hAnsi="Expert Sans Regular"/>
      <w:sz w:val="18"/>
      <w:lang w:eastAsia="en-US"/>
    </w:rPr>
  </w:style>
  <w:style w:type="character" w:customStyle="1" w:styleId="BodyText-BarcRAChar260">
    <w:name w:val="Body Text - Barc RA Char_26_0"/>
    <w:basedOn w:val="DefaultParagraphFont"/>
    <w:link w:val="BodyText-BarcRA3700"/>
    <w:locked/>
    <w:rsid w:val="00446962"/>
    <w:rPr>
      <w:rFonts w:ascii="Expert Sans Regular" w:hAnsi="Expert Sans Regular"/>
      <w:sz w:val="18"/>
      <w:lang w:val="en-GB" w:eastAsia="en-US" w:bidi="ar-SA"/>
    </w:rPr>
  </w:style>
  <w:style w:type="paragraph" w:customStyle="1" w:styleId="Level2Bullet-BarcRA61">
    <w:name w:val="Level 2 Bullet - Barc RA_6_1"/>
    <w:basedOn w:val="Normal700"/>
    <w:qFormat/>
    <w:rsid w:val="00F84024"/>
    <w:pPr>
      <w:numPr>
        <w:ilvl w:val="2"/>
        <w:numId w:val="139"/>
      </w:numPr>
      <w:spacing w:before="180" w:after="180"/>
      <w:jc w:val="both"/>
    </w:pPr>
    <w:rPr>
      <w:szCs w:val="20"/>
      <w:lang w:val="la-Latn"/>
    </w:rPr>
  </w:style>
  <w:style w:type="paragraph" w:customStyle="1" w:styleId="Normal700">
    <w:name w:val="Normal_70"/>
    <w:qFormat/>
    <w:rsid w:val="009705AC"/>
    <w:rPr>
      <w:rFonts w:ascii="Expert Sans Regular" w:hAnsi="Expert Sans Regular"/>
      <w:sz w:val="18"/>
      <w:szCs w:val="24"/>
      <w:lang w:eastAsia="en-US"/>
    </w:rPr>
  </w:style>
  <w:style w:type="paragraph" w:customStyle="1" w:styleId="Level2Bullet-BarcRA22">
    <w:name w:val="Level 2 Bullet - Barc RA_2_2"/>
    <w:basedOn w:val="Normal700"/>
    <w:qFormat/>
    <w:rsid w:val="00F84024"/>
    <w:pPr>
      <w:numPr>
        <w:ilvl w:val="2"/>
        <w:numId w:val="141"/>
      </w:numPr>
      <w:tabs>
        <w:tab w:val="num" w:pos="567"/>
      </w:tabs>
      <w:spacing w:before="180" w:after="180"/>
      <w:ind w:left="567" w:hanging="283"/>
      <w:jc w:val="both"/>
    </w:pPr>
    <w:rPr>
      <w:szCs w:val="20"/>
      <w:lang w:val="la-Latn"/>
    </w:rPr>
  </w:style>
  <w:style w:type="paragraph" w:customStyle="1" w:styleId="BodyText-BarcRA37000">
    <w:name w:val="Body Text - Barc RA_37_0_0_0"/>
    <w:rsid w:val="000178CE"/>
    <w:pPr>
      <w:spacing w:before="180" w:after="180"/>
      <w:jc w:val="both"/>
    </w:pPr>
    <w:rPr>
      <w:rFonts w:ascii="Expert Sans Regular" w:hAnsi="Expert Sans Regular"/>
      <w:sz w:val="18"/>
      <w:lang w:eastAsia="en-US"/>
    </w:rPr>
  </w:style>
  <w:style w:type="paragraph" w:customStyle="1" w:styleId="NoteSourceText-BarcRA10">
    <w:name w:val="Note &amp; Source Text - Barc RA_10"/>
    <w:basedOn w:val="Normal700"/>
    <w:link w:val="NoteSourceText-BarcRAChar9"/>
    <w:rsid w:val="00536BCB"/>
    <w:pPr>
      <w:tabs>
        <w:tab w:val="left" w:pos="284"/>
      </w:tabs>
      <w:spacing w:before="20" w:after="20"/>
      <w:ind w:left="284" w:hanging="284"/>
      <w:jc w:val="both"/>
    </w:pPr>
    <w:rPr>
      <w:i/>
      <w:iCs/>
      <w:sz w:val="14"/>
      <w:szCs w:val="14"/>
    </w:rPr>
  </w:style>
  <w:style w:type="character" w:customStyle="1" w:styleId="NoteSourceText-BarcRAChar9">
    <w:name w:val="Note &amp; Source Text - Barc RA Char_9"/>
    <w:basedOn w:val="DefaultParagraphFont"/>
    <w:link w:val="NoteSourceText-BarcRA10"/>
    <w:rsid w:val="00536BCB"/>
    <w:rPr>
      <w:rFonts w:ascii="Expert Sans Regular" w:hAnsi="Expert Sans Regular"/>
      <w:i/>
      <w:iCs/>
      <w:sz w:val="14"/>
      <w:szCs w:val="14"/>
      <w:lang w:eastAsia="en-US"/>
    </w:rPr>
  </w:style>
  <w:style w:type="paragraph" w:customStyle="1" w:styleId="NoteandSourceText-BarcRA12">
    <w:name w:val="Note and Source Text - Barc RA_12"/>
    <w:basedOn w:val="Normal700"/>
    <w:qFormat/>
    <w:rsid w:val="00BA5710"/>
    <w:pPr>
      <w:numPr>
        <w:numId w:val="142"/>
      </w:numPr>
      <w:tabs>
        <w:tab w:val="left" w:pos="284"/>
      </w:tabs>
      <w:spacing w:before="20" w:after="20"/>
      <w:jc w:val="both"/>
    </w:pPr>
    <w:rPr>
      <w:i/>
      <w:iCs/>
      <w:sz w:val="14"/>
      <w:szCs w:val="14"/>
    </w:rPr>
  </w:style>
  <w:style w:type="paragraph" w:customStyle="1" w:styleId="NoteSourceText-BarcRA9">
    <w:name w:val="Note &amp; Source Text - Barc RA_9"/>
    <w:basedOn w:val="Normal700"/>
    <w:link w:val="NoteSourceText-BarcRAChar8"/>
    <w:rsid w:val="00536BCB"/>
    <w:pPr>
      <w:tabs>
        <w:tab w:val="left" w:pos="284"/>
      </w:tabs>
      <w:spacing w:before="20" w:after="20"/>
      <w:ind w:left="284" w:hanging="284"/>
      <w:jc w:val="both"/>
    </w:pPr>
    <w:rPr>
      <w:i/>
      <w:iCs/>
      <w:sz w:val="14"/>
      <w:szCs w:val="14"/>
    </w:rPr>
  </w:style>
  <w:style w:type="character" w:customStyle="1" w:styleId="NoteSourceText-BarcRAChar8">
    <w:name w:val="Note &amp; Source Text - Barc RA Char_8"/>
    <w:basedOn w:val="DefaultParagraphFont"/>
    <w:link w:val="NoteSourceText-BarcRA9"/>
    <w:rsid w:val="00536BCB"/>
    <w:rPr>
      <w:rFonts w:ascii="Expert Sans Regular" w:hAnsi="Expert Sans Regular"/>
      <w:i/>
      <w:iCs/>
      <w:sz w:val="14"/>
      <w:szCs w:val="14"/>
      <w:lang w:eastAsia="en-US"/>
    </w:rPr>
  </w:style>
  <w:style w:type="paragraph" w:customStyle="1" w:styleId="NoteSourceText-BarcRA100">
    <w:name w:val="Note &amp; Source Text - Barc RA_10_0"/>
    <w:basedOn w:val="Normal71"/>
    <w:link w:val="NoteSourceText-BarcRAChar90"/>
    <w:rsid w:val="00536BCB"/>
    <w:pPr>
      <w:tabs>
        <w:tab w:val="left" w:pos="284"/>
      </w:tabs>
      <w:spacing w:before="20" w:after="20"/>
      <w:ind w:left="284" w:hanging="284"/>
      <w:jc w:val="both"/>
    </w:pPr>
    <w:rPr>
      <w:i/>
      <w:iCs/>
      <w:sz w:val="14"/>
      <w:szCs w:val="14"/>
    </w:rPr>
  </w:style>
  <w:style w:type="paragraph" w:customStyle="1" w:styleId="Normal71">
    <w:name w:val="Normal_71"/>
    <w:qFormat/>
    <w:rsid w:val="009705AC"/>
    <w:rPr>
      <w:rFonts w:ascii="Expert Sans Regular" w:hAnsi="Expert Sans Regular"/>
      <w:sz w:val="18"/>
      <w:szCs w:val="24"/>
      <w:lang w:eastAsia="en-US"/>
    </w:rPr>
  </w:style>
  <w:style w:type="character" w:customStyle="1" w:styleId="NoteSourceText-BarcRAChar90">
    <w:name w:val="Note &amp; Source Text - Barc RA Char_9_0"/>
    <w:basedOn w:val="DefaultParagraphFont"/>
    <w:link w:val="NoteSourceText-BarcRA100"/>
    <w:rsid w:val="00536BCB"/>
    <w:rPr>
      <w:rFonts w:ascii="Expert Sans Regular" w:hAnsi="Expert Sans Regular"/>
      <w:i/>
      <w:iCs/>
      <w:sz w:val="14"/>
      <w:szCs w:val="14"/>
      <w:lang w:eastAsia="en-US"/>
    </w:rPr>
  </w:style>
  <w:style w:type="paragraph" w:customStyle="1" w:styleId="NoteandSourceText-BarcRA120">
    <w:name w:val="Note and Source Text - Barc RA_12_0"/>
    <w:basedOn w:val="Normal71"/>
    <w:qFormat/>
    <w:rsid w:val="00786823"/>
    <w:pPr>
      <w:numPr>
        <w:numId w:val="143"/>
      </w:numPr>
      <w:tabs>
        <w:tab w:val="left" w:pos="284"/>
      </w:tabs>
      <w:spacing w:before="20" w:after="20"/>
      <w:jc w:val="both"/>
    </w:pPr>
    <w:rPr>
      <w:i/>
      <w:iCs/>
      <w:sz w:val="14"/>
      <w:szCs w:val="14"/>
    </w:rPr>
  </w:style>
  <w:style w:type="paragraph" w:customStyle="1" w:styleId="NoteSourceText-BarcRA90">
    <w:name w:val="Note &amp; Source Text - Barc RA_9_0"/>
    <w:basedOn w:val="Normal71"/>
    <w:link w:val="NoteSourceText-BarcRAChar80"/>
    <w:rsid w:val="00786823"/>
    <w:pPr>
      <w:tabs>
        <w:tab w:val="left" w:pos="284"/>
      </w:tabs>
      <w:spacing w:before="20" w:after="20"/>
      <w:ind w:left="284" w:hanging="284"/>
      <w:jc w:val="both"/>
    </w:pPr>
    <w:rPr>
      <w:i/>
      <w:iCs/>
      <w:sz w:val="14"/>
      <w:szCs w:val="14"/>
    </w:rPr>
  </w:style>
  <w:style w:type="character" w:customStyle="1" w:styleId="NoteSourceText-BarcRAChar80">
    <w:name w:val="Note &amp; Source Text - Barc RA Char_8_0"/>
    <w:link w:val="NoteSourceText-BarcRA90"/>
    <w:locked/>
    <w:rsid w:val="00786823"/>
    <w:rPr>
      <w:rFonts w:ascii="Expert Sans Regular" w:hAnsi="Expert Sans Regular"/>
      <w:i/>
      <w:iCs/>
      <w:sz w:val="14"/>
      <w:szCs w:val="14"/>
    </w:rPr>
  </w:style>
  <w:style w:type="paragraph" w:customStyle="1" w:styleId="NoteSourceText-BarcRA101">
    <w:name w:val="Note &amp; Source Text - Barc RA_10_1"/>
    <w:basedOn w:val="Normal72"/>
    <w:link w:val="NoteSourceText-BarcRAChar91"/>
    <w:rsid w:val="00536BCB"/>
    <w:pPr>
      <w:tabs>
        <w:tab w:val="left" w:pos="284"/>
      </w:tabs>
      <w:spacing w:before="20" w:after="20"/>
      <w:ind w:left="284" w:hanging="284"/>
      <w:jc w:val="both"/>
    </w:pPr>
    <w:rPr>
      <w:i/>
      <w:iCs/>
      <w:sz w:val="14"/>
      <w:szCs w:val="14"/>
    </w:rPr>
  </w:style>
  <w:style w:type="paragraph" w:customStyle="1" w:styleId="Normal72">
    <w:name w:val="Normal_72"/>
    <w:qFormat/>
    <w:rsid w:val="009705AC"/>
    <w:rPr>
      <w:rFonts w:ascii="Expert Sans Regular" w:hAnsi="Expert Sans Regular"/>
      <w:sz w:val="18"/>
      <w:szCs w:val="24"/>
      <w:lang w:eastAsia="en-US"/>
    </w:rPr>
  </w:style>
  <w:style w:type="character" w:customStyle="1" w:styleId="NoteSourceText-BarcRAChar91">
    <w:name w:val="Note &amp; Source Text - Barc RA Char_9_1"/>
    <w:basedOn w:val="DefaultParagraphFont"/>
    <w:link w:val="NoteSourceText-BarcRA101"/>
    <w:rsid w:val="00536BCB"/>
    <w:rPr>
      <w:rFonts w:ascii="Expert Sans Regular" w:hAnsi="Expert Sans Regular"/>
      <w:i/>
      <w:iCs/>
      <w:sz w:val="14"/>
      <w:szCs w:val="14"/>
      <w:lang w:eastAsia="en-US"/>
    </w:rPr>
  </w:style>
  <w:style w:type="paragraph" w:customStyle="1" w:styleId="NoteandSourceText-BarcRA121">
    <w:name w:val="Note and Source Text - Barc RA_12_1"/>
    <w:basedOn w:val="Normal72"/>
    <w:qFormat/>
    <w:rsid w:val="00786823"/>
    <w:pPr>
      <w:numPr>
        <w:numId w:val="144"/>
      </w:numPr>
      <w:tabs>
        <w:tab w:val="left" w:pos="284"/>
      </w:tabs>
      <w:spacing w:before="20" w:after="20"/>
      <w:jc w:val="both"/>
    </w:pPr>
    <w:rPr>
      <w:i/>
      <w:iCs/>
      <w:sz w:val="14"/>
      <w:szCs w:val="14"/>
    </w:rPr>
  </w:style>
  <w:style w:type="paragraph" w:customStyle="1" w:styleId="NoteSourceText-BarcRA91">
    <w:name w:val="Note &amp; Source Text - Barc RA_9_1"/>
    <w:basedOn w:val="Normal72"/>
    <w:link w:val="NoteSourceText-BarcRAChar81"/>
    <w:rsid w:val="00536BCB"/>
    <w:pPr>
      <w:tabs>
        <w:tab w:val="left" w:pos="284"/>
      </w:tabs>
      <w:spacing w:before="20" w:after="20"/>
      <w:ind w:left="284" w:hanging="284"/>
      <w:jc w:val="both"/>
    </w:pPr>
    <w:rPr>
      <w:i/>
      <w:iCs/>
      <w:sz w:val="14"/>
      <w:szCs w:val="14"/>
    </w:rPr>
  </w:style>
  <w:style w:type="character" w:customStyle="1" w:styleId="NoteSourceText-BarcRAChar81">
    <w:name w:val="Note &amp; Source Text - Barc RA Char_8_1"/>
    <w:basedOn w:val="DefaultParagraphFont"/>
    <w:link w:val="NoteSourceText-BarcRA91"/>
    <w:rsid w:val="00536BCB"/>
    <w:rPr>
      <w:rFonts w:ascii="Expert Sans Regular" w:hAnsi="Expert Sans Regular"/>
      <w:i/>
      <w:iCs/>
      <w:sz w:val="14"/>
      <w:szCs w:val="14"/>
      <w:lang w:eastAsia="en-US"/>
    </w:rPr>
  </w:style>
  <w:style w:type="paragraph" w:customStyle="1" w:styleId="NoteSourceText-BarcRA900">
    <w:name w:val="Note &amp; Source Text - Barc RA_9_0_0"/>
    <w:basedOn w:val="Normal72"/>
    <w:link w:val="NoteSourceText-BarcRAChar800"/>
    <w:rsid w:val="00786823"/>
    <w:pPr>
      <w:tabs>
        <w:tab w:val="left" w:pos="284"/>
      </w:tabs>
      <w:spacing w:before="20" w:after="20"/>
      <w:ind w:left="284" w:hanging="284"/>
      <w:jc w:val="both"/>
    </w:pPr>
    <w:rPr>
      <w:i/>
      <w:iCs/>
      <w:sz w:val="14"/>
      <w:szCs w:val="14"/>
    </w:rPr>
  </w:style>
  <w:style w:type="character" w:customStyle="1" w:styleId="NoteSourceText-BarcRAChar800">
    <w:name w:val="Note &amp; Source Text - Barc RA Char_8_0_0"/>
    <w:link w:val="NoteSourceText-BarcRA900"/>
    <w:locked/>
    <w:rsid w:val="00786823"/>
    <w:rPr>
      <w:rFonts w:ascii="Expert Sans Regular" w:hAnsi="Expert Sans Regular"/>
      <w:i/>
      <w:iCs/>
      <w:sz w:val="14"/>
      <w:szCs w:val="14"/>
    </w:rPr>
  </w:style>
  <w:style w:type="paragraph" w:customStyle="1" w:styleId="BodyText-BarcRA380">
    <w:name w:val="Body Text - Barc RA_38_0"/>
    <w:rsid w:val="00142937"/>
    <w:pPr>
      <w:spacing w:before="180" w:after="180"/>
      <w:jc w:val="both"/>
    </w:pPr>
    <w:rPr>
      <w:rFonts w:ascii="Expert Sans Regular" w:hAnsi="Expert Sans Regular"/>
      <w:sz w:val="18"/>
      <w:lang w:eastAsia="en-US"/>
    </w:rPr>
  </w:style>
  <w:style w:type="paragraph" w:customStyle="1" w:styleId="NoteandSourceText-BarcRA13">
    <w:name w:val="Note and Source Text - Barc RA_13"/>
    <w:basedOn w:val="Normal73"/>
    <w:qFormat/>
    <w:rsid w:val="00AF04B8"/>
    <w:pPr>
      <w:numPr>
        <w:numId w:val="145"/>
      </w:numPr>
      <w:tabs>
        <w:tab w:val="left" w:pos="284"/>
      </w:tabs>
      <w:spacing w:before="20" w:after="20"/>
      <w:jc w:val="both"/>
    </w:pPr>
    <w:rPr>
      <w:i/>
      <w:iCs/>
      <w:sz w:val="14"/>
      <w:szCs w:val="14"/>
    </w:rPr>
  </w:style>
  <w:style w:type="paragraph" w:customStyle="1" w:styleId="Normal73">
    <w:name w:val="Normal_73"/>
    <w:qFormat/>
    <w:rsid w:val="009705AC"/>
    <w:rPr>
      <w:rFonts w:ascii="Expert Sans Regular" w:hAnsi="Expert Sans Regular"/>
      <w:sz w:val="18"/>
      <w:szCs w:val="24"/>
      <w:lang w:eastAsia="en-US"/>
    </w:rPr>
  </w:style>
  <w:style w:type="paragraph" w:customStyle="1" w:styleId="BodyText-BarcRA3800">
    <w:name w:val="Body Text - Barc RA_38_0_0"/>
    <w:rsid w:val="00142937"/>
    <w:pPr>
      <w:spacing w:before="180" w:after="180"/>
      <w:jc w:val="both"/>
    </w:pPr>
    <w:rPr>
      <w:rFonts w:ascii="Expert Sans Regular" w:hAnsi="Expert Sans Regular"/>
      <w:sz w:val="18"/>
      <w:lang w:eastAsia="en-US"/>
    </w:rPr>
  </w:style>
  <w:style w:type="paragraph" w:customStyle="1" w:styleId="BodyText-BarcRA38000">
    <w:name w:val="Body Text - Barc RA_38_0_0_0"/>
    <w:rsid w:val="00DD436C"/>
    <w:pPr>
      <w:spacing w:before="180" w:after="180"/>
      <w:jc w:val="both"/>
    </w:pPr>
    <w:rPr>
      <w:rFonts w:ascii="Expert Sans Regular" w:hAnsi="Expert Sans Regular"/>
      <w:sz w:val="18"/>
      <w:lang w:eastAsia="en-US"/>
    </w:rPr>
  </w:style>
  <w:style w:type="paragraph" w:customStyle="1" w:styleId="NoteSourceText-BarcRA102">
    <w:name w:val="Note &amp; Source Text - Barc RA_10_2"/>
    <w:basedOn w:val="Normal74"/>
    <w:link w:val="NoteSourceText-BarcRAChar92"/>
    <w:rsid w:val="00814EDC"/>
    <w:pPr>
      <w:tabs>
        <w:tab w:val="left" w:pos="284"/>
      </w:tabs>
      <w:spacing w:before="20" w:after="20"/>
      <w:ind w:left="284" w:hanging="284"/>
      <w:jc w:val="both"/>
    </w:pPr>
    <w:rPr>
      <w:i/>
      <w:iCs/>
      <w:sz w:val="14"/>
      <w:szCs w:val="14"/>
    </w:rPr>
  </w:style>
  <w:style w:type="paragraph" w:customStyle="1" w:styleId="Normal74">
    <w:name w:val="Normal_74"/>
    <w:qFormat/>
    <w:rsid w:val="009705AC"/>
    <w:rPr>
      <w:rFonts w:ascii="Expert Sans Regular" w:hAnsi="Expert Sans Regular"/>
      <w:sz w:val="18"/>
      <w:szCs w:val="24"/>
      <w:lang w:eastAsia="en-US"/>
    </w:rPr>
  </w:style>
  <w:style w:type="character" w:customStyle="1" w:styleId="NoteSourceText-BarcRAChar92">
    <w:name w:val="Note &amp; Source Text - Barc RA Char_9_2"/>
    <w:basedOn w:val="DefaultParagraphFont"/>
    <w:link w:val="NoteSourceText-BarcRA102"/>
    <w:rsid w:val="00814EDC"/>
    <w:rPr>
      <w:rFonts w:ascii="Expert Sans Regular" w:hAnsi="Expert Sans Regular"/>
      <w:i/>
      <w:iCs/>
      <w:sz w:val="14"/>
      <w:szCs w:val="14"/>
      <w:lang w:eastAsia="en-US"/>
    </w:rPr>
  </w:style>
  <w:style w:type="paragraph" w:customStyle="1" w:styleId="BodyText-BarcRA391">
    <w:name w:val="Body Text - Barc RA_39_1"/>
    <w:link w:val="BodyText-BarcRAChar281"/>
    <w:rsid w:val="00093492"/>
    <w:pPr>
      <w:spacing w:before="180" w:after="180"/>
      <w:jc w:val="both"/>
    </w:pPr>
    <w:rPr>
      <w:rFonts w:ascii="Expert Sans Regular" w:hAnsi="Expert Sans Regular"/>
      <w:sz w:val="18"/>
      <w:lang w:eastAsia="en-US"/>
    </w:rPr>
  </w:style>
  <w:style w:type="character" w:customStyle="1" w:styleId="BodyText-BarcRAChar281">
    <w:name w:val="Body Text - Barc RA Char_28_1"/>
    <w:basedOn w:val="DefaultParagraphFont"/>
    <w:link w:val="BodyText-BarcRA391"/>
    <w:locked/>
    <w:rsid w:val="00093492"/>
    <w:rPr>
      <w:rFonts w:ascii="Expert Sans Regular" w:hAnsi="Expert Sans Regular"/>
      <w:sz w:val="18"/>
      <w:lang w:val="en-GB" w:eastAsia="en-US" w:bidi="ar-SA"/>
    </w:rPr>
  </w:style>
  <w:style w:type="paragraph" w:customStyle="1" w:styleId="NoteSourceText-BarcRA71">
    <w:name w:val="Note &amp; Source Text - Barc RA_7_1"/>
    <w:basedOn w:val="Normal75"/>
    <w:link w:val="NoteSourceText-BarcRAChar71"/>
    <w:rsid w:val="001C020A"/>
    <w:pPr>
      <w:tabs>
        <w:tab w:val="left" w:pos="284"/>
      </w:tabs>
      <w:spacing w:before="20" w:after="20"/>
      <w:ind w:left="284" w:hanging="284"/>
      <w:jc w:val="both"/>
    </w:pPr>
    <w:rPr>
      <w:i/>
      <w:iCs/>
      <w:sz w:val="14"/>
      <w:szCs w:val="14"/>
    </w:rPr>
  </w:style>
  <w:style w:type="paragraph" w:customStyle="1" w:styleId="Normal75">
    <w:name w:val="Normal_75"/>
    <w:qFormat/>
    <w:rsid w:val="009705AC"/>
    <w:rPr>
      <w:rFonts w:ascii="Expert Sans Regular" w:hAnsi="Expert Sans Regular"/>
      <w:sz w:val="18"/>
      <w:szCs w:val="24"/>
      <w:lang w:eastAsia="en-US"/>
    </w:rPr>
  </w:style>
  <w:style w:type="character" w:customStyle="1" w:styleId="NoteSourceText-BarcRAChar71">
    <w:name w:val="Note &amp; Source Text - Barc RA Char_7_1"/>
    <w:basedOn w:val="DefaultParagraphFont"/>
    <w:link w:val="NoteSourceText-BarcRA71"/>
    <w:locked/>
    <w:rsid w:val="001C020A"/>
    <w:rPr>
      <w:rFonts w:ascii="Expert Sans Regular" w:hAnsi="Expert Sans Regular"/>
      <w:i/>
      <w:iCs/>
      <w:sz w:val="14"/>
      <w:szCs w:val="14"/>
      <w:lang w:val="en-GB"/>
    </w:rPr>
  </w:style>
  <w:style w:type="paragraph" w:customStyle="1" w:styleId="HeadingLevel3-AR0">
    <w:name w:val="Heading Level 3 - AR_0"/>
    <w:basedOn w:val="Normal76"/>
    <w:qFormat/>
    <w:rsid w:val="00AA1E82"/>
    <w:rPr>
      <w:b/>
      <w:color w:val="00B0F0"/>
      <w:sz w:val="16"/>
    </w:rPr>
  </w:style>
  <w:style w:type="paragraph" w:customStyle="1" w:styleId="Normal76">
    <w:name w:val="Normal_76"/>
    <w:qFormat/>
    <w:rsid w:val="00AA1E82"/>
    <w:rPr>
      <w:rFonts w:ascii="Expert Sans Regular" w:eastAsia="Calibri" w:hAnsi="Expert Sans Regular"/>
      <w:szCs w:val="22"/>
      <w:lang w:eastAsia="en-US"/>
    </w:rPr>
  </w:style>
  <w:style w:type="paragraph" w:customStyle="1" w:styleId="ListParagraph1">
    <w:name w:val="List Paragraph_1"/>
    <w:basedOn w:val="Normal76"/>
    <w:uiPriority w:val="99"/>
    <w:qFormat/>
    <w:rsid w:val="00AA1E82"/>
    <w:pPr>
      <w:ind w:left="720"/>
      <w:contextualSpacing/>
    </w:pPr>
    <w:rPr>
      <w:rFonts w:ascii="Times New Roman" w:eastAsia="Times New Roman" w:hAnsi="Times New Roman" w:cs="Expert Sans Regular"/>
      <w:sz w:val="24"/>
      <w:szCs w:val="24"/>
      <w:lang w:eastAsia="en-GB"/>
    </w:rPr>
  </w:style>
  <w:style w:type="paragraph" w:customStyle="1" w:styleId="BodyText-AR222">
    <w:name w:val="Body Text - AR_22_2"/>
    <w:basedOn w:val="Normal76"/>
    <w:qFormat/>
    <w:rsid w:val="00AA1E82"/>
    <w:rPr>
      <w:rFonts w:eastAsia="Expert Sans Regular" w:cs="Expert Sans Regular"/>
      <w:sz w:val="16"/>
    </w:rPr>
  </w:style>
  <w:style w:type="paragraph" w:customStyle="1" w:styleId="NoteSourceText-BarcRA1001">
    <w:name w:val="Note &amp; Source Text - Barc RA_10_0_1"/>
    <w:basedOn w:val="Normal77"/>
    <w:link w:val="NoteSourceText-BarcRAChar901"/>
    <w:rsid w:val="00993940"/>
    <w:pPr>
      <w:tabs>
        <w:tab w:val="left" w:pos="284"/>
      </w:tabs>
      <w:spacing w:before="20" w:after="20"/>
      <w:ind w:left="284" w:hanging="284"/>
      <w:jc w:val="both"/>
    </w:pPr>
    <w:rPr>
      <w:rFonts w:eastAsia="Times New Roman"/>
      <w:i/>
      <w:iCs/>
      <w:sz w:val="14"/>
      <w:szCs w:val="14"/>
    </w:rPr>
  </w:style>
  <w:style w:type="paragraph" w:customStyle="1" w:styleId="Normal77">
    <w:name w:val="Normal_77"/>
    <w:qFormat/>
    <w:rsid w:val="00AA1E82"/>
    <w:rPr>
      <w:rFonts w:ascii="Expert Sans Regular" w:eastAsia="Calibri" w:hAnsi="Expert Sans Regular"/>
      <w:szCs w:val="22"/>
      <w:lang w:eastAsia="en-US"/>
    </w:rPr>
  </w:style>
  <w:style w:type="character" w:customStyle="1" w:styleId="NoteSourceText-BarcRAChar901">
    <w:name w:val="Note &amp; Source Text - Barc RA Char_9_0_1"/>
    <w:link w:val="NoteSourceText-BarcRA1001"/>
    <w:locked/>
    <w:rsid w:val="00993940"/>
    <w:rPr>
      <w:rFonts w:ascii="Expert Sans Regular" w:hAnsi="Expert Sans Regular"/>
      <w:i/>
      <w:iCs/>
      <w:sz w:val="14"/>
      <w:szCs w:val="14"/>
    </w:rPr>
  </w:style>
  <w:style w:type="paragraph" w:customStyle="1" w:styleId="NoteSourceText-BarcRA1000">
    <w:name w:val="Note &amp; Source Text - Barc RA_10_0_0"/>
    <w:basedOn w:val="Normal77"/>
    <w:link w:val="NoteSourceText-BarcRAChar900"/>
    <w:rsid w:val="008F0F34"/>
    <w:pPr>
      <w:tabs>
        <w:tab w:val="left" w:pos="284"/>
      </w:tabs>
      <w:spacing w:before="20" w:after="20"/>
      <w:ind w:left="284" w:hanging="284"/>
      <w:jc w:val="both"/>
    </w:pPr>
    <w:rPr>
      <w:rFonts w:eastAsia="Times New Roman"/>
      <w:i/>
      <w:iCs/>
      <w:sz w:val="14"/>
      <w:szCs w:val="14"/>
    </w:rPr>
  </w:style>
  <w:style w:type="character" w:customStyle="1" w:styleId="NoteSourceText-BarcRAChar900">
    <w:name w:val="Note &amp; Source Text - Barc RA Char_9_0_0"/>
    <w:link w:val="NoteSourceText-BarcRA1000"/>
    <w:locked/>
    <w:rsid w:val="008F0F34"/>
    <w:rPr>
      <w:rFonts w:ascii="Expert Sans Regular" w:hAnsi="Expert Sans Regular"/>
      <w:i/>
      <w:iCs/>
      <w:sz w:val="14"/>
      <w:szCs w:val="14"/>
    </w:rPr>
  </w:style>
  <w:style w:type="paragraph" w:customStyle="1" w:styleId="NoteandSourceText-BarcRA15">
    <w:name w:val="Note and Source Text - Barc RA_15"/>
    <w:basedOn w:val="Normal77"/>
    <w:qFormat/>
    <w:rsid w:val="008F0F34"/>
    <w:pPr>
      <w:numPr>
        <w:numId w:val="147"/>
      </w:numPr>
      <w:tabs>
        <w:tab w:val="left" w:pos="284"/>
      </w:tabs>
      <w:spacing w:before="20" w:after="20"/>
      <w:jc w:val="both"/>
    </w:pPr>
    <w:rPr>
      <w:i/>
      <w:iCs/>
      <w:sz w:val="14"/>
      <w:szCs w:val="14"/>
    </w:rPr>
  </w:style>
  <w:style w:type="paragraph" w:customStyle="1" w:styleId="HeadingLevel2-BarcRA13">
    <w:name w:val="Heading Level 2 - Barc RA_13"/>
    <w:basedOn w:val="Normal78"/>
    <w:next w:val="Normal78"/>
    <w:qFormat/>
    <w:locked/>
    <w:rsid w:val="0089381D"/>
    <w:pPr>
      <w:spacing w:before="240" w:after="0" w:line="240" w:lineRule="auto"/>
      <w:jc w:val="both"/>
    </w:pPr>
    <w:rPr>
      <w:rFonts w:ascii="Expert Sans Regular" w:hAnsi="Expert Sans Regular"/>
      <w:b/>
      <w:bCs/>
      <w:color w:val="000000"/>
      <w:sz w:val="20"/>
      <w:szCs w:val="20"/>
      <w:lang w:val="la-Latn"/>
    </w:rPr>
  </w:style>
  <w:style w:type="paragraph" w:customStyle="1" w:styleId="Normal78">
    <w:name w:val="Normal_78"/>
    <w:qFormat/>
    <w:rsid w:val="00DE0D86"/>
    <w:pPr>
      <w:spacing w:after="200" w:line="276" w:lineRule="auto"/>
    </w:pPr>
    <w:rPr>
      <w:sz w:val="22"/>
      <w:szCs w:val="22"/>
      <w:lang w:eastAsia="en-US"/>
    </w:rPr>
  </w:style>
  <w:style w:type="paragraph" w:customStyle="1" w:styleId="Level1Bullet-BarcRA24">
    <w:name w:val="Level 1 Bullet - Barc RA_24"/>
    <w:basedOn w:val="Normal78"/>
    <w:qFormat/>
    <w:locked/>
    <w:rsid w:val="00B82A10"/>
    <w:pPr>
      <w:numPr>
        <w:numId w:val="148"/>
      </w:numPr>
      <w:spacing w:before="180" w:after="180" w:line="240" w:lineRule="auto"/>
      <w:jc w:val="both"/>
    </w:pPr>
    <w:rPr>
      <w:rFonts w:ascii="Expert Sans Regular" w:hAnsi="Expert Sans Regular"/>
      <w:sz w:val="18"/>
      <w:szCs w:val="20"/>
      <w:lang w:val="la-Latn"/>
    </w:rPr>
  </w:style>
  <w:style w:type="paragraph" w:customStyle="1" w:styleId="BodyText-BarcRA3910">
    <w:name w:val="Body Text - Barc RA_39_1_0"/>
    <w:link w:val="BodyText-BarcRAChar2810"/>
    <w:rsid w:val="00861283"/>
    <w:pPr>
      <w:spacing w:before="180" w:after="180"/>
      <w:jc w:val="both"/>
    </w:pPr>
    <w:rPr>
      <w:rFonts w:ascii="Expert Sans Regular" w:hAnsi="Expert Sans Regular"/>
      <w:sz w:val="18"/>
      <w:lang w:eastAsia="en-US"/>
    </w:rPr>
  </w:style>
  <w:style w:type="character" w:customStyle="1" w:styleId="BodyText-BarcRAChar2810">
    <w:name w:val="Body Text - Barc RA Char_28_1_0"/>
    <w:basedOn w:val="DefaultParagraphFont"/>
    <w:link w:val="BodyText-BarcRA3910"/>
    <w:locked/>
    <w:rsid w:val="00861283"/>
    <w:rPr>
      <w:rFonts w:ascii="Expert Sans Regular" w:hAnsi="Expert Sans Regular"/>
      <w:sz w:val="18"/>
      <w:lang w:val="en-GB" w:eastAsia="en-US" w:bidi="ar-SA"/>
    </w:rPr>
  </w:style>
  <w:style w:type="paragraph" w:customStyle="1" w:styleId="NoteSourceText-BarcRA710">
    <w:name w:val="Note &amp; Source Text - Barc RA_7_1_0"/>
    <w:basedOn w:val="Normal79"/>
    <w:link w:val="NoteSourceText-BarcRAChar710"/>
    <w:rsid w:val="00DC4A1A"/>
    <w:pPr>
      <w:tabs>
        <w:tab w:val="left" w:pos="284"/>
      </w:tabs>
      <w:spacing w:before="20" w:after="20"/>
      <w:ind w:left="284" w:hanging="284"/>
      <w:jc w:val="both"/>
    </w:pPr>
    <w:rPr>
      <w:i/>
      <w:iCs/>
      <w:sz w:val="14"/>
      <w:szCs w:val="14"/>
    </w:rPr>
  </w:style>
  <w:style w:type="paragraph" w:customStyle="1" w:styleId="Normal79">
    <w:name w:val="Normal_79"/>
    <w:qFormat/>
    <w:rsid w:val="009705AC"/>
    <w:rPr>
      <w:rFonts w:ascii="Expert Sans Regular" w:hAnsi="Expert Sans Regular"/>
      <w:sz w:val="18"/>
      <w:szCs w:val="24"/>
      <w:lang w:eastAsia="en-US"/>
    </w:rPr>
  </w:style>
  <w:style w:type="character" w:customStyle="1" w:styleId="NoteSourceText-BarcRAChar710">
    <w:name w:val="Note &amp; Source Text - Barc RA Char_7_1_0"/>
    <w:basedOn w:val="DefaultParagraphFont"/>
    <w:link w:val="NoteSourceText-BarcRA710"/>
    <w:locked/>
    <w:rsid w:val="00DC4A1A"/>
    <w:rPr>
      <w:rFonts w:ascii="Expert Sans Regular" w:hAnsi="Expert Sans Regular"/>
      <w:i/>
      <w:iCs/>
      <w:sz w:val="14"/>
      <w:szCs w:val="14"/>
      <w:lang w:eastAsia="en-US"/>
    </w:rPr>
  </w:style>
  <w:style w:type="paragraph" w:customStyle="1" w:styleId="Normal500">
    <w:name w:val="Normal_5_0"/>
    <w:qFormat/>
    <w:rsid w:val="00DC6A75"/>
    <w:rPr>
      <w:rFonts w:ascii="Expert Sans Regular" w:hAnsi="Expert Sans Regular"/>
      <w:sz w:val="18"/>
      <w:szCs w:val="24"/>
      <w:lang w:eastAsia="en-US"/>
    </w:rPr>
  </w:style>
  <w:style w:type="paragraph" w:customStyle="1" w:styleId="NoteSourceText-BarcRA7100">
    <w:name w:val="Note &amp; Source Text - Barc RA_7_1_0_0"/>
    <w:basedOn w:val="Normal790"/>
    <w:link w:val="NoteSourceText-BarcRAChar7100"/>
    <w:rsid w:val="00DC6A75"/>
    <w:pPr>
      <w:tabs>
        <w:tab w:val="left" w:pos="284"/>
      </w:tabs>
      <w:spacing w:before="20" w:after="20"/>
      <w:ind w:left="284" w:hanging="284"/>
      <w:jc w:val="both"/>
    </w:pPr>
    <w:rPr>
      <w:i/>
      <w:iCs/>
      <w:sz w:val="14"/>
      <w:szCs w:val="14"/>
    </w:rPr>
  </w:style>
  <w:style w:type="paragraph" w:customStyle="1" w:styleId="Normal790">
    <w:name w:val="Normal_79_0"/>
    <w:qFormat/>
    <w:rsid w:val="00DC6A75"/>
    <w:rPr>
      <w:rFonts w:ascii="Expert Sans Regular" w:hAnsi="Expert Sans Regular"/>
      <w:sz w:val="18"/>
      <w:szCs w:val="24"/>
      <w:lang w:eastAsia="en-US"/>
    </w:rPr>
  </w:style>
  <w:style w:type="character" w:customStyle="1" w:styleId="NoteSourceText-BarcRAChar7100">
    <w:name w:val="Note &amp; Source Text - Barc RA Char_7_1_0_0"/>
    <w:basedOn w:val="DefaultParagraphFont"/>
    <w:link w:val="NoteSourceText-BarcRA7100"/>
    <w:locked/>
    <w:rsid w:val="00DC6A75"/>
    <w:rPr>
      <w:rFonts w:ascii="Expert Sans Regular" w:hAnsi="Expert Sans Regular"/>
      <w:i/>
      <w:iCs/>
      <w:sz w:val="14"/>
      <w:szCs w:val="14"/>
      <w:lang w:eastAsia="en-US"/>
    </w:rPr>
  </w:style>
  <w:style w:type="paragraph" w:customStyle="1" w:styleId="HeadingLevel2-BarcRA14">
    <w:name w:val="Heading Level 2 - Barc RA_14"/>
    <w:basedOn w:val="HeadingLevel1-BarcRA39"/>
    <w:next w:val="BodyText-BarcRA56"/>
    <w:qFormat/>
    <w:rsid w:val="00EE71E7"/>
    <w:pPr>
      <w:spacing w:before="240" w:after="0"/>
    </w:pPr>
    <w:rPr>
      <w:sz w:val="20"/>
    </w:rPr>
  </w:style>
  <w:style w:type="paragraph" w:customStyle="1" w:styleId="HeadingLevel1-BarcRA39">
    <w:name w:val="Heading Level 1 - Barc RA_39"/>
    <w:basedOn w:val="BodyText-BarcRA56"/>
    <w:next w:val="BodyText-BarcRA56"/>
    <w:link w:val="HeadingLevel1-BarcRAChar29"/>
    <w:rsid w:val="002611B5"/>
    <w:pPr>
      <w:spacing w:before="0"/>
    </w:pPr>
    <w:rPr>
      <w:b/>
      <w:bCs/>
      <w:color w:val="000000"/>
      <w:sz w:val="24"/>
      <w:lang w:val="la-Latn"/>
    </w:rPr>
  </w:style>
  <w:style w:type="paragraph" w:customStyle="1" w:styleId="BodyText-BarcRA56">
    <w:name w:val="Body Text - Barc RA_56"/>
    <w:link w:val="BodyText-BarcRAChar38"/>
    <w:qFormat/>
    <w:rsid w:val="005D52ED"/>
    <w:pPr>
      <w:spacing w:before="180" w:after="180"/>
      <w:jc w:val="both"/>
    </w:pPr>
    <w:rPr>
      <w:rFonts w:ascii="Expert Sans Regular" w:hAnsi="Expert Sans Regular"/>
      <w:sz w:val="18"/>
      <w:lang w:eastAsia="en-US"/>
    </w:rPr>
  </w:style>
  <w:style w:type="character" w:customStyle="1" w:styleId="BodyText-BarcRAChar38">
    <w:name w:val="Body Text - Barc RA Char_38"/>
    <w:basedOn w:val="DefaultParagraphFont"/>
    <w:link w:val="BodyText-BarcRA56"/>
    <w:rsid w:val="005D52ED"/>
    <w:rPr>
      <w:rFonts w:ascii="Expert Sans Regular" w:hAnsi="Expert Sans Regular"/>
      <w:sz w:val="18"/>
      <w:lang w:val="en-GB" w:eastAsia="en-US" w:bidi="ar-SA"/>
    </w:rPr>
  </w:style>
  <w:style w:type="character" w:customStyle="1" w:styleId="HeadingLevel1-BarcRAChar29">
    <w:name w:val="Heading Level 1 - Barc RA Char_29"/>
    <w:basedOn w:val="DefaultParagraphFont"/>
    <w:link w:val="HeadingLevel1-BarcRA39"/>
    <w:rsid w:val="009705AC"/>
    <w:rPr>
      <w:rFonts w:ascii="Expert Sans Regular" w:hAnsi="Expert Sans Regular"/>
      <w:b/>
      <w:bCs/>
      <w:color w:val="000000"/>
      <w:sz w:val="24"/>
      <w:lang w:val="la-Latn"/>
    </w:rPr>
  </w:style>
  <w:style w:type="paragraph" w:customStyle="1" w:styleId="Level1Bullet-BarcRA25">
    <w:name w:val="Level 1 Bullet - Barc RA_25"/>
    <w:basedOn w:val="Normal80"/>
    <w:link w:val="Level1Bullet-BarcRAChar19"/>
    <w:qFormat/>
    <w:rsid w:val="000570F9"/>
    <w:pPr>
      <w:numPr>
        <w:numId w:val="149"/>
      </w:numPr>
      <w:spacing w:before="180" w:after="180"/>
      <w:jc w:val="both"/>
    </w:pPr>
    <w:rPr>
      <w:szCs w:val="20"/>
      <w:lang w:val="la-Latn"/>
    </w:rPr>
  </w:style>
  <w:style w:type="paragraph" w:customStyle="1" w:styleId="Normal80">
    <w:name w:val="Normal_80"/>
    <w:qFormat/>
    <w:rsid w:val="009705AC"/>
    <w:rPr>
      <w:rFonts w:ascii="Expert Sans Regular" w:hAnsi="Expert Sans Regular"/>
      <w:sz w:val="18"/>
      <w:szCs w:val="24"/>
      <w:lang w:eastAsia="en-US"/>
    </w:rPr>
  </w:style>
  <w:style w:type="character" w:customStyle="1" w:styleId="Level1Bullet-BarcRAChar19">
    <w:name w:val="Level 1 Bullet - Barc RA Char_19"/>
    <w:basedOn w:val="DefaultParagraphFont"/>
    <w:link w:val="Level1Bullet-BarcRA25"/>
    <w:locked/>
    <w:rsid w:val="000570F9"/>
    <w:rPr>
      <w:rFonts w:ascii="Expert Sans Regular" w:hAnsi="Expert Sans Regular"/>
      <w:sz w:val="18"/>
      <w:lang w:val="la-Latn" w:eastAsia="en-US"/>
    </w:rPr>
  </w:style>
  <w:style w:type="paragraph" w:customStyle="1" w:styleId="Level1Bullet-BarcRA250">
    <w:name w:val="Level 1 Bullet - Barc RA_25_0"/>
    <w:basedOn w:val="Normal81"/>
    <w:qFormat/>
    <w:rsid w:val="00654A7D"/>
    <w:pPr>
      <w:numPr>
        <w:numId w:val="150"/>
      </w:numPr>
      <w:spacing w:before="180" w:after="180"/>
      <w:jc w:val="both"/>
    </w:pPr>
    <w:rPr>
      <w:szCs w:val="20"/>
      <w:lang w:val="la-Latn"/>
    </w:rPr>
  </w:style>
  <w:style w:type="paragraph" w:customStyle="1" w:styleId="Normal81">
    <w:name w:val="Normal_81"/>
    <w:qFormat/>
    <w:rsid w:val="009705AC"/>
    <w:rPr>
      <w:rFonts w:ascii="Expert Sans Regular" w:hAnsi="Expert Sans Regular"/>
      <w:sz w:val="18"/>
      <w:szCs w:val="24"/>
      <w:lang w:eastAsia="en-US"/>
    </w:rPr>
  </w:style>
  <w:style w:type="paragraph" w:customStyle="1" w:styleId="HeadingLevel2-BarcRA15">
    <w:name w:val="Heading Level 2 - Barc RA_15"/>
    <w:basedOn w:val="HeadingLevel1-BarcRA40"/>
    <w:next w:val="BodyText-BarcRA57"/>
    <w:qFormat/>
    <w:rsid w:val="00EE71E7"/>
    <w:pPr>
      <w:spacing w:before="240" w:after="0"/>
    </w:pPr>
    <w:rPr>
      <w:sz w:val="20"/>
    </w:rPr>
  </w:style>
  <w:style w:type="paragraph" w:customStyle="1" w:styleId="HeadingLevel1-BarcRA40">
    <w:name w:val="Heading Level 1 - Barc RA_40"/>
    <w:basedOn w:val="BodyText-BarcRA57"/>
    <w:next w:val="BodyText-BarcRA57"/>
    <w:link w:val="HeadingLevel1-BarcRAChar30"/>
    <w:rsid w:val="002611B5"/>
    <w:pPr>
      <w:spacing w:before="0"/>
    </w:pPr>
    <w:rPr>
      <w:b/>
      <w:bCs/>
      <w:color w:val="000000"/>
      <w:sz w:val="24"/>
      <w:lang w:val="la-Latn"/>
    </w:rPr>
  </w:style>
  <w:style w:type="paragraph" w:customStyle="1" w:styleId="BodyText-BarcRA57">
    <w:name w:val="Body Text - Barc RA_57"/>
    <w:link w:val="BodyText-BarcRAChar39"/>
    <w:qFormat/>
    <w:rsid w:val="005D52ED"/>
    <w:pPr>
      <w:spacing w:before="180" w:after="180"/>
      <w:jc w:val="both"/>
    </w:pPr>
    <w:rPr>
      <w:rFonts w:ascii="Expert Sans Regular" w:hAnsi="Expert Sans Regular"/>
      <w:sz w:val="18"/>
      <w:lang w:eastAsia="en-US"/>
    </w:rPr>
  </w:style>
  <w:style w:type="character" w:customStyle="1" w:styleId="BodyText-BarcRAChar39">
    <w:name w:val="Body Text - Barc RA Char_39"/>
    <w:basedOn w:val="DefaultParagraphFont"/>
    <w:link w:val="BodyText-BarcRA57"/>
    <w:rsid w:val="005D52ED"/>
    <w:rPr>
      <w:rFonts w:ascii="Expert Sans Regular" w:hAnsi="Expert Sans Regular"/>
      <w:sz w:val="18"/>
      <w:lang w:val="en-GB" w:eastAsia="en-US" w:bidi="ar-SA"/>
    </w:rPr>
  </w:style>
  <w:style w:type="character" w:customStyle="1" w:styleId="HeadingLevel1-BarcRAChar30">
    <w:name w:val="Heading Level 1 - Barc RA Char_30"/>
    <w:basedOn w:val="DefaultParagraphFont"/>
    <w:link w:val="HeadingLevel1-BarcRA40"/>
    <w:rsid w:val="009705AC"/>
    <w:rPr>
      <w:rFonts w:ascii="Expert Sans Regular" w:hAnsi="Expert Sans Regular"/>
      <w:b/>
      <w:bCs/>
      <w:color w:val="000000"/>
      <w:sz w:val="24"/>
      <w:lang w:val="la-Latn"/>
    </w:rPr>
  </w:style>
  <w:style w:type="paragraph" w:customStyle="1" w:styleId="Level1Bullet-BarcRA210">
    <w:name w:val="Level 1 Bullet - Barc RA_21"/>
    <w:basedOn w:val="BodyText-BarcRA57"/>
    <w:link w:val="Level1Bullet-BarcRAChar17"/>
    <w:qFormat/>
    <w:rsid w:val="00A85CEE"/>
    <w:pPr>
      <w:numPr>
        <w:numId w:val="151"/>
      </w:numPr>
    </w:pPr>
    <w:rPr>
      <w:lang w:val="la-Latn"/>
    </w:rPr>
  </w:style>
  <w:style w:type="character" w:customStyle="1" w:styleId="Level1Bullet-BarcRAChar17">
    <w:name w:val="Level 1 Bullet - Barc RA Char_17"/>
    <w:basedOn w:val="BodyText-BarcRAChar39"/>
    <w:link w:val="Level1Bullet-BarcRA210"/>
    <w:rsid w:val="00A85CEE"/>
    <w:rPr>
      <w:rFonts w:ascii="Expert Sans Regular" w:hAnsi="Expert Sans Regular"/>
      <w:sz w:val="18"/>
      <w:lang w:val="la-Latn" w:eastAsia="en-US" w:bidi="ar-SA"/>
    </w:rPr>
  </w:style>
  <w:style w:type="paragraph" w:customStyle="1" w:styleId="Level1Bullet-BarcRA27">
    <w:name w:val="Level 1 Bullet - Barc RA_27"/>
    <w:basedOn w:val="Normal82"/>
    <w:link w:val="Level1Bullet-BarcRAChar21"/>
    <w:qFormat/>
    <w:rsid w:val="00131E3E"/>
    <w:pPr>
      <w:numPr>
        <w:numId w:val="152"/>
      </w:numPr>
      <w:spacing w:before="180" w:after="180"/>
      <w:jc w:val="both"/>
    </w:pPr>
    <w:rPr>
      <w:szCs w:val="20"/>
      <w:lang w:val="la-Latn"/>
    </w:rPr>
  </w:style>
  <w:style w:type="paragraph" w:customStyle="1" w:styleId="Normal82">
    <w:name w:val="Normal_82"/>
    <w:qFormat/>
    <w:rsid w:val="009705AC"/>
    <w:rPr>
      <w:rFonts w:ascii="Expert Sans Regular" w:hAnsi="Expert Sans Regular"/>
      <w:sz w:val="18"/>
      <w:szCs w:val="24"/>
      <w:lang w:eastAsia="en-US"/>
    </w:rPr>
  </w:style>
  <w:style w:type="character" w:customStyle="1" w:styleId="Level1Bullet-BarcRAChar21">
    <w:name w:val="Level 1 Bullet - Barc RA Char_21"/>
    <w:basedOn w:val="DefaultParagraphFont"/>
    <w:link w:val="Level1Bullet-BarcRA27"/>
    <w:locked/>
    <w:rsid w:val="00131E3E"/>
    <w:rPr>
      <w:rFonts w:ascii="Expert Sans Regular" w:hAnsi="Expert Sans Regular"/>
      <w:sz w:val="18"/>
      <w:lang w:val="la-Latn" w:eastAsia="en-US"/>
    </w:rPr>
  </w:style>
  <w:style w:type="paragraph" w:customStyle="1" w:styleId="Level1Bullet-BarcRA22">
    <w:name w:val="Level 1 Bullet - Barc RA_22"/>
    <w:basedOn w:val="BodyText-BarcRA58"/>
    <w:link w:val="Level1Bullet-BarcRAChar18"/>
    <w:qFormat/>
    <w:rsid w:val="00A85CEE"/>
    <w:pPr>
      <w:numPr>
        <w:numId w:val="154"/>
      </w:numPr>
    </w:pPr>
    <w:rPr>
      <w:lang w:val="la-Latn"/>
    </w:rPr>
  </w:style>
  <w:style w:type="paragraph" w:customStyle="1" w:styleId="BodyText-BarcRA58">
    <w:name w:val="Body Text - Barc RA_58"/>
    <w:link w:val="BodyText-BarcRAChar40"/>
    <w:qFormat/>
    <w:rsid w:val="005D52ED"/>
    <w:pPr>
      <w:spacing w:before="180" w:after="180"/>
      <w:jc w:val="both"/>
    </w:pPr>
    <w:rPr>
      <w:rFonts w:ascii="Expert Sans Regular" w:hAnsi="Expert Sans Regular"/>
      <w:sz w:val="18"/>
      <w:lang w:eastAsia="en-US"/>
    </w:rPr>
  </w:style>
  <w:style w:type="character" w:customStyle="1" w:styleId="BodyText-BarcRAChar40">
    <w:name w:val="Body Text - Barc RA Char_40"/>
    <w:basedOn w:val="DefaultParagraphFont"/>
    <w:link w:val="BodyText-BarcRA58"/>
    <w:rsid w:val="005D52ED"/>
    <w:rPr>
      <w:rFonts w:ascii="Expert Sans Regular" w:hAnsi="Expert Sans Regular"/>
      <w:sz w:val="18"/>
      <w:lang w:val="en-GB" w:eastAsia="en-US" w:bidi="ar-SA"/>
    </w:rPr>
  </w:style>
  <w:style w:type="character" w:customStyle="1" w:styleId="Level1Bullet-BarcRAChar18">
    <w:name w:val="Level 1 Bullet - Barc RA Char_18"/>
    <w:basedOn w:val="BodyText-BarcRAChar40"/>
    <w:link w:val="Level1Bullet-BarcRA22"/>
    <w:rsid w:val="00A85CEE"/>
    <w:rPr>
      <w:rFonts w:ascii="Expert Sans Regular" w:hAnsi="Expert Sans Regular"/>
      <w:sz w:val="18"/>
      <w:lang w:val="la-Latn" w:eastAsia="en-US" w:bidi="ar-SA"/>
    </w:rPr>
  </w:style>
  <w:style w:type="paragraph" w:customStyle="1" w:styleId="Level1Bullet-BarcRA310">
    <w:name w:val="Level 1 Bullet - Barc RA_31"/>
    <w:basedOn w:val="Normal82"/>
    <w:link w:val="Level1Bullet-BarcRAChar22"/>
    <w:qFormat/>
    <w:rsid w:val="000317B3"/>
    <w:pPr>
      <w:numPr>
        <w:numId w:val="155"/>
      </w:numPr>
      <w:spacing w:before="180" w:after="180"/>
      <w:jc w:val="both"/>
    </w:pPr>
    <w:rPr>
      <w:szCs w:val="20"/>
      <w:lang w:val="la-Latn"/>
    </w:rPr>
  </w:style>
  <w:style w:type="character" w:customStyle="1" w:styleId="Level1Bullet-BarcRAChar22">
    <w:name w:val="Level 1 Bullet - Barc RA Char_22"/>
    <w:link w:val="Level1Bullet-BarcRA310"/>
    <w:locked/>
    <w:rsid w:val="000317B3"/>
    <w:rPr>
      <w:rFonts w:ascii="Expert Sans Regular" w:hAnsi="Expert Sans Regular"/>
      <w:sz w:val="18"/>
      <w:lang w:val="la-Latn" w:eastAsia="en-US"/>
    </w:rPr>
  </w:style>
  <w:style w:type="paragraph" w:customStyle="1" w:styleId="HeadingLevel2-BarcRA17">
    <w:name w:val="Heading Level 2 - Barc RA_17"/>
    <w:basedOn w:val="Normal82"/>
    <w:next w:val="Normal82"/>
    <w:qFormat/>
    <w:rsid w:val="00AE4DB0"/>
    <w:pPr>
      <w:spacing w:before="240"/>
      <w:jc w:val="both"/>
    </w:pPr>
    <w:rPr>
      <w:b/>
      <w:bCs/>
      <w:color w:val="000000"/>
      <w:sz w:val="20"/>
      <w:szCs w:val="20"/>
      <w:lang w:val="la-Latn"/>
    </w:rPr>
  </w:style>
  <w:style w:type="paragraph" w:customStyle="1" w:styleId="HeadingLevel2-BarcRA16">
    <w:name w:val="Heading Level 2 - Barc RA_16"/>
    <w:basedOn w:val="HeadingLevel1-BarcRA41"/>
    <w:next w:val="BodyText-BarcRA59"/>
    <w:qFormat/>
    <w:rsid w:val="00EE71E7"/>
    <w:pPr>
      <w:spacing w:before="240" w:after="0"/>
    </w:pPr>
    <w:rPr>
      <w:sz w:val="20"/>
    </w:rPr>
  </w:style>
  <w:style w:type="paragraph" w:customStyle="1" w:styleId="HeadingLevel1-BarcRA41">
    <w:name w:val="Heading Level 1 - Barc RA_41"/>
    <w:basedOn w:val="BodyText-BarcRA59"/>
    <w:next w:val="BodyText-BarcRA59"/>
    <w:link w:val="HeadingLevel1-BarcRAChar31"/>
    <w:rsid w:val="002611B5"/>
    <w:pPr>
      <w:spacing w:before="0"/>
    </w:pPr>
    <w:rPr>
      <w:b/>
      <w:bCs/>
      <w:color w:val="000000"/>
      <w:sz w:val="24"/>
      <w:lang w:val="la-Latn"/>
    </w:rPr>
  </w:style>
  <w:style w:type="paragraph" w:customStyle="1" w:styleId="BodyText-BarcRA59">
    <w:name w:val="Body Text - Barc RA_59"/>
    <w:link w:val="BodyText-BarcRAChar41"/>
    <w:qFormat/>
    <w:rsid w:val="005D52ED"/>
    <w:pPr>
      <w:spacing w:before="180" w:after="180"/>
      <w:jc w:val="both"/>
    </w:pPr>
    <w:rPr>
      <w:rFonts w:ascii="Expert Sans Regular" w:hAnsi="Expert Sans Regular"/>
      <w:sz w:val="18"/>
      <w:lang w:eastAsia="en-US"/>
    </w:rPr>
  </w:style>
  <w:style w:type="character" w:customStyle="1" w:styleId="BodyText-BarcRAChar41">
    <w:name w:val="Body Text - Barc RA Char_41"/>
    <w:basedOn w:val="DefaultParagraphFont"/>
    <w:link w:val="BodyText-BarcRA59"/>
    <w:rsid w:val="005D52ED"/>
    <w:rPr>
      <w:rFonts w:ascii="Expert Sans Regular" w:hAnsi="Expert Sans Regular"/>
      <w:sz w:val="18"/>
      <w:lang w:val="en-GB" w:eastAsia="en-US" w:bidi="ar-SA"/>
    </w:rPr>
  </w:style>
  <w:style w:type="character" w:customStyle="1" w:styleId="HeadingLevel1-BarcRAChar31">
    <w:name w:val="Heading Level 1 - Barc RA Char_31"/>
    <w:basedOn w:val="DefaultParagraphFont"/>
    <w:link w:val="HeadingLevel1-BarcRA41"/>
    <w:rsid w:val="009705AC"/>
    <w:rPr>
      <w:rFonts w:ascii="Expert Sans Regular" w:hAnsi="Expert Sans Regular"/>
      <w:b/>
      <w:bCs/>
      <w:color w:val="000000"/>
      <w:sz w:val="24"/>
      <w:lang w:val="la-Latn"/>
    </w:rPr>
  </w:style>
  <w:style w:type="paragraph" w:customStyle="1" w:styleId="Level1Bullet-BarcRA270">
    <w:name w:val="Level 1 Bullet - Barc RA_27_0"/>
    <w:basedOn w:val="Normal83"/>
    <w:qFormat/>
    <w:rsid w:val="0070719F"/>
    <w:pPr>
      <w:numPr>
        <w:numId w:val="156"/>
      </w:numPr>
      <w:spacing w:before="180" w:after="180"/>
      <w:jc w:val="both"/>
    </w:pPr>
    <w:rPr>
      <w:rFonts w:ascii="Expert Sans Regular" w:hAnsi="Expert Sans Regular"/>
      <w:sz w:val="18"/>
      <w:szCs w:val="20"/>
      <w:lang w:val="la-Latn" w:eastAsia="en-US"/>
    </w:rPr>
  </w:style>
  <w:style w:type="paragraph" w:customStyle="1" w:styleId="Normal83">
    <w:name w:val="Normal_83"/>
    <w:qFormat/>
    <w:rsid w:val="002F24B6"/>
    <w:rPr>
      <w:sz w:val="24"/>
      <w:szCs w:val="24"/>
    </w:rPr>
  </w:style>
  <w:style w:type="paragraph" w:customStyle="1" w:styleId="NoteSourceText-BarcRA60">
    <w:name w:val="Note &amp; Source Text - Barc RA_6_0"/>
    <w:basedOn w:val="Normal83"/>
    <w:link w:val="NoteSourceText-BarcRAChar50"/>
    <w:rsid w:val="0091626A"/>
    <w:pPr>
      <w:tabs>
        <w:tab w:val="left" w:pos="284"/>
      </w:tabs>
      <w:spacing w:before="20" w:after="20"/>
      <w:ind w:left="284" w:hanging="284"/>
      <w:jc w:val="both"/>
    </w:pPr>
    <w:rPr>
      <w:i/>
      <w:iCs/>
      <w:sz w:val="14"/>
      <w:szCs w:val="14"/>
    </w:rPr>
  </w:style>
  <w:style w:type="character" w:customStyle="1" w:styleId="NoteSourceText-BarcRAChar50">
    <w:name w:val="Note &amp; Source Text - Barc RA Char_5_0"/>
    <w:basedOn w:val="DefaultParagraphFont"/>
    <w:link w:val="NoteSourceText-BarcRA60"/>
    <w:rsid w:val="0091626A"/>
    <w:rPr>
      <w:rFonts w:ascii="Expert Sans Regular" w:hAnsi="Expert Sans Regular"/>
      <w:i/>
      <w:iCs/>
      <w:sz w:val="14"/>
      <w:szCs w:val="14"/>
      <w:lang w:eastAsia="en-US"/>
    </w:rPr>
  </w:style>
  <w:style w:type="paragraph" w:customStyle="1" w:styleId="HeadingLevel2-BarcRA18">
    <w:name w:val="Heading Level 2 - Barc RA_18"/>
    <w:basedOn w:val="Normal84"/>
    <w:next w:val="BodyText-BarcRA60"/>
    <w:qFormat/>
    <w:rsid w:val="00C049E8"/>
    <w:pPr>
      <w:spacing w:before="240"/>
      <w:jc w:val="both"/>
    </w:pPr>
    <w:rPr>
      <w:rFonts w:ascii="Expert Sans Regular" w:hAnsi="Expert Sans Regular"/>
      <w:b/>
      <w:bCs/>
      <w:color w:val="000000"/>
      <w:sz w:val="20"/>
      <w:szCs w:val="20"/>
      <w:lang w:val="la-Latn" w:eastAsia="en-US"/>
    </w:rPr>
  </w:style>
  <w:style w:type="paragraph" w:customStyle="1" w:styleId="Normal84">
    <w:name w:val="Normal_84"/>
    <w:qFormat/>
    <w:rsid w:val="005268BB"/>
    <w:rPr>
      <w:sz w:val="24"/>
      <w:szCs w:val="24"/>
    </w:rPr>
  </w:style>
  <w:style w:type="paragraph" w:customStyle="1" w:styleId="BodyText-BarcRA60">
    <w:name w:val="Body Text - Barc RA_60"/>
    <w:link w:val="BodyText-BarcRAChar42"/>
    <w:qFormat/>
    <w:rsid w:val="00C049E8"/>
    <w:pPr>
      <w:spacing w:before="180" w:after="180"/>
      <w:jc w:val="both"/>
    </w:pPr>
    <w:rPr>
      <w:rFonts w:ascii="Expert Sans Regular" w:hAnsi="Expert Sans Regular"/>
      <w:sz w:val="18"/>
      <w:lang w:eastAsia="en-US"/>
    </w:rPr>
  </w:style>
  <w:style w:type="character" w:customStyle="1" w:styleId="BodyText-BarcRAChar42">
    <w:name w:val="Body Text - Barc RA Char_42"/>
    <w:basedOn w:val="DefaultParagraphFont"/>
    <w:link w:val="BodyText-BarcRA60"/>
    <w:rsid w:val="00C049E8"/>
    <w:rPr>
      <w:rFonts w:ascii="Expert Sans Regular" w:hAnsi="Expert Sans Regular"/>
      <w:sz w:val="18"/>
      <w:lang w:val="en-GB" w:eastAsia="en-US" w:bidi="ar-SA"/>
    </w:rPr>
  </w:style>
  <w:style w:type="paragraph" w:customStyle="1" w:styleId="BodyText-BarcRA400">
    <w:name w:val="Body Text - Barc RA_40_0"/>
    <w:link w:val="BodyText-BarcRAChar290"/>
    <w:qFormat/>
    <w:rsid w:val="0042622C"/>
    <w:pPr>
      <w:spacing w:before="180" w:after="180"/>
      <w:jc w:val="both"/>
    </w:pPr>
    <w:rPr>
      <w:rFonts w:ascii="Expert Sans Regular" w:hAnsi="Expert Sans Regular"/>
      <w:sz w:val="18"/>
      <w:lang w:eastAsia="en-US"/>
    </w:rPr>
  </w:style>
  <w:style w:type="character" w:customStyle="1" w:styleId="BodyText-BarcRAChar290">
    <w:name w:val="Body Text - Barc RA Char_29_0"/>
    <w:basedOn w:val="DefaultParagraphFont"/>
    <w:link w:val="BodyText-BarcRA400"/>
    <w:locked/>
    <w:rsid w:val="0042622C"/>
    <w:rPr>
      <w:rFonts w:ascii="Expert Sans Regular" w:hAnsi="Expert Sans Regular"/>
      <w:sz w:val="18"/>
      <w:lang w:val="en-GB" w:eastAsia="en-US" w:bidi="ar-SA"/>
    </w:rPr>
  </w:style>
  <w:style w:type="paragraph" w:customStyle="1" w:styleId="Level1Bullet-BarcRA26">
    <w:name w:val="Level 1 Bullet - Barc RA_26"/>
    <w:basedOn w:val="BodyText-BarcRA60"/>
    <w:qFormat/>
    <w:locked/>
    <w:rsid w:val="00133862"/>
    <w:pPr>
      <w:numPr>
        <w:numId w:val="158"/>
      </w:numPr>
    </w:pPr>
    <w:rPr>
      <w:lang w:val="la-Latn"/>
    </w:rPr>
  </w:style>
  <w:style w:type="paragraph" w:customStyle="1" w:styleId="Level1Bullet-BarcRA28">
    <w:name w:val="Level 1 Bullet - Barc RA_28"/>
    <w:basedOn w:val="BodyText-BarcRA61"/>
    <w:qFormat/>
    <w:locked/>
    <w:rsid w:val="00E37AE0"/>
    <w:pPr>
      <w:numPr>
        <w:numId w:val="159"/>
      </w:numPr>
    </w:pPr>
    <w:rPr>
      <w:lang w:val="la-Latn"/>
    </w:rPr>
  </w:style>
  <w:style w:type="paragraph" w:customStyle="1" w:styleId="BodyText-BarcRA61">
    <w:name w:val="Body Text - Barc RA_61"/>
    <w:qFormat/>
    <w:locked/>
    <w:rsid w:val="00340904"/>
    <w:pPr>
      <w:spacing w:before="180" w:after="180"/>
      <w:jc w:val="both"/>
    </w:pPr>
    <w:rPr>
      <w:rFonts w:ascii="Expert Sans Regular" w:hAnsi="Expert Sans Regular"/>
      <w:sz w:val="18"/>
      <w:lang w:eastAsia="en-US"/>
    </w:rPr>
  </w:style>
  <w:style w:type="paragraph" w:customStyle="1" w:styleId="Level1Bullet-BarcRA29">
    <w:name w:val="Level 1 Bullet - Barc RA_29"/>
    <w:basedOn w:val="Normal85"/>
    <w:qFormat/>
    <w:locked/>
    <w:rsid w:val="002E3E84"/>
    <w:pPr>
      <w:numPr>
        <w:numId w:val="160"/>
      </w:numPr>
      <w:spacing w:before="180" w:after="180"/>
      <w:jc w:val="both"/>
    </w:pPr>
    <w:rPr>
      <w:rFonts w:ascii="Expert Sans Regular" w:hAnsi="Expert Sans Regular"/>
      <w:sz w:val="18"/>
      <w:szCs w:val="20"/>
      <w:lang w:val="la-Latn" w:eastAsia="en-US"/>
    </w:rPr>
  </w:style>
  <w:style w:type="paragraph" w:customStyle="1" w:styleId="Normal85">
    <w:name w:val="Normal_85"/>
    <w:qFormat/>
    <w:rsid w:val="005268BB"/>
    <w:rPr>
      <w:sz w:val="24"/>
      <w:szCs w:val="24"/>
    </w:rPr>
  </w:style>
  <w:style w:type="paragraph" w:customStyle="1" w:styleId="Normal86">
    <w:name w:val="Normal_86"/>
    <w:qFormat/>
    <w:rsid w:val="005268BB"/>
    <w:rPr>
      <w:sz w:val="24"/>
      <w:szCs w:val="24"/>
    </w:rPr>
  </w:style>
  <w:style w:type="paragraph" w:customStyle="1" w:styleId="NoteandSourceText-BarcRA14">
    <w:name w:val="Note and Source Text - Barc RA_14"/>
    <w:basedOn w:val="Normal86"/>
    <w:qFormat/>
    <w:rsid w:val="00415294"/>
    <w:pPr>
      <w:numPr>
        <w:numId w:val="161"/>
      </w:numPr>
      <w:tabs>
        <w:tab w:val="left" w:pos="284"/>
      </w:tabs>
      <w:spacing w:before="20" w:after="20"/>
      <w:jc w:val="both"/>
    </w:pPr>
    <w:rPr>
      <w:rFonts w:ascii="Expert Sans Regular" w:hAnsi="Expert Sans Regular"/>
      <w:i/>
      <w:iCs/>
      <w:sz w:val="14"/>
      <w:szCs w:val="14"/>
      <w:lang w:eastAsia="en-US"/>
    </w:rPr>
  </w:style>
  <w:style w:type="paragraph" w:customStyle="1" w:styleId="NoteandSourceText-BarcRA140">
    <w:name w:val="Note and Source Text - Barc RA_14_0"/>
    <w:basedOn w:val="Normal86"/>
    <w:qFormat/>
    <w:rsid w:val="007435A7"/>
    <w:pPr>
      <w:numPr>
        <w:numId w:val="162"/>
      </w:numPr>
      <w:tabs>
        <w:tab w:val="left" w:pos="284"/>
      </w:tabs>
      <w:spacing w:before="20" w:after="20"/>
      <w:jc w:val="both"/>
    </w:pPr>
    <w:rPr>
      <w:rFonts w:ascii="Expert Sans Regular" w:hAnsi="Expert Sans Regular"/>
      <w:i/>
      <w:iCs/>
      <w:sz w:val="14"/>
      <w:szCs w:val="14"/>
      <w:lang w:eastAsia="en-US"/>
    </w:rPr>
  </w:style>
  <w:style w:type="paragraph" w:customStyle="1" w:styleId="Level1Bullet-BarcRA34">
    <w:name w:val="Level 1 Bullet - Barc RA_34"/>
    <w:basedOn w:val="Normal87"/>
    <w:link w:val="Level1Bullet-BarcRAChar23"/>
    <w:qFormat/>
    <w:rsid w:val="00C20CF7"/>
    <w:pPr>
      <w:numPr>
        <w:numId w:val="163"/>
      </w:numPr>
      <w:spacing w:before="180" w:after="180"/>
      <w:jc w:val="both"/>
    </w:pPr>
    <w:rPr>
      <w:rFonts w:ascii="Expert Sans Regular" w:hAnsi="Expert Sans Regular"/>
      <w:sz w:val="18"/>
      <w:szCs w:val="20"/>
      <w:lang w:val="la-Latn" w:eastAsia="en-US"/>
    </w:rPr>
  </w:style>
  <w:style w:type="paragraph" w:customStyle="1" w:styleId="Normal87">
    <w:name w:val="Normal_87"/>
    <w:qFormat/>
    <w:rsid w:val="003C6644"/>
    <w:rPr>
      <w:sz w:val="24"/>
      <w:szCs w:val="24"/>
    </w:rPr>
  </w:style>
  <w:style w:type="character" w:customStyle="1" w:styleId="Level1Bullet-BarcRAChar23">
    <w:name w:val="Level 1 Bullet - Barc RA Char_23"/>
    <w:basedOn w:val="DefaultParagraphFont"/>
    <w:link w:val="Level1Bullet-BarcRA34"/>
    <w:rsid w:val="00C20CF7"/>
    <w:rPr>
      <w:rFonts w:ascii="Expert Sans Regular" w:hAnsi="Expert Sans Regular"/>
      <w:sz w:val="18"/>
      <w:lang w:val="la-Latn" w:eastAsia="en-US"/>
    </w:rPr>
  </w:style>
  <w:style w:type="paragraph" w:customStyle="1" w:styleId="Level1Bullet-BarcRA301">
    <w:name w:val="Level 1 Bullet - Barc RA_30"/>
    <w:basedOn w:val="BodyText-BarcRA62"/>
    <w:link w:val="Level1Bullet-BarcRAChar200"/>
    <w:qFormat/>
    <w:rsid w:val="00A85CEE"/>
    <w:pPr>
      <w:numPr>
        <w:numId w:val="164"/>
      </w:numPr>
    </w:pPr>
    <w:rPr>
      <w:lang w:val="la-Latn"/>
    </w:rPr>
  </w:style>
  <w:style w:type="paragraph" w:customStyle="1" w:styleId="BodyText-BarcRA62">
    <w:name w:val="Body Text - Barc RA_62"/>
    <w:link w:val="BodyText-BarcRAChar43"/>
    <w:qFormat/>
    <w:rsid w:val="005D52ED"/>
    <w:pPr>
      <w:spacing w:before="180" w:after="180"/>
      <w:jc w:val="both"/>
    </w:pPr>
    <w:rPr>
      <w:rFonts w:ascii="Expert Sans Regular" w:hAnsi="Expert Sans Regular"/>
      <w:sz w:val="18"/>
      <w:lang w:eastAsia="en-US"/>
    </w:rPr>
  </w:style>
  <w:style w:type="character" w:customStyle="1" w:styleId="BodyText-BarcRAChar43">
    <w:name w:val="Body Text - Barc RA Char_43"/>
    <w:basedOn w:val="DefaultParagraphFont"/>
    <w:link w:val="BodyText-BarcRA62"/>
    <w:rsid w:val="005D52ED"/>
    <w:rPr>
      <w:rFonts w:ascii="Expert Sans Regular" w:hAnsi="Expert Sans Regular"/>
      <w:sz w:val="18"/>
      <w:lang w:val="en-GB" w:eastAsia="en-US" w:bidi="ar-SA"/>
    </w:rPr>
  </w:style>
  <w:style w:type="character" w:customStyle="1" w:styleId="Level1Bullet-BarcRAChar200">
    <w:name w:val="Level 1 Bullet - Barc RA Char_20"/>
    <w:basedOn w:val="BodyText-BarcRAChar43"/>
    <w:link w:val="Level1Bullet-BarcRA301"/>
    <w:rsid w:val="00A85CEE"/>
    <w:rPr>
      <w:rFonts w:ascii="Expert Sans Regular" w:hAnsi="Expert Sans Regular"/>
      <w:sz w:val="18"/>
      <w:lang w:val="la-Latn" w:eastAsia="en-US" w:bidi="ar-SA"/>
    </w:rPr>
  </w:style>
  <w:style w:type="paragraph" w:customStyle="1" w:styleId="NoteandSourceText-BarcRA16">
    <w:name w:val="Note and Source Text - Barc RA_16"/>
    <w:basedOn w:val="Normal87"/>
    <w:qFormat/>
    <w:rsid w:val="004C10F9"/>
    <w:pPr>
      <w:numPr>
        <w:numId w:val="165"/>
      </w:numPr>
      <w:tabs>
        <w:tab w:val="left" w:pos="284"/>
      </w:tabs>
      <w:spacing w:before="20" w:after="20"/>
      <w:jc w:val="both"/>
    </w:pPr>
    <w:rPr>
      <w:rFonts w:ascii="Expert Sans Regular" w:hAnsi="Expert Sans Regular"/>
      <w:i/>
      <w:iCs/>
      <w:sz w:val="14"/>
      <w:szCs w:val="14"/>
      <w:lang w:eastAsia="en-US"/>
    </w:rPr>
  </w:style>
  <w:style w:type="paragraph" w:customStyle="1" w:styleId="Level1Bullet-BarcRA32">
    <w:name w:val="Level 1 Bullet - Barc RA_32"/>
    <w:basedOn w:val="BodyText-BarcRA63"/>
    <w:link w:val="Level1Bullet-BarcRAChar24"/>
    <w:qFormat/>
    <w:rsid w:val="00A85CEE"/>
    <w:pPr>
      <w:numPr>
        <w:numId w:val="166"/>
      </w:numPr>
    </w:pPr>
    <w:rPr>
      <w:lang w:val="la-Latn"/>
    </w:rPr>
  </w:style>
  <w:style w:type="paragraph" w:customStyle="1" w:styleId="BodyText-BarcRA63">
    <w:name w:val="Body Text - Barc RA_63"/>
    <w:link w:val="BodyText-BarcRAChar44"/>
    <w:qFormat/>
    <w:rsid w:val="005D52ED"/>
    <w:pPr>
      <w:spacing w:before="180" w:after="180"/>
      <w:jc w:val="both"/>
    </w:pPr>
    <w:rPr>
      <w:rFonts w:ascii="Expert Sans Regular" w:hAnsi="Expert Sans Regular"/>
      <w:sz w:val="18"/>
      <w:lang w:eastAsia="en-US"/>
    </w:rPr>
  </w:style>
  <w:style w:type="character" w:customStyle="1" w:styleId="BodyText-BarcRAChar44">
    <w:name w:val="Body Text - Barc RA Char_44"/>
    <w:basedOn w:val="DefaultParagraphFont"/>
    <w:link w:val="BodyText-BarcRA63"/>
    <w:rsid w:val="005D52ED"/>
    <w:rPr>
      <w:rFonts w:ascii="Expert Sans Regular" w:hAnsi="Expert Sans Regular"/>
      <w:sz w:val="18"/>
      <w:lang w:val="en-GB" w:eastAsia="en-US" w:bidi="ar-SA"/>
    </w:rPr>
  </w:style>
  <w:style w:type="character" w:customStyle="1" w:styleId="Level1Bullet-BarcRAChar24">
    <w:name w:val="Level 1 Bullet - Barc RA Char_24"/>
    <w:basedOn w:val="BodyText-BarcRAChar44"/>
    <w:link w:val="Level1Bullet-BarcRA32"/>
    <w:rsid w:val="00A85CEE"/>
    <w:rPr>
      <w:rFonts w:ascii="Expert Sans Regular" w:hAnsi="Expert Sans Regular"/>
      <w:sz w:val="18"/>
      <w:lang w:val="la-Latn" w:eastAsia="en-US" w:bidi="ar-SA"/>
    </w:rPr>
  </w:style>
  <w:style w:type="paragraph" w:customStyle="1" w:styleId="Level2Bullet-BarcRA7">
    <w:name w:val="Level 2 Bullet - Barc RA_7"/>
    <w:basedOn w:val="Normal88"/>
    <w:qFormat/>
    <w:rsid w:val="0035138F"/>
    <w:pPr>
      <w:numPr>
        <w:ilvl w:val="2"/>
        <w:numId w:val="168"/>
      </w:numPr>
      <w:spacing w:before="180" w:after="180"/>
      <w:jc w:val="both"/>
    </w:pPr>
    <w:rPr>
      <w:rFonts w:ascii="Expert Sans Regular" w:hAnsi="Expert Sans Regular"/>
      <w:sz w:val="18"/>
      <w:szCs w:val="20"/>
      <w:lang w:val="la-Latn" w:eastAsia="en-US"/>
    </w:rPr>
  </w:style>
  <w:style w:type="paragraph" w:customStyle="1" w:styleId="Normal88">
    <w:name w:val="Normal_88"/>
    <w:qFormat/>
    <w:rsid w:val="00F831F6"/>
    <w:rPr>
      <w:sz w:val="24"/>
      <w:szCs w:val="24"/>
    </w:rPr>
  </w:style>
  <w:style w:type="paragraph" w:customStyle="1" w:styleId="Level2Bullet-BarcRA8">
    <w:name w:val="Level 2 Bullet - Barc RA_8"/>
    <w:basedOn w:val="Level1Bullet-BarcRA32"/>
    <w:qFormat/>
    <w:rsid w:val="00A85CEE"/>
    <w:pPr>
      <w:numPr>
        <w:ilvl w:val="2"/>
        <w:numId w:val="169"/>
      </w:numPr>
    </w:pPr>
  </w:style>
  <w:style w:type="paragraph" w:customStyle="1" w:styleId="BodyText-BarcRA350">
    <w:name w:val="Body Text - Barc RA_35_0"/>
    <w:link w:val="BodyText-BarcRAChar230"/>
    <w:qFormat/>
    <w:rsid w:val="00D67A51"/>
    <w:pPr>
      <w:spacing w:before="180" w:after="180"/>
      <w:jc w:val="both"/>
    </w:pPr>
    <w:rPr>
      <w:rFonts w:ascii="Expert Sans Regular" w:hAnsi="Expert Sans Regular"/>
      <w:sz w:val="18"/>
      <w:lang w:eastAsia="en-US"/>
    </w:rPr>
  </w:style>
  <w:style w:type="character" w:customStyle="1" w:styleId="BodyText-BarcRAChar230">
    <w:name w:val="Body Text - Barc RA Char_23_0"/>
    <w:basedOn w:val="DefaultParagraphFont"/>
    <w:link w:val="BodyText-BarcRA350"/>
    <w:locked/>
    <w:rsid w:val="00D67A51"/>
    <w:rPr>
      <w:rFonts w:ascii="Expert Sans Regular" w:hAnsi="Expert Sans Regular"/>
      <w:sz w:val="18"/>
      <w:lang w:val="en-GB" w:eastAsia="en-US" w:bidi="ar-SA"/>
    </w:rPr>
  </w:style>
  <w:style w:type="paragraph" w:customStyle="1" w:styleId="NoteSourceText-BarcRA4">
    <w:name w:val="Note &amp; Source Text - Barc RA_4"/>
    <w:basedOn w:val="Normal89"/>
    <w:link w:val="NoteSourceText-BarcRAChar4"/>
    <w:rsid w:val="00E75B5D"/>
    <w:pPr>
      <w:tabs>
        <w:tab w:val="left" w:pos="284"/>
      </w:tabs>
      <w:spacing w:before="20" w:after="20"/>
      <w:ind w:left="284" w:hanging="284"/>
      <w:jc w:val="both"/>
    </w:pPr>
    <w:rPr>
      <w:i/>
      <w:iCs/>
      <w:sz w:val="14"/>
      <w:szCs w:val="14"/>
    </w:rPr>
  </w:style>
  <w:style w:type="paragraph" w:customStyle="1" w:styleId="Normal89">
    <w:name w:val="Normal_89"/>
    <w:qFormat/>
    <w:rsid w:val="009705AC"/>
    <w:rPr>
      <w:rFonts w:ascii="Expert Sans Regular" w:hAnsi="Expert Sans Regular"/>
      <w:sz w:val="18"/>
      <w:szCs w:val="24"/>
      <w:lang w:eastAsia="en-US"/>
    </w:rPr>
  </w:style>
  <w:style w:type="character" w:customStyle="1" w:styleId="NoteSourceText-BarcRAChar4">
    <w:name w:val="Note &amp; Source Text - Barc RA Char_4"/>
    <w:basedOn w:val="DefaultParagraphFont"/>
    <w:link w:val="NoteSourceText-BarcRA4"/>
    <w:rsid w:val="00E75B5D"/>
    <w:rPr>
      <w:rFonts w:ascii="Expert Sans Regular" w:hAnsi="Expert Sans Regular"/>
      <w:i/>
      <w:iCs/>
      <w:sz w:val="14"/>
      <w:szCs w:val="14"/>
      <w:lang w:eastAsia="en-US"/>
    </w:rPr>
  </w:style>
  <w:style w:type="paragraph" w:customStyle="1" w:styleId="HeadingLevel2-BarcRA19">
    <w:name w:val="Heading Level 2 - Barc RA_19"/>
    <w:basedOn w:val="HeadingLevel1-BarcRA42"/>
    <w:next w:val="BodyText-BarcRA64"/>
    <w:qFormat/>
    <w:rsid w:val="00EE71E7"/>
    <w:pPr>
      <w:spacing w:before="240" w:after="0"/>
    </w:pPr>
    <w:rPr>
      <w:sz w:val="20"/>
    </w:rPr>
  </w:style>
  <w:style w:type="paragraph" w:customStyle="1" w:styleId="HeadingLevel1-BarcRA42">
    <w:name w:val="Heading Level 1 - Barc RA_42"/>
    <w:basedOn w:val="BodyText-BarcRA64"/>
    <w:next w:val="BodyText-BarcRA64"/>
    <w:link w:val="HeadingLevel1-BarcRAChar32"/>
    <w:rsid w:val="002611B5"/>
    <w:pPr>
      <w:spacing w:before="0"/>
    </w:pPr>
    <w:rPr>
      <w:b/>
      <w:bCs/>
      <w:color w:val="000000"/>
      <w:sz w:val="24"/>
      <w:lang w:val="la-Latn"/>
    </w:rPr>
  </w:style>
  <w:style w:type="paragraph" w:customStyle="1" w:styleId="BodyText-BarcRA64">
    <w:name w:val="Body Text - Barc RA_64"/>
    <w:link w:val="BodyText-BarcRAChar45"/>
    <w:qFormat/>
    <w:rsid w:val="005D52ED"/>
    <w:pPr>
      <w:spacing w:before="180" w:after="180"/>
      <w:jc w:val="both"/>
    </w:pPr>
    <w:rPr>
      <w:rFonts w:ascii="Expert Sans Regular" w:hAnsi="Expert Sans Regular"/>
      <w:sz w:val="18"/>
      <w:lang w:eastAsia="en-US"/>
    </w:rPr>
  </w:style>
  <w:style w:type="character" w:customStyle="1" w:styleId="BodyText-BarcRAChar45">
    <w:name w:val="Body Text - Barc RA Char_45"/>
    <w:basedOn w:val="DefaultParagraphFont"/>
    <w:link w:val="BodyText-BarcRA64"/>
    <w:rsid w:val="005D52ED"/>
    <w:rPr>
      <w:rFonts w:ascii="Expert Sans Regular" w:hAnsi="Expert Sans Regular"/>
      <w:sz w:val="18"/>
      <w:lang w:val="en-GB" w:eastAsia="en-US" w:bidi="ar-SA"/>
    </w:rPr>
  </w:style>
  <w:style w:type="character" w:customStyle="1" w:styleId="HeadingLevel1-BarcRAChar32">
    <w:name w:val="Heading Level 1 - Barc RA Char_32"/>
    <w:basedOn w:val="DefaultParagraphFont"/>
    <w:link w:val="HeadingLevel1-BarcRA42"/>
    <w:rsid w:val="009705AC"/>
    <w:rPr>
      <w:rFonts w:ascii="Expert Sans Regular" w:hAnsi="Expert Sans Regular"/>
      <w:b/>
      <w:bCs/>
      <w:color w:val="000000"/>
      <w:sz w:val="24"/>
      <w:lang w:val="la-Latn"/>
    </w:rPr>
  </w:style>
  <w:style w:type="paragraph" w:customStyle="1" w:styleId="Level1Bullet-BarcRA33">
    <w:name w:val="Level 1 Bullet - Barc RA_33"/>
    <w:basedOn w:val="BodyText-BarcRA64"/>
    <w:link w:val="Level1Bullet-BarcRAChar25"/>
    <w:qFormat/>
    <w:rsid w:val="00A85CEE"/>
    <w:pPr>
      <w:numPr>
        <w:numId w:val="234"/>
      </w:numPr>
    </w:pPr>
    <w:rPr>
      <w:lang w:val="la-Latn"/>
    </w:rPr>
  </w:style>
  <w:style w:type="character" w:customStyle="1" w:styleId="Level1Bullet-BarcRAChar25">
    <w:name w:val="Level 1 Bullet - Barc RA Char_25"/>
    <w:basedOn w:val="BodyText-BarcRAChar45"/>
    <w:link w:val="Level1Bullet-BarcRA33"/>
    <w:rsid w:val="00A85CEE"/>
    <w:rPr>
      <w:rFonts w:ascii="Expert Sans Regular" w:hAnsi="Expert Sans Regular"/>
      <w:sz w:val="18"/>
      <w:lang w:val="la-Latn" w:eastAsia="en-US" w:bidi="ar-SA"/>
    </w:rPr>
  </w:style>
  <w:style w:type="paragraph" w:customStyle="1" w:styleId="Level1Bullet-BarcRA330">
    <w:name w:val="Level 1 Bullet - Barc RA_33_0"/>
    <w:basedOn w:val="Normal90"/>
    <w:link w:val="Level1Bullet-BarcRAChar26"/>
    <w:qFormat/>
    <w:rsid w:val="00A921C1"/>
    <w:pPr>
      <w:numPr>
        <w:numId w:val="170"/>
      </w:numPr>
      <w:spacing w:before="180" w:after="180"/>
      <w:jc w:val="both"/>
    </w:pPr>
    <w:rPr>
      <w:rFonts w:ascii="Expert Sans Regular" w:hAnsi="Expert Sans Regular"/>
      <w:sz w:val="18"/>
      <w:szCs w:val="20"/>
      <w:lang w:val="la-Latn" w:eastAsia="en-US"/>
    </w:rPr>
  </w:style>
  <w:style w:type="paragraph" w:customStyle="1" w:styleId="Normal90">
    <w:name w:val="Normal_90"/>
    <w:qFormat/>
    <w:rsid w:val="005B258C"/>
    <w:rPr>
      <w:sz w:val="24"/>
      <w:szCs w:val="24"/>
    </w:rPr>
  </w:style>
  <w:style w:type="character" w:customStyle="1" w:styleId="Level1Bullet-BarcRAChar26">
    <w:name w:val="Level 1 Bullet - Barc RA Char_26"/>
    <w:basedOn w:val="DefaultParagraphFont"/>
    <w:link w:val="Level1Bullet-BarcRA330"/>
    <w:locked/>
    <w:rsid w:val="00A921C1"/>
    <w:rPr>
      <w:rFonts w:ascii="Expert Sans Regular" w:hAnsi="Expert Sans Regular"/>
      <w:sz w:val="18"/>
      <w:lang w:val="la-Latn" w:eastAsia="en-US"/>
    </w:rPr>
  </w:style>
  <w:style w:type="paragraph" w:customStyle="1" w:styleId="Level1Bullet-BarcRA331">
    <w:name w:val="Level 1 Bullet - Barc RA_33_1"/>
    <w:basedOn w:val="Normal91"/>
    <w:link w:val="Level1Bullet-BarcRAChar260"/>
    <w:qFormat/>
    <w:rsid w:val="00357865"/>
    <w:pPr>
      <w:numPr>
        <w:numId w:val="171"/>
      </w:numPr>
      <w:spacing w:before="180" w:after="180"/>
      <w:jc w:val="both"/>
    </w:pPr>
    <w:rPr>
      <w:rFonts w:ascii="Expert Sans Regular" w:hAnsi="Expert Sans Regular"/>
      <w:sz w:val="18"/>
      <w:szCs w:val="20"/>
      <w:lang w:val="la-Latn" w:eastAsia="en-US"/>
    </w:rPr>
  </w:style>
  <w:style w:type="paragraph" w:customStyle="1" w:styleId="Normal91">
    <w:name w:val="Normal_91"/>
    <w:qFormat/>
    <w:rsid w:val="00357865"/>
    <w:rPr>
      <w:sz w:val="24"/>
      <w:szCs w:val="24"/>
    </w:rPr>
  </w:style>
  <w:style w:type="character" w:customStyle="1" w:styleId="Level1Bullet-BarcRAChar260">
    <w:name w:val="Level 1 Bullet - Barc RA Char_26_0"/>
    <w:basedOn w:val="DefaultParagraphFont"/>
    <w:link w:val="Level1Bullet-BarcRA331"/>
    <w:locked/>
    <w:rsid w:val="00357865"/>
    <w:rPr>
      <w:rFonts w:ascii="Expert Sans Regular" w:hAnsi="Expert Sans Regular"/>
      <w:sz w:val="18"/>
      <w:lang w:val="la-Latn" w:eastAsia="en-US"/>
    </w:rPr>
  </w:style>
  <w:style w:type="paragraph" w:customStyle="1" w:styleId="HeadingLevel2-BarcRA20">
    <w:name w:val="Heading Level 2 - Barc RA_20"/>
    <w:basedOn w:val="HeadingLevel1-BarcRA43"/>
    <w:next w:val="BodyText-BarcRA65"/>
    <w:qFormat/>
    <w:rsid w:val="00EE71E7"/>
    <w:pPr>
      <w:spacing w:before="240" w:after="0"/>
    </w:pPr>
    <w:rPr>
      <w:sz w:val="20"/>
    </w:rPr>
  </w:style>
  <w:style w:type="paragraph" w:customStyle="1" w:styleId="HeadingLevel1-BarcRA43">
    <w:name w:val="Heading Level 1 - Barc RA_43"/>
    <w:basedOn w:val="BodyText-BarcRA65"/>
    <w:next w:val="BodyText-BarcRA65"/>
    <w:link w:val="HeadingLevel1-BarcRAChar33"/>
    <w:rsid w:val="002611B5"/>
    <w:pPr>
      <w:spacing w:before="0"/>
    </w:pPr>
    <w:rPr>
      <w:b/>
      <w:bCs/>
      <w:color w:val="000000"/>
      <w:sz w:val="24"/>
      <w:lang w:val="la-Latn"/>
    </w:rPr>
  </w:style>
  <w:style w:type="paragraph" w:customStyle="1" w:styleId="BodyText-BarcRA65">
    <w:name w:val="Body Text - Barc RA_65"/>
    <w:link w:val="BodyText-BarcRAChar46"/>
    <w:qFormat/>
    <w:rsid w:val="005D52ED"/>
    <w:pPr>
      <w:spacing w:before="180" w:after="180"/>
      <w:jc w:val="both"/>
    </w:pPr>
    <w:rPr>
      <w:rFonts w:ascii="Expert Sans Regular" w:hAnsi="Expert Sans Regular"/>
      <w:sz w:val="18"/>
      <w:lang w:eastAsia="en-US"/>
    </w:rPr>
  </w:style>
  <w:style w:type="character" w:customStyle="1" w:styleId="BodyText-BarcRAChar46">
    <w:name w:val="Body Text - Barc RA Char_46"/>
    <w:basedOn w:val="DefaultParagraphFont"/>
    <w:link w:val="BodyText-BarcRA65"/>
    <w:rsid w:val="005D52ED"/>
    <w:rPr>
      <w:rFonts w:ascii="Expert Sans Regular" w:hAnsi="Expert Sans Regular"/>
      <w:sz w:val="18"/>
      <w:lang w:val="en-GB" w:eastAsia="en-US" w:bidi="ar-SA"/>
    </w:rPr>
  </w:style>
  <w:style w:type="character" w:customStyle="1" w:styleId="HeadingLevel1-BarcRAChar33">
    <w:name w:val="Heading Level 1 - Barc RA Char_33"/>
    <w:basedOn w:val="DefaultParagraphFont"/>
    <w:link w:val="HeadingLevel1-BarcRA43"/>
    <w:rsid w:val="009705AC"/>
    <w:rPr>
      <w:rFonts w:ascii="Expert Sans Regular" w:hAnsi="Expert Sans Regular"/>
      <w:b/>
      <w:bCs/>
      <w:color w:val="000000"/>
      <w:sz w:val="24"/>
      <w:lang w:val="la-Latn"/>
    </w:rPr>
  </w:style>
  <w:style w:type="paragraph" w:customStyle="1" w:styleId="Level1Bullet-BarcRA131">
    <w:name w:val="Level 1 Bullet - Barc RA_13_1"/>
    <w:basedOn w:val="Normal92"/>
    <w:rsid w:val="002D7FEF"/>
    <w:pPr>
      <w:numPr>
        <w:numId w:val="172"/>
      </w:numPr>
      <w:spacing w:before="180" w:after="180"/>
      <w:jc w:val="both"/>
    </w:pPr>
    <w:rPr>
      <w:rFonts w:ascii="Expert Sans Regular" w:hAnsi="Expert Sans Regular"/>
      <w:sz w:val="20"/>
      <w:szCs w:val="20"/>
      <w:lang w:val="en-US" w:eastAsia="en-US"/>
    </w:rPr>
  </w:style>
  <w:style w:type="paragraph" w:customStyle="1" w:styleId="Normal92">
    <w:name w:val="Normal_92"/>
    <w:qFormat/>
    <w:rsid w:val="00C07B56"/>
    <w:rPr>
      <w:sz w:val="24"/>
      <w:szCs w:val="24"/>
    </w:rPr>
  </w:style>
  <w:style w:type="paragraph" w:customStyle="1" w:styleId="Level1Bullet-BarcRA35">
    <w:name w:val="Level 1 Bullet - Barc RA_35"/>
    <w:basedOn w:val="BodyText-BarcRA65"/>
    <w:link w:val="Level1Bullet-BarcRAChar27"/>
    <w:qFormat/>
    <w:rsid w:val="00A85CEE"/>
    <w:pPr>
      <w:numPr>
        <w:numId w:val="173"/>
      </w:numPr>
    </w:pPr>
    <w:rPr>
      <w:lang w:val="la-Latn"/>
    </w:rPr>
  </w:style>
  <w:style w:type="character" w:customStyle="1" w:styleId="Level1Bullet-BarcRAChar27">
    <w:name w:val="Level 1 Bullet - Barc RA Char_27"/>
    <w:basedOn w:val="BodyText-BarcRAChar46"/>
    <w:link w:val="Level1Bullet-BarcRA35"/>
    <w:rsid w:val="00A85CEE"/>
    <w:rPr>
      <w:rFonts w:ascii="Expert Sans Regular" w:hAnsi="Expert Sans Regular"/>
      <w:sz w:val="18"/>
      <w:lang w:val="la-Latn" w:eastAsia="en-US" w:bidi="ar-SA"/>
    </w:rPr>
  </w:style>
  <w:style w:type="paragraph" w:customStyle="1" w:styleId="Normal93">
    <w:name w:val="Normal_93"/>
    <w:qFormat/>
    <w:rsid w:val="00A9383D"/>
    <w:rPr>
      <w:sz w:val="24"/>
      <w:szCs w:val="24"/>
    </w:rPr>
  </w:style>
  <w:style w:type="paragraph" w:customStyle="1" w:styleId="HeadingLevel1-BarcRA44">
    <w:name w:val="Heading Level 1 - Barc RA_44"/>
    <w:basedOn w:val="BodyText-BarcRA66"/>
    <w:next w:val="BodyText-BarcRA66"/>
    <w:link w:val="HeadingLevel1-BarcRAChar34"/>
    <w:qFormat/>
    <w:rsid w:val="002611B5"/>
    <w:pPr>
      <w:spacing w:before="0"/>
    </w:pPr>
    <w:rPr>
      <w:b/>
      <w:bCs/>
      <w:color w:val="000000"/>
      <w:sz w:val="24"/>
      <w:lang w:val="la-Latn"/>
    </w:rPr>
  </w:style>
  <w:style w:type="paragraph" w:customStyle="1" w:styleId="BodyText-BarcRA66">
    <w:name w:val="Body Text - Barc RA_66"/>
    <w:link w:val="BodyText-BarcRAChar47"/>
    <w:qFormat/>
    <w:rsid w:val="005D52ED"/>
    <w:pPr>
      <w:spacing w:before="180" w:after="180"/>
      <w:jc w:val="both"/>
    </w:pPr>
    <w:rPr>
      <w:rFonts w:ascii="Expert Sans Regular" w:hAnsi="Expert Sans Regular"/>
      <w:sz w:val="18"/>
      <w:lang w:eastAsia="en-US"/>
    </w:rPr>
  </w:style>
  <w:style w:type="character" w:customStyle="1" w:styleId="BodyText-BarcRAChar47">
    <w:name w:val="Body Text - Barc RA Char_47"/>
    <w:basedOn w:val="DefaultParagraphFont"/>
    <w:link w:val="BodyText-BarcRA66"/>
    <w:rsid w:val="005D52ED"/>
    <w:rPr>
      <w:rFonts w:ascii="Expert Sans Regular" w:hAnsi="Expert Sans Regular"/>
      <w:sz w:val="18"/>
      <w:lang w:val="en-GB" w:eastAsia="en-US" w:bidi="ar-SA"/>
    </w:rPr>
  </w:style>
  <w:style w:type="character" w:customStyle="1" w:styleId="HeadingLevel1-BarcRAChar34">
    <w:name w:val="Heading Level 1 - Barc RA Char_34"/>
    <w:basedOn w:val="DefaultParagraphFont"/>
    <w:link w:val="HeadingLevel1-BarcRA44"/>
    <w:rsid w:val="009705AC"/>
    <w:rPr>
      <w:rFonts w:ascii="Expert Sans Regular" w:hAnsi="Expert Sans Regular"/>
      <w:b/>
      <w:bCs/>
      <w:color w:val="000000"/>
      <w:sz w:val="24"/>
      <w:lang w:val="la-Latn"/>
    </w:rPr>
  </w:style>
  <w:style w:type="paragraph" w:customStyle="1" w:styleId="Level1Bullet-BarcRA50">
    <w:name w:val="Level 1 Bullet - Barc RA_5_0"/>
    <w:basedOn w:val="Normal94"/>
    <w:link w:val="Level1Bullet-BarcRAChar40"/>
    <w:qFormat/>
    <w:rsid w:val="005A48C3"/>
    <w:pPr>
      <w:numPr>
        <w:numId w:val="174"/>
      </w:numPr>
      <w:spacing w:before="180" w:after="180"/>
      <w:jc w:val="both"/>
    </w:pPr>
    <w:rPr>
      <w:szCs w:val="20"/>
      <w:lang w:val="la-Latn"/>
    </w:rPr>
  </w:style>
  <w:style w:type="paragraph" w:customStyle="1" w:styleId="Normal94">
    <w:name w:val="Normal_94"/>
    <w:qFormat/>
    <w:rsid w:val="009705AC"/>
    <w:rPr>
      <w:rFonts w:ascii="Expert Sans Regular" w:hAnsi="Expert Sans Regular"/>
      <w:sz w:val="18"/>
      <w:szCs w:val="24"/>
      <w:lang w:eastAsia="en-US"/>
    </w:rPr>
  </w:style>
  <w:style w:type="character" w:customStyle="1" w:styleId="Level1Bullet-BarcRAChar40">
    <w:name w:val="Level 1 Bullet - Barc RA Char_4_0"/>
    <w:basedOn w:val="DefaultParagraphFont"/>
    <w:link w:val="Level1Bullet-BarcRA50"/>
    <w:locked/>
    <w:rsid w:val="005A48C3"/>
    <w:rPr>
      <w:rFonts w:ascii="Expert Sans Regular" w:hAnsi="Expert Sans Regular"/>
      <w:sz w:val="18"/>
      <w:lang w:val="la-Latn" w:eastAsia="en-US"/>
    </w:rPr>
  </w:style>
  <w:style w:type="paragraph" w:customStyle="1" w:styleId="HeadingLevel2-BarcRA180">
    <w:name w:val="Heading Level 2 - Barc RA_18_0"/>
    <w:basedOn w:val="Normal94"/>
    <w:next w:val="Normal94"/>
    <w:qFormat/>
    <w:rsid w:val="000968D4"/>
    <w:pPr>
      <w:spacing w:before="240"/>
      <w:jc w:val="both"/>
    </w:pPr>
    <w:rPr>
      <w:b/>
      <w:bCs/>
      <w:color w:val="000000"/>
      <w:sz w:val="20"/>
      <w:szCs w:val="20"/>
      <w:lang w:val="la-Latn"/>
    </w:rPr>
  </w:style>
  <w:style w:type="paragraph" w:customStyle="1" w:styleId="Level1Bullet-BarcRA291">
    <w:name w:val="Level 1 Bullet - Barc RA_29_1"/>
    <w:basedOn w:val="Normal94"/>
    <w:link w:val="Level1Bullet-BarcRAChar251"/>
    <w:qFormat/>
    <w:rsid w:val="00216858"/>
    <w:pPr>
      <w:numPr>
        <w:numId w:val="175"/>
      </w:numPr>
      <w:spacing w:before="180" w:after="180"/>
      <w:jc w:val="both"/>
    </w:pPr>
    <w:rPr>
      <w:szCs w:val="20"/>
      <w:lang w:val="la-Latn"/>
    </w:rPr>
  </w:style>
  <w:style w:type="character" w:customStyle="1" w:styleId="Level1Bullet-BarcRAChar251">
    <w:name w:val="Level 1 Bullet - Barc RA Char_25_1"/>
    <w:basedOn w:val="DefaultParagraphFont"/>
    <w:link w:val="Level1Bullet-BarcRA291"/>
    <w:locked/>
    <w:rsid w:val="00216858"/>
    <w:rPr>
      <w:rFonts w:ascii="Expert Sans Regular" w:hAnsi="Expert Sans Regular"/>
      <w:sz w:val="18"/>
      <w:lang w:val="la-Latn" w:eastAsia="en-US"/>
    </w:rPr>
  </w:style>
  <w:style w:type="paragraph" w:customStyle="1" w:styleId="Level1Bullet-BarcRA320">
    <w:name w:val="Level 1 Bullet - Barc RA_32_0"/>
    <w:basedOn w:val="Normal95"/>
    <w:link w:val="Level1Bullet-BarcRAChar261"/>
    <w:qFormat/>
    <w:locked/>
    <w:rsid w:val="002F4029"/>
    <w:pPr>
      <w:numPr>
        <w:numId w:val="176"/>
      </w:numPr>
      <w:spacing w:before="180" w:after="180" w:line="240" w:lineRule="auto"/>
      <w:jc w:val="both"/>
    </w:pPr>
    <w:rPr>
      <w:rFonts w:ascii="Expert Sans Regular" w:hAnsi="Expert Sans Regular"/>
      <w:sz w:val="18"/>
      <w:szCs w:val="20"/>
      <w:lang w:val="la-Latn"/>
    </w:rPr>
  </w:style>
  <w:style w:type="paragraph" w:customStyle="1" w:styleId="Normal95">
    <w:name w:val="Normal_95"/>
    <w:qFormat/>
    <w:rsid w:val="00DE0D86"/>
    <w:pPr>
      <w:spacing w:after="200" w:line="276" w:lineRule="auto"/>
    </w:pPr>
    <w:rPr>
      <w:sz w:val="22"/>
      <w:szCs w:val="22"/>
      <w:lang w:eastAsia="en-US"/>
    </w:rPr>
  </w:style>
  <w:style w:type="character" w:customStyle="1" w:styleId="Level1Bullet-BarcRAChar261">
    <w:name w:val="Level 1 Bullet - Barc RA Char_26_1"/>
    <w:basedOn w:val="DefaultParagraphFont"/>
    <w:link w:val="Level1Bullet-BarcRA320"/>
    <w:locked/>
    <w:rsid w:val="002F4029"/>
    <w:rPr>
      <w:rFonts w:ascii="Expert Sans Regular" w:hAnsi="Expert Sans Regular"/>
      <w:sz w:val="18"/>
      <w:lang w:val="la-Latn" w:eastAsia="en-US"/>
    </w:rPr>
  </w:style>
  <w:style w:type="paragraph" w:customStyle="1" w:styleId="Level2Bullet-BarcRA13">
    <w:name w:val="Level 2 Bullet - Barc RA_13"/>
    <w:basedOn w:val="Level1Bullet-BarcRA320"/>
    <w:qFormat/>
    <w:rsid w:val="002F4029"/>
    <w:pPr>
      <w:numPr>
        <w:ilvl w:val="2"/>
        <w:numId w:val="178"/>
      </w:numPr>
      <w:tabs>
        <w:tab w:val="clear" w:pos="1401"/>
        <w:tab w:val="num" w:pos="360"/>
      </w:tabs>
    </w:pPr>
  </w:style>
  <w:style w:type="paragraph" w:customStyle="1" w:styleId="Level1Bullet-BarcRA01">
    <w:name w:val="Level 1 Bullet - Barc RA_0_1"/>
    <w:basedOn w:val="BodyText-BarcRA00"/>
    <w:link w:val="Level1Bullet-BarcRAChar01"/>
    <w:rsid w:val="006E6EE3"/>
    <w:pPr>
      <w:numPr>
        <w:numId w:val="180"/>
      </w:numPr>
    </w:pPr>
    <w:rPr>
      <w:lang w:val="la-Latn"/>
    </w:rPr>
  </w:style>
  <w:style w:type="paragraph" w:customStyle="1" w:styleId="BodyText-BarcRA00">
    <w:name w:val="Body Text - Barc RA_0_0"/>
    <w:link w:val="BodyText-BarcRAChar00"/>
    <w:qFormat/>
    <w:rsid w:val="009C25DF"/>
    <w:pPr>
      <w:spacing w:before="180" w:after="180"/>
      <w:jc w:val="both"/>
    </w:pPr>
    <w:rPr>
      <w:rFonts w:ascii="Expert Sans Regular" w:hAnsi="Expert Sans Regular"/>
      <w:sz w:val="18"/>
      <w:lang w:eastAsia="en-US"/>
    </w:rPr>
  </w:style>
  <w:style w:type="character" w:customStyle="1" w:styleId="BodyText-BarcRAChar00">
    <w:name w:val="Body Text - Barc RA Char_0_0"/>
    <w:basedOn w:val="DefaultParagraphFont"/>
    <w:link w:val="BodyText-BarcRA00"/>
    <w:locked/>
    <w:rsid w:val="009C25DF"/>
    <w:rPr>
      <w:rFonts w:ascii="Expert Sans Regular" w:hAnsi="Expert Sans Regular"/>
      <w:sz w:val="18"/>
      <w:lang w:val="en-GB" w:eastAsia="en-US" w:bidi="ar-SA"/>
    </w:rPr>
  </w:style>
  <w:style w:type="character" w:customStyle="1" w:styleId="Level1Bullet-BarcRAChar01">
    <w:name w:val="Level 1 Bullet - Barc RA Char_0_1"/>
    <w:basedOn w:val="BodyText-BarcRAChar00"/>
    <w:link w:val="Level1Bullet-BarcRA01"/>
    <w:locked/>
    <w:rsid w:val="006E6EE3"/>
    <w:rPr>
      <w:rFonts w:ascii="Expert Sans Regular" w:hAnsi="Expert Sans Regular"/>
      <w:sz w:val="18"/>
      <w:lang w:val="la-Latn" w:eastAsia="en-US" w:bidi="ar-SA"/>
    </w:rPr>
  </w:style>
  <w:style w:type="paragraph" w:customStyle="1" w:styleId="Level2Bullet-BarcRA9">
    <w:name w:val="Level 2 Bullet - Barc RA_9"/>
    <w:basedOn w:val="Level1Bullet-BarcRA36"/>
    <w:qFormat/>
    <w:rsid w:val="00A85CEE"/>
    <w:pPr>
      <w:numPr>
        <w:ilvl w:val="2"/>
        <w:numId w:val="181"/>
      </w:numPr>
    </w:pPr>
  </w:style>
  <w:style w:type="paragraph" w:customStyle="1" w:styleId="Level1Bullet-BarcRA36">
    <w:name w:val="Level 1 Bullet - Barc RA_36"/>
    <w:basedOn w:val="BodyText-BarcRA67"/>
    <w:link w:val="Level1Bullet-BarcRAChar28"/>
    <w:qFormat/>
    <w:rsid w:val="00A85CEE"/>
    <w:pPr>
      <w:numPr>
        <w:numId w:val="182"/>
      </w:numPr>
    </w:pPr>
    <w:rPr>
      <w:lang w:val="la-Latn"/>
    </w:rPr>
  </w:style>
  <w:style w:type="paragraph" w:customStyle="1" w:styleId="BodyText-BarcRA67">
    <w:name w:val="Body Text - Barc RA_67"/>
    <w:link w:val="BodyText-BarcRAChar48"/>
    <w:qFormat/>
    <w:rsid w:val="005D52ED"/>
    <w:pPr>
      <w:spacing w:before="180" w:after="180"/>
      <w:jc w:val="both"/>
    </w:pPr>
    <w:rPr>
      <w:rFonts w:ascii="Expert Sans Regular" w:hAnsi="Expert Sans Regular"/>
      <w:sz w:val="18"/>
      <w:lang w:eastAsia="en-US"/>
    </w:rPr>
  </w:style>
  <w:style w:type="character" w:customStyle="1" w:styleId="BodyText-BarcRAChar48">
    <w:name w:val="Body Text - Barc RA Char_48"/>
    <w:basedOn w:val="DefaultParagraphFont"/>
    <w:link w:val="BodyText-BarcRA67"/>
    <w:rsid w:val="005D52ED"/>
    <w:rPr>
      <w:rFonts w:ascii="Expert Sans Regular" w:hAnsi="Expert Sans Regular"/>
      <w:sz w:val="18"/>
      <w:lang w:val="en-GB" w:eastAsia="en-US" w:bidi="ar-SA"/>
    </w:rPr>
  </w:style>
  <w:style w:type="character" w:customStyle="1" w:styleId="Level1Bullet-BarcRAChar28">
    <w:name w:val="Level 1 Bullet - Barc RA Char_28"/>
    <w:basedOn w:val="BodyText-BarcRAChar48"/>
    <w:link w:val="Level1Bullet-BarcRA36"/>
    <w:rsid w:val="00A85CEE"/>
    <w:rPr>
      <w:rFonts w:ascii="Expert Sans Regular" w:hAnsi="Expert Sans Regular"/>
      <w:sz w:val="18"/>
      <w:lang w:val="la-Latn" w:eastAsia="en-US" w:bidi="ar-SA"/>
    </w:rPr>
  </w:style>
  <w:style w:type="paragraph" w:customStyle="1" w:styleId="NoteandSourceText-BarcRA17">
    <w:name w:val="Note and Source Text - Barc RA_17"/>
    <w:basedOn w:val="Normal96"/>
    <w:qFormat/>
    <w:rsid w:val="00F272E3"/>
    <w:pPr>
      <w:numPr>
        <w:numId w:val="184"/>
      </w:numPr>
      <w:spacing w:before="20" w:after="20"/>
      <w:jc w:val="both"/>
    </w:pPr>
    <w:rPr>
      <w:i/>
      <w:iCs/>
      <w:sz w:val="14"/>
      <w:szCs w:val="14"/>
    </w:rPr>
  </w:style>
  <w:style w:type="paragraph" w:customStyle="1" w:styleId="Normal96">
    <w:name w:val="Normal_96"/>
    <w:qFormat/>
    <w:rsid w:val="009705AC"/>
    <w:rPr>
      <w:rFonts w:ascii="Expert Sans Regular" w:hAnsi="Expert Sans Regular"/>
      <w:sz w:val="18"/>
      <w:szCs w:val="24"/>
      <w:lang w:eastAsia="en-US"/>
    </w:rPr>
  </w:style>
  <w:style w:type="paragraph" w:customStyle="1" w:styleId="Level2Bullet-BarcRA80">
    <w:name w:val="Level 2 Bullet - Barc RA_8_0"/>
    <w:basedOn w:val="Normal96"/>
    <w:qFormat/>
    <w:rsid w:val="00675AA0"/>
    <w:pPr>
      <w:numPr>
        <w:ilvl w:val="2"/>
        <w:numId w:val="186"/>
      </w:numPr>
      <w:spacing w:before="180" w:after="180"/>
      <w:jc w:val="both"/>
    </w:pPr>
    <w:rPr>
      <w:szCs w:val="20"/>
      <w:lang w:val="la-Latn"/>
    </w:rPr>
  </w:style>
  <w:style w:type="paragraph" w:customStyle="1" w:styleId="Level1Bullet-BarcRA37">
    <w:name w:val="Level 1 Bullet - Barc RA_37"/>
    <w:basedOn w:val="BodyText-BarcRA68"/>
    <w:link w:val="Level1Bullet-BarcRAChar29"/>
    <w:qFormat/>
    <w:rsid w:val="00A85CEE"/>
    <w:pPr>
      <w:numPr>
        <w:numId w:val="187"/>
      </w:numPr>
    </w:pPr>
    <w:rPr>
      <w:lang w:val="la-Latn"/>
    </w:rPr>
  </w:style>
  <w:style w:type="paragraph" w:customStyle="1" w:styleId="BodyText-BarcRA68">
    <w:name w:val="Body Text - Barc RA_68"/>
    <w:link w:val="BodyText-BarcRAChar49"/>
    <w:qFormat/>
    <w:rsid w:val="005D52ED"/>
    <w:pPr>
      <w:spacing w:before="180" w:after="180"/>
      <w:jc w:val="both"/>
    </w:pPr>
    <w:rPr>
      <w:rFonts w:ascii="Expert Sans Regular" w:hAnsi="Expert Sans Regular"/>
      <w:sz w:val="18"/>
      <w:lang w:eastAsia="en-US"/>
    </w:rPr>
  </w:style>
  <w:style w:type="character" w:customStyle="1" w:styleId="BodyText-BarcRAChar49">
    <w:name w:val="Body Text - Barc RA Char_49"/>
    <w:basedOn w:val="DefaultParagraphFont"/>
    <w:link w:val="BodyText-BarcRA68"/>
    <w:rsid w:val="005D52ED"/>
    <w:rPr>
      <w:rFonts w:ascii="Expert Sans Regular" w:hAnsi="Expert Sans Regular"/>
      <w:sz w:val="18"/>
      <w:lang w:val="en-GB" w:eastAsia="en-US" w:bidi="ar-SA"/>
    </w:rPr>
  </w:style>
  <w:style w:type="character" w:customStyle="1" w:styleId="Level1Bullet-BarcRAChar29">
    <w:name w:val="Level 1 Bullet - Barc RA Char_29"/>
    <w:basedOn w:val="BodyText-BarcRAChar49"/>
    <w:link w:val="Level1Bullet-BarcRA37"/>
    <w:rsid w:val="00A85CEE"/>
    <w:rPr>
      <w:rFonts w:ascii="Expert Sans Regular" w:hAnsi="Expert Sans Regular"/>
      <w:sz w:val="18"/>
      <w:lang w:val="la-Latn" w:eastAsia="en-US" w:bidi="ar-SA"/>
    </w:rPr>
  </w:style>
  <w:style w:type="paragraph" w:customStyle="1" w:styleId="Level2Bullet-BarcRA10">
    <w:name w:val="Level 2 Bullet - Barc RA_10"/>
    <w:basedOn w:val="Level1Bullet-BarcRA37"/>
    <w:qFormat/>
    <w:rsid w:val="00A85CEE"/>
    <w:pPr>
      <w:numPr>
        <w:ilvl w:val="2"/>
        <w:numId w:val="189"/>
      </w:numPr>
    </w:pPr>
  </w:style>
  <w:style w:type="paragraph" w:customStyle="1" w:styleId="NoteandSourceText-BarcRA18">
    <w:name w:val="Note and Source Text - Barc RA_18"/>
    <w:basedOn w:val="Normal97"/>
    <w:qFormat/>
    <w:rsid w:val="00DB690B"/>
    <w:pPr>
      <w:numPr>
        <w:numId w:val="191"/>
      </w:numPr>
      <w:tabs>
        <w:tab w:val="left" w:pos="284"/>
      </w:tabs>
      <w:spacing w:before="20" w:after="20"/>
      <w:jc w:val="both"/>
    </w:pPr>
    <w:rPr>
      <w:i/>
      <w:iCs/>
      <w:sz w:val="14"/>
      <w:szCs w:val="14"/>
    </w:rPr>
  </w:style>
  <w:style w:type="paragraph" w:customStyle="1" w:styleId="Normal97">
    <w:name w:val="Normal_97"/>
    <w:qFormat/>
    <w:rsid w:val="009705AC"/>
    <w:rPr>
      <w:rFonts w:ascii="Expert Sans Regular" w:hAnsi="Expert Sans Regular"/>
      <w:sz w:val="18"/>
      <w:szCs w:val="24"/>
      <w:lang w:eastAsia="en-US"/>
    </w:rPr>
  </w:style>
  <w:style w:type="paragraph" w:customStyle="1" w:styleId="Level1Bullet-BarcRA38">
    <w:name w:val="Level 1 Bullet - Barc RA_38"/>
    <w:basedOn w:val="BodyText-BarcRA69"/>
    <w:link w:val="Level1Bullet-BarcRAChar30"/>
    <w:qFormat/>
    <w:rsid w:val="00A85CEE"/>
    <w:pPr>
      <w:numPr>
        <w:numId w:val="193"/>
      </w:numPr>
    </w:pPr>
    <w:rPr>
      <w:lang w:val="la-Latn"/>
    </w:rPr>
  </w:style>
  <w:style w:type="paragraph" w:customStyle="1" w:styleId="BodyText-BarcRA69">
    <w:name w:val="Body Text - Barc RA_69"/>
    <w:link w:val="BodyText-BarcRAChar50"/>
    <w:qFormat/>
    <w:rsid w:val="005D52ED"/>
    <w:pPr>
      <w:spacing w:before="180" w:after="180"/>
      <w:jc w:val="both"/>
    </w:pPr>
    <w:rPr>
      <w:rFonts w:ascii="Expert Sans Regular" w:hAnsi="Expert Sans Regular"/>
      <w:sz w:val="18"/>
      <w:lang w:eastAsia="en-US"/>
    </w:rPr>
  </w:style>
  <w:style w:type="character" w:customStyle="1" w:styleId="BodyText-BarcRAChar50">
    <w:name w:val="Body Text - Barc RA Char_50"/>
    <w:basedOn w:val="DefaultParagraphFont"/>
    <w:link w:val="BodyText-BarcRA69"/>
    <w:rsid w:val="005D52ED"/>
    <w:rPr>
      <w:rFonts w:ascii="Expert Sans Regular" w:hAnsi="Expert Sans Regular"/>
      <w:sz w:val="18"/>
      <w:lang w:val="en-GB" w:eastAsia="en-US" w:bidi="ar-SA"/>
    </w:rPr>
  </w:style>
  <w:style w:type="character" w:customStyle="1" w:styleId="Level1Bullet-BarcRAChar30">
    <w:name w:val="Level 1 Bullet - Barc RA Char_30"/>
    <w:basedOn w:val="BodyText-BarcRAChar50"/>
    <w:link w:val="Level1Bullet-BarcRA38"/>
    <w:rsid w:val="00A85CEE"/>
    <w:rPr>
      <w:rFonts w:ascii="Expert Sans Regular" w:hAnsi="Expert Sans Regular"/>
      <w:sz w:val="18"/>
      <w:lang w:val="la-Latn" w:eastAsia="en-US" w:bidi="ar-SA"/>
    </w:rPr>
  </w:style>
  <w:style w:type="paragraph" w:customStyle="1" w:styleId="Level2Bullet-BarcRA11">
    <w:name w:val="Level 2 Bullet - Barc RA_11"/>
    <w:basedOn w:val="Level1Bullet-BarcRA38"/>
    <w:qFormat/>
    <w:rsid w:val="00A85CEE"/>
    <w:pPr>
      <w:numPr>
        <w:ilvl w:val="2"/>
        <w:numId w:val="195"/>
      </w:numPr>
    </w:pPr>
  </w:style>
  <w:style w:type="paragraph" w:customStyle="1" w:styleId="NoteandSourceText-BarcRA19">
    <w:name w:val="Note and Source Text - Barc RA_19"/>
    <w:basedOn w:val="Normal98"/>
    <w:qFormat/>
    <w:rsid w:val="002D309A"/>
    <w:pPr>
      <w:numPr>
        <w:numId w:val="197"/>
      </w:numPr>
      <w:tabs>
        <w:tab w:val="left" w:pos="284"/>
      </w:tabs>
      <w:spacing w:before="20" w:after="20"/>
      <w:jc w:val="both"/>
    </w:pPr>
    <w:rPr>
      <w:i/>
      <w:iCs/>
      <w:sz w:val="14"/>
      <w:szCs w:val="14"/>
    </w:rPr>
  </w:style>
  <w:style w:type="paragraph" w:customStyle="1" w:styleId="Normal98">
    <w:name w:val="Normal_98"/>
    <w:qFormat/>
    <w:rsid w:val="009705AC"/>
    <w:rPr>
      <w:rFonts w:ascii="Expert Sans Regular" w:hAnsi="Expert Sans Regular"/>
      <w:sz w:val="18"/>
      <w:szCs w:val="24"/>
      <w:lang w:eastAsia="en-US"/>
    </w:rPr>
  </w:style>
  <w:style w:type="paragraph" w:customStyle="1" w:styleId="Level1Bullet-BarcRA39">
    <w:name w:val="Level 1 Bullet - Barc RA_39"/>
    <w:basedOn w:val="BodyText-BarcRA70"/>
    <w:link w:val="Level1Bullet-BarcRAChar31"/>
    <w:qFormat/>
    <w:rsid w:val="00A85CEE"/>
    <w:pPr>
      <w:numPr>
        <w:numId w:val="199"/>
      </w:numPr>
    </w:pPr>
    <w:rPr>
      <w:lang w:val="la-Latn"/>
    </w:rPr>
  </w:style>
  <w:style w:type="paragraph" w:customStyle="1" w:styleId="BodyText-BarcRA70">
    <w:name w:val="Body Text - Barc RA_70"/>
    <w:link w:val="BodyText-BarcRAChar51"/>
    <w:qFormat/>
    <w:rsid w:val="005D52ED"/>
    <w:pPr>
      <w:spacing w:before="180" w:after="180"/>
      <w:jc w:val="both"/>
    </w:pPr>
    <w:rPr>
      <w:rFonts w:ascii="Expert Sans Regular" w:hAnsi="Expert Sans Regular"/>
      <w:sz w:val="18"/>
      <w:lang w:eastAsia="en-US"/>
    </w:rPr>
  </w:style>
  <w:style w:type="character" w:customStyle="1" w:styleId="BodyText-BarcRAChar51">
    <w:name w:val="Body Text - Barc RA Char_51"/>
    <w:basedOn w:val="DefaultParagraphFont"/>
    <w:link w:val="BodyText-BarcRA70"/>
    <w:rsid w:val="005D52ED"/>
    <w:rPr>
      <w:rFonts w:ascii="Expert Sans Regular" w:hAnsi="Expert Sans Regular"/>
      <w:sz w:val="18"/>
      <w:lang w:val="en-GB" w:eastAsia="en-US" w:bidi="ar-SA"/>
    </w:rPr>
  </w:style>
  <w:style w:type="character" w:customStyle="1" w:styleId="Level1Bullet-BarcRAChar31">
    <w:name w:val="Level 1 Bullet - Barc RA Char_31"/>
    <w:basedOn w:val="BodyText-BarcRAChar51"/>
    <w:link w:val="Level1Bullet-BarcRA39"/>
    <w:rsid w:val="00A85CEE"/>
    <w:rPr>
      <w:rFonts w:ascii="Expert Sans Regular" w:hAnsi="Expert Sans Regular"/>
      <w:sz w:val="18"/>
      <w:lang w:val="la-Latn" w:eastAsia="en-US" w:bidi="ar-SA"/>
    </w:rPr>
  </w:style>
  <w:style w:type="paragraph" w:customStyle="1" w:styleId="Level2Bullet-BarcRA12">
    <w:name w:val="Level 2 Bullet - Barc RA_12"/>
    <w:basedOn w:val="Level1Bullet-BarcRA39"/>
    <w:qFormat/>
    <w:rsid w:val="00A85CEE"/>
    <w:pPr>
      <w:numPr>
        <w:ilvl w:val="2"/>
        <w:numId w:val="201"/>
      </w:numPr>
    </w:pPr>
  </w:style>
  <w:style w:type="paragraph" w:customStyle="1" w:styleId="NoteandSourceText-BarcRA200">
    <w:name w:val="Note and Source Text - Barc RA_20"/>
    <w:basedOn w:val="Normal99"/>
    <w:qFormat/>
    <w:rsid w:val="00EE7281"/>
    <w:pPr>
      <w:numPr>
        <w:numId w:val="203"/>
      </w:numPr>
      <w:tabs>
        <w:tab w:val="left" w:pos="284"/>
      </w:tabs>
      <w:spacing w:before="20" w:after="20"/>
      <w:jc w:val="both"/>
    </w:pPr>
    <w:rPr>
      <w:i/>
      <w:iCs/>
      <w:sz w:val="14"/>
      <w:szCs w:val="14"/>
    </w:rPr>
  </w:style>
  <w:style w:type="paragraph" w:customStyle="1" w:styleId="Normal99">
    <w:name w:val="Normal_99"/>
    <w:qFormat/>
    <w:rsid w:val="009705AC"/>
    <w:rPr>
      <w:rFonts w:ascii="Expert Sans Regular" w:hAnsi="Expert Sans Regular"/>
      <w:sz w:val="18"/>
      <w:szCs w:val="24"/>
      <w:lang w:eastAsia="en-US"/>
    </w:rPr>
  </w:style>
  <w:style w:type="paragraph" w:customStyle="1" w:styleId="NoteandSourceText-BarcRA21">
    <w:name w:val="Note and Source Text - Barc RA_21"/>
    <w:basedOn w:val="Normal1000"/>
    <w:qFormat/>
    <w:rsid w:val="00AE53C7"/>
    <w:pPr>
      <w:numPr>
        <w:numId w:val="205"/>
      </w:numPr>
      <w:tabs>
        <w:tab w:val="left" w:pos="284"/>
      </w:tabs>
      <w:spacing w:before="20" w:after="20" w:line="240" w:lineRule="auto"/>
      <w:jc w:val="both"/>
    </w:pPr>
    <w:rPr>
      <w:rFonts w:ascii="Expert Sans Regular" w:hAnsi="Expert Sans Regular"/>
      <w:i/>
      <w:iCs/>
      <w:sz w:val="14"/>
      <w:szCs w:val="14"/>
    </w:rPr>
  </w:style>
  <w:style w:type="paragraph" w:customStyle="1" w:styleId="Normal1000">
    <w:name w:val="Normal_100"/>
    <w:qFormat/>
    <w:rsid w:val="00DE0D86"/>
    <w:pPr>
      <w:spacing w:after="200" w:line="276" w:lineRule="auto"/>
    </w:pPr>
    <w:rPr>
      <w:sz w:val="22"/>
      <w:szCs w:val="22"/>
      <w:lang w:eastAsia="en-US"/>
    </w:rPr>
  </w:style>
  <w:style w:type="paragraph" w:customStyle="1" w:styleId="Level1Bullet-BarcRA290">
    <w:name w:val="Level 1 Bullet - Barc RA_29_0"/>
    <w:basedOn w:val="Normal1000"/>
    <w:link w:val="Level1Bullet-BarcRAChar250"/>
    <w:qFormat/>
    <w:rsid w:val="000234AF"/>
    <w:pPr>
      <w:numPr>
        <w:numId w:val="206"/>
      </w:numPr>
      <w:spacing w:before="180" w:after="180" w:line="240" w:lineRule="auto"/>
      <w:jc w:val="both"/>
    </w:pPr>
    <w:rPr>
      <w:rFonts w:ascii="Expert Sans Regular" w:hAnsi="Expert Sans Regular"/>
      <w:sz w:val="18"/>
      <w:szCs w:val="20"/>
      <w:lang w:val="la-Latn"/>
    </w:rPr>
  </w:style>
  <w:style w:type="character" w:customStyle="1" w:styleId="Level1Bullet-BarcRAChar250">
    <w:name w:val="Level 1 Bullet - Barc RA Char_25_0"/>
    <w:basedOn w:val="DefaultParagraphFont"/>
    <w:link w:val="Level1Bullet-BarcRA290"/>
    <w:locked/>
    <w:rsid w:val="000234AF"/>
    <w:rPr>
      <w:rFonts w:ascii="Expert Sans Regular" w:hAnsi="Expert Sans Regular"/>
      <w:sz w:val="18"/>
      <w:lang w:val="la-Latn" w:eastAsia="en-US"/>
    </w:rPr>
  </w:style>
  <w:style w:type="paragraph" w:customStyle="1" w:styleId="Level1Bullet-BarcRA401">
    <w:name w:val="Level 1 Bullet - Barc RA_40"/>
    <w:basedOn w:val="Normal101"/>
    <w:link w:val="Level1Bullet-BarcRAChar32"/>
    <w:qFormat/>
    <w:rsid w:val="007675B0"/>
    <w:pPr>
      <w:numPr>
        <w:numId w:val="207"/>
      </w:numPr>
      <w:spacing w:before="180" w:after="180" w:line="240" w:lineRule="auto"/>
      <w:jc w:val="both"/>
    </w:pPr>
    <w:rPr>
      <w:rFonts w:ascii="Expert Sans Regular" w:hAnsi="Expert Sans Regular"/>
      <w:sz w:val="20"/>
      <w:szCs w:val="20"/>
      <w:lang w:eastAsia="en-GB"/>
    </w:rPr>
  </w:style>
  <w:style w:type="paragraph" w:customStyle="1" w:styleId="Normal101">
    <w:name w:val="Normal_101"/>
    <w:qFormat/>
    <w:rsid w:val="00DE0D86"/>
    <w:pPr>
      <w:spacing w:after="200" w:line="276" w:lineRule="auto"/>
    </w:pPr>
    <w:rPr>
      <w:sz w:val="22"/>
      <w:szCs w:val="22"/>
      <w:lang w:eastAsia="en-US"/>
    </w:rPr>
  </w:style>
  <w:style w:type="character" w:customStyle="1" w:styleId="Level1Bullet-BarcRAChar32">
    <w:name w:val="Level 1 Bullet - Barc RA Char_32"/>
    <w:basedOn w:val="DefaultParagraphFont"/>
    <w:link w:val="Level1Bullet-BarcRA401"/>
    <w:locked/>
    <w:rsid w:val="007675B0"/>
    <w:rPr>
      <w:rFonts w:ascii="Expert Sans Regular" w:hAnsi="Expert Sans Regular"/>
    </w:rPr>
  </w:style>
  <w:style w:type="paragraph" w:customStyle="1" w:styleId="HeadingLevel2-BarcRA110">
    <w:name w:val="Heading Level 2 - Barc RA_11_0"/>
    <w:basedOn w:val="Normal102"/>
    <w:next w:val="Normal102"/>
    <w:uiPriority w:val="99"/>
    <w:locked/>
    <w:rsid w:val="001A44A3"/>
    <w:pPr>
      <w:spacing w:before="240" w:after="0" w:line="240" w:lineRule="auto"/>
      <w:jc w:val="both"/>
    </w:pPr>
    <w:rPr>
      <w:rFonts w:ascii="Expert Sans Regular" w:hAnsi="Expert Sans Regular"/>
      <w:b/>
      <w:bCs/>
      <w:color w:val="000000"/>
      <w:sz w:val="20"/>
      <w:szCs w:val="20"/>
      <w:lang w:val="la-Latn"/>
    </w:rPr>
  </w:style>
  <w:style w:type="paragraph" w:customStyle="1" w:styleId="Normal102">
    <w:name w:val="Normal_102"/>
    <w:qFormat/>
    <w:rsid w:val="00DE0D86"/>
    <w:pPr>
      <w:spacing w:after="200" w:line="276" w:lineRule="auto"/>
    </w:pPr>
    <w:rPr>
      <w:sz w:val="22"/>
      <w:szCs w:val="22"/>
      <w:lang w:eastAsia="en-US"/>
    </w:rPr>
  </w:style>
  <w:style w:type="paragraph" w:customStyle="1" w:styleId="Level1Bullet-BarcRA2001">
    <w:name w:val="Level 1 Bullet - Barc RA_20_0"/>
    <w:basedOn w:val="Normal102"/>
    <w:qFormat/>
    <w:locked/>
    <w:rsid w:val="001A44A3"/>
    <w:pPr>
      <w:numPr>
        <w:numId w:val="208"/>
      </w:numPr>
      <w:spacing w:before="180" w:after="180" w:line="240" w:lineRule="auto"/>
      <w:jc w:val="both"/>
    </w:pPr>
    <w:rPr>
      <w:rFonts w:ascii="Expert Sans Regular" w:hAnsi="Expert Sans Regular"/>
      <w:sz w:val="18"/>
      <w:szCs w:val="20"/>
      <w:lang w:val="la-Latn"/>
    </w:rPr>
  </w:style>
  <w:style w:type="paragraph" w:customStyle="1" w:styleId="Level1Bullet-BarcRA20000">
    <w:name w:val="Level 1 Bullet - Barc RA_20_0_0"/>
    <w:basedOn w:val="Normal102"/>
    <w:qFormat/>
    <w:locked/>
    <w:rsid w:val="0023330F"/>
    <w:pPr>
      <w:numPr>
        <w:numId w:val="209"/>
      </w:numPr>
      <w:spacing w:before="180" w:after="180" w:line="240" w:lineRule="auto"/>
      <w:jc w:val="both"/>
    </w:pPr>
    <w:rPr>
      <w:rFonts w:ascii="Expert Sans Regular" w:hAnsi="Expert Sans Regular"/>
      <w:sz w:val="18"/>
      <w:szCs w:val="20"/>
      <w:lang w:val="la-Latn"/>
    </w:rPr>
  </w:style>
  <w:style w:type="paragraph" w:customStyle="1" w:styleId="HeadingLevel1-BarcRA45">
    <w:name w:val="Heading Level 1 - Barc RA_45"/>
    <w:basedOn w:val="BodyText-BarcRA71"/>
    <w:next w:val="BodyText-BarcRA71"/>
    <w:link w:val="HeadingLevel1-BarcRAChar35"/>
    <w:rsid w:val="002611B5"/>
    <w:pPr>
      <w:spacing w:before="0"/>
    </w:pPr>
    <w:rPr>
      <w:b/>
      <w:bCs/>
      <w:color w:val="000000"/>
      <w:sz w:val="24"/>
      <w:lang w:val="la-Latn"/>
    </w:rPr>
  </w:style>
  <w:style w:type="paragraph" w:customStyle="1" w:styleId="BodyText-BarcRA71">
    <w:name w:val="Body Text - Barc RA_71"/>
    <w:link w:val="BodyText-BarcRAChar52"/>
    <w:qFormat/>
    <w:rsid w:val="005D52ED"/>
    <w:pPr>
      <w:spacing w:before="180" w:after="180"/>
      <w:jc w:val="both"/>
    </w:pPr>
    <w:rPr>
      <w:rFonts w:ascii="Expert Sans Regular" w:hAnsi="Expert Sans Regular"/>
      <w:sz w:val="18"/>
      <w:lang w:eastAsia="en-US"/>
    </w:rPr>
  </w:style>
  <w:style w:type="character" w:customStyle="1" w:styleId="BodyText-BarcRAChar52">
    <w:name w:val="Body Text - Barc RA Char_52"/>
    <w:basedOn w:val="DefaultParagraphFont"/>
    <w:link w:val="BodyText-BarcRA71"/>
    <w:rsid w:val="005D52ED"/>
    <w:rPr>
      <w:rFonts w:ascii="Expert Sans Regular" w:hAnsi="Expert Sans Regular"/>
      <w:sz w:val="18"/>
      <w:lang w:val="en-GB" w:eastAsia="en-US" w:bidi="ar-SA"/>
    </w:rPr>
  </w:style>
  <w:style w:type="character" w:customStyle="1" w:styleId="HeadingLevel1-BarcRAChar35">
    <w:name w:val="Heading Level 1 - Barc RA Char_35"/>
    <w:basedOn w:val="DefaultParagraphFont"/>
    <w:link w:val="HeadingLevel1-BarcRA45"/>
    <w:rsid w:val="009705AC"/>
    <w:rPr>
      <w:rFonts w:ascii="Expert Sans Regular" w:hAnsi="Expert Sans Regular"/>
      <w:b/>
      <w:bCs/>
      <w:color w:val="000000"/>
      <w:sz w:val="24"/>
      <w:lang w:val="la-Latn"/>
    </w:rPr>
  </w:style>
  <w:style w:type="paragraph" w:customStyle="1" w:styleId="HeaderSpacerwithLine-BarcRA12">
    <w:name w:val="Header Spacer with Line - Barc RA_12"/>
    <w:basedOn w:val="BodyText-BarcRA71"/>
    <w:link w:val="HeaderSpacerwithLine-BarcRAChar6"/>
    <w:rsid w:val="00016DD8"/>
    <w:pPr>
      <w:pBdr>
        <w:top w:val="single" w:sz="4" w:space="1" w:color="auto"/>
      </w:pBdr>
      <w:spacing w:before="0" w:after="0"/>
    </w:pPr>
    <w:rPr>
      <w:sz w:val="10"/>
      <w:szCs w:val="10"/>
    </w:rPr>
  </w:style>
  <w:style w:type="character" w:customStyle="1" w:styleId="HeaderSpacerwithLine-BarcRAChar6">
    <w:name w:val="Header Spacer with Line - Barc RA Char_6"/>
    <w:basedOn w:val="BodyText-BarcRAChar52"/>
    <w:link w:val="HeaderSpacerwithLine-BarcRA12"/>
    <w:rsid w:val="000E2451"/>
    <w:rPr>
      <w:rFonts w:ascii="Expert Sans Regular" w:hAnsi="Expert Sans Regular"/>
      <w:sz w:val="10"/>
      <w:szCs w:val="10"/>
      <w:lang w:val="en-GB" w:eastAsia="en-US" w:bidi="ar-SA"/>
    </w:rPr>
  </w:style>
  <w:style w:type="paragraph" w:customStyle="1" w:styleId="HeadingLevel2-BarcRA21">
    <w:name w:val="Heading Level 2 - Barc RA_21"/>
    <w:basedOn w:val="HeadingLevel1-BarcRA46"/>
    <w:next w:val="BodyText-BarcRA72"/>
    <w:rsid w:val="00EE71E7"/>
    <w:pPr>
      <w:spacing w:before="240" w:after="0"/>
    </w:pPr>
    <w:rPr>
      <w:sz w:val="20"/>
    </w:rPr>
  </w:style>
  <w:style w:type="paragraph" w:customStyle="1" w:styleId="HeadingLevel1-BarcRA46">
    <w:name w:val="Heading Level 1 - Barc RA_46"/>
    <w:basedOn w:val="BodyText-BarcRA72"/>
    <w:next w:val="BodyText-BarcRA72"/>
    <w:link w:val="HeadingLevel1-BarcRAChar36"/>
    <w:rsid w:val="002611B5"/>
    <w:pPr>
      <w:spacing w:before="0"/>
    </w:pPr>
    <w:rPr>
      <w:b/>
      <w:bCs/>
      <w:color w:val="000000"/>
      <w:sz w:val="24"/>
      <w:lang w:val="la-Latn"/>
    </w:rPr>
  </w:style>
  <w:style w:type="paragraph" w:customStyle="1" w:styleId="BodyText-BarcRA72">
    <w:name w:val="Body Text - Barc RA_72"/>
    <w:link w:val="BodyText-BarcRAChar53"/>
    <w:qFormat/>
    <w:rsid w:val="005D52ED"/>
    <w:pPr>
      <w:spacing w:before="180" w:after="180"/>
      <w:jc w:val="both"/>
    </w:pPr>
    <w:rPr>
      <w:rFonts w:ascii="Expert Sans Regular" w:hAnsi="Expert Sans Regular"/>
      <w:sz w:val="18"/>
      <w:lang w:eastAsia="en-US"/>
    </w:rPr>
  </w:style>
  <w:style w:type="character" w:customStyle="1" w:styleId="BodyText-BarcRAChar53">
    <w:name w:val="Body Text - Barc RA Char_53"/>
    <w:basedOn w:val="DefaultParagraphFont"/>
    <w:link w:val="BodyText-BarcRA72"/>
    <w:rsid w:val="005D52ED"/>
    <w:rPr>
      <w:rFonts w:ascii="Expert Sans Regular" w:hAnsi="Expert Sans Regular"/>
      <w:sz w:val="18"/>
      <w:lang w:val="en-GB" w:eastAsia="en-US" w:bidi="ar-SA"/>
    </w:rPr>
  </w:style>
  <w:style w:type="character" w:customStyle="1" w:styleId="HeadingLevel1-BarcRAChar36">
    <w:name w:val="Heading Level 1 - Barc RA Char_36"/>
    <w:basedOn w:val="DefaultParagraphFont"/>
    <w:link w:val="HeadingLevel1-BarcRA46"/>
    <w:rsid w:val="009705AC"/>
    <w:rPr>
      <w:rFonts w:ascii="Expert Sans Regular" w:hAnsi="Expert Sans Regular"/>
      <w:b/>
      <w:bCs/>
      <w:color w:val="000000"/>
      <w:sz w:val="24"/>
      <w:lang w:val="la-Latn"/>
    </w:rPr>
  </w:style>
  <w:style w:type="paragraph" w:customStyle="1" w:styleId="Level1Bullet-BarcRA410">
    <w:name w:val="Level 1 Bullet - Barc RA_41"/>
    <w:basedOn w:val="BodyText-BarcRA72"/>
    <w:link w:val="Level1Bullet-BarcRAChar33"/>
    <w:qFormat/>
    <w:rsid w:val="00A85CEE"/>
    <w:pPr>
      <w:numPr>
        <w:numId w:val="211"/>
      </w:numPr>
    </w:pPr>
    <w:rPr>
      <w:lang w:val="la-Latn"/>
    </w:rPr>
  </w:style>
  <w:style w:type="character" w:customStyle="1" w:styleId="Level1Bullet-BarcRAChar33">
    <w:name w:val="Level 1 Bullet - Barc RA Char_33"/>
    <w:basedOn w:val="BodyText-BarcRAChar53"/>
    <w:link w:val="Level1Bullet-BarcRA410"/>
    <w:rsid w:val="00A85CEE"/>
    <w:rPr>
      <w:rFonts w:ascii="Expert Sans Regular" w:hAnsi="Expert Sans Regular"/>
      <w:sz w:val="18"/>
      <w:lang w:val="la-Latn" w:eastAsia="en-US" w:bidi="ar-SA"/>
    </w:rPr>
  </w:style>
  <w:style w:type="paragraph" w:customStyle="1" w:styleId="NoteSourceText-BarcRA11">
    <w:name w:val="Note &amp; Source Text - Barc RA_11"/>
    <w:basedOn w:val="Normal103"/>
    <w:link w:val="NoteSourceText-BarcRAChar10"/>
    <w:rsid w:val="00B268DD"/>
    <w:pPr>
      <w:tabs>
        <w:tab w:val="left" w:pos="284"/>
      </w:tabs>
      <w:spacing w:before="20" w:after="20" w:line="240" w:lineRule="auto"/>
      <w:ind w:left="284" w:hanging="284"/>
      <w:jc w:val="both"/>
    </w:pPr>
    <w:rPr>
      <w:rFonts w:ascii="Expert Sans Regular" w:hAnsi="Expert Sans Regular"/>
      <w:i/>
      <w:iCs/>
      <w:sz w:val="14"/>
      <w:szCs w:val="14"/>
    </w:rPr>
  </w:style>
  <w:style w:type="paragraph" w:customStyle="1" w:styleId="Normal103">
    <w:name w:val="Normal_103"/>
    <w:qFormat/>
    <w:rsid w:val="007E0007"/>
    <w:pPr>
      <w:spacing w:after="200" w:line="276" w:lineRule="auto"/>
    </w:pPr>
    <w:rPr>
      <w:sz w:val="22"/>
      <w:szCs w:val="22"/>
      <w:lang w:eastAsia="en-US"/>
    </w:rPr>
  </w:style>
  <w:style w:type="character" w:customStyle="1" w:styleId="NoteSourceText-BarcRAChar10">
    <w:name w:val="Note &amp; Source Text - Barc RA Char_10"/>
    <w:basedOn w:val="DefaultParagraphFont"/>
    <w:link w:val="NoteSourceText-BarcRA11"/>
    <w:rsid w:val="00B268DD"/>
    <w:rPr>
      <w:rFonts w:ascii="Expert Sans Regular" w:eastAsia="Times New Roman" w:hAnsi="Expert Sans Regular"/>
      <w:i/>
      <w:iCs/>
      <w:sz w:val="14"/>
      <w:szCs w:val="14"/>
      <w:lang w:eastAsia="en-US"/>
    </w:rPr>
  </w:style>
  <w:style w:type="paragraph" w:customStyle="1" w:styleId="HeadingLevel1-BarcRA47">
    <w:name w:val="Heading Level 1 - Barc RA_47"/>
    <w:basedOn w:val="BodyText-BarcRA73"/>
    <w:next w:val="BodyText-BarcRA73"/>
    <w:link w:val="HeadingLevel1-BarcRAChar37"/>
    <w:rsid w:val="002611B5"/>
    <w:pPr>
      <w:spacing w:before="0"/>
    </w:pPr>
    <w:rPr>
      <w:b/>
      <w:bCs/>
      <w:color w:val="000000"/>
      <w:sz w:val="24"/>
      <w:lang w:val="la-Latn"/>
    </w:rPr>
  </w:style>
  <w:style w:type="paragraph" w:customStyle="1" w:styleId="BodyText-BarcRA73">
    <w:name w:val="Body Text - Barc RA_73"/>
    <w:link w:val="BodyText-BarcRAChar54"/>
    <w:qFormat/>
    <w:rsid w:val="005D52ED"/>
    <w:pPr>
      <w:spacing w:before="180" w:after="180"/>
      <w:jc w:val="both"/>
    </w:pPr>
    <w:rPr>
      <w:rFonts w:ascii="Expert Sans Regular" w:hAnsi="Expert Sans Regular"/>
      <w:sz w:val="18"/>
      <w:lang w:eastAsia="en-US"/>
    </w:rPr>
  </w:style>
  <w:style w:type="character" w:customStyle="1" w:styleId="BodyText-BarcRAChar54">
    <w:name w:val="Body Text - Barc RA Char_54"/>
    <w:basedOn w:val="DefaultParagraphFont"/>
    <w:link w:val="BodyText-BarcRA73"/>
    <w:rsid w:val="005D52ED"/>
    <w:rPr>
      <w:rFonts w:ascii="Expert Sans Regular" w:hAnsi="Expert Sans Regular"/>
      <w:sz w:val="18"/>
      <w:lang w:val="en-GB" w:eastAsia="en-US" w:bidi="ar-SA"/>
    </w:rPr>
  </w:style>
  <w:style w:type="character" w:customStyle="1" w:styleId="HeadingLevel1-BarcRAChar37">
    <w:name w:val="Heading Level 1 - Barc RA Char_37"/>
    <w:basedOn w:val="DefaultParagraphFont"/>
    <w:link w:val="HeadingLevel1-BarcRA47"/>
    <w:rsid w:val="009705AC"/>
    <w:rPr>
      <w:rFonts w:ascii="Expert Sans Regular" w:hAnsi="Expert Sans Regular"/>
      <w:b/>
      <w:bCs/>
      <w:color w:val="000000"/>
      <w:sz w:val="24"/>
      <w:lang w:val="la-Latn"/>
    </w:rPr>
  </w:style>
  <w:style w:type="paragraph" w:customStyle="1" w:styleId="HeaderSpacerwithLine-BarcRA13">
    <w:name w:val="Header Spacer with Line - Barc RA_13"/>
    <w:basedOn w:val="BodyText-BarcRA73"/>
    <w:link w:val="HeaderSpacerwithLine-BarcRAChar7"/>
    <w:rsid w:val="00016DD8"/>
    <w:pPr>
      <w:pBdr>
        <w:top w:val="single" w:sz="4" w:space="1" w:color="auto"/>
      </w:pBdr>
      <w:spacing w:before="0" w:after="0"/>
    </w:pPr>
    <w:rPr>
      <w:sz w:val="10"/>
      <w:szCs w:val="10"/>
    </w:rPr>
  </w:style>
  <w:style w:type="character" w:customStyle="1" w:styleId="HeaderSpacerwithLine-BarcRAChar7">
    <w:name w:val="Header Spacer with Line - Barc RA Char_7"/>
    <w:basedOn w:val="BodyText-BarcRAChar54"/>
    <w:link w:val="HeaderSpacerwithLine-BarcRA13"/>
    <w:rsid w:val="000E2451"/>
    <w:rPr>
      <w:rFonts w:ascii="Expert Sans Regular" w:hAnsi="Expert Sans Regular"/>
      <w:sz w:val="10"/>
      <w:szCs w:val="10"/>
      <w:lang w:val="en-GB" w:eastAsia="en-US" w:bidi="ar-SA"/>
    </w:rPr>
  </w:style>
  <w:style w:type="paragraph" w:customStyle="1" w:styleId="BodyText-BarcRA74">
    <w:name w:val="Body Text - Barc RA_74"/>
    <w:link w:val="BodyText-BarcRAChar55"/>
    <w:qFormat/>
    <w:rsid w:val="005D52ED"/>
    <w:pPr>
      <w:spacing w:before="180" w:after="180"/>
      <w:jc w:val="both"/>
    </w:pPr>
    <w:rPr>
      <w:rFonts w:ascii="Expert Sans Regular" w:hAnsi="Expert Sans Regular"/>
      <w:sz w:val="18"/>
      <w:lang w:eastAsia="en-US"/>
    </w:rPr>
  </w:style>
  <w:style w:type="character" w:customStyle="1" w:styleId="BodyText-BarcRAChar55">
    <w:name w:val="Body Text - Barc RA Char_55"/>
    <w:basedOn w:val="DefaultParagraphFont"/>
    <w:link w:val="BodyText-BarcRA74"/>
    <w:rsid w:val="005D52ED"/>
    <w:rPr>
      <w:rFonts w:ascii="Expert Sans Regular" w:hAnsi="Expert Sans Regular"/>
      <w:sz w:val="18"/>
      <w:lang w:val="en-GB" w:eastAsia="en-US" w:bidi="ar-SA"/>
    </w:rPr>
  </w:style>
  <w:style w:type="paragraph" w:customStyle="1" w:styleId="Level1Bullet-BarcRA42">
    <w:name w:val="Level 1 Bullet - Barc RA_42"/>
    <w:basedOn w:val="BodyText-BarcRA74"/>
    <w:link w:val="Level1Bullet-BarcRAChar34"/>
    <w:rsid w:val="00A85CEE"/>
    <w:rPr>
      <w:lang w:val="la-Latn"/>
    </w:rPr>
  </w:style>
  <w:style w:type="character" w:customStyle="1" w:styleId="Level1Bullet-BarcRAChar34">
    <w:name w:val="Level 1 Bullet - Barc RA Char_34"/>
    <w:basedOn w:val="BodyText-BarcRAChar55"/>
    <w:link w:val="Level1Bullet-BarcRA42"/>
    <w:rsid w:val="00A85CEE"/>
    <w:rPr>
      <w:rFonts w:ascii="Expert Sans Regular" w:hAnsi="Expert Sans Regular"/>
      <w:sz w:val="18"/>
      <w:lang w:val="la-Latn" w:eastAsia="en-US" w:bidi="ar-SA"/>
    </w:rPr>
  </w:style>
  <w:style w:type="paragraph" w:customStyle="1" w:styleId="HeadingLevel1-BarcRA48">
    <w:name w:val="Heading Level 1 - Barc RA_48"/>
    <w:basedOn w:val="BodyText-BarcRA75"/>
    <w:next w:val="BodyText-BarcRA75"/>
    <w:link w:val="HeadingLevel1-BarcRAChar38"/>
    <w:rsid w:val="002611B5"/>
    <w:pPr>
      <w:spacing w:before="0"/>
    </w:pPr>
    <w:rPr>
      <w:b/>
      <w:bCs/>
      <w:color w:val="000000"/>
      <w:sz w:val="24"/>
      <w:lang w:val="la-Latn"/>
    </w:rPr>
  </w:style>
  <w:style w:type="paragraph" w:customStyle="1" w:styleId="BodyText-BarcRA75">
    <w:name w:val="Body Text - Barc RA_75"/>
    <w:link w:val="BodyText-BarcRAChar56"/>
    <w:qFormat/>
    <w:rsid w:val="005D52ED"/>
    <w:pPr>
      <w:spacing w:before="180" w:after="180"/>
      <w:jc w:val="both"/>
    </w:pPr>
    <w:rPr>
      <w:rFonts w:ascii="Expert Sans Regular" w:hAnsi="Expert Sans Regular"/>
      <w:sz w:val="18"/>
      <w:lang w:eastAsia="en-US"/>
    </w:rPr>
  </w:style>
  <w:style w:type="character" w:customStyle="1" w:styleId="BodyText-BarcRAChar56">
    <w:name w:val="Body Text - Barc RA Char_56"/>
    <w:basedOn w:val="DefaultParagraphFont"/>
    <w:link w:val="BodyText-BarcRA75"/>
    <w:rsid w:val="005D52ED"/>
    <w:rPr>
      <w:rFonts w:ascii="Expert Sans Regular" w:hAnsi="Expert Sans Regular"/>
      <w:sz w:val="18"/>
      <w:lang w:val="en-GB" w:eastAsia="en-US" w:bidi="ar-SA"/>
    </w:rPr>
  </w:style>
  <w:style w:type="character" w:customStyle="1" w:styleId="HeadingLevel1-BarcRAChar38">
    <w:name w:val="Heading Level 1 - Barc RA Char_38"/>
    <w:basedOn w:val="DefaultParagraphFont"/>
    <w:link w:val="HeadingLevel1-BarcRA48"/>
    <w:rsid w:val="009705AC"/>
    <w:rPr>
      <w:rFonts w:ascii="Expert Sans Regular" w:hAnsi="Expert Sans Regular"/>
      <w:b/>
      <w:bCs/>
      <w:color w:val="000000"/>
      <w:sz w:val="24"/>
      <w:lang w:val="la-Latn"/>
    </w:rPr>
  </w:style>
  <w:style w:type="paragraph" w:customStyle="1" w:styleId="HeaderSpacerwithLine-BarcRA14">
    <w:name w:val="Header Spacer with Line - Barc RA_14"/>
    <w:basedOn w:val="BodyText-BarcRA75"/>
    <w:link w:val="HeaderSpacerwithLine-BarcRAChar8"/>
    <w:rsid w:val="00016DD8"/>
    <w:pPr>
      <w:pBdr>
        <w:top w:val="single" w:sz="4" w:space="1" w:color="auto"/>
      </w:pBdr>
      <w:spacing w:before="0" w:after="0"/>
    </w:pPr>
    <w:rPr>
      <w:sz w:val="10"/>
      <w:szCs w:val="10"/>
    </w:rPr>
  </w:style>
  <w:style w:type="character" w:customStyle="1" w:styleId="HeaderSpacerwithLine-BarcRAChar8">
    <w:name w:val="Header Spacer with Line - Barc RA Char_8"/>
    <w:basedOn w:val="BodyText-BarcRAChar56"/>
    <w:link w:val="HeaderSpacerwithLine-BarcRA14"/>
    <w:rsid w:val="000E2451"/>
    <w:rPr>
      <w:rFonts w:ascii="Expert Sans Regular" w:hAnsi="Expert Sans Regular"/>
      <w:sz w:val="10"/>
      <w:szCs w:val="10"/>
      <w:lang w:val="en-GB" w:eastAsia="en-US" w:bidi="ar-SA"/>
    </w:rPr>
  </w:style>
  <w:style w:type="paragraph" w:customStyle="1" w:styleId="Normal104">
    <w:name w:val="Normal_104"/>
    <w:qFormat/>
    <w:rsid w:val="009705AC"/>
    <w:rPr>
      <w:rFonts w:ascii="Expert Sans Regular" w:hAnsi="Expert Sans Regular"/>
      <w:sz w:val="18"/>
      <w:szCs w:val="24"/>
      <w:lang w:eastAsia="en-US"/>
    </w:rPr>
  </w:style>
  <w:style w:type="paragraph" w:customStyle="1" w:styleId="NoteandSourceText-BarcRA22">
    <w:name w:val="Note and Source Text - Barc RA_22"/>
    <w:basedOn w:val="Normal104"/>
    <w:qFormat/>
    <w:rsid w:val="00F75374"/>
    <w:pPr>
      <w:numPr>
        <w:numId w:val="212"/>
      </w:numPr>
      <w:tabs>
        <w:tab w:val="left" w:pos="284"/>
      </w:tabs>
      <w:spacing w:before="20" w:after="20"/>
      <w:jc w:val="both"/>
    </w:pPr>
    <w:rPr>
      <w:i/>
      <w:iCs/>
      <w:sz w:val="14"/>
      <w:szCs w:val="14"/>
    </w:rPr>
  </w:style>
  <w:style w:type="paragraph" w:customStyle="1" w:styleId="HeadingLevel1-BarcRA49">
    <w:name w:val="Heading Level 1 - Barc RA_49"/>
    <w:basedOn w:val="BodyText-BarcRA76"/>
    <w:next w:val="BodyText-BarcRA76"/>
    <w:link w:val="HeadingLevel1-BarcRAChar39"/>
    <w:qFormat/>
    <w:rsid w:val="002611B5"/>
    <w:pPr>
      <w:spacing w:before="0"/>
    </w:pPr>
    <w:rPr>
      <w:b/>
      <w:bCs/>
      <w:color w:val="000000"/>
      <w:sz w:val="24"/>
      <w:lang w:val="la-Latn"/>
    </w:rPr>
  </w:style>
  <w:style w:type="paragraph" w:customStyle="1" w:styleId="BodyText-BarcRA76">
    <w:name w:val="Body Text - Barc RA_76"/>
    <w:link w:val="BodyText-BarcRAChar57"/>
    <w:qFormat/>
    <w:rsid w:val="005D52ED"/>
    <w:pPr>
      <w:spacing w:before="180" w:after="180"/>
      <w:jc w:val="both"/>
    </w:pPr>
    <w:rPr>
      <w:rFonts w:ascii="Expert Sans Regular" w:hAnsi="Expert Sans Regular"/>
      <w:sz w:val="18"/>
      <w:lang w:eastAsia="en-US"/>
    </w:rPr>
  </w:style>
  <w:style w:type="character" w:customStyle="1" w:styleId="BodyText-BarcRAChar57">
    <w:name w:val="Body Text - Barc RA Char_57"/>
    <w:basedOn w:val="DefaultParagraphFont"/>
    <w:link w:val="BodyText-BarcRA76"/>
    <w:rsid w:val="005D52ED"/>
    <w:rPr>
      <w:rFonts w:ascii="Expert Sans Regular" w:hAnsi="Expert Sans Regular"/>
      <w:sz w:val="18"/>
      <w:lang w:val="en-GB" w:eastAsia="en-US" w:bidi="ar-SA"/>
    </w:rPr>
  </w:style>
  <w:style w:type="character" w:customStyle="1" w:styleId="HeadingLevel1-BarcRAChar39">
    <w:name w:val="Heading Level 1 - Barc RA Char_39"/>
    <w:basedOn w:val="DefaultParagraphFont"/>
    <w:link w:val="HeadingLevel1-BarcRA49"/>
    <w:rsid w:val="009705AC"/>
    <w:rPr>
      <w:rFonts w:ascii="Expert Sans Regular" w:hAnsi="Expert Sans Regular"/>
      <w:b/>
      <w:bCs/>
      <w:color w:val="000000"/>
      <w:sz w:val="24"/>
      <w:lang w:val="la-Latn"/>
    </w:rPr>
  </w:style>
  <w:style w:type="paragraph" w:customStyle="1" w:styleId="HeaderSpacerwithLine-BarcRA15">
    <w:name w:val="Header Spacer with Line - Barc RA_15"/>
    <w:basedOn w:val="BodyText-BarcRA76"/>
    <w:link w:val="HeaderSpacerwithLine-BarcRAChar9"/>
    <w:qFormat/>
    <w:rsid w:val="00016DD8"/>
    <w:pPr>
      <w:pBdr>
        <w:top w:val="single" w:sz="4" w:space="1" w:color="auto"/>
      </w:pBdr>
      <w:spacing w:before="0" w:after="0"/>
    </w:pPr>
    <w:rPr>
      <w:sz w:val="10"/>
      <w:szCs w:val="10"/>
    </w:rPr>
  </w:style>
  <w:style w:type="character" w:customStyle="1" w:styleId="HeaderSpacerwithLine-BarcRAChar9">
    <w:name w:val="Header Spacer with Line - Barc RA Char_9"/>
    <w:basedOn w:val="BodyText-BarcRAChar57"/>
    <w:link w:val="HeaderSpacerwithLine-BarcRA15"/>
    <w:rsid w:val="000E2451"/>
    <w:rPr>
      <w:rFonts w:ascii="Expert Sans Regular" w:hAnsi="Expert Sans Regular"/>
      <w:sz w:val="10"/>
      <w:szCs w:val="10"/>
      <w:lang w:val="en-GB" w:eastAsia="en-US" w:bidi="ar-SA"/>
    </w:rPr>
  </w:style>
  <w:style w:type="paragraph" w:customStyle="1" w:styleId="HeadingLevel1-BarcRA50">
    <w:name w:val="Heading Level 1 - Barc RA_50"/>
    <w:basedOn w:val="BodyText-BarcRA77"/>
    <w:next w:val="BodyText-BarcRA77"/>
    <w:link w:val="HeadingLevel1-BarcRAChar40"/>
    <w:qFormat/>
    <w:rsid w:val="002611B5"/>
    <w:pPr>
      <w:spacing w:before="0"/>
    </w:pPr>
    <w:rPr>
      <w:b/>
      <w:bCs/>
      <w:color w:val="000000"/>
      <w:sz w:val="24"/>
      <w:lang w:val="la-Latn"/>
    </w:rPr>
  </w:style>
  <w:style w:type="paragraph" w:customStyle="1" w:styleId="BodyText-BarcRA77">
    <w:name w:val="Body Text - Barc RA_77"/>
    <w:link w:val="BodyText-BarcRAChar58"/>
    <w:qFormat/>
    <w:rsid w:val="005D52ED"/>
    <w:pPr>
      <w:spacing w:before="180" w:after="180"/>
      <w:jc w:val="both"/>
    </w:pPr>
    <w:rPr>
      <w:rFonts w:ascii="Expert Sans Regular" w:hAnsi="Expert Sans Regular"/>
      <w:sz w:val="18"/>
      <w:lang w:eastAsia="en-US"/>
    </w:rPr>
  </w:style>
  <w:style w:type="character" w:customStyle="1" w:styleId="BodyText-BarcRAChar58">
    <w:name w:val="Body Text - Barc RA Char_58"/>
    <w:basedOn w:val="DefaultParagraphFont"/>
    <w:link w:val="BodyText-BarcRA77"/>
    <w:rsid w:val="005D52ED"/>
    <w:rPr>
      <w:rFonts w:ascii="Expert Sans Regular" w:hAnsi="Expert Sans Regular"/>
      <w:sz w:val="18"/>
      <w:lang w:val="en-GB" w:eastAsia="en-US" w:bidi="ar-SA"/>
    </w:rPr>
  </w:style>
  <w:style w:type="character" w:customStyle="1" w:styleId="HeadingLevel1-BarcRAChar40">
    <w:name w:val="Heading Level 1 - Barc RA Char_40"/>
    <w:basedOn w:val="DefaultParagraphFont"/>
    <w:link w:val="HeadingLevel1-BarcRA50"/>
    <w:rsid w:val="009705AC"/>
    <w:rPr>
      <w:rFonts w:ascii="Expert Sans Regular" w:hAnsi="Expert Sans Regular"/>
      <w:b/>
      <w:bCs/>
      <w:color w:val="000000"/>
      <w:sz w:val="24"/>
      <w:lang w:val="la-Latn"/>
    </w:rPr>
  </w:style>
  <w:style w:type="paragraph" w:customStyle="1" w:styleId="Normal105">
    <w:name w:val="Normal_105"/>
    <w:qFormat/>
    <w:rsid w:val="009705AC"/>
    <w:rPr>
      <w:rFonts w:ascii="Expert Sans Regular" w:hAnsi="Expert Sans Regular"/>
      <w:sz w:val="18"/>
      <w:szCs w:val="24"/>
      <w:lang w:eastAsia="en-US"/>
    </w:rPr>
  </w:style>
  <w:style w:type="paragraph" w:customStyle="1" w:styleId="Normal10000">
    <w:name w:val="Normal_100_0"/>
    <w:qFormat/>
    <w:rsid w:val="003C0E67"/>
    <w:rPr>
      <w:rFonts w:ascii="Expert Sans Regular" w:hAnsi="Expert Sans Regular"/>
      <w:sz w:val="18"/>
      <w:szCs w:val="24"/>
      <w:lang w:eastAsia="en-US"/>
    </w:rPr>
  </w:style>
  <w:style w:type="paragraph" w:customStyle="1" w:styleId="Normal106">
    <w:name w:val="Normal_106"/>
    <w:qFormat/>
    <w:rsid w:val="009705AC"/>
    <w:rPr>
      <w:rFonts w:ascii="Expert Sans Regular" w:hAnsi="Expert Sans Regular"/>
      <w:sz w:val="18"/>
      <w:szCs w:val="24"/>
      <w:lang w:eastAsia="en-US"/>
    </w:rPr>
  </w:style>
  <w:style w:type="paragraph" w:customStyle="1" w:styleId="HeadingLevel2-BarcRA22">
    <w:name w:val="Heading Level 2 - Barc RA_22"/>
    <w:basedOn w:val="Normal107"/>
    <w:next w:val="Normal107"/>
    <w:qFormat/>
    <w:locked/>
    <w:rsid w:val="00EE7615"/>
    <w:pPr>
      <w:spacing w:before="240" w:after="0" w:line="240" w:lineRule="auto"/>
      <w:jc w:val="both"/>
    </w:pPr>
    <w:rPr>
      <w:rFonts w:ascii="Expert Sans Regular" w:hAnsi="Expert Sans Regular"/>
      <w:b/>
      <w:bCs/>
      <w:color w:val="000000"/>
      <w:sz w:val="20"/>
      <w:szCs w:val="20"/>
      <w:lang w:val="la-Latn"/>
    </w:rPr>
  </w:style>
  <w:style w:type="paragraph" w:customStyle="1" w:styleId="Normal107">
    <w:name w:val="Normal_107"/>
    <w:qFormat/>
    <w:rsid w:val="00DE0D86"/>
    <w:pPr>
      <w:spacing w:after="200" w:line="276" w:lineRule="auto"/>
    </w:pPr>
    <w:rPr>
      <w:sz w:val="22"/>
      <w:szCs w:val="22"/>
      <w:lang w:eastAsia="en-US"/>
    </w:rPr>
  </w:style>
  <w:style w:type="paragraph" w:customStyle="1" w:styleId="Level1Bullet-BarcRA390">
    <w:name w:val="Level 1 Bullet - Barc RA_39_0"/>
    <w:basedOn w:val="Normal108"/>
    <w:qFormat/>
    <w:rsid w:val="005E095F"/>
    <w:pPr>
      <w:spacing w:before="180" w:after="180"/>
      <w:jc w:val="both"/>
    </w:pPr>
    <w:rPr>
      <w:szCs w:val="20"/>
      <w:lang w:val="la-Latn"/>
    </w:rPr>
  </w:style>
  <w:style w:type="paragraph" w:customStyle="1" w:styleId="Normal108">
    <w:name w:val="Normal_108"/>
    <w:qFormat/>
    <w:rsid w:val="009705AC"/>
    <w:rPr>
      <w:rFonts w:ascii="Expert Sans Regular" w:hAnsi="Expert Sans Regular"/>
      <w:sz w:val="18"/>
      <w:szCs w:val="24"/>
      <w:lang w:eastAsia="en-US"/>
    </w:rPr>
  </w:style>
  <w:style w:type="paragraph" w:customStyle="1" w:styleId="NoteandSourceText-BarcRA130">
    <w:name w:val="Note and Source Text - Barc RA_13_0"/>
    <w:basedOn w:val="Normal108"/>
    <w:qFormat/>
    <w:rsid w:val="000F0BF8"/>
    <w:pPr>
      <w:tabs>
        <w:tab w:val="left" w:pos="284"/>
      </w:tabs>
      <w:spacing w:before="20" w:after="20"/>
      <w:jc w:val="both"/>
    </w:pPr>
    <w:rPr>
      <w:rFonts w:eastAsia="Expert Sans Regular" w:cs="Expert Sans Regular"/>
      <w:i/>
      <w:iCs/>
      <w:sz w:val="14"/>
      <w:szCs w:val="14"/>
      <w:lang w:val="en-US"/>
    </w:rPr>
  </w:style>
  <w:style w:type="paragraph" w:customStyle="1" w:styleId="Level2Bullet-BarcRA10000">
    <w:name w:val="Level 2 Bullet - Barc RA_1_0_0_0_0"/>
    <w:basedOn w:val="Normal108"/>
    <w:qFormat/>
    <w:rsid w:val="00D81269"/>
    <w:pPr>
      <w:spacing w:before="180" w:after="180"/>
      <w:jc w:val="both"/>
    </w:pPr>
    <w:rPr>
      <w:szCs w:val="20"/>
      <w:lang w:val="la-Latn"/>
    </w:rPr>
  </w:style>
  <w:style w:type="paragraph" w:customStyle="1" w:styleId="Level1Bullet-BarcRA391">
    <w:name w:val="Level 1 Bullet - Barc RA_39_1"/>
    <w:basedOn w:val="Normal108"/>
    <w:qFormat/>
    <w:rsid w:val="00AA260B"/>
    <w:pPr>
      <w:numPr>
        <w:numId w:val="213"/>
      </w:numPr>
      <w:spacing w:before="180" w:after="180"/>
      <w:jc w:val="both"/>
    </w:pPr>
    <w:rPr>
      <w:szCs w:val="20"/>
      <w:lang w:val="la-Latn"/>
    </w:rPr>
  </w:style>
  <w:style w:type="paragraph" w:customStyle="1" w:styleId="HeadingLevel2-BarcRA23">
    <w:name w:val="Heading Level 2 - Barc RA_23"/>
    <w:basedOn w:val="Normal109"/>
    <w:next w:val="Normal109"/>
    <w:qFormat/>
    <w:locked/>
    <w:rsid w:val="00EE7615"/>
    <w:pPr>
      <w:spacing w:before="240" w:after="0" w:line="240" w:lineRule="auto"/>
      <w:jc w:val="both"/>
    </w:pPr>
    <w:rPr>
      <w:rFonts w:ascii="Expert Sans Regular" w:hAnsi="Expert Sans Regular"/>
      <w:b/>
      <w:bCs/>
      <w:color w:val="000000"/>
      <w:sz w:val="20"/>
      <w:szCs w:val="20"/>
      <w:lang w:val="la-Latn"/>
    </w:rPr>
  </w:style>
  <w:style w:type="paragraph" w:customStyle="1" w:styleId="Normal109">
    <w:name w:val="Normal_109"/>
    <w:qFormat/>
    <w:rsid w:val="00DE0D86"/>
    <w:pPr>
      <w:spacing w:after="200" w:line="276" w:lineRule="auto"/>
    </w:pPr>
    <w:rPr>
      <w:sz w:val="22"/>
      <w:szCs w:val="22"/>
      <w:lang w:eastAsia="en-US"/>
    </w:rPr>
  </w:style>
  <w:style w:type="paragraph" w:customStyle="1" w:styleId="BodyText-BarcRA78">
    <w:name w:val="Body Text - Barc RA_78"/>
    <w:link w:val="BodyText-BarcRAChar59"/>
    <w:qFormat/>
    <w:rsid w:val="005D52ED"/>
    <w:pPr>
      <w:spacing w:before="180" w:after="180"/>
      <w:jc w:val="both"/>
    </w:pPr>
    <w:rPr>
      <w:rFonts w:ascii="Expert Sans Regular" w:hAnsi="Expert Sans Regular"/>
      <w:sz w:val="18"/>
      <w:lang w:eastAsia="en-US"/>
    </w:rPr>
  </w:style>
  <w:style w:type="character" w:customStyle="1" w:styleId="BodyText-BarcRAChar59">
    <w:name w:val="Body Text - Barc RA Char_59"/>
    <w:basedOn w:val="DefaultParagraphFont"/>
    <w:link w:val="BodyText-BarcRA78"/>
    <w:rsid w:val="005D52ED"/>
    <w:rPr>
      <w:rFonts w:ascii="Expert Sans Regular" w:hAnsi="Expert Sans Regular"/>
      <w:sz w:val="18"/>
      <w:lang w:val="en-GB" w:eastAsia="en-US" w:bidi="ar-SA"/>
    </w:rPr>
  </w:style>
  <w:style w:type="paragraph" w:customStyle="1" w:styleId="Normal1101">
    <w:name w:val="Normal_110"/>
    <w:qFormat/>
    <w:rsid w:val="00DE0D86"/>
    <w:pPr>
      <w:spacing w:after="200" w:line="276" w:lineRule="auto"/>
    </w:pPr>
    <w:rPr>
      <w:sz w:val="22"/>
      <w:szCs w:val="22"/>
      <w:lang w:eastAsia="en-US"/>
    </w:rPr>
  </w:style>
  <w:style w:type="paragraph" w:customStyle="1" w:styleId="Normal490">
    <w:name w:val="Normal_49_0"/>
    <w:basedOn w:val="Normal1101"/>
    <w:qFormat/>
    <w:rsid w:val="00436987"/>
    <w:pPr>
      <w:spacing w:after="0" w:line="240" w:lineRule="auto"/>
    </w:pPr>
    <w:rPr>
      <w:rFonts w:ascii="Expert Sans Regular" w:eastAsia="Calibri" w:hAnsi="Expert Sans Regular"/>
      <w:sz w:val="18"/>
      <w:szCs w:val="18"/>
      <w:lang w:eastAsia="en-GB"/>
    </w:rPr>
  </w:style>
  <w:style w:type="paragraph" w:customStyle="1" w:styleId="HeadingLevel1-BarcRA51">
    <w:name w:val="Heading Level 1 - Barc RA_51"/>
    <w:basedOn w:val="BodyText-BarcRA79"/>
    <w:next w:val="BodyText-BarcRA79"/>
    <w:link w:val="HeadingLevel1-BarcRAChar41"/>
    <w:qFormat/>
    <w:rsid w:val="002611B5"/>
    <w:pPr>
      <w:spacing w:before="0"/>
    </w:pPr>
    <w:rPr>
      <w:b/>
      <w:bCs/>
      <w:color w:val="000000"/>
      <w:sz w:val="24"/>
      <w:lang w:val="la-Latn"/>
    </w:rPr>
  </w:style>
  <w:style w:type="paragraph" w:customStyle="1" w:styleId="BodyText-BarcRA79">
    <w:name w:val="Body Text - Barc RA_79"/>
    <w:link w:val="BodyText-BarcRAChar60"/>
    <w:qFormat/>
    <w:rsid w:val="005D52ED"/>
    <w:pPr>
      <w:spacing w:before="180" w:after="180"/>
      <w:jc w:val="both"/>
    </w:pPr>
    <w:rPr>
      <w:rFonts w:ascii="Expert Sans Regular" w:hAnsi="Expert Sans Regular"/>
      <w:sz w:val="18"/>
      <w:lang w:eastAsia="en-US"/>
    </w:rPr>
  </w:style>
  <w:style w:type="character" w:customStyle="1" w:styleId="BodyText-BarcRAChar60">
    <w:name w:val="Body Text - Barc RA Char_60"/>
    <w:basedOn w:val="DefaultParagraphFont"/>
    <w:link w:val="BodyText-BarcRA79"/>
    <w:rsid w:val="005D52ED"/>
    <w:rPr>
      <w:rFonts w:ascii="Expert Sans Regular" w:hAnsi="Expert Sans Regular"/>
      <w:sz w:val="18"/>
      <w:lang w:val="en-GB" w:eastAsia="en-US" w:bidi="ar-SA"/>
    </w:rPr>
  </w:style>
  <w:style w:type="character" w:customStyle="1" w:styleId="HeadingLevel1-BarcRAChar41">
    <w:name w:val="Heading Level 1 - Barc RA Char_41"/>
    <w:basedOn w:val="DefaultParagraphFont"/>
    <w:link w:val="HeadingLevel1-BarcRA51"/>
    <w:rsid w:val="009705AC"/>
    <w:rPr>
      <w:rFonts w:ascii="Expert Sans Regular" w:hAnsi="Expert Sans Regular"/>
      <w:b/>
      <w:bCs/>
      <w:color w:val="000000"/>
      <w:sz w:val="24"/>
      <w:lang w:val="la-Latn"/>
    </w:rPr>
  </w:style>
  <w:style w:type="paragraph" w:customStyle="1" w:styleId="Normal111">
    <w:name w:val="Normal_111"/>
    <w:qFormat/>
    <w:rsid w:val="009705AC"/>
    <w:rPr>
      <w:rFonts w:ascii="Expert Sans Regular" w:hAnsi="Expert Sans Regular"/>
      <w:sz w:val="18"/>
      <w:szCs w:val="24"/>
      <w:lang w:eastAsia="en-US"/>
    </w:rPr>
  </w:style>
  <w:style w:type="paragraph" w:customStyle="1" w:styleId="Normal120">
    <w:name w:val="Normal_1_2"/>
    <w:qFormat/>
    <w:rsid w:val="00317364"/>
    <w:rPr>
      <w:rFonts w:ascii="Expert Sans Regular" w:hAnsi="Expert Sans Regular"/>
      <w:sz w:val="18"/>
      <w:szCs w:val="24"/>
      <w:lang w:eastAsia="en-US"/>
    </w:rPr>
  </w:style>
  <w:style w:type="paragraph" w:customStyle="1" w:styleId="NoteandSourceText-BarcRA131">
    <w:name w:val="Note and Source Text - Barc RA_13_1"/>
    <w:basedOn w:val="Normal112"/>
    <w:qFormat/>
    <w:rsid w:val="00CC099E"/>
    <w:pPr>
      <w:numPr>
        <w:numId w:val="214"/>
      </w:numPr>
      <w:tabs>
        <w:tab w:val="left" w:pos="284"/>
      </w:tabs>
      <w:spacing w:before="20" w:after="20"/>
      <w:jc w:val="both"/>
    </w:pPr>
    <w:rPr>
      <w:rFonts w:eastAsia="Expert Sans Regular" w:cs="Expert Sans Regular"/>
      <w:i/>
      <w:iCs/>
      <w:sz w:val="14"/>
      <w:szCs w:val="14"/>
      <w:lang w:val="en-US"/>
    </w:rPr>
  </w:style>
  <w:style w:type="paragraph" w:customStyle="1" w:styleId="Normal112">
    <w:name w:val="Normal_112"/>
    <w:qFormat/>
    <w:rsid w:val="00BA4EC2"/>
    <w:rPr>
      <w:rFonts w:ascii="Expert Sans Regular" w:hAnsi="Expert Sans Regular"/>
      <w:sz w:val="18"/>
      <w:szCs w:val="24"/>
      <w:lang w:eastAsia="en-US"/>
    </w:rPr>
  </w:style>
  <w:style w:type="paragraph" w:customStyle="1" w:styleId="Normal113">
    <w:name w:val="Normal_113"/>
    <w:qFormat/>
    <w:rsid w:val="00DE0D86"/>
    <w:pPr>
      <w:spacing w:after="200" w:line="276" w:lineRule="auto"/>
    </w:pPr>
    <w:rPr>
      <w:sz w:val="22"/>
      <w:szCs w:val="22"/>
      <w:lang w:eastAsia="en-US"/>
    </w:rPr>
  </w:style>
  <w:style w:type="paragraph" w:customStyle="1" w:styleId="NoteandSourceText-BarcRA23">
    <w:name w:val="Note and Source Text - Barc RA_23"/>
    <w:basedOn w:val="Normal113"/>
    <w:qFormat/>
    <w:rsid w:val="0086702F"/>
    <w:pPr>
      <w:tabs>
        <w:tab w:val="left" w:pos="284"/>
      </w:tabs>
      <w:spacing w:before="20" w:after="20" w:line="240" w:lineRule="auto"/>
      <w:jc w:val="both"/>
    </w:pPr>
    <w:rPr>
      <w:rFonts w:ascii="Expert Sans Regular" w:hAnsi="Expert Sans Regular"/>
      <w:i/>
      <w:iCs/>
      <w:sz w:val="14"/>
      <w:szCs w:val="14"/>
    </w:rPr>
  </w:style>
  <w:style w:type="paragraph" w:customStyle="1" w:styleId="HeadingLevel1-BarcRA52">
    <w:name w:val="Heading Level 1 - Barc RA_52"/>
    <w:basedOn w:val="BodyText-BarcRA800"/>
    <w:next w:val="BodyText-BarcRA800"/>
    <w:link w:val="HeadingLevel1-BarcRAChar42"/>
    <w:rsid w:val="002611B5"/>
    <w:pPr>
      <w:spacing w:before="0"/>
    </w:pPr>
    <w:rPr>
      <w:b/>
      <w:bCs/>
      <w:color w:val="000000"/>
      <w:sz w:val="24"/>
      <w:lang w:val="la-Latn"/>
    </w:rPr>
  </w:style>
  <w:style w:type="paragraph" w:customStyle="1" w:styleId="BodyText-BarcRA800">
    <w:name w:val="Body Text - Barc RA_80"/>
    <w:link w:val="BodyText-BarcRAChar61"/>
    <w:qFormat/>
    <w:rsid w:val="005D52ED"/>
    <w:pPr>
      <w:spacing w:before="180" w:after="180"/>
      <w:jc w:val="both"/>
    </w:pPr>
    <w:rPr>
      <w:rFonts w:ascii="Expert Sans Regular" w:hAnsi="Expert Sans Regular"/>
      <w:sz w:val="18"/>
      <w:lang w:eastAsia="en-US"/>
    </w:rPr>
  </w:style>
  <w:style w:type="character" w:customStyle="1" w:styleId="BodyText-BarcRAChar61">
    <w:name w:val="Body Text - Barc RA Char_61"/>
    <w:basedOn w:val="DefaultParagraphFont"/>
    <w:link w:val="BodyText-BarcRA800"/>
    <w:rsid w:val="005D52ED"/>
    <w:rPr>
      <w:rFonts w:ascii="Expert Sans Regular" w:hAnsi="Expert Sans Regular"/>
      <w:sz w:val="18"/>
      <w:lang w:val="en-GB" w:eastAsia="en-US" w:bidi="ar-SA"/>
    </w:rPr>
  </w:style>
  <w:style w:type="character" w:customStyle="1" w:styleId="HeadingLevel1-BarcRAChar42">
    <w:name w:val="Heading Level 1 - Barc RA Char_42"/>
    <w:basedOn w:val="DefaultParagraphFont"/>
    <w:link w:val="HeadingLevel1-BarcRA52"/>
    <w:rsid w:val="009705AC"/>
    <w:rPr>
      <w:rFonts w:ascii="Expert Sans Regular" w:hAnsi="Expert Sans Regular"/>
      <w:b/>
      <w:bCs/>
      <w:color w:val="000000"/>
      <w:sz w:val="24"/>
      <w:lang w:val="la-Latn"/>
    </w:rPr>
  </w:style>
  <w:style w:type="paragraph" w:customStyle="1" w:styleId="Normal114">
    <w:name w:val="Normal_114"/>
    <w:qFormat/>
    <w:rsid w:val="009705AC"/>
    <w:rPr>
      <w:rFonts w:ascii="Expert Sans Regular" w:hAnsi="Expert Sans Regular"/>
      <w:sz w:val="18"/>
      <w:szCs w:val="24"/>
      <w:lang w:eastAsia="en-US"/>
    </w:rPr>
  </w:style>
  <w:style w:type="paragraph" w:customStyle="1" w:styleId="BodyText-BarcRA91">
    <w:name w:val="Body Text - Barc RA_91"/>
    <w:basedOn w:val="Normal115"/>
    <w:link w:val="BodyText-BarcRAChar800"/>
    <w:rsid w:val="000768F0"/>
    <w:pPr>
      <w:spacing w:before="180" w:after="180"/>
      <w:jc w:val="both"/>
    </w:pPr>
    <w:rPr>
      <w:sz w:val="20"/>
      <w:szCs w:val="20"/>
      <w:lang w:eastAsia="en-GB"/>
    </w:rPr>
  </w:style>
  <w:style w:type="paragraph" w:customStyle="1" w:styleId="Normal115">
    <w:name w:val="Normal_115"/>
    <w:qFormat/>
    <w:rsid w:val="009705AC"/>
    <w:rPr>
      <w:rFonts w:ascii="Expert Sans Regular" w:hAnsi="Expert Sans Regular"/>
      <w:sz w:val="18"/>
      <w:szCs w:val="24"/>
      <w:lang w:eastAsia="en-US"/>
    </w:rPr>
  </w:style>
  <w:style w:type="character" w:customStyle="1" w:styleId="BodyText-BarcRAChar800">
    <w:name w:val="Body Text - Barc RA Char_80"/>
    <w:basedOn w:val="DefaultParagraphFont"/>
    <w:link w:val="BodyText-BarcRA91"/>
    <w:locked/>
    <w:rsid w:val="000768F0"/>
    <w:rPr>
      <w:rFonts w:ascii="Expert Sans Regular" w:hAnsi="Expert Sans Regular"/>
    </w:rPr>
  </w:style>
  <w:style w:type="paragraph" w:customStyle="1" w:styleId="BodyText-BarcRA81">
    <w:name w:val="Body Text - Barc RA_81"/>
    <w:link w:val="BodyText-BarcRAChar62"/>
    <w:qFormat/>
    <w:rsid w:val="005D52ED"/>
    <w:pPr>
      <w:spacing w:before="180" w:after="180"/>
      <w:jc w:val="both"/>
    </w:pPr>
    <w:rPr>
      <w:rFonts w:ascii="Expert Sans Regular" w:hAnsi="Expert Sans Regular"/>
      <w:sz w:val="18"/>
      <w:lang w:eastAsia="en-US"/>
    </w:rPr>
  </w:style>
  <w:style w:type="character" w:customStyle="1" w:styleId="BodyText-BarcRAChar62">
    <w:name w:val="Body Text - Barc RA Char_62"/>
    <w:basedOn w:val="DefaultParagraphFont"/>
    <w:link w:val="BodyText-BarcRA81"/>
    <w:rsid w:val="005D52ED"/>
    <w:rPr>
      <w:rFonts w:ascii="Expert Sans Regular" w:hAnsi="Expert Sans Regular"/>
      <w:sz w:val="18"/>
      <w:lang w:val="en-GB" w:eastAsia="en-US" w:bidi="ar-SA"/>
    </w:rPr>
  </w:style>
  <w:style w:type="paragraph" w:customStyle="1" w:styleId="BarclaysBodyTextHeadingL1">
    <w:name w:val="Barclays Body Text Heading L1"/>
    <w:basedOn w:val="Normal116"/>
    <w:link w:val="BarclaysBodyTextHeadingL1CharChar"/>
    <w:rsid w:val="00F5136A"/>
    <w:pPr>
      <w:spacing w:after="180"/>
      <w:jc w:val="both"/>
    </w:pPr>
    <w:rPr>
      <w:rFonts w:ascii="Barclays Serif" w:hAnsi="Barclays Serif"/>
      <w:b/>
      <w:bCs/>
      <w:color w:val="000000"/>
      <w:sz w:val="24"/>
      <w:szCs w:val="20"/>
      <w:lang w:val="la-Latn"/>
    </w:rPr>
  </w:style>
  <w:style w:type="paragraph" w:customStyle="1" w:styleId="Normal116">
    <w:name w:val="Normal_116"/>
    <w:qFormat/>
    <w:rsid w:val="009705AC"/>
    <w:rPr>
      <w:rFonts w:ascii="Expert Sans Regular" w:hAnsi="Expert Sans Regular"/>
      <w:sz w:val="18"/>
      <w:szCs w:val="24"/>
      <w:lang w:eastAsia="en-US"/>
    </w:rPr>
  </w:style>
  <w:style w:type="character" w:customStyle="1" w:styleId="BarclaysBodyTextHeadingL1CharChar">
    <w:name w:val="Barclays Body Text Heading L1 Char Char"/>
    <w:basedOn w:val="DefaultParagraphFont"/>
    <w:link w:val="BarclaysBodyTextHeadingL1"/>
    <w:locked/>
    <w:rsid w:val="00F5136A"/>
    <w:rPr>
      <w:rFonts w:ascii="Barclays Serif" w:hAnsi="Barclays Serif"/>
      <w:b/>
      <w:bCs/>
      <w:color w:val="000000"/>
      <w:sz w:val="24"/>
      <w:lang w:val="la-Latn" w:eastAsia="en-US" w:bidi="ar-SA"/>
    </w:rPr>
  </w:style>
  <w:style w:type="paragraph" w:customStyle="1" w:styleId="BodyText-BarcRA82">
    <w:name w:val="Body Text - Barc RA_82"/>
    <w:qFormat/>
    <w:locked/>
    <w:rsid w:val="0045660F"/>
    <w:pPr>
      <w:spacing w:before="180" w:after="180"/>
      <w:jc w:val="both"/>
    </w:pPr>
    <w:rPr>
      <w:rFonts w:ascii="Expert Sans Regular" w:eastAsia="Expert Sans Regular" w:hAnsi="Expert Sans Regular" w:cs="Expert Sans Regular"/>
      <w:sz w:val="18"/>
      <w:lang w:eastAsia="en-US"/>
    </w:rPr>
  </w:style>
  <w:style w:type="paragraph" w:customStyle="1" w:styleId="HeadingLevel2-BarcRA24">
    <w:name w:val="Heading Level 2 - Barc RA_24"/>
    <w:basedOn w:val="Normal117"/>
    <w:next w:val="Normal117"/>
    <w:qFormat/>
    <w:locked/>
    <w:rsid w:val="0045660F"/>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17">
    <w:name w:val="Normal_117"/>
    <w:unhideWhenUsed/>
    <w:qFormat/>
    <w:rsid w:val="00F23605"/>
    <w:rPr>
      <w:szCs w:val="22"/>
      <w:lang w:eastAsia="en-US"/>
    </w:rPr>
  </w:style>
  <w:style w:type="paragraph" w:customStyle="1" w:styleId="BodyText-AR">
    <w:name w:val="Body Text - AR"/>
    <w:basedOn w:val="Normal117"/>
    <w:qFormat/>
    <w:rsid w:val="00052391"/>
    <w:rPr>
      <w:rFonts w:ascii="Expert Sans Regular" w:eastAsia="Expert Sans Regular" w:hAnsi="Expert Sans Regular" w:cs="Expert Sans Regular"/>
      <w:sz w:val="16"/>
    </w:rPr>
  </w:style>
  <w:style w:type="paragraph" w:customStyle="1" w:styleId="HeadingLevel2-BarcRA25">
    <w:name w:val="Heading Level 2 - Barc RA_25"/>
    <w:basedOn w:val="Normal118"/>
    <w:next w:val="BodyText-BarcRA83"/>
    <w:qFormat/>
    <w:locked/>
    <w:rsid w:val="005871C0"/>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18">
    <w:name w:val="Normal_118"/>
    <w:semiHidden/>
    <w:unhideWhenUsed/>
    <w:qFormat/>
    <w:rsid w:val="00F23605"/>
    <w:rPr>
      <w:szCs w:val="22"/>
      <w:lang w:eastAsia="en-US"/>
    </w:rPr>
  </w:style>
  <w:style w:type="paragraph" w:customStyle="1" w:styleId="BodyText-BarcRA83">
    <w:name w:val="Body Text - Barc RA_83"/>
    <w:qFormat/>
    <w:locked/>
    <w:rsid w:val="005871C0"/>
    <w:pPr>
      <w:spacing w:before="180" w:after="180"/>
      <w:jc w:val="both"/>
    </w:pPr>
    <w:rPr>
      <w:rFonts w:ascii="Expert Sans Regular" w:eastAsia="Expert Sans Regular" w:hAnsi="Expert Sans Regular" w:cs="Expert Sans Regular"/>
      <w:sz w:val="18"/>
      <w:lang w:eastAsia="en-US"/>
    </w:rPr>
  </w:style>
  <w:style w:type="paragraph" w:customStyle="1" w:styleId="BodyText-BarcRA84">
    <w:name w:val="Body Text - Barc RA_84"/>
    <w:qFormat/>
    <w:locked/>
    <w:rsid w:val="003C7FCA"/>
    <w:pPr>
      <w:spacing w:before="180" w:after="180"/>
      <w:jc w:val="both"/>
    </w:pPr>
    <w:rPr>
      <w:rFonts w:ascii="Expert Sans Regular" w:hAnsi="Expert Sans Regular"/>
      <w:sz w:val="18"/>
      <w:lang w:eastAsia="en-US"/>
    </w:rPr>
  </w:style>
  <w:style w:type="paragraph" w:customStyle="1" w:styleId="BodyText-AR0">
    <w:name w:val="Body Text - AR_0"/>
    <w:basedOn w:val="Normal119"/>
    <w:qFormat/>
    <w:rsid w:val="00052391"/>
    <w:rPr>
      <w:rFonts w:ascii="Expert Sans Regular" w:eastAsia="Expert Sans Regular" w:hAnsi="Expert Sans Regular" w:cs="Expert Sans Regular"/>
      <w:sz w:val="16"/>
    </w:rPr>
  </w:style>
  <w:style w:type="paragraph" w:customStyle="1" w:styleId="Normal119">
    <w:name w:val="Normal_119"/>
    <w:semiHidden/>
    <w:unhideWhenUsed/>
    <w:qFormat/>
    <w:rsid w:val="00F23605"/>
    <w:rPr>
      <w:szCs w:val="22"/>
      <w:lang w:eastAsia="en-US"/>
    </w:rPr>
  </w:style>
  <w:style w:type="paragraph" w:customStyle="1" w:styleId="BodyText-BarcRA85">
    <w:name w:val="Body Text - Barc RA_85"/>
    <w:qFormat/>
    <w:locked/>
    <w:rsid w:val="008E2FF8"/>
    <w:pPr>
      <w:spacing w:before="180" w:after="180"/>
      <w:jc w:val="both"/>
    </w:pPr>
    <w:rPr>
      <w:rFonts w:ascii="Expert Sans Regular" w:eastAsia="Expert Sans Regular" w:hAnsi="Expert Sans Regular" w:cs="Expert Sans Regular"/>
      <w:sz w:val="18"/>
      <w:lang w:eastAsia="en-US"/>
    </w:rPr>
  </w:style>
  <w:style w:type="paragraph" w:customStyle="1" w:styleId="NoteandSourceText-BarcRA24">
    <w:name w:val="Note and Source Text - Barc RA_24"/>
    <w:basedOn w:val="Normal1200"/>
    <w:qFormat/>
    <w:rsid w:val="003759E0"/>
    <w:pPr>
      <w:numPr>
        <w:numId w:val="215"/>
      </w:numPr>
      <w:tabs>
        <w:tab w:val="left" w:pos="284"/>
      </w:tabs>
      <w:spacing w:before="20" w:after="20"/>
      <w:jc w:val="both"/>
    </w:pPr>
    <w:rPr>
      <w:rFonts w:ascii="Expert Sans Regular" w:hAnsi="Expert Sans Regular"/>
      <w:i/>
      <w:iCs/>
      <w:sz w:val="14"/>
      <w:szCs w:val="14"/>
      <w:lang w:eastAsia="en-US"/>
    </w:rPr>
  </w:style>
  <w:style w:type="paragraph" w:customStyle="1" w:styleId="Normal1200">
    <w:name w:val="Normal_120"/>
    <w:qFormat/>
    <w:rsid w:val="00FC7FA5"/>
    <w:rPr>
      <w:sz w:val="24"/>
      <w:szCs w:val="24"/>
    </w:rPr>
  </w:style>
  <w:style w:type="paragraph" w:customStyle="1" w:styleId="BodyText-BarcRA86">
    <w:name w:val="Body Text - Barc RA_86"/>
    <w:qFormat/>
    <w:locked/>
    <w:rsid w:val="00547FAE"/>
    <w:pPr>
      <w:spacing w:before="180" w:after="180"/>
      <w:jc w:val="both"/>
    </w:pPr>
    <w:rPr>
      <w:rFonts w:ascii="Expert Sans Regular" w:eastAsia="Expert Sans Regular" w:hAnsi="Expert Sans Regular" w:cs="Expert Sans Regular"/>
      <w:sz w:val="18"/>
      <w:lang w:eastAsia="en-US"/>
    </w:rPr>
  </w:style>
  <w:style w:type="paragraph" w:customStyle="1" w:styleId="Normal121">
    <w:name w:val="Normal_121"/>
    <w:qFormat/>
    <w:rsid w:val="00DE0D86"/>
    <w:pPr>
      <w:spacing w:after="200" w:line="276" w:lineRule="auto"/>
    </w:pPr>
    <w:rPr>
      <w:sz w:val="22"/>
      <w:szCs w:val="22"/>
      <w:lang w:eastAsia="en-US"/>
    </w:rPr>
  </w:style>
  <w:style w:type="paragraph" w:customStyle="1" w:styleId="HeadingLevel2-BarcRA26">
    <w:name w:val="Heading Level 2 - Barc RA_26"/>
    <w:basedOn w:val="Normal122"/>
    <w:next w:val="BodyText-BarcRA87"/>
    <w:qFormat/>
    <w:locked/>
    <w:rsid w:val="00D941BB"/>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2">
    <w:name w:val="Normal_122"/>
    <w:semiHidden/>
    <w:unhideWhenUsed/>
    <w:qFormat/>
    <w:rsid w:val="00F23605"/>
    <w:rPr>
      <w:szCs w:val="22"/>
      <w:lang w:eastAsia="en-US"/>
    </w:rPr>
  </w:style>
  <w:style w:type="paragraph" w:customStyle="1" w:styleId="BodyText-BarcRA87">
    <w:name w:val="Body Text - Barc RA_87"/>
    <w:qFormat/>
    <w:locked/>
    <w:rsid w:val="00D941BB"/>
    <w:pPr>
      <w:spacing w:before="180" w:after="180"/>
      <w:jc w:val="both"/>
    </w:pPr>
    <w:rPr>
      <w:rFonts w:ascii="Expert Sans Regular" w:eastAsia="Expert Sans Regular" w:hAnsi="Expert Sans Regular" w:cs="Expert Sans Regular"/>
      <w:sz w:val="18"/>
      <w:lang w:eastAsia="en-US"/>
    </w:rPr>
  </w:style>
  <w:style w:type="paragraph" w:customStyle="1" w:styleId="Level1Bullet-BarcRA43">
    <w:name w:val="Level 1 Bullet - Barc RA_43"/>
    <w:basedOn w:val="BodyText-BarcRA88"/>
    <w:qFormat/>
    <w:locked/>
    <w:rsid w:val="008C5AD0"/>
    <w:pPr>
      <w:numPr>
        <w:numId w:val="216"/>
      </w:numPr>
    </w:pPr>
    <w:rPr>
      <w:rFonts w:ascii="Expert Sans Regular" w:eastAsia="Expert Sans Regular" w:hAnsi="Expert Sans Regular" w:cs="Expert Sans Regular"/>
      <w:lang w:val="la-Latn"/>
    </w:rPr>
  </w:style>
  <w:style w:type="paragraph" w:customStyle="1" w:styleId="BodyText-BarcRA88">
    <w:name w:val="Body Text - Barc RA_88"/>
    <w:qFormat/>
    <w:locked/>
    <w:rsid w:val="008C5AD0"/>
    <w:pPr>
      <w:spacing w:before="180" w:after="180"/>
      <w:jc w:val="both"/>
    </w:pPr>
    <w:rPr>
      <w:sz w:val="18"/>
      <w:lang w:eastAsia="en-US"/>
    </w:rPr>
  </w:style>
  <w:style w:type="paragraph" w:customStyle="1" w:styleId="NoteandSourceText-BarcRA25">
    <w:name w:val="Note and Source Text - Barc RA_25"/>
    <w:basedOn w:val="Normal123"/>
    <w:qFormat/>
    <w:rsid w:val="00A30ACA"/>
    <w:pPr>
      <w:numPr>
        <w:numId w:val="217"/>
      </w:numPr>
      <w:tabs>
        <w:tab w:val="left" w:pos="284"/>
      </w:tabs>
      <w:spacing w:before="20" w:after="20"/>
      <w:jc w:val="both"/>
    </w:pPr>
    <w:rPr>
      <w:rFonts w:ascii="Expert Sans Regular" w:eastAsia="Expert Sans Regular" w:hAnsi="Expert Sans Regular" w:cs="Expert Sans Regular"/>
      <w:i/>
      <w:iCs/>
      <w:sz w:val="14"/>
      <w:szCs w:val="14"/>
    </w:rPr>
  </w:style>
  <w:style w:type="paragraph" w:customStyle="1" w:styleId="Normal123">
    <w:name w:val="Normal_123"/>
    <w:semiHidden/>
    <w:unhideWhenUsed/>
    <w:qFormat/>
    <w:rsid w:val="00F23605"/>
    <w:rPr>
      <w:szCs w:val="22"/>
      <w:lang w:eastAsia="en-US"/>
    </w:rPr>
  </w:style>
  <w:style w:type="paragraph" w:customStyle="1" w:styleId="HeadingLevel2-BarcRA27">
    <w:name w:val="Heading Level 2 - Barc RA_27"/>
    <w:basedOn w:val="Normal124"/>
    <w:next w:val="Normal124"/>
    <w:qFormat/>
    <w:locked/>
    <w:rsid w:val="005B25F4"/>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4">
    <w:name w:val="Normal_124"/>
    <w:semiHidden/>
    <w:unhideWhenUsed/>
    <w:qFormat/>
    <w:rsid w:val="00F23605"/>
    <w:rPr>
      <w:szCs w:val="22"/>
      <w:lang w:eastAsia="en-US"/>
    </w:rPr>
  </w:style>
  <w:style w:type="paragraph" w:customStyle="1" w:styleId="BodyText-BarcRA89">
    <w:name w:val="Body Text - Barc RA_89"/>
    <w:qFormat/>
    <w:locked/>
    <w:rsid w:val="005B25F4"/>
    <w:pPr>
      <w:spacing w:before="180" w:after="180"/>
      <w:jc w:val="both"/>
    </w:pPr>
    <w:rPr>
      <w:rFonts w:ascii="Expert Sans Regular" w:eastAsia="Expert Sans Regular" w:hAnsi="Expert Sans Regular" w:cs="Expert Sans Regular"/>
      <w:sz w:val="18"/>
      <w:lang w:eastAsia="en-US"/>
    </w:rPr>
  </w:style>
  <w:style w:type="paragraph" w:customStyle="1" w:styleId="HeadingLevel2-BarcRA28">
    <w:name w:val="Heading Level 2 - Barc RA_28"/>
    <w:basedOn w:val="Normal125"/>
    <w:next w:val="BodyText-BarcRA90"/>
    <w:qFormat/>
    <w:locked/>
    <w:rsid w:val="00D150D9"/>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5">
    <w:name w:val="Normal_125"/>
    <w:unhideWhenUsed/>
    <w:qFormat/>
    <w:rsid w:val="00F23605"/>
    <w:rPr>
      <w:szCs w:val="22"/>
      <w:lang w:eastAsia="en-US"/>
    </w:rPr>
  </w:style>
  <w:style w:type="paragraph" w:customStyle="1" w:styleId="BodyText-BarcRA90">
    <w:name w:val="Body Text - Barc RA_90"/>
    <w:qFormat/>
    <w:locked/>
    <w:rsid w:val="00D150D9"/>
    <w:pPr>
      <w:spacing w:before="180" w:after="180"/>
      <w:jc w:val="both"/>
    </w:pPr>
    <w:rPr>
      <w:rFonts w:ascii="Expert Sans Regular" w:eastAsia="Expert Sans Regular" w:hAnsi="Expert Sans Regular" w:cs="Expert Sans Regular"/>
      <w:sz w:val="18"/>
      <w:lang w:eastAsia="en-US"/>
    </w:rPr>
  </w:style>
  <w:style w:type="paragraph" w:customStyle="1" w:styleId="NoteandSourceText-BarcRA26">
    <w:name w:val="Note and Source Text - Barc RA_26"/>
    <w:basedOn w:val="Normal125"/>
    <w:qFormat/>
    <w:rsid w:val="003C0314"/>
    <w:pPr>
      <w:numPr>
        <w:numId w:val="218"/>
      </w:numPr>
      <w:tabs>
        <w:tab w:val="left" w:pos="284"/>
      </w:tabs>
      <w:spacing w:before="20" w:after="20"/>
      <w:jc w:val="both"/>
    </w:pPr>
    <w:rPr>
      <w:rFonts w:ascii="Expert Sans Regular" w:eastAsia="Expert Sans Regular" w:hAnsi="Expert Sans Regular" w:cs="Expert Sans Regular"/>
      <w:i/>
      <w:iCs/>
      <w:sz w:val="14"/>
      <w:szCs w:val="14"/>
    </w:rPr>
  </w:style>
  <w:style w:type="paragraph" w:customStyle="1" w:styleId="BodyText-BarcRA92">
    <w:name w:val="Body Text - Barc RA_92"/>
    <w:qFormat/>
    <w:locked/>
    <w:rsid w:val="0007794C"/>
    <w:pPr>
      <w:spacing w:before="180" w:after="180"/>
      <w:jc w:val="both"/>
    </w:pPr>
    <w:rPr>
      <w:rFonts w:ascii="Expert Sans Regular" w:eastAsia="Expert Sans Regular" w:hAnsi="Expert Sans Regular" w:cs="Expert Sans Regular"/>
      <w:sz w:val="18"/>
      <w:lang w:eastAsia="en-US"/>
    </w:rPr>
  </w:style>
  <w:style w:type="paragraph" w:customStyle="1" w:styleId="Normal130">
    <w:name w:val="Normal_13_0"/>
    <w:qFormat/>
    <w:rsid w:val="00B30141"/>
    <w:rPr>
      <w:rFonts w:ascii="Expert Sans Regular" w:eastAsia="Expert Sans Regular" w:hAnsi="Expert Sans Regular" w:cs="Expert Sans Regular"/>
      <w:szCs w:val="22"/>
      <w:lang w:eastAsia="en-US"/>
    </w:rPr>
  </w:style>
  <w:style w:type="paragraph" w:customStyle="1" w:styleId="HeadingLevel2-BarcRA29">
    <w:name w:val="Heading Level 2 - Barc RA_29"/>
    <w:basedOn w:val="Normal126"/>
    <w:next w:val="Normal126"/>
    <w:qFormat/>
    <w:locked/>
    <w:rsid w:val="00313A60"/>
    <w:pPr>
      <w:spacing w:before="240"/>
      <w:jc w:val="both"/>
    </w:pPr>
    <w:rPr>
      <w:rFonts w:ascii="Expert Sans Regular" w:hAnsi="Expert Sans Regular"/>
      <w:b/>
      <w:bCs/>
      <w:color w:val="000000"/>
      <w:sz w:val="20"/>
      <w:szCs w:val="20"/>
      <w:lang w:val="la-Latn" w:eastAsia="en-US"/>
    </w:rPr>
  </w:style>
  <w:style w:type="paragraph" w:customStyle="1" w:styleId="Normal126">
    <w:name w:val="Normal_126"/>
    <w:qFormat/>
    <w:rsid w:val="00FC7FA5"/>
    <w:rPr>
      <w:sz w:val="24"/>
      <w:szCs w:val="24"/>
    </w:rPr>
  </w:style>
  <w:style w:type="paragraph" w:customStyle="1" w:styleId="Normal131">
    <w:name w:val="Normal_13_1"/>
    <w:qFormat/>
    <w:rsid w:val="00313A60"/>
    <w:rPr>
      <w:rFonts w:ascii="Expert Sans Regular" w:eastAsia="Expert Sans Regular" w:hAnsi="Expert Sans Regular" w:cs="Expert Sans Regular"/>
      <w:szCs w:val="22"/>
      <w:lang w:eastAsia="en-US"/>
    </w:rPr>
  </w:style>
  <w:style w:type="paragraph" w:customStyle="1" w:styleId="BodyText-BarcRA93">
    <w:name w:val="Body Text - Barc RA_93"/>
    <w:qFormat/>
    <w:locked/>
    <w:rsid w:val="00313A60"/>
    <w:pPr>
      <w:spacing w:before="180" w:after="180"/>
      <w:jc w:val="both"/>
    </w:pPr>
    <w:rPr>
      <w:rFonts w:ascii="Expert Sans Regular" w:hAnsi="Expert Sans Regular"/>
      <w:sz w:val="18"/>
      <w:lang w:eastAsia="en-US"/>
    </w:rPr>
  </w:style>
  <w:style w:type="paragraph" w:customStyle="1" w:styleId="NoteandSourceText-BarcRA27">
    <w:name w:val="Note and Source Text - Barc RA_27"/>
    <w:basedOn w:val="Normal127"/>
    <w:qFormat/>
    <w:rsid w:val="00D0166A"/>
    <w:pPr>
      <w:numPr>
        <w:numId w:val="219"/>
      </w:numPr>
      <w:tabs>
        <w:tab w:val="left" w:pos="284"/>
      </w:tabs>
      <w:spacing w:before="20" w:after="20"/>
      <w:jc w:val="both"/>
    </w:pPr>
    <w:rPr>
      <w:i/>
      <w:iCs/>
      <w:sz w:val="14"/>
      <w:szCs w:val="14"/>
    </w:rPr>
  </w:style>
  <w:style w:type="paragraph" w:customStyle="1" w:styleId="Normal127">
    <w:name w:val="Normal_127"/>
    <w:qFormat/>
    <w:rsid w:val="00A23031"/>
    <w:rPr>
      <w:rFonts w:ascii="Expert Sans Regular" w:eastAsia="Expert Sans Regular" w:hAnsi="Expert Sans Regular" w:cs="Expert Sans Regular"/>
      <w:sz w:val="2"/>
      <w:szCs w:val="24"/>
      <w:lang w:val="en-US" w:eastAsia="en-US"/>
    </w:rPr>
  </w:style>
  <w:style w:type="paragraph" w:customStyle="1" w:styleId="BodyText-AR00">
    <w:name w:val="Body Text - AR_0_0"/>
    <w:basedOn w:val="Normal128"/>
    <w:qFormat/>
    <w:rsid w:val="000E36C1"/>
    <w:rPr>
      <w:rFonts w:ascii="Expert Sans Regular" w:eastAsia="Expert Sans Regular" w:hAnsi="Expert Sans Regular" w:cs="Expert Sans Regular"/>
      <w:sz w:val="16"/>
      <w:szCs w:val="22"/>
      <w:lang w:eastAsia="en-US"/>
    </w:rPr>
  </w:style>
  <w:style w:type="paragraph" w:customStyle="1" w:styleId="Normal128">
    <w:name w:val="Normal_128"/>
    <w:qFormat/>
    <w:rsid w:val="00FC7FA5"/>
    <w:rPr>
      <w:sz w:val="24"/>
      <w:szCs w:val="24"/>
    </w:rPr>
  </w:style>
  <w:style w:type="paragraph" w:customStyle="1" w:styleId="HeadingLevel2-BarcRA30">
    <w:name w:val="Heading Level 2 - Barc RA_30"/>
    <w:basedOn w:val="Normal129"/>
    <w:next w:val="Normal129"/>
    <w:qFormat/>
    <w:locked/>
    <w:rsid w:val="009E558D"/>
    <w:pPr>
      <w:spacing w:before="240"/>
      <w:jc w:val="both"/>
    </w:pPr>
    <w:rPr>
      <w:rFonts w:ascii="Expert Sans Regular" w:eastAsia="Expert Sans Regular" w:hAnsi="Expert Sans Regular" w:cs="Expert Sans Regular"/>
      <w:b/>
      <w:bCs/>
      <w:color w:val="000000"/>
      <w:szCs w:val="20"/>
      <w:lang w:val="la-Latn"/>
    </w:rPr>
  </w:style>
  <w:style w:type="paragraph" w:customStyle="1" w:styleId="Normal129">
    <w:name w:val="Normal_129"/>
    <w:semiHidden/>
    <w:unhideWhenUsed/>
    <w:qFormat/>
    <w:rsid w:val="00F23605"/>
    <w:rPr>
      <w:szCs w:val="22"/>
      <w:lang w:eastAsia="en-US"/>
    </w:rPr>
  </w:style>
  <w:style w:type="paragraph" w:customStyle="1" w:styleId="BodyText-BarcRA94">
    <w:name w:val="Body Text - Barc RA_94"/>
    <w:qFormat/>
    <w:locked/>
    <w:rsid w:val="00622575"/>
    <w:pPr>
      <w:spacing w:before="180" w:after="180"/>
      <w:jc w:val="both"/>
    </w:pPr>
    <w:rPr>
      <w:rFonts w:ascii="Expert Sans Regular" w:eastAsia="Expert Sans Regular" w:hAnsi="Expert Sans Regular" w:cs="Expert Sans Regular"/>
      <w:sz w:val="18"/>
      <w:lang w:eastAsia="en-US"/>
    </w:rPr>
  </w:style>
  <w:style w:type="paragraph" w:customStyle="1" w:styleId="HeadingLevel2-BarcRA31">
    <w:name w:val="Heading Level 2 - Barc RA_31"/>
    <w:basedOn w:val="Normal1300"/>
    <w:next w:val="Normal1300"/>
    <w:qFormat/>
    <w:locked/>
    <w:rsid w:val="00B856F0"/>
    <w:pPr>
      <w:spacing w:before="240" w:after="0" w:line="240" w:lineRule="auto"/>
      <w:jc w:val="both"/>
    </w:pPr>
    <w:rPr>
      <w:b/>
      <w:bCs/>
      <w:color w:val="000000"/>
      <w:sz w:val="20"/>
      <w:szCs w:val="20"/>
      <w:lang w:val="la-Latn"/>
    </w:rPr>
  </w:style>
  <w:style w:type="paragraph" w:customStyle="1" w:styleId="Normal1300">
    <w:name w:val="Normal_130"/>
    <w:qFormat/>
    <w:rsid w:val="004A49F6"/>
    <w:pPr>
      <w:spacing w:after="200" w:line="276" w:lineRule="auto"/>
    </w:pPr>
    <w:rPr>
      <w:rFonts w:ascii="Expert Sans Regular" w:eastAsia="Expert Sans Regular" w:hAnsi="Expert Sans Regular" w:cs="Expert Sans Regular"/>
      <w:sz w:val="22"/>
      <w:szCs w:val="22"/>
      <w:lang w:eastAsia="en-US"/>
    </w:rPr>
  </w:style>
  <w:style w:type="paragraph" w:customStyle="1" w:styleId="BodyText-BarcRA95">
    <w:name w:val="Body Text - Barc RA_95"/>
    <w:qFormat/>
    <w:locked/>
    <w:rsid w:val="00B856F0"/>
    <w:pPr>
      <w:spacing w:before="180" w:after="180"/>
      <w:jc w:val="both"/>
    </w:pPr>
    <w:rPr>
      <w:rFonts w:ascii="Expert Sans Regular" w:eastAsia="Expert Sans Regular" w:hAnsi="Expert Sans Regular" w:cs="Expert Sans Regular"/>
      <w:sz w:val="18"/>
      <w:lang w:eastAsia="en-US"/>
    </w:rPr>
  </w:style>
  <w:style w:type="paragraph" w:customStyle="1" w:styleId="Normal1310">
    <w:name w:val="Normal_131"/>
    <w:semiHidden/>
    <w:unhideWhenUsed/>
    <w:qFormat/>
    <w:rsid w:val="00F23605"/>
    <w:rPr>
      <w:rFonts w:ascii="Expert Sans Regular" w:eastAsia="Expert Sans Regular" w:hAnsi="Expert Sans Regular" w:cs="Expert Sans Regular"/>
      <w:szCs w:val="22"/>
      <w:lang w:eastAsia="en-US"/>
    </w:rPr>
  </w:style>
  <w:style w:type="paragraph" w:customStyle="1" w:styleId="HeadingLevel2-BarcRA32">
    <w:name w:val="Heading Level 2 - Barc RA_32"/>
    <w:basedOn w:val="Normal1310"/>
    <w:next w:val="BodyText-BarcRA96"/>
    <w:qFormat/>
    <w:locked/>
    <w:rsid w:val="00B35422"/>
    <w:pPr>
      <w:spacing w:before="240"/>
      <w:jc w:val="both"/>
    </w:pPr>
    <w:rPr>
      <w:b/>
      <w:bCs/>
      <w:color w:val="000000"/>
      <w:szCs w:val="20"/>
      <w:lang w:val="la-Latn"/>
    </w:rPr>
  </w:style>
  <w:style w:type="paragraph" w:customStyle="1" w:styleId="BodyText-BarcRA96">
    <w:name w:val="Body Text - Barc RA_96"/>
    <w:qFormat/>
    <w:locked/>
    <w:rsid w:val="00CE2264"/>
    <w:pPr>
      <w:spacing w:before="180" w:after="180"/>
      <w:jc w:val="both"/>
    </w:pPr>
    <w:rPr>
      <w:rFonts w:ascii="Expert Sans Regular" w:eastAsia="Expert Sans Regular" w:hAnsi="Expert Sans Regular" w:cs="Expert Sans Regular"/>
      <w:sz w:val="18"/>
      <w:lang w:eastAsia="en-US"/>
    </w:rPr>
  </w:style>
  <w:style w:type="paragraph" w:customStyle="1" w:styleId="BarclaysBodyTextHeadingL10">
    <w:name w:val="Barclays Body Text Heading L1_0"/>
    <w:basedOn w:val="Normal132"/>
    <w:link w:val="BarclaysBodyTextHeadingL1CharChar0"/>
    <w:rsid w:val="00F5136A"/>
    <w:pPr>
      <w:spacing w:after="180"/>
      <w:jc w:val="both"/>
    </w:pPr>
    <w:rPr>
      <w:rFonts w:eastAsia="Expert Sans Regular" w:cs="Expert Sans Regular"/>
      <w:b/>
      <w:bCs/>
      <w:color w:val="000000"/>
      <w:sz w:val="24"/>
      <w:szCs w:val="20"/>
      <w:lang w:val="la-Latn"/>
    </w:rPr>
  </w:style>
  <w:style w:type="paragraph" w:customStyle="1" w:styleId="Normal132">
    <w:name w:val="Normal_132"/>
    <w:qFormat/>
    <w:rsid w:val="009705AC"/>
    <w:rPr>
      <w:rFonts w:ascii="Expert Sans Regular" w:hAnsi="Expert Sans Regular"/>
      <w:sz w:val="18"/>
      <w:szCs w:val="24"/>
      <w:lang w:eastAsia="en-US"/>
    </w:rPr>
  </w:style>
  <w:style w:type="character" w:customStyle="1" w:styleId="BarclaysBodyTextHeadingL1CharChar0">
    <w:name w:val="Barclays Body Text Heading L1 Char Char_0"/>
    <w:basedOn w:val="DefaultParagraphFont"/>
    <w:link w:val="BarclaysBodyTextHeadingL10"/>
    <w:locked/>
    <w:rsid w:val="00F5136A"/>
    <w:rPr>
      <w:rFonts w:ascii="Barclays Serif" w:hAnsi="Barclays Serif"/>
      <w:b/>
      <w:bCs/>
      <w:color w:val="000000"/>
      <w:sz w:val="24"/>
      <w:lang w:val="la-Latn" w:eastAsia="en-US" w:bidi="ar-SA"/>
    </w:rPr>
  </w:style>
  <w:style w:type="paragraph" w:customStyle="1" w:styleId="BodyText-BarcRA99">
    <w:name w:val="Body Text - Barc RA_99"/>
    <w:link w:val="BodyText-BarcRAChar68"/>
    <w:qFormat/>
    <w:rsid w:val="00300807"/>
    <w:pPr>
      <w:spacing w:before="180" w:after="180"/>
      <w:jc w:val="both"/>
    </w:pPr>
    <w:rPr>
      <w:rFonts w:ascii="Expert Sans Regular" w:eastAsia="Expert Sans Regular" w:hAnsi="Expert Sans Regular" w:cs="Expert Sans Regular"/>
      <w:sz w:val="18"/>
    </w:rPr>
  </w:style>
  <w:style w:type="character" w:customStyle="1" w:styleId="BodyText-BarcRAChar68">
    <w:name w:val="Body Text - Barc RA Char_68"/>
    <w:basedOn w:val="DefaultParagraphFont"/>
    <w:link w:val="BodyText-BarcRA99"/>
    <w:locked/>
    <w:rsid w:val="00300807"/>
    <w:rPr>
      <w:rFonts w:ascii="Expert Sans Regular" w:eastAsia="Expert Sans Regular" w:hAnsi="Expert Sans Regular" w:cs="Expert Sans Regular"/>
      <w:sz w:val="18"/>
      <w:lang w:val="en-GB" w:eastAsia="en-GB" w:bidi="ar-SA"/>
    </w:rPr>
  </w:style>
  <w:style w:type="paragraph" w:customStyle="1" w:styleId="NumberedBullet-BarcRA">
    <w:name w:val="Numbered Bullet - Barc RA"/>
    <w:basedOn w:val="Level1Bullet-BarcRA44"/>
    <w:qFormat/>
    <w:rsid w:val="002D4186"/>
    <w:pPr>
      <w:numPr>
        <w:numId w:val="220"/>
      </w:numPr>
    </w:pPr>
  </w:style>
  <w:style w:type="paragraph" w:customStyle="1" w:styleId="Level1Bullet-BarcRA44">
    <w:name w:val="Level 1 Bullet - Barc RA_44"/>
    <w:basedOn w:val="BodyText-BarcRA97"/>
    <w:link w:val="Level1Bullet-BarcRAChar35"/>
    <w:rsid w:val="00A85CEE"/>
    <w:pPr>
      <w:numPr>
        <w:numId w:val="221"/>
      </w:numPr>
    </w:pPr>
    <w:rPr>
      <w:lang w:val="la-Latn"/>
    </w:rPr>
  </w:style>
  <w:style w:type="paragraph" w:customStyle="1" w:styleId="BodyText-BarcRA97">
    <w:name w:val="Body Text - Barc RA_97"/>
    <w:link w:val="BodyText-BarcRAChar63"/>
    <w:qFormat/>
    <w:rsid w:val="005D52ED"/>
    <w:pPr>
      <w:spacing w:before="180" w:after="180"/>
      <w:jc w:val="both"/>
    </w:pPr>
    <w:rPr>
      <w:rFonts w:ascii="Expert Sans Regular" w:eastAsia="Expert Sans Regular" w:hAnsi="Expert Sans Regular" w:cs="Expert Sans Regular"/>
      <w:sz w:val="18"/>
      <w:lang w:eastAsia="en-US"/>
    </w:rPr>
  </w:style>
  <w:style w:type="character" w:customStyle="1" w:styleId="BodyText-BarcRAChar63">
    <w:name w:val="Body Text - Barc RA Char_63"/>
    <w:basedOn w:val="DefaultParagraphFont"/>
    <w:link w:val="BodyText-BarcRA97"/>
    <w:rsid w:val="005D52ED"/>
    <w:rPr>
      <w:rFonts w:ascii="Expert Sans Regular" w:eastAsia="Expert Sans Regular" w:hAnsi="Expert Sans Regular" w:cs="Expert Sans Regular"/>
      <w:sz w:val="18"/>
      <w:lang w:val="en-GB" w:eastAsia="en-US" w:bidi="ar-SA"/>
    </w:rPr>
  </w:style>
  <w:style w:type="character" w:customStyle="1" w:styleId="Level1Bullet-BarcRAChar35">
    <w:name w:val="Level 1 Bullet - Barc RA Char_35"/>
    <w:basedOn w:val="BodyText-BarcRAChar63"/>
    <w:link w:val="Level1Bullet-BarcRA44"/>
    <w:rsid w:val="00A85CEE"/>
    <w:rPr>
      <w:rFonts w:ascii="Expert Sans Regular" w:eastAsia="Expert Sans Regular" w:hAnsi="Expert Sans Regular" w:cs="Expert Sans Regular"/>
      <w:sz w:val="18"/>
      <w:lang w:val="la-Latn" w:eastAsia="en-US" w:bidi="ar-SA"/>
    </w:rPr>
  </w:style>
  <w:style w:type="paragraph" w:customStyle="1" w:styleId="MyLastParagraph0">
    <w:name w:val="MyLastParagraph_0"/>
    <w:rsid w:val="0080371C"/>
    <w:rPr>
      <w:sz w:val="4"/>
    </w:rPr>
  </w:style>
  <w:style w:type="paragraph" w:customStyle="1" w:styleId="MyLastParagraph00">
    <w:name w:val="MyLastParagraph_0_0"/>
    <w:rsid w:val="00DC5358"/>
    <w:rPr>
      <w:sz w:val="4"/>
    </w:rPr>
  </w:style>
  <w:style w:type="paragraph" w:customStyle="1" w:styleId="BodyText-BarcRA1000">
    <w:name w:val="Body Text - Barc RA_100"/>
    <w:qFormat/>
    <w:locked/>
    <w:rsid w:val="00DC5358"/>
    <w:pPr>
      <w:spacing w:before="180" w:after="180"/>
      <w:jc w:val="both"/>
    </w:pPr>
    <w:rPr>
      <w:rFonts w:ascii="Expert Sans Regular" w:hAnsi="Expert Sans Regular"/>
      <w:sz w:val="18"/>
      <w:lang w:eastAsia="en-US"/>
    </w:rPr>
  </w:style>
  <w:style w:type="character" w:styleId="CommentReference">
    <w:name w:val="annotation reference"/>
    <w:basedOn w:val="DefaultParagraphFont"/>
    <w:uiPriority w:val="99"/>
    <w:semiHidden/>
    <w:unhideWhenUsed/>
    <w:rsid w:val="00DC5358"/>
    <w:rPr>
      <w:sz w:val="16"/>
      <w:szCs w:val="16"/>
    </w:rPr>
  </w:style>
  <w:style w:type="paragraph" w:customStyle="1" w:styleId="Normal1160">
    <w:name w:val="Normal_116_0"/>
    <w:qFormat/>
    <w:rsid w:val="00DC5358"/>
    <w:pPr>
      <w:spacing w:after="200" w:line="276" w:lineRule="auto"/>
    </w:pPr>
    <w:rPr>
      <w:sz w:val="22"/>
      <w:szCs w:val="22"/>
      <w:lang w:eastAsia="en-US"/>
    </w:rPr>
  </w:style>
  <w:style w:type="paragraph" w:customStyle="1" w:styleId="Normal133">
    <w:name w:val="Normal_133"/>
    <w:qFormat/>
    <w:rsid w:val="00DE0D86"/>
    <w:pPr>
      <w:spacing w:after="200" w:line="276" w:lineRule="auto"/>
    </w:pPr>
    <w:rPr>
      <w:sz w:val="22"/>
      <w:szCs w:val="22"/>
      <w:lang w:eastAsia="en-US"/>
    </w:rPr>
  </w:style>
  <w:style w:type="paragraph" w:customStyle="1" w:styleId="NoteandSourceText-BarcRA28">
    <w:name w:val="Note and Source Text - Barc RA_28"/>
    <w:basedOn w:val="Normal133"/>
    <w:qFormat/>
    <w:rsid w:val="004B2085"/>
    <w:pPr>
      <w:numPr>
        <w:numId w:val="222"/>
      </w:numPr>
      <w:tabs>
        <w:tab w:val="left" w:pos="284"/>
      </w:tabs>
      <w:spacing w:before="20" w:after="20" w:line="240" w:lineRule="auto"/>
      <w:jc w:val="both"/>
    </w:pPr>
    <w:rPr>
      <w:rFonts w:ascii="Expert Sans Regular" w:hAnsi="Expert Sans Regular"/>
      <w:i/>
      <w:iCs/>
      <w:sz w:val="14"/>
      <w:szCs w:val="14"/>
    </w:rPr>
  </w:style>
  <w:style w:type="paragraph" w:customStyle="1" w:styleId="NoteandSourceText-BarcRA260">
    <w:name w:val="Note and Source Text - Barc RA_26_0"/>
    <w:basedOn w:val="Normal133"/>
    <w:qFormat/>
    <w:rsid w:val="00AA4A1C"/>
    <w:pPr>
      <w:numPr>
        <w:numId w:val="223"/>
      </w:numPr>
      <w:tabs>
        <w:tab w:val="left" w:pos="284"/>
      </w:tabs>
      <w:spacing w:before="20" w:after="20" w:line="240" w:lineRule="auto"/>
      <w:jc w:val="both"/>
    </w:pPr>
    <w:rPr>
      <w:rFonts w:ascii="Expert Sans Regular" w:hAnsi="Expert Sans Regular"/>
      <w:i/>
      <w:iCs/>
      <w:sz w:val="14"/>
      <w:szCs w:val="14"/>
    </w:rPr>
  </w:style>
  <w:style w:type="paragraph" w:customStyle="1" w:styleId="Normal134">
    <w:name w:val="Normal_134"/>
    <w:qFormat/>
    <w:rsid w:val="009705AC"/>
    <w:rPr>
      <w:rFonts w:ascii="Expert Sans Regular" w:hAnsi="Expert Sans Regular"/>
      <w:sz w:val="18"/>
      <w:szCs w:val="24"/>
      <w:lang w:eastAsia="en-US"/>
    </w:rPr>
  </w:style>
  <w:style w:type="paragraph" w:customStyle="1" w:styleId="BodyText-BarcRA98">
    <w:name w:val="Body Text - Barc RA_98"/>
    <w:link w:val="BodyText-BarcRAChar64"/>
    <w:qFormat/>
    <w:rsid w:val="005D52ED"/>
    <w:pPr>
      <w:spacing w:before="180" w:after="180"/>
      <w:jc w:val="both"/>
    </w:pPr>
    <w:rPr>
      <w:rFonts w:ascii="Expert Sans Regular" w:hAnsi="Expert Sans Regular"/>
      <w:sz w:val="18"/>
      <w:lang w:eastAsia="en-US"/>
    </w:rPr>
  </w:style>
  <w:style w:type="character" w:customStyle="1" w:styleId="BodyText-BarcRAChar64">
    <w:name w:val="Body Text - Barc RA Char_64"/>
    <w:basedOn w:val="DefaultParagraphFont"/>
    <w:link w:val="BodyText-BarcRA98"/>
    <w:rsid w:val="005D52ED"/>
    <w:rPr>
      <w:rFonts w:ascii="Expert Sans Regular" w:hAnsi="Expert Sans Regular"/>
      <w:sz w:val="18"/>
      <w:lang w:val="en-GB" w:eastAsia="en-US" w:bidi="ar-SA"/>
    </w:rPr>
  </w:style>
  <w:style w:type="paragraph" w:customStyle="1" w:styleId="BodyText-BarcRA101">
    <w:name w:val="Body Text - Barc RA_101"/>
    <w:link w:val="BodyText-BarcRAChar65"/>
    <w:qFormat/>
    <w:rsid w:val="005D52ED"/>
    <w:pPr>
      <w:spacing w:before="180" w:after="180"/>
      <w:jc w:val="both"/>
    </w:pPr>
    <w:rPr>
      <w:rFonts w:ascii="Expert Sans Regular" w:hAnsi="Expert Sans Regular"/>
      <w:sz w:val="18"/>
      <w:lang w:eastAsia="en-US"/>
    </w:rPr>
  </w:style>
  <w:style w:type="character" w:customStyle="1" w:styleId="BodyText-BarcRAChar65">
    <w:name w:val="Body Text - Barc RA Char_65"/>
    <w:basedOn w:val="DefaultParagraphFont"/>
    <w:link w:val="BodyText-BarcRA101"/>
    <w:rsid w:val="005D52ED"/>
    <w:rPr>
      <w:rFonts w:ascii="Expert Sans Regular" w:hAnsi="Expert Sans Regular"/>
      <w:sz w:val="18"/>
      <w:lang w:val="en-GB" w:eastAsia="en-US" w:bidi="ar-SA"/>
    </w:rPr>
  </w:style>
  <w:style w:type="paragraph" w:customStyle="1" w:styleId="BodyText-BarcRA890">
    <w:name w:val="Body Text - Barc RA_89_0"/>
    <w:basedOn w:val="Normal135"/>
    <w:link w:val="BodyText-BarcRAChar680"/>
    <w:rsid w:val="00264B84"/>
    <w:pPr>
      <w:spacing w:before="180" w:after="180"/>
      <w:jc w:val="both"/>
    </w:pPr>
    <w:rPr>
      <w:sz w:val="20"/>
      <w:szCs w:val="20"/>
      <w:lang w:eastAsia="en-GB"/>
    </w:rPr>
  </w:style>
  <w:style w:type="paragraph" w:customStyle="1" w:styleId="Normal135">
    <w:name w:val="Normal_135"/>
    <w:qFormat/>
    <w:rsid w:val="009705AC"/>
    <w:rPr>
      <w:rFonts w:ascii="Expert Sans Regular" w:hAnsi="Expert Sans Regular"/>
      <w:sz w:val="18"/>
      <w:szCs w:val="24"/>
      <w:lang w:eastAsia="en-US"/>
    </w:rPr>
  </w:style>
  <w:style w:type="character" w:customStyle="1" w:styleId="BodyText-BarcRAChar680">
    <w:name w:val="Body Text - Barc RA Char_68_0"/>
    <w:basedOn w:val="DefaultParagraphFont"/>
    <w:link w:val="BodyText-BarcRA890"/>
    <w:locked/>
    <w:rsid w:val="00264B84"/>
    <w:rPr>
      <w:rFonts w:ascii="Expert Sans Regular" w:hAnsi="Expert Sans Regular"/>
    </w:rPr>
  </w:style>
  <w:style w:type="paragraph" w:customStyle="1" w:styleId="BodyText-AR01">
    <w:name w:val="Body Text - AR_0_1"/>
    <w:basedOn w:val="Normal135"/>
    <w:uiPriority w:val="99"/>
    <w:rsid w:val="00B14319"/>
    <w:rPr>
      <w:rFonts w:cs="Expert Sans Regular"/>
      <w:sz w:val="16"/>
      <w:szCs w:val="22"/>
    </w:rPr>
  </w:style>
  <w:style w:type="paragraph" w:customStyle="1" w:styleId="NoteandSourceText-BarcRA29">
    <w:name w:val="Note and Source Text - Barc RA_29"/>
    <w:basedOn w:val="Normal135"/>
    <w:qFormat/>
    <w:rsid w:val="007B433B"/>
    <w:pPr>
      <w:numPr>
        <w:numId w:val="224"/>
      </w:numPr>
      <w:tabs>
        <w:tab w:val="left" w:pos="284"/>
      </w:tabs>
      <w:spacing w:before="20" w:after="20"/>
      <w:jc w:val="both"/>
    </w:pPr>
    <w:rPr>
      <w:i/>
      <w:iCs/>
      <w:sz w:val="14"/>
      <w:szCs w:val="14"/>
    </w:rPr>
  </w:style>
  <w:style w:type="paragraph" w:customStyle="1" w:styleId="BodyText-BarcRA8900">
    <w:name w:val="Body Text - Barc RA_89_0_0"/>
    <w:basedOn w:val="Normal135"/>
    <w:link w:val="BodyText-BarcRAChar6800"/>
    <w:uiPriority w:val="99"/>
    <w:rsid w:val="00B14319"/>
    <w:pPr>
      <w:spacing w:before="180" w:after="180"/>
      <w:jc w:val="both"/>
    </w:pPr>
    <w:rPr>
      <w:sz w:val="20"/>
      <w:szCs w:val="20"/>
      <w:lang w:eastAsia="en-GB"/>
    </w:rPr>
  </w:style>
  <w:style w:type="character" w:customStyle="1" w:styleId="BodyText-BarcRAChar6800">
    <w:name w:val="Body Text - Barc RA Char_68_0_0"/>
    <w:basedOn w:val="DefaultParagraphFont"/>
    <w:link w:val="BodyText-BarcRA8900"/>
    <w:uiPriority w:val="99"/>
    <w:locked/>
    <w:rsid w:val="00B14319"/>
    <w:rPr>
      <w:rFonts w:ascii="Expert Sans Regular" w:hAnsi="Expert Sans Regular"/>
    </w:rPr>
  </w:style>
  <w:style w:type="paragraph" w:customStyle="1" w:styleId="BulletsLevel1-AR">
    <w:name w:val="Bullets Level 1 - AR"/>
    <w:basedOn w:val="Normal135"/>
    <w:uiPriority w:val="99"/>
    <w:qFormat/>
    <w:rsid w:val="007B433B"/>
    <w:pPr>
      <w:numPr>
        <w:numId w:val="226"/>
      </w:numPr>
    </w:pPr>
    <w:rPr>
      <w:rFonts w:eastAsia="Calibri"/>
      <w:sz w:val="16"/>
      <w:szCs w:val="22"/>
    </w:rPr>
  </w:style>
  <w:style w:type="paragraph" w:customStyle="1" w:styleId="BodyText-AR1">
    <w:name w:val="Body Text - AR_1"/>
    <w:basedOn w:val="Normal135"/>
    <w:qFormat/>
    <w:rsid w:val="007B433B"/>
    <w:rPr>
      <w:rFonts w:eastAsia="Calibri"/>
      <w:sz w:val="16"/>
      <w:szCs w:val="22"/>
    </w:rPr>
  </w:style>
  <w:style w:type="paragraph" w:customStyle="1" w:styleId="BodyText-AR10">
    <w:name w:val="Body Text - AR_1_0"/>
    <w:basedOn w:val="Normal135"/>
    <w:qFormat/>
    <w:rsid w:val="00576F39"/>
    <w:rPr>
      <w:rFonts w:eastAsia="Calibri"/>
      <w:sz w:val="16"/>
      <w:szCs w:val="22"/>
    </w:rPr>
  </w:style>
  <w:style w:type="paragraph" w:customStyle="1" w:styleId="Normal1161">
    <w:name w:val="Normal_116_1"/>
    <w:qFormat/>
    <w:rsid w:val="00576F39"/>
    <w:rPr>
      <w:rFonts w:ascii="Expert Sans Regular" w:hAnsi="Expert Sans Regular"/>
      <w:sz w:val="18"/>
      <w:szCs w:val="24"/>
      <w:lang w:eastAsia="en-US"/>
    </w:rPr>
  </w:style>
  <w:style w:type="paragraph" w:customStyle="1" w:styleId="Footnotes-AR0">
    <w:name w:val="Footnotes - AR_0"/>
    <w:basedOn w:val="Normal135"/>
    <w:uiPriority w:val="1"/>
    <w:qFormat/>
    <w:rsid w:val="007B433B"/>
    <w:rPr>
      <w:rFonts w:eastAsia="Calibri"/>
      <w:sz w:val="13"/>
      <w:szCs w:val="13"/>
    </w:rPr>
  </w:style>
  <w:style w:type="paragraph" w:customStyle="1" w:styleId="BodyText-BarcRA891">
    <w:name w:val="Body Text - Barc RA_89_1"/>
    <w:basedOn w:val="Normal136"/>
    <w:link w:val="BodyText-BarcRAChar681"/>
    <w:rsid w:val="00264B84"/>
    <w:pPr>
      <w:spacing w:before="180" w:after="180"/>
      <w:jc w:val="both"/>
    </w:pPr>
    <w:rPr>
      <w:sz w:val="20"/>
      <w:szCs w:val="20"/>
      <w:lang w:eastAsia="en-GB"/>
    </w:rPr>
  </w:style>
  <w:style w:type="paragraph" w:customStyle="1" w:styleId="Normal136">
    <w:name w:val="Normal_136"/>
    <w:qFormat/>
    <w:rsid w:val="009705AC"/>
    <w:rPr>
      <w:rFonts w:ascii="Expert Sans Regular" w:hAnsi="Expert Sans Regular"/>
      <w:sz w:val="18"/>
      <w:szCs w:val="24"/>
      <w:lang w:eastAsia="en-US"/>
    </w:rPr>
  </w:style>
  <w:style w:type="character" w:customStyle="1" w:styleId="BodyText-BarcRAChar681">
    <w:name w:val="Body Text - Barc RA Char_68_1"/>
    <w:basedOn w:val="DefaultParagraphFont"/>
    <w:link w:val="BodyText-BarcRA891"/>
    <w:locked/>
    <w:rsid w:val="00264B84"/>
    <w:rPr>
      <w:rFonts w:ascii="Expert Sans Regular" w:hAnsi="Expert Sans Regular"/>
    </w:rPr>
  </w:style>
  <w:style w:type="paragraph" w:customStyle="1" w:styleId="BodyText-BarcRA102">
    <w:name w:val="Body Text - Barc RA_102"/>
    <w:link w:val="BodyText-BarcRAChar66"/>
    <w:qFormat/>
    <w:rsid w:val="005D52ED"/>
    <w:pPr>
      <w:spacing w:before="180" w:after="180"/>
      <w:jc w:val="both"/>
    </w:pPr>
    <w:rPr>
      <w:rFonts w:ascii="Expert Sans Regular" w:hAnsi="Expert Sans Regular"/>
      <w:sz w:val="18"/>
      <w:lang w:eastAsia="en-US"/>
    </w:rPr>
  </w:style>
  <w:style w:type="character" w:customStyle="1" w:styleId="BodyText-BarcRAChar66">
    <w:name w:val="Body Text - Barc RA Char_66"/>
    <w:basedOn w:val="DefaultParagraphFont"/>
    <w:link w:val="BodyText-BarcRA102"/>
    <w:rsid w:val="005D52ED"/>
    <w:rPr>
      <w:rFonts w:ascii="Expert Sans Regular" w:hAnsi="Expert Sans Regular"/>
      <w:sz w:val="18"/>
      <w:lang w:val="en-GB" w:eastAsia="en-US" w:bidi="ar-SA"/>
    </w:rPr>
  </w:style>
  <w:style w:type="paragraph" w:customStyle="1" w:styleId="NoteandSourceText-BarcRA30">
    <w:name w:val="Note and Source Text - Barc RA_30"/>
    <w:basedOn w:val="Normal136"/>
    <w:qFormat/>
    <w:rsid w:val="007B433B"/>
    <w:pPr>
      <w:numPr>
        <w:numId w:val="227"/>
      </w:numPr>
      <w:tabs>
        <w:tab w:val="left" w:pos="284"/>
      </w:tabs>
      <w:spacing w:before="20" w:after="20"/>
      <w:jc w:val="both"/>
    </w:pPr>
    <w:rPr>
      <w:i/>
      <w:iCs/>
      <w:sz w:val="14"/>
      <w:szCs w:val="14"/>
    </w:rPr>
  </w:style>
  <w:style w:type="paragraph" w:customStyle="1" w:styleId="Footnotes-AR1">
    <w:name w:val="Footnotes - AR_1"/>
    <w:basedOn w:val="Normal136"/>
    <w:uiPriority w:val="1"/>
    <w:qFormat/>
    <w:rsid w:val="007B433B"/>
    <w:rPr>
      <w:rFonts w:eastAsia="Calibri"/>
      <w:sz w:val="13"/>
      <w:szCs w:val="13"/>
    </w:rPr>
  </w:style>
  <w:style w:type="paragraph" w:customStyle="1" w:styleId="HeadingLevel1-BarcRA53">
    <w:name w:val="Heading Level 1 - Barc RA_53"/>
    <w:basedOn w:val="BodyText-BarcRA103"/>
    <w:next w:val="BodyText-BarcRA103"/>
    <w:link w:val="HeadingLevel1-BarcRAChar43"/>
    <w:rsid w:val="002611B5"/>
    <w:pPr>
      <w:spacing w:before="0"/>
    </w:pPr>
    <w:rPr>
      <w:b/>
      <w:bCs/>
      <w:color w:val="000000"/>
      <w:sz w:val="24"/>
      <w:lang w:val="la-Latn"/>
    </w:rPr>
  </w:style>
  <w:style w:type="paragraph" w:customStyle="1" w:styleId="BodyText-BarcRA103">
    <w:name w:val="Body Text - Barc RA_103"/>
    <w:link w:val="BodyText-BarcRAChar67"/>
    <w:qFormat/>
    <w:rsid w:val="005D52ED"/>
    <w:pPr>
      <w:spacing w:before="180" w:after="180"/>
      <w:jc w:val="both"/>
    </w:pPr>
    <w:rPr>
      <w:rFonts w:ascii="Expert Sans Regular" w:hAnsi="Expert Sans Regular"/>
      <w:sz w:val="18"/>
      <w:lang w:eastAsia="en-US"/>
    </w:rPr>
  </w:style>
  <w:style w:type="character" w:customStyle="1" w:styleId="BodyText-BarcRAChar67">
    <w:name w:val="Body Text - Barc RA Char_67"/>
    <w:basedOn w:val="DefaultParagraphFont"/>
    <w:link w:val="BodyText-BarcRA103"/>
    <w:rsid w:val="005D52ED"/>
    <w:rPr>
      <w:rFonts w:ascii="Expert Sans Regular" w:hAnsi="Expert Sans Regular"/>
      <w:sz w:val="18"/>
      <w:lang w:val="en-GB" w:eastAsia="en-US" w:bidi="ar-SA"/>
    </w:rPr>
  </w:style>
  <w:style w:type="character" w:customStyle="1" w:styleId="HeadingLevel1-BarcRAChar43">
    <w:name w:val="Heading Level 1 - Barc RA Char_43"/>
    <w:basedOn w:val="DefaultParagraphFont"/>
    <w:link w:val="HeadingLevel1-BarcRA53"/>
    <w:rsid w:val="009705AC"/>
    <w:rPr>
      <w:rFonts w:ascii="Expert Sans Regular" w:hAnsi="Expert Sans Regular"/>
      <w:b/>
      <w:bCs/>
      <w:color w:val="000000"/>
      <w:sz w:val="24"/>
      <w:lang w:val="la-Latn"/>
    </w:rPr>
  </w:style>
  <w:style w:type="paragraph" w:customStyle="1" w:styleId="HeadingLevel4-AR">
    <w:name w:val="Heading Level 4 - AR"/>
    <w:basedOn w:val="Normal137"/>
    <w:qFormat/>
    <w:rsid w:val="00232B8F"/>
    <w:rPr>
      <w:rFonts w:eastAsia="Calibri"/>
      <w:b/>
      <w:sz w:val="16"/>
      <w:szCs w:val="22"/>
    </w:rPr>
  </w:style>
  <w:style w:type="paragraph" w:customStyle="1" w:styleId="Normal137">
    <w:name w:val="Normal_137"/>
    <w:qFormat/>
    <w:rsid w:val="009705AC"/>
    <w:rPr>
      <w:rFonts w:ascii="Expert Sans Regular" w:hAnsi="Expert Sans Regular"/>
      <w:sz w:val="18"/>
      <w:szCs w:val="24"/>
      <w:lang w:eastAsia="en-US"/>
    </w:rPr>
  </w:style>
  <w:style w:type="paragraph" w:customStyle="1" w:styleId="BodyText-BarcRA120">
    <w:name w:val="Body Text - Barc RA_1_2"/>
    <w:link w:val="BodyText-BarcRAChar120"/>
    <w:qFormat/>
    <w:rsid w:val="003835C0"/>
    <w:pPr>
      <w:spacing w:before="180" w:after="180"/>
      <w:jc w:val="both"/>
    </w:pPr>
    <w:rPr>
      <w:rFonts w:ascii="Expert Sans Regular" w:hAnsi="Expert Sans Regular"/>
      <w:sz w:val="18"/>
      <w:lang w:eastAsia="en-US"/>
    </w:rPr>
  </w:style>
  <w:style w:type="character" w:customStyle="1" w:styleId="BodyText-BarcRAChar120">
    <w:name w:val="Body Text - Barc RA Char_1_2"/>
    <w:basedOn w:val="DefaultParagraphFont"/>
    <w:link w:val="BodyText-BarcRA120"/>
    <w:rsid w:val="003835C0"/>
    <w:rPr>
      <w:rFonts w:ascii="Expert Sans Regular" w:hAnsi="Expert Sans Regular"/>
      <w:sz w:val="18"/>
      <w:lang w:val="en-GB" w:eastAsia="en-US" w:bidi="ar-SA"/>
    </w:rPr>
  </w:style>
  <w:style w:type="paragraph" w:customStyle="1" w:styleId="HeadingLevel1-BarcRA54">
    <w:name w:val="Heading Level 1 - Barc RA_54"/>
    <w:basedOn w:val="BodyText-BarcRA104"/>
    <w:next w:val="BodyText-BarcRA104"/>
    <w:link w:val="HeadingLevel1-BarcRAChar44"/>
    <w:rsid w:val="002611B5"/>
    <w:pPr>
      <w:spacing w:before="0"/>
    </w:pPr>
    <w:rPr>
      <w:b/>
      <w:bCs/>
      <w:color w:val="000000"/>
      <w:sz w:val="24"/>
      <w:lang w:val="la-Latn"/>
    </w:rPr>
  </w:style>
  <w:style w:type="paragraph" w:customStyle="1" w:styleId="BodyText-BarcRA104">
    <w:name w:val="Body Text - Barc RA_104"/>
    <w:link w:val="BodyText-BarcRAChar69"/>
    <w:qFormat/>
    <w:rsid w:val="005D52ED"/>
    <w:pPr>
      <w:spacing w:before="180" w:after="180"/>
      <w:jc w:val="both"/>
    </w:pPr>
    <w:rPr>
      <w:rFonts w:ascii="Expert Sans Regular" w:hAnsi="Expert Sans Regular"/>
      <w:sz w:val="18"/>
      <w:lang w:eastAsia="en-US"/>
    </w:rPr>
  </w:style>
  <w:style w:type="character" w:customStyle="1" w:styleId="BodyText-BarcRAChar69">
    <w:name w:val="Body Text - Barc RA Char_69"/>
    <w:basedOn w:val="DefaultParagraphFont"/>
    <w:link w:val="BodyText-BarcRA104"/>
    <w:rsid w:val="005D52ED"/>
    <w:rPr>
      <w:rFonts w:ascii="Expert Sans Regular" w:hAnsi="Expert Sans Regular"/>
      <w:sz w:val="18"/>
      <w:lang w:val="en-GB" w:eastAsia="en-US" w:bidi="ar-SA"/>
    </w:rPr>
  </w:style>
  <w:style w:type="character" w:customStyle="1" w:styleId="HeadingLevel1-BarcRAChar44">
    <w:name w:val="Heading Level 1 - Barc RA Char_44"/>
    <w:basedOn w:val="DefaultParagraphFont"/>
    <w:link w:val="HeadingLevel1-BarcRA54"/>
    <w:rsid w:val="009705AC"/>
    <w:rPr>
      <w:rFonts w:ascii="Expert Sans Regular" w:hAnsi="Expert Sans Regular"/>
      <w:b/>
      <w:bCs/>
      <w:color w:val="000000"/>
      <w:sz w:val="24"/>
      <w:lang w:val="la-Latn"/>
    </w:rPr>
  </w:style>
  <w:style w:type="paragraph" w:customStyle="1" w:styleId="HeadingLevel1-BarcRA55">
    <w:name w:val="Heading Level 1 - Barc RA_55"/>
    <w:basedOn w:val="BodyText-BarcRA105"/>
    <w:next w:val="BodyText-BarcRA105"/>
    <w:link w:val="HeadingLevel1-BarcRAChar45"/>
    <w:rsid w:val="002611B5"/>
    <w:pPr>
      <w:spacing w:before="0"/>
    </w:pPr>
    <w:rPr>
      <w:b/>
      <w:bCs/>
      <w:color w:val="000000"/>
      <w:sz w:val="24"/>
      <w:lang w:val="la-Latn"/>
    </w:rPr>
  </w:style>
  <w:style w:type="paragraph" w:customStyle="1" w:styleId="BodyText-BarcRA105">
    <w:name w:val="Body Text - Barc RA_105"/>
    <w:link w:val="BodyText-BarcRAChar70"/>
    <w:qFormat/>
    <w:rsid w:val="005D52ED"/>
    <w:pPr>
      <w:spacing w:before="180" w:after="180"/>
      <w:jc w:val="both"/>
    </w:pPr>
    <w:rPr>
      <w:rFonts w:ascii="Expert Sans Regular" w:hAnsi="Expert Sans Regular"/>
      <w:sz w:val="18"/>
      <w:lang w:eastAsia="en-US"/>
    </w:rPr>
  </w:style>
  <w:style w:type="character" w:customStyle="1" w:styleId="BodyText-BarcRAChar70">
    <w:name w:val="Body Text - Barc RA Char_70"/>
    <w:basedOn w:val="DefaultParagraphFont"/>
    <w:link w:val="BodyText-BarcRA105"/>
    <w:rsid w:val="005D52ED"/>
    <w:rPr>
      <w:rFonts w:ascii="Expert Sans Regular" w:hAnsi="Expert Sans Regular"/>
      <w:sz w:val="18"/>
      <w:lang w:val="en-GB" w:eastAsia="en-US" w:bidi="ar-SA"/>
    </w:rPr>
  </w:style>
  <w:style w:type="character" w:customStyle="1" w:styleId="HeadingLevel1-BarcRAChar45">
    <w:name w:val="Heading Level 1 - Barc RA Char_45"/>
    <w:basedOn w:val="DefaultParagraphFont"/>
    <w:link w:val="HeadingLevel1-BarcRA55"/>
    <w:rsid w:val="009705AC"/>
    <w:rPr>
      <w:rFonts w:ascii="Expert Sans Regular" w:hAnsi="Expert Sans Regular"/>
      <w:b/>
      <w:bCs/>
      <w:color w:val="000000"/>
      <w:sz w:val="24"/>
      <w:lang w:val="la-Latn"/>
    </w:rPr>
  </w:style>
  <w:style w:type="paragraph" w:customStyle="1" w:styleId="HeadingLevel2-BarcRA33">
    <w:name w:val="Heading Level 2 - Barc RA_33"/>
    <w:basedOn w:val="HeadingLevel1-BarcRA55"/>
    <w:next w:val="BodyText-BarcRA105"/>
    <w:rsid w:val="00EE71E7"/>
    <w:pPr>
      <w:spacing w:before="240" w:after="0"/>
    </w:pPr>
    <w:rPr>
      <w:sz w:val="20"/>
    </w:rPr>
  </w:style>
  <w:style w:type="paragraph" w:customStyle="1" w:styleId="HeadingLevel2-BarcRA34">
    <w:name w:val="Heading Level 2 - Barc RA_34"/>
    <w:basedOn w:val="HeadingLevel1-BarcRA56"/>
    <w:next w:val="BodyText-BarcRA106"/>
    <w:rsid w:val="00EE71E7"/>
    <w:pPr>
      <w:spacing w:before="240" w:after="0"/>
    </w:pPr>
    <w:rPr>
      <w:sz w:val="20"/>
    </w:rPr>
  </w:style>
  <w:style w:type="paragraph" w:customStyle="1" w:styleId="HeadingLevel1-BarcRA56">
    <w:name w:val="Heading Level 1 - Barc RA_56"/>
    <w:basedOn w:val="BodyText-BarcRA106"/>
    <w:next w:val="BodyText-BarcRA106"/>
    <w:link w:val="HeadingLevel1-BarcRAChar46"/>
    <w:rsid w:val="002611B5"/>
    <w:pPr>
      <w:spacing w:before="0"/>
    </w:pPr>
    <w:rPr>
      <w:b/>
      <w:bCs/>
      <w:color w:val="000000"/>
      <w:sz w:val="24"/>
      <w:lang w:val="la-Latn"/>
    </w:rPr>
  </w:style>
  <w:style w:type="paragraph" w:customStyle="1" w:styleId="BodyText-BarcRA106">
    <w:name w:val="Body Text - Barc RA_106"/>
    <w:link w:val="BodyText-BarcRAChar71"/>
    <w:qFormat/>
    <w:rsid w:val="005D52ED"/>
    <w:pPr>
      <w:spacing w:before="180" w:after="180"/>
      <w:jc w:val="both"/>
    </w:pPr>
    <w:rPr>
      <w:rFonts w:ascii="Expert Sans Regular" w:hAnsi="Expert Sans Regular"/>
      <w:sz w:val="18"/>
      <w:lang w:eastAsia="en-US"/>
    </w:rPr>
  </w:style>
  <w:style w:type="character" w:customStyle="1" w:styleId="BodyText-BarcRAChar71">
    <w:name w:val="Body Text - Barc RA Char_71"/>
    <w:basedOn w:val="DefaultParagraphFont"/>
    <w:link w:val="BodyText-BarcRA106"/>
    <w:rsid w:val="005D52ED"/>
    <w:rPr>
      <w:rFonts w:ascii="Expert Sans Regular" w:hAnsi="Expert Sans Regular"/>
      <w:sz w:val="18"/>
      <w:lang w:val="en-GB" w:eastAsia="en-US" w:bidi="ar-SA"/>
    </w:rPr>
  </w:style>
  <w:style w:type="character" w:customStyle="1" w:styleId="HeadingLevel1-BarcRAChar46">
    <w:name w:val="Heading Level 1 - Barc RA Char_46"/>
    <w:basedOn w:val="DefaultParagraphFont"/>
    <w:link w:val="HeadingLevel1-BarcRA56"/>
    <w:rsid w:val="009705AC"/>
    <w:rPr>
      <w:rFonts w:ascii="Expert Sans Regular" w:hAnsi="Expert Sans Regular"/>
      <w:b/>
      <w:bCs/>
      <w:color w:val="000000"/>
      <w:sz w:val="24"/>
      <w:lang w:val="la-Latn"/>
    </w:rPr>
  </w:style>
  <w:style w:type="paragraph" w:customStyle="1" w:styleId="HeadingLevel2-BarcRA35">
    <w:name w:val="Heading Level 2 - Barc RA_35"/>
    <w:basedOn w:val="HeadingLevel1-BarcRA57"/>
    <w:next w:val="BodyText-BarcRA107"/>
    <w:rsid w:val="00EE71E7"/>
    <w:pPr>
      <w:spacing w:before="240" w:after="0"/>
    </w:pPr>
    <w:rPr>
      <w:sz w:val="20"/>
    </w:rPr>
  </w:style>
  <w:style w:type="paragraph" w:customStyle="1" w:styleId="HeadingLevel1-BarcRA57">
    <w:name w:val="Heading Level 1 - Barc RA_57"/>
    <w:basedOn w:val="BodyText-BarcRA107"/>
    <w:next w:val="BodyText-BarcRA107"/>
    <w:link w:val="HeadingLevel1-BarcRAChar47"/>
    <w:rsid w:val="002611B5"/>
    <w:pPr>
      <w:spacing w:before="0"/>
    </w:pPr>
    <w:rPr>
      <w:b/>
      <w:bCs/>
      <w:color w:val="000000"/>
      <w:sz w:val="24"/>
      <w:lang w:val="la-Latn"/>
    </w:rPr>
  </w:style>
  <w:style w:type="paragraph" w:customStyle="1" w:styleId="BodyText-BarcRA107">
    <w:name w:val="Body Text - Barc RA_107"/>
    <w:link w:val="BodyText-BarcRAChar72"/>
    <w:qFormat/>
    <w:rsid w:val="005D52ED"/>
    <w:pPr>
      <w:spacing w:before="180" w:after="180"/>
      <w:jc w:val="both"/>
    </w:pPr>
    <w:rPr>
      <w:rFonts w:ascii="Expert Sans Regular" w:hAnsi="Expert Sans Regular"/>
      <w:sz w:val="18"/>
      <w:lang w:eastAsia="en-US"/>
    </w:rPr>
  </w:style>
  <w:style w:type="character" w:customStyle="1" w:styleId="BodyText-BarcRAChar72">
    <w:name w:val="Body Text - Barc RA Char_72"/>
    <w:basedOn w:val="DefaultParagraphFont"/>
    <w:link w:val="BodyText-BarcRA107"/>
    <w:rsid w:val="005D52ED"/>
    <w:rPr>
      <w:rFonts w:ascii="Expert Sans Regular" w:hAnsi="Expert Sans Regular"/>
      <w:sz w:val="18"/>
      <w:lang w:val="en-GB" w:eastAsia="en-US" w:bidi="ar-SA"/>
    </w:rPr>
  </w:style>
  <w:style w:type="character" w:customStyle="1" w:styleId="HeadingLevel1-BarcRAChar47">
    <w:name w:val="Heading Level 1 - Barc RA Char_47"/>
    <w:basedOn w:val="DefaultParagraphFont"/>
    <w:link w:val="HeadingLevel1-BarcRA57"/>
    <w:rsid w:val="009705AC"/>
    <w:rPr>
      <w:rFonts w:ascii="Expert Sans Regular" w:hAnsi="Expert Sans Regular"/>
      <w:b/>
      <w:bCs/>
      <w:color w:val="000000"/>
      <w:sz w:val="24"/>
      <w:lang w:val="la-Latn"/>
    </w:rPr>
  </w:style>
  <w:style w:type="paragraph" w:customStyle="1" w:styleId="HeadingLevel2-BarcRA36">
    <w:name w:val="Heading Level 2 - Barc RA_36"/>
    <w:basedOn w:val="HeadingLevel1-BarcRA58"/>
    <w:next w:val="BodyText-BarcRA108"/>
    <w:rsid w:val="00EE71E7"/>
    <w:pPr>
      <w:spacing w:before="240" w:after="0"/>
    </w:pPr>
    <w:rPr>
      <w:sz w:val="20"/>
    </w:rPr>
  </w:style>
  <w:style w:type="paragraph" w:customStyle="1" w:styleId="HeadingLevel1-BarcRA58">
    <w:name w:val="Heading Level 1 - Barc RA_58"/>
    <w:basedOn w:val="BodyText-BarcRA108"/>
    <w:next w:val="BodyText-BarcRA108"/>
    <w:link w:val="HeadingLevel1-BarcRAChar48"/>
    <w:rsid w:val="002611B5"/>
    <w:pPr>
      <w:spacing w:before="0"/>
    </w:pPr>
    <w:rPr>
      <w:b/>
      <w:bCs/>
      <w:color w:val="000000"/>
      <w:sz w:val="24"/>
      <w:lang w:val="la-Latn"/>
    </w:rPr>
  </w:style>
  <w:style w:type="paragraph" w:customStyle="1" w:styleId="BodyText-BarcRA108">
    <w:name w:val="Body Text - Barc RA_108"/>
    <w:link w:val="BodyText-BarcRAChar73"/>
    <w:qFormat/>
    <w:rsid w:val="005D52ED"/>
    <w:pPr>
      <w:spacing w:before="180" w:after="180"/>
      <w:jc w:val="both"/>
    </w:pPr>
    <w:rPr>
      <w:rFonts w:ascii="Expert Sans Regular" w:hAnsi="Expert Sans Regular"/>
      <w:sz w:val="18"/>
      <w:lang w:eastAsia="en-US"/>
    </w:rPr>
  </w:style>
  <w:style w:type="character" w:customStyle="1" w:styleId="BodyText-BarcRAChar73">
    <w:name w:val="Body Text - Barc RA Char_73"/>
    <w:basedOn w:val="DefaultParagraphFont"/>
    <w:link w:val="BodyText-BarcRA108"/>
    <w:rsid w:val="005D52ED"/>
    <w:rPr>
      <w:rFonts w:ascii="Expert Sans Regular" w:hAnsi="Expert Sans Regular"/>
      <w:sz w:val="18"/>
      <w:lang w:val="en-GB" w:eastAsia="en-US" w:bidi="ar-SA"/>
    </w:rPr>
  </w:style>
  <w:style w:type="character" w:customStyle="1" w:styleId="HeadingLevel1-BarcRAChar48">
    <w:name w:val="Heading Level 1 - Barc RA Char_48"/>
    <w:basedOn w:val="DefaultParagraphFont"/>
    <w:link w:val="HeadingLevel1-BarcRA58"/>
    <w:rsid w:val="009705AC"/>
    <w:rPr>
      <w:rFonts w:ascii="Expert Sans Regular" w:hAnsi="Expert Sans Regular"/>
      <w:b/>
      <w:bCs/>
      <w:color w:val="000000"/>
      <w:sz w:val="24"/>
      <w:lang w:val="la-Latn"/>
    </w:rPr>
  </w:style>
  <w:style w:type="paragraph" w:customStyle="1" w:styleId="HeadingLevel2-BarcRA37">
    <w:name w:val="Heading Level 2 - Barc RA_37"/>
    <w:basedOn w:val="HeadingLevel1-BarcRA59"/>
    <w:next w:val="BodyText-BarcRA109"/>
    <w:rsid w:val="00EE71E7"/>
    <w:pPr>
      <w:spacing w:before="240" w:after="0"/>
    </w:pPr>
    <w:rPr>
      <w:sz w:val="20"/>
    </w:rPr>
  </w:style>
  <w:style w:type="paragraph" w:customStyle="1" w:styleId="HeadingLevel1-BarcRA59">
    <w:name w:val="Heading Level 1 - Barc RA_59"/>
    <w:basedOn w:val="BodyText-BarcRA109"/>
    <w:next w:val="BodyText-BarcRA109"/>
    <w:link w:val="HeadingLevel1-BarcRAChar49"/>
    <w:rsid w:val="002611B5"/>
    <w:pPr>
      <w:spacing w:before="0"/>
    </w:pPr>
    <w:rPr>
      <w:b/>
      <w:bCs/>
      <w:color w:val="000000"/>
      <w:sz w:val="24"/>
      <w:lang w:val="la-Latn"/>
    </w:rPr>
  </w:style>
  <w:style w:type="paragraph" w:customStyle="1" w:styleId="BodyText-BarcRA109">
    <w:name w:val="Body Text - Barc RA_109"/>
    <w:link w:val="BodyText-BarcRAChar74"/>
    <w:qFormat/>
    <w:rsid w:val="005D52ED"/>
    <w:pPr>
      <w:spacing w:before="180" w:after="180"/>
      <w:jc w:val="both"/>
    </w:pPr>
    <w:rPr>
      <w:rFonts w:ascii="Expert Sans Regular" w:hAnsi="Expert Sans Regular"/>
      <w:sz w:val="18"/>
      <w:lang w:eastAsia="en-US"/>
    </w:rPr>
  </w:style>
  <w:style w:type="character" w:customStyle="1" w:styleId="BodyText-BarcRAChar74">
    <w:name w:val="Body Text - Barc RA Char_74"/>
    <w:basedOn w:val="DefaultParagraphFont"/>
    <w:link w:val="BodyText-BarcRA109"/>
    <w:rsid w:val="005D52ED"/>
    <w:rPr>
      <w:rFonts w:ascii="Expert Sans Regular" w:hAnsi="Expert Sans Regular"/>
      <w:sz w:val="18"/>
      <w:lang w:val="en-GB" w:eastAsia="en-US" w:bidi="ar-SA"/>
    </w:rPr>
  </w:style>
  <w:style w:type="character" w:customStyle="1" w:styleId="HeadingLevel1-BarcRAChar49">
    <w:name w:val="Heading Level 1 - Barc RA Char_49"/>
    <w:basedOn w:val="DefaultParagraphFont"/>
    <w:link w:val="HeadingLevel1-BarcRA59"/>
    <w:rsid w:val="009705AC"/>
    <w:rPr>
      <w:rFonts w:ascii="Expert Sans Regular" w:hAnsi="Expert Sans Regular"/>
      <w:b/>
      <w:bCs/>
      <w:color w:val="000000"/>
      <w:sz w:val="24"/>
      <w:lang w:val="la-Latn"/>
    </w:rPr>
  </w:style>
  <w:style w:type="paragraph" w:customStyle="1" w:styleId="BodyText-BarcRA1060">
    <w:name w:val="Body Text - Barc RA_106_0"/>
    <w:basedOn w:val="Normal138"/>
    <w:link w:val="BodyText-BarcRAChar730"/>
    <w:rsid w:val="00D3372C"/>
    <w:pPr>
      <w:spacing w:before="180" w:after="180"/>
      <w:jc w:val="both"/>
    </w:pPr>
    <w:rPr>
      <w:sz w:val="20"/>
      <w:szCs w:val="20"/>
      <w:lang w:eastAsia="en-GB"/>
    </w:rPr>
  </w:style>
  <w:style w:type="paragraph" w:customStyle="1" w:styleId="Normal138">
    <w:name w:val="Normal_138"/>
    <w:qFormat/>
    <w:rsid w:val="009705AC"/>
    <w:rPr>
      <w:rFonts w:ascii="Expert Sans Regular" w:hAnsi="Expert Sans Regular"/>
      <w:sz w:val="18"/>
      <w:szCs w:val="24"/>
      <w:lang w:eastAsia="en-US"/>
    </w:rPr>
  </w:style>
  <w:style w:type="character" w:customStyle="1" w:styleId="BodyText-BarcRAChar730">
    <w:name w:val="Body Text - Barc RA Char_73_0"/>
    <w:basedOn w:val="DefaultParagraphFont"/>
    <w:link w:val="BodyText-BarcRA1060"/>
    <w:locked/>
    <w:rsid w:val="00D3372C"/>
    <w:rPr>
      <w:rFonts w:ascii="Expert Sans Regular" w:hAnsi="Expert Sans Regular"/>
    </w:rPr>
  </w:style>
  <w:style w:type="paragraph" w:customStyle="1" w:styleId="HeadingLevel2-BarcRA38">
    <w:name w:val="Heading Level 2 - Barc RA_38"/>
    <w:basedOn w:val="HeadingLevel1-BarcRA60"/>
    <w:next w:val="BodyText-BarcRA1100"/>
    <w:qFormat/>
    <w:rsid w:val="00EE71E7"/>
    <w:pPr>
      <w:spacing w:before="240" w:after="0"/>
    </w:pPr>
    <w:rPr>
      <w:sz w:val="20"/>
    </w:rPr>
  </w:style>
  <w:style w:type="paragraph" w:customStyle="1" w:styleId="HeadingLevel1-BarcRA60">
    <w:name w:val="Heading Level 1 - Barc RA_60"/>
    <w:basedOn w:val="BodyText-BarcRA1100"/>
    <w:next w:val="BodyText-BarcRA1100"/>
    <w:link w:val="HeadingLevel1-BarcRAChar50"/>
    <w:rsid w:val="002611B5"/>
    <w:pPr>
      <w:spacing w:before="0"/>
    </w:pPr>
    <w:rPr>
      <w:b/>
      <w:bCs/>
      <w:color w:val="000000"/>
      <w:sz w:val="24"/>
      <w:lang w:val="la-Latn"/>
    </w:rPr>
  </w:style>
  <w:style w:type="paragraph" w:customStyle="1" w:styleId="BodyText-BarcRA1100">
    <w:name w:val="Body Text - Barc RA_110"/>
    <w:link w:val="BodyText-BarcRAChar75"/>
    <w:qFormat/>
    <w:rsid w:val="005D52ED"/>
    <w:pPr>
      <w:spacing w:before="180" w:after="180"/>
      <w:jc w:val="both"/>
    </w:pPr>
    <w:rPr>
      <w:rFonts w:ascii="Expert Sans Regular" w:hAnsi="Expert Sans Regular"/>
      <w:sz w:val="18"/>
      <w:lang w:eastAsia="en-US"/>
    </w:rPr>
  </w:style>
  <w:style w:type="character" w:customStyle="1" w:styleId="BodyText-BarcRAChar75">
    <w:name w:val="Body Text - Barc RA Char_75"/>
    <w:basedOn w:val="DefaultParagraphFont"/>
    <w:link w:val="BodyText-BarcRA1100"/>
    <w:rsid w:val="005D52ED"/>
    <w:rPr>
      <w:rFonts w:ascii="Expert Sans Regular" w:hAnsi="Expert Sans Regular"/>
      <w:sz w:val="18"/>
      <w:lang w:val="en-GB" w:eastAsia="en-US" w:bidi="ar-SA"/>
    </w:rPr>
  </w:style>
  <w:style w:type="character" w:customStyle="1" w:styleId="HeadingLevel1-BarcRAChar50">
    <w:name w:val="Heading Level 1 - Barc RA Char_50"/>
    <w:basedOn w:val="DefaultParagraphFont"/>
    <w:link w:val="HeadingLevel1-BarcRA60"/>
    <w:rsid w:val="009705AC"/>
    <w:rPr>
      <w:rFonts w:ascii="Expert Sans Regular" w:hAnsi="Expert Sans Regular"/>
      <w:b/>
      <w:bCs/>
      <w:color w:val="000000"/>
      <w:sz w:val="24"/>
      <w:lang w:val="la-Latn"/>
    </w:rPr>
  </w:style>
  <w:style w:type="paragraph" w:customStyle="1" w:styleId="Normal139">
    <w:name w:val="Normal_139"/>
    <w:qFormat/>
    <w:rsid w:val="009705AC"/>
    <w:rPr>
      <w:rFonts w:ascii="Expert Sans Regular" w:hAnsi="Expert Sans Regular"/>
      <w:sz w:val="18"/>
      <w:szCs w:val="24"/>
      <w:lang w:eastAsia="en-US"/>
    </w:rPr>
  </w:style>
  <w:style w:type="paragraph" w:customStyle="1" w:styleId="HeadingLevel1-BarcRA61">
    <w:name w:val="Heading Level 1 - Barc RA_61"/>
    <w:basedOn w:val="BodyText-BarcRA111"/>
    <w:next w:val="BodyText-BarcRA111"/>
    <w:link w:val="HeadingLevel1-BarcRAChar51"/>
    <w:qFormat/>
    <w:rsid w:val="002611B5"/>
    <w:pPr>
      <w:spacing w:before="0"/>
    </w:pPr>
    <w:rPr>
      <w:b/>
      <w:bCs/>
      <w:color w:val="000000"/>
      <w:sz w:val="24"/>
      <w:lang w:val="la-Latn"/>
    </w:rPr>
  </w:style>
  <w:style w:type="paragraph" w:customStyle="1" w:styleId="BodyText-BarcRA111">
    <w:name w:val="Body Text - Barc RA_111"/>
    <w:link w:val="BodyText-BarcRAChar76"/>
    <w:qFormat/>
    <w:rsid w:val="005D52ED"/>
    <w:pPr>
      <w:spacing w:before="180" w:after="180"/>
      <w:jc w:val="both"/>
    </w:pPr>
    <w:rPr>
      <w:rFonts w:ascii="Expert Sans Regular" w:hAnsi="Expert Sans Regular"/>
      <w:sz w:val="18"/>
      <w:lang w:eastAsia="en-US"/>
    </w:rPr>
  </w:style>
  <w:style w:type="character" w:customStyle="1" w:styleId="BodyText-BarcRAChar76">
    <w:name w:val="Body Text - Barc RA Char_76"/>
    <w:basedOn w:val="DefaultParagraphFont"/>
    <w:link w:val="BodyText-BarcRA111"/>
    <w:rsid w:val="005D52ED"/>
    <w:rPr>
      <w:rFonts w:ascii="Expert Sans Regular" w:hAnsi="Expert Sans Regular"/>
      <w:sz w:val="18"/>
      <w:lang w:val="en-GB" w:eastAsia="en-US" w:bidi="ar-SA"/>
    </w:rPr>
  </w:style>
  <w:style w:type="character" w:customStyle="1" w:styleId="HeadingLevel1-BarcRAChar51">
    <w:name w:val="Heading Level 1 - Barc RA Char_51"/>
    <w:basedOn w:val="DefaultParagraphFont"/>
    <w:link w:val="HeadingLevel1-BarcRA61"/>
    <w:rsid w:val="009705AC"/>
    <w:rPr>
      <w:rFonts w:ascii="Expert Sans Regular" w:hAnsi="Expert Sans Regular"/>
      <w:b/>
      <w:bCs/>
      <w:color w:val="000000"/>
      <w:sz w:val="24"/>
      <w:lang w:val="la-Latn"/>
    </w:rPr>
  </w:style>
  <w:style w:type="paragraph" w:customStyle="1" w:styleId="Normal140">
    <w:name w:val="Normal_140"/>
    <w:qFormat/>
    <w:rsid w:val="009705AC"/>
    <w:rPr>
      <w:rFonts w:ascii="Expert Sans Regular" w:hAnsi="Expert Sans Regular"/>
      <w:sz w:val="18"/>
      <w:szCs w:val="24"/>
      <w:lang w:eastAsia="en-US"/>
    </w:rPr>
  </w:style>
  <w:style w:type="paragraph" w:customStyle="1" w:styleId="HeadingLevel1-BarcRA62">
    <w:name w:val="Heading Level 1 - Barc RA_62"/>
    <w:basedOn w:val="BodyText-BarcRA112"/>
    <w:next w:val="BodyText-BarcRA112"/>
    <w:link w:val="HeadingLevel1-BarcRAChar52"/>
    <w:qFormat/>
    <w:rsid w:val="002611B5"/>
    <w:pPr>
      <w:spacing w:before="0"/>
    </w:pPr>
    <w:rPr>
      <w:b/>
      <w:bCs/>
      <w:color w:val="000000"/>
      <w:sz w:val="24"/>
      <w:lang w:val="la-Latn"/>
    </w:rPr>
  </w:style>
  <w:style w:type="paragraph" w:customStyle="1" w:styleId="BodyText-BarcRA112">
    <w:name w:val="Body Text - Barc RA_112"/>
    <w:link w:val="BodyText-BarcRAChar77"/>
    <w:qFormat/>
    <w:rsid w:val="005D52ED"/>
    <w:pPr>
      <w:spacing w:before="180" w:after="180"/>
      <w:jc w:val="both"/>
    </w:pPr>
    <w:rPr>
      <w:rFonts w:ascii="Expert Sans Regular" w:hAnsi="Expert Sans Regular"/>
      <w:sz w:val="18"/>
      <w:lang w:eastAsia="en-US"/>
    </w:rPr>
  </w:style>
  <w:style w:type="character" w:customStyle="1" w:styleId="BodyText-BarcRAChar77">
    <w:name w:val="Body Text - Barc RA Char_77"/>
    <w:basedOn w:val="DefaultParagraphFont"/>
    <w:link w:val="BodyText-BarcRA112"/>
    <w:rsid w:val="005D52ED"/>
    <w:rPr>
      <w:rFonts w:ascii="Expert Sans Regular" w:hAnsi="Expert Sans Regular"/>
      <w:sz w:val="18"/>
      <w:lang w:val="en-GB" w:eastAsia="en-US" w:bidi="ar-SA"/>
    </w:rPr>
  </w:style>
  <w:style w:type="character" w:customStyle="1" w:styleId="HeadingLevel1-BarcRAChar52">
    <w:name w:val="Heading Level 1 - Barc RA Char_52"/>
    <w:basedOn w:val="DefaultParagraphFont"/>
    <w:link w:val="HeadingLevel1-BarcRA62"/>
    <w:rsid w:val="009705AC"/>
    <w:rPr>
      <w:rFonts w:ascii="Expert Sans Regular" w:hAnsi="Expert Sans Regular"/>
      <w:b/>
      <w:bCs/>
      <w:color w:val="000000"/>
      <w:sz w:val="24"/>
      <w:lang w:val="la-Latn"/>
    </w:rPr>
  </w:style>
  <w:style w:type="paragraph" w:customStyle="1" w:styleId="c3">
    <w:name w:val="c3"/>
    <w:basedOn w:val="Normal141"/>
    <w:uiPriority w:val="99"/>
    <w:rsid w:val="00AF2BF7"/>
    <w:pPr>
      <w:spacing w:before="100" w:beforeAutospacing="1" w:after="100" w:afterAutospacing="1"/>
    </w:pPr>
    <w:rPr>
      <w:rFonts w:ascii="Times New Roman" w:hAnsi="Times New Roman"/>
      <w:sz w:val="24"/>
      <w:lang w:eastAsia="en-GB"/>
    </w:rPr>
  </w:style>
  <w:style w:type="paragraph" w:customStyle="1" w:styleId="Normal141">
    <w:name w:val="Normal_141"/>
    <w:qFormat/>
    <w:rsid w:val="009705AC"/>
    <w:rPr>
      <w:rFonts w:ascii="Expert Sans Regular" w:hAnsi="Expert Sans Regular"/>
      <w:sz w:val="18"/>
      <w:szCs w:val="24"/>
      <w:lang w:eastAsia="en-US"/>
    </w:rPr>
  </w:style>
  <w:style w:type="paragraph" w:customStyle="1" w:styleId="BodyText-AR249">
    <w:name w:val="Body Text - AR_249"/>
    <w:basedOn w:val="Normal141"/>
    <w:qFormat/>
    <w:rsid w:val="0062774D"/>
    <w:rPr>
      <w:rFonts w:eastAsia="Expert Sans Regular" w:cs="Expert Sans Regular"/>
      <w:sz w:val="16"/>
      <w:szCs w:val="22"/>
    </w:rPr>
  </w:style>
  <w:style w:type="paragraph" w:customStyle="1" w:styleId="HeadingLevel1-BarcRA63">
    <w:name w:val="Heading Level 1 - Barc RA_63"/>
    <w:basedOn w:val="BodyText-BarcRA113"/>
    <w:next w:val="BodyText-BarcRA113"/>
    <w:link w:val="HeadingLevel1-BarcRAChar53"/>
    <w:rsid w:val="002611B5"/>
    <w:pPr>
      <w:spacing w:before="0"/>
    </w:pPr>
    <w:rPr>
      <w:b/>
      <w:bCs/>
      <w:color w:val="000000"/>
      <w:sz w:val="24"/>
      <w:lang w:val="la-Latn"/>
    </w:rPr>
  </w:style>
  <w:style w:type="paragraph" w:customStyle="1" w:styleId="BodyText-BarcRA113">
    <w:name w:val="Body Text - Barc RA_113"/>
    <w:link w:val="BodyText-BarcRAChar78"/>
    <w:qFormat/>
    <w:rsid w:val="005D52ED"/>
    <w:pPr>
      <w:spacing w:before="180" w:after="180"/>
      <w:jc w:val="both"/>
    </w:pPr>
    <w:rPr>
      <w:rFonts w:ascii="Expert Sans Regular" w:hAnsi="Expert Sans Regular"/>
      <w:sz w:val="18"/>
      <w:lang w:eastAsia="en-US"/>
    </w:rPr>
  </w:style>
  <w:style w:type="character" w:customStyle="1" w:styleId="BodyText-BarcRAChar78">
    <w:name w:val="Body Text - Barc RA Char_78"/>
    <w:basedOn w:val="DefaultParagraphFont"/>
    <w:link w:val="BodyText-BarcRA113"/>
    <w:rsid w:val="005D52ED"/>
    <w:rPr>
      <w:rFonts w:ascii="Expert Sans Regular" w:hAnsi="Expert Sans Regular"/>
      <w:sz w:val="18"/>
      <w:lang w:val="en-GB" w:eastAsia="en-US" w:bidi="ar-SA"/>
    </w:rPr>
  </w:style>
  <w:style w:type="character" w:customStyle="1" w:styleId="HeadingLevel1-BarcRAChar53">
    <w:name w:val="Heading Level 1 - Barc RA Char_53"/>
    <w:basedOn w:val="DefaultParagraphFont"/>
    <w:link w:val="HeadingLevel1-BarcRA63"/>
    <w:rsid w:val="009705AC"/>
    <w:rPr>
      <w:rFonts w:ascii="Expert Sans Regular" w:hAnsi="Expert Sans Regular"/>
      <w:b/>
      <w:bCs/>
      <w:color w:val="000000"/>
      <w:sz w:val="24"/>
      <w:lang w:val="la-Latn"/>
    </w:rPr>
  </w:style>
  <w:style w:type="paragraph" w:customStyle="1" w:styleId="Normal142">
    <w:name w:val="Normal_142"/>
    <w:qFormat/>
    <w:rsid w:val="009705AC"/>
    <w:rPr>
      <w:rFonts w:ascii="Expert Sans Regular" w:hAnsi="Expert Sans Regular"/>
      <w:sz w:val="18"/>
      <w:szCs w:val="24"/>
      <w:lang w:eastAsia="en-US"/>
    </w:rPr>
  </w:style>
  <w:style w:type="paragraph" w:customStyle="1" w:styleId="HeadingLevel1-BarcRA64">
    <w:name w:val="Heading Level 1 - Barc RA_64"/>
    <w:basedOn w:val="Normal143"/>
    <w:next w:val="Normal143"/>
    <w:link w:val="HeadingLevel1-BarcRAChar54"/>
    <w:rsid w:val="00195ECC"/>
    <w:pPr>
      <w:spacing w:after="180"/>
      <w:jc w:val="both"/>
    </w:pPr>
    <w:rPr>
      <w:rFonts w:ascii="Expert Sans Regular" w:hAnsi="Expert Sans Regular"/>
      <w:b/>
      <w:bCs/>
      <w:color w:val="000000"/>
      <w:szCs w:val="20"/>
      <w:lang w:val="la-Latn" w:eastAsia="en-US"/>
    </w:rPr>
  </w:style>
  <w:style w:type="paragraph" w:customStyle="1" w:styleId="Normal143">
    <w:name w:val="Normal_143"/>
    <w:qFormat/>
    <w:rsid w:val="00CB686F"/>
    <w:rPr>
      <w:sz w:val="24"/>
      <w:szCs w:val="24"/>
    </w:rPr>
  </w:style>
  <w:style w:type="character" w:customStyle="1" w:styleId="HeadingLevel1-BarcRAChar54">
    <w:name w:val="Heading Level 1 - Barc RA Char_54"/>
    <w:basedOn w:val="DefaultParagraphFont"/>
    <w:link w:val="HeadingLevel1-BarcRA64"/>
    <w:locked/>
    <w:rsid w:val="00195ECC"/>
    <w:rPr>
      <w:rFonts w:ascii="Expert Sans Regular" w:hAnsi="Expert Sans Regular"/>
      <w:b/>
      <w:bCs/>
      <w:color w:val="000000"/>
      <w:sz w:val="24"/>
      <w:lang w:val="la-Latn" w:eastAsia="en-US"/>
    </w:rPr>
  </w:style>
  <w:style w:type="paragraph" w:customStyle="1" w:styleId="Normal144">
    <w:name w:val="Normal_144"/>
    <w:qFormat/>
    <w:rsid w:val="00772C0C"/>
    <w:rPr>
      <w:sz w:val="24"/>
      <w:szCs w:val="24"/>
    </w:rPr>
  </w:style>
  <w:style w:type="paragraph" w:customStyle="1" w:styleId="NoteandSourceText-BarcRA31">
    <w:name w:val="Note and Source Text - Barc RA_31"/>
    <w:basedOn w:val="Normal144"/>
    <w:qFormat/>
    <w:rsid w:val="003160CC"/>
    <w:pPr>
      <w:numPr>
        <w:numId w:val="229"/>
      </w:numPr>
      <w:tabs>
        <w:tab w:val="left" w:pos="284"/>
      </w:tabs>
      <w:spacing w:before="20" w:after="20"/>
      <w:jc w:val="both"/>
    </w:pPr>
    <w:rPr>
      <w:rFonts w:ascii="Expert Sans Regular" w:hAnsi="Expert Sans Regular"/>
      <w:i/>
      <w:iCs/>
      <w:sz w:val="14"/>
      <w:szCs w:val="14"/>
      <w:lang w:eastAsia="en-US"/>
    </w:rPr>
  </w:style>
  <w:style w:type="paragraph" w:customStyle="1" w:styleId="HeadingLevel1-BarcRA65">
    <w:name w:val="Heading Level 1 - Barc RA_65"/>
    <w:basedOn w:val="BodyText-BarcRA114"/>
    <w:next w:val="BodyText-BarcRA114"/>
    <w:link w:val="HeadingLevel1-BarcRAChar55"/>
    <w:rsid w:val="002611B5"/>
    <w:pPr>
      <w:spacing w:before="0"/>
    </w:pPr>
    <w:rPr>
      <w:b/>
      <w:bCs/>
      <w:color w:val="000000"/>
      <w:sz w:val="24"/>
      <w:lang w:val="la-Latn"/>
    </w:rPr>
  </w:style>
  <w:style w:type="paragraph" w:customStyle="1" w:styleId="BodyText-BarcRA114">
    <w:name w:val="Body Text - Barc RA_114"/>
    <w:link w:val="BodyText-BarcRAChar79"/>
    <w:qFormat/>
    <w:rsid w:val="005D52ED"/>
    <w:pPr>
      <w:spacing w:before="180" w:after="180"/>
      <w:jc w:val="both"/>
    </w:pPr>
    <w:rPr>
      <w:rFonts w:ascii="Expert Sans Regular" w:hAnsi="Expert Sans Regular"/>
      <w:sz w:val="18"/>
      <w:lang w:eastAsia="en-US"/>
    </w:rPr>
  </w:style>
  <w:style w:type="character" w:customStyle="1" w:styleId="BodyText-BarcRAChar79">
    <w:name w:val="Body Text - Barc RA Char_79"/>
    <w:basedOn w:val="DefaultParagraphFont"/>
    <w:link w:val="BodyText-BarcRA114"/>
    <w:rsid w:val="005D52ED"/>
    <w:rPr>
      <w:rFonts w:ascii="Expert Sans Regular" w:hAnsi="Expert Sans Regular"/>
      <w:sz w:val="18"/>
      <w:lang w:val="en-GB" w:eastAsia="en-US" w:bidi="ar-SA"/>
    </w:rPr>
  </w:style>
  <w:style w:type="character" w:customStyle="1" w:styleId="HeadingLevel1-BarcRAChar55">
    <w:name w:val="Heading Level 1 - Barc RA Char_55"/>
    <w:basedOn w:val="DefaultParagraphFont"/>
    <w:link w:val="HeadingLevel1-BarcRA65"/>
    <w:rsid w:val="009705AC"/>
    <w:rPr>
      <w:rFonts w:ascii="Expert Sans Regular" w:hAnsi="Expert Sans Regular"/>
      <w:b/>
      <w:bCs/>
      <w:color w:val="000000"/>
      <w:sz w:val="24"/>
      <w:lang w:val="la-Latn"/>
    </w:rPr>
  </w:style>
  <w:style w:type="paragraph" w:customStyle="1" w:styleId="HeadingLevel2-BarcRA39">
    <w:name w:val="Heading Level 2 - Barc RA_39"/>
    <w:basedOn w:val="HeadingLevel1-BarcRA66"/>
    <w:next w:val="BodyText-BarcRA115"/>
    <w:rsid w:val="00EE71E7"/>
    <w:pPr>
      <w:spacing w:before="240" w:after="0"/>
    </w:pPr>
    <w:rPr>
      <w:sz w:val="20"/>
    </w:rPr>
  </w:style>
  <w:style w:type="paragraph" w:customStyle="1" w:styleId="HeadingLevel1-BarcRA66">
    <w:name w:val="Heading Level 1 - Barc RA_66"/>
    <w:basedOn w:val="BodyText-BarcRA115"/>
    <w:next w:val="BodyText-BarcRA115"/>
    <w:link w:val="HeadingLevel1-BarcRAChar56"/>
    <w:rsid w:val="002611B5"/>
    <w:pPr>
      <w:spacing w:before="0"/>
    </w:pPr>
    <w:rPr>
      <w:b/>
      <w:bCs/>
      <w:color w:val="000000"/>
      <w:sz w:val="24"/>
      <w:lang w:val="la-Latn"/>
    </w:rPr>
  </w:style>
  <w:style w:type="paragraph" w:customStyle="1" w:styleId="BodyText-BarcRA115">
    <w:name w:val="Body Text - Barc RA_115"/>
    <w:link w:val="BodyText-BarcRAChar81"/>
    <w:qFormat/>
    <w:rsid w:val="005D52ED"/>
    <w:pPr>
      <w:spacing w:before="180" w:after="180"/>
      <w:jc w:val="both"/>
    </w:pPr>
    <w:rPr>
      <w:rFonts w:ascii="Expert Sans Regular" w:hAnsi="Expert Sans Regular"/>
      <w:sz w:val="18"/>
      <w:lang w:eastAsia="en-US"/>
    </w:rPr>
  </w:style>
  <w:style w:type="character" w:customStyle="1" w:styleId="BodyText-BarcRAChar81">
    <w:name w:val="Body Text - Barc RA Char_81"/>
    <w:basedOn w:val="DefaultParagraphFont"/>
    <w:link w:val="BodyText-BarcRA115"/>
    <w:rsid w:val="005D52ED"/>
    <w:rPr>
      <w:rFonts w:ascii="Expert Sans Regular" w:hAnsi="Expert Sans Regular"/>
      <w:sz w:val="18"/>
      <w:lang w:val="en-GB" w:eastAsia="en-US" w:bidi="ar-SA"/>
    </w:rPr>
  </w:style>
  <w:style w:type="character" w:customStyle="1" w:styleId="HeadingLevel1-BarcRAChar56">
    <w:name w:val="Heading Level 1 - Barc RA Char_56"/>
    <w:basedOn w:val="DefaultParagraphFont"/>
    <w:link w:val="HeadingLevel1-BarcRA66"/>
    <w:rsid w:val="009705AC"/>
    <w:rPr>
      <w:rFonts w:ascii="Expert Sans Regular" w:hAnsi="Expert Sans Regular"/>
      <w:b/>
      <w:bCs/>
      <w:color w:val="000000"/>
      <w:sz w:val="24"/>
      <w:lang w:val="la-Latn"/>
    </w:rPr>
  </w:style>
  <w:style w:type="paragraph" w:customStyle="1" w:styleId="NoteandSourceText-BarcRA230">
    <w:name w:val="Note and Source Text - Barc RA_23_0"/>
    <w:basedOn w:val="Normal145"/>
    <w:qFormat/>
    <w:rsid w:val="00EC5EC2"/>
    <w:pPr>
      <w:numPr>
        <w:numId w:val="231"/>
      </w:numPr>
      <w:tabs>
        <w:tab w:val="left" w:pos="284"/>
      </w:tabs>
      <w:spacing w:before="20" w:after="20"/>
      <w:jc w:val="both"/>
    </w:pPr>
    <w:rPr>
      <w:i/>
      <w:iCs/>
      <w:sz w:val="14"/>
      <w:szCs w:val="14"/>
    </w:rPr>
  </w:style>
  <w:style w:type="paragraph" w:customStyle="1" w:styleId="Normal145">
    <w:name w:val="Normal_145"/>
    <w:qFormat/>
    <w:rsid w:val="009705AC"/>
    <w:rPr>
      <w:rFonts w:ascii="Expert Sans Regular" w:hAnsi="Expert Sans Regular"/>
      <w:sz w:val="18"/>
      <w:szCs w:val="24"/>
      <w:lang w:eastAsia="en-US"/>
    </w:rPr>
  </w:style>
  <w:style w:type="paragraph" w:customStyle="1" w:styleId="HeadingLevel1-BarcRA67">
    <w:name w:val="Heading Level 1 - Barc RA_67"/>
    <w:basedOn w:val="BodyText-BarcRA116"/>
    <w:next w:val="BodyText-BarcRA116"/>
    <w:link w:val="HeadingLevel1-BarcRAChar57"/>
    <w:rsid w:val="002611B5"/>
    <w:pPr>
      <w:spacing w:before="0"/>
    </w:pPr>
    <w:rPr>
      <w:b/>
      <w:bCs/>
      <w:color w:val="000000"/>
      <w:sz w:val="24"/>
      <w:lang w:val="la-Latn"/>
    </w:rPr>
  </w:style>
  <w:style w:type="paragraph" w:customStyle="1" w:styleId="BodyText-BarcRA116">
    <w:name w:val="Body Text - Barc RA_116"/>
    <w:link w:val="BodyText-BarcRAChar82"/>
    <w:qFormat/>
    <w:rsid w:val="005D52ED"/>
    <w:pPr>
      <w:spacing w:before="180" w:after="180"/>
      <w:jc w:val="both"/>
    </w:pPr>
    <w:rPr>
      <w:rFonts w:ascii="Expert Sans Regular" w:hAnsi="Expert Sans Regular"/>
      <w:sz w:val="18"/>
      <w:lang w:eastAsia="en-US"/>
    </w:rPr>
  </w:style>
  <w:style w:type="character" w:customStyle="1" w:styleId="BodyText-BarcRAChar82">
    <w:name w:val="Body Text - Barc RA Char_82"/>
    <w:basedOn w:val="DefaultParagraphFont"/>
    <w:link w:val="BodyText-BarcRA116"/>
    <w:rsid w:val="005D52ED"/>
    <w:rPr>
      <w:rFonts w:ascii="Expert Sans Regular" w:hAnsi="Expert Sans Regular"/>
      <w:sz w:val="18"/>
      <w:lang w:val="en-GB" w:eastAsia="en-US" w:bidi="ar-SA"/>
    </w:rPr>
  </w:style>
  <w:style w:type="character" w:customStyle="1" w:styleId="HeadingLevel1-BarcRAChar57">
    <w:name w:val="Heading Level 1 - Barc RA Char_57"/>
    <w:basedOn w:val="DefaultParagraphFont"/>
    <w:link w:val="HeadingLevel1-BarcRA67"/>
    <w:rsid w:val="009705AC"/>
    <w:rPr>
      <w:rFonts w:ascii="Expert Sans Regular" w:hAnsi="Expert Sans Regular"/>
      <w:b/>
      <w:bCs/>
      <w:color w:val="000000"/>
      <w:sz w:val="24"/>
      <w:lang w:val="la-Latn"/>
    </w:rPr>
  </w:style>
  <w:style w:type="paragraph" w:customStyle="1" w:styleId="HeaderSpacerwithLine-BarcRA16">
    <w:name w:val="Header Spacer with Line - Barc RA_16"/>
    <w:basedOn w:val="BodyText-BarcRA116"/>
    <w:link w:val="HeaderSpacerwithLine-BarcRAChar10"/>
    <w:rsid w:val="00016DD8"/>
    <w:pPr>
      <w:pBdr>
        <w:top w:val="single" w:sz="4" w:space="1" w:color="auto"/>
      </w:pBdr>
      <w:spacing w:before="0" w:after="0"/>
    </w:pPr>
    <w:rPr>
      <w:sz w:val="10"/>
      <w:szCs w:val="10"/>
    </w:rPr>
  </w:style>
  <w:style w:type="character" w:customStyle="1" w:styleId="HeaderSpacerwithLine-BarcRAChar10">
    <w:name w:val="Header Spacer with Line - Barc RA Char_10"/>
    <w:basedOn w:val="BodyText-BarcRAChar82"/>
    <w:link w:val="HeaderSpacerwithLine-BarcRA16"/>
    <w:rsid w:val="000E2451"/>
    <w:rPr>
      <w:rFonts w:ascii="Expert Sans Regular" w:hAnsi="Expert Sans Regular"/>
      <w:sz w:val="10"/>
      <w:szCs w:val="10"/>
      <w:lang w:val="en-GB" w:eastAsia="en-US" w:bidi="ar-SA"/>
    </w:rPr>
  </w:style>
  <w:style w:type="paragraph" w:customStyle="1" w:styleId="Normal146">
    <w:name w:val="Normal_146"/>
    <w:qFormat/>
    <w:rsid w:val="009705AC"/>
    <w:rPr>
      <w:rFonts w:ascii="Expert Sans Regular" w:hAnsi="Expert Sans Regular"/>
      <w:sz w:val="18"/>
      <w:szCs w:val="24"/>
      <w:lang w:eastAsia="en-US"/>
    </w:rPr>
  </w:style>
  <w:style w:type="paragraph" w:customStyle="1" w:styleId="Normal620">
    <w:name w:val="Normal_62_0"/>
    <w:qFormat/>
    <w:rsid w:val="007C0402"/>
    <w:rPr>
      <w:rFonts w:ascii="Expert Sans Regular" w:hAnsi="Expert Sans Regular"/>
      <w:sz w:val="18"/>
      <w:szCs w:val="24"/>
      <w:lang w:eastAsia="en-US"/>
    </w:rPr>
  </w:style>
  <w:style w:type="paragraph" w:customStyle="1" w:styleId="MyLastParagraph1">
    <w:name w:val="MyLastParagraph_1"/>
    <w:rsid w:val="00654261"/>
    <w:rPr>
      <w:sz w:val="4"/>
    </w:rPr>
  </w:style>
  <w:style w:type="paragraph" w:customStyle="1" w:styleId="HeadingLevel2-BarcRA40">
    <w:name w:val="Heading Level 2 - Barc RA_40"/>
    <w:basedOn w:val="HeadingLevel1-BarcRA68"/>
    <w:next w:val="BodyText-BarcRA117"/>
    <w:qFormat/>
    <w:rsid w:val="00EE71E7"/>
    <w:pPr>
      <w:spacing w:before="240" w:after="0"/>
    </w:pPr>
    <w:rPr>
      <w:sz w:val="20"/>
    </w:rPr>
  </w:style>
  <w:style w:type="paragraph" w:customStyle="1" w:styleId="HeadingLevel1-BarcRA68">
    <w:name w:val="Heading Level 1 - Barc RA_68"/>
    <w:basedOn w:val="BodyText-BarcRA117"/>
    <w:next w:val="BodyText-BarcRA117"/>
    <w:link w:val="HeadingLevel1-BarcRAChar58"/>
    <w:qFormat/>
    <w:rsid w:val="002611B5"/>
    <w:pPr>
      <w:spacing w:before="0"/>
    </w:pPr>
    <w:rPr>
      <w:b/>
      <w:bCs/>
      <w:color w:val="000000"/>
      <w:sz w:val="24"/>
      <w:lang w:val="la-Latn"/>
    </w:rPr>
  </w:style>
  <w:style w:type="paragraph" w:customStyle="1" w:styleId="BodyText-BarcRA117">
    <w:name w:val="Body Text - Barc RA_117"/>
    <w:link w:val="BodyText-BarcRAChar83"/>
    <w:qFormat/>
    <w:rsid w:val="005D52ED"/>
    <w:pPr>
      <w:spacing w:before="180" w:after="180"/>
      <w:jc w:val="both"/>
    </w:pPr>
    <w:rPr>
      <w:rFonts w:ascii="Expert Sans Regular" w:hAnsi="Expert Sans Regular"/>
      <w:sz w:val="18"/>
      <w:lang w:eastAsia="en-US"/>
    </w:rPr>
  </w:style>
  <w:style w:type="character" w:customStyle="1" w:styleId="BodyText-BarcRAChar83">
    <w:name w:val="Body Text - Barc RA Char_83"/>
    <w:basedOn w:val="DefaultParagraphFont"/>
    <w:link w:val="BodyText-BarcRA117"/>
    <w:rsid w:val="005D52ED"/>
    <w:rPr>
      <w:rFonts w:ascii="Expert Sans Regular" w:hAnsi="Expert Sans Regular"/>
      <w:sz w:val="18"/>
      <w:lang w:val="en-GB" w:eastAsia="en-US" w:bidi="ar-SA"/>
    </w:rPr>
  </w:style>
  <w:style w:type="character" w:customStyle="1" w:styleId="HeadingLevel1-BarcRAChar58">
    <w:name w:val="Heading Level 1 - Barc RA Char_58"/>
    <w:basedOn w:val="DefaultParagraphFont"/>
    <w:link w:val="HeadingLevel1-BarcRA68"/>
    <w:rsid w:val="009705AC"/>
    <w:rPr>
      <w:rFonts w:ascii="Expert Sans Regular" w:hAnsi="Expert Sans Regular"/>
      <w:b/>
      <w:bCs/>
      <w:color w:val="000000"/>
      <w:sz w:val="24"/>
      <w:lang w:val="la-Latn"/>
    </w:rPr>
  </w:style>
  <w:style w:type="paragraph" w:customStyle="1" w:styleId="TableFormatColBody-BarcRA">
    <w:name w:val="Table Format Col Body - Barc RA"/>
    <w:basedOn w:val="TableFormat-BarcRA"/>
    <w:qFormat/>
    <w:locked/>
    <w:rsid w:val="00285FBB"/>
    <w:pPr>
      <w:jc w:val="right"/>
    </w:pPr>
  </w:style>
  <w:style w:type="paragraph" w:styleId="Header">
    <w:name w:val="header"/>
    <w:basedOn w:val="Normal"/>
    <w:link w:val="HeaderChar"/>
    <w:rsid w:val="000E33D1"/>
    <w:pPr>
      <w:tabs>
        <w:tab w:val="center" w:pos="4513"/>
        <w:tab w:val="right" w:pos="9026"/>
      </w:tabs>
    </w:pPr>
  </w:style>
  <w:style w:type="character" w:customStyle="1" w:styleId="HeaderChar">
    <w:name w:val="Header Char"/>
    <w:basedOn w:val="DefaultParagraphFont"/>
    <w:link w:val="Header"/>
    <w:rsid w:val="000E33D1"/>
    <w:rPr>
      <w:rFonts w:ascii="Expert Sans Regular" w:eastAsia="Expert Sans Regular" w:hAnsi="Expert Sans Regular" w:cs="Expert Sans Regular"/>
      <w:sz w:val="2"/>
      <w:szCs w:val="24"/>
      <w:lang w:val="en-US" w:eastAsia="en-US"/>
    </w:rPr>
  </w:style>
  <w:style w:type="paragraph" w:styleId="Footer">
    <w:name w:val="footer"/>
    <w:basedOn w:val="Normal"/>
    <w:link w:val="FooterChar"/>
    <w:rsid w:val="000E33D1"/>
    <w:pPr>
      <w:tabs>
        <w:tab w:val="center" w:pos="4513"/>
        <w:tab w:val="right" w:pos="9026"/>
      </w:tabs>
    </w:pPr>
  </w:style>
  <w:style w:type="character" w:customStyle="1" w:styleId="FooterChar">
    <w:name w:val="Footer Char"/>
    <w:basedOn w:val="DefaultParagraphFont"/>
    <w:link w:val="Footer"/>
    <w:rsid w:val="000E33D1"/>
    <w:rPr>
      <w:rFonts w:ascii="Expert Sans Regular" w:eastAsia="Expert Sans Regular" w:hAnsi="Expert Sans Regular" w:cs="Expert Sans Regular"/>
      <w:sz w:val="2"/>
      <w:szCs w:val="24"/>
      <w:lang w:val="en-US" w:eastAsia="en-US"/>
    </w:rPr>
  </w:style>
  <w:style w:type="paragraph" w:styleId="FootnoteText">
    <w:name w:val="footnote text"/>
    <w:basedOn w:val="Normal"/>
    <w:link w:val="FootnoteTextChar"/>
    <w:rsid w:val="005921C2"/>
    <w:pPr>
      <w:spacing w:line="240" w:lineRule="atLeast"/>
    </w:pPr>
    <w:rPr>
      <w:rFonts w:ascii="Arial" w:eastAsia="SimSun" w:hAnsi="Arial" w:cs="Times New Roman"/>
      <w:sz w:val="20"/>
      <w:szCs w:val="20"/>
      <w:lang w:val="en-GB" w:eastAsia="zh-CN"/>
    </w:rPr>
  </w:style>
  <w:style w:type="character" w:customStyle="1" w:styleId="FootnoteTextChar">
    <w:name w:val="Footnote Text Char"/>
    <w:basedOn w:val="DefaultParagraphFont"/>
    <w:link w:val="FootnoteText"/>
    <w:rsid w:val="005921C2"/>
    <w:rPr>
      <w:rFonts w:ascii="Arial" w:eastAsia="SimSun" w:hAnsi="Arial"/>
      <w:lang w:eastAsia="zh-CN"/>
    </w:rPr>
  </w:style>
  <w:style w:type="character" w:styleId="FootnoteReference">
    <w:name w:val="footnote reference"/>
    <w:basedOn w:val="DefaultParagraphFont"/>
    <w:rsid w:val="005921C2"/>
    <w:rPr>
      <w:b/>
      <w:bCs/>
      <w:vertAlign w:val="superscript"/>
    </w:rPr>
  </w:style>
  <w:style w:type="character" w:customStyle="1" w:styleId="DeltaViewInsertion">
    <w:name w:val="DeltaView Insertion"/>
    <w:uiPriority w:val="99"/>
    <w:rsid w:val="00560D72"/>
    <w:rPr>
      <w:color w:val="0000FF"/>
      <w:u w:val="double"/>
    </w:rPr>
  </w:style>
  <w:style w:type="character" w:customStyle="1" w:styleId="DeltaViewDeletion">
    <w:name w:val="DeltaView Deletion"/>
    <w:uiPriority w:val="99"/>
    <w:rsid w:val="00560D72"/>
    <w:rPr>
      <w:strike/>
      <w:color w:val="FF0000"/>
    </w:rPr>
  </w:style>
  <w:style w:type="paragraph" w:styleId="BalloonText">
    <w:name w:val="Balloon Text"/>
    <w:basedOn w:val="Normal"/>
    <w:link w:val="BalloonTextChar"/>
    <w:rsid w:val="00940C64"/>
    <w:rPr>
      <w:rFonts w:ascii="Tahoma" w:hAnsi="Tahoma" w:cs="Tahoma"/>
      <w:sz w:val="16"/>
      <w:szCs w:val="16"/>
    </w:rPr>
  </w:style>
  <w:style w:type="character" w:customStyle="1" w:styleId="BalloonTextChar">
    <w:name w:val="Balloon Text Char"/>
    <w:basedOn w:val="DefaultParagraphFont"/>
    <w:link w:val="BalloonText"/>
    <w:rsid w:val="00940C64"/>
    <w:rPr>
      <w:rFonts w:ascii="Tahoma" w:eastAsia="Expert Sans Regular" w:hAnsi="Tahoma" w:cs="Tahoma"/>
      <w:sz w:val="16"/>
      <w:szCs w:val="16"/>
      <w:lang w:val="en-US" w:eastAsia="en-US"/>
    </w:rPr>
  </w:style>
  <w:style w:type="paragraph" w:styleId="EndnoteText">
    <w:name w:val="endnote text"/>
    <w:basedOn w:val="Normal"/>
    <w:link w:val="EndnoteTextChar"/>
    <w:rsid w:val="008B3BCD"/>
    <w:rPr>
      <w:sz w:val="20"/>
      <w:szCs w:val="20"/>
    </w:rPr>
  </w:style>
  <w:style w:type="character" w:customStyle="1" w:styleId="EndnoteTextChar">
    <w:name w:val="Endnote Text Char"/>
    <w:basedOn w:val="DefaultParagraphFont"/>
    <w:link w:val="EndnoteText"/>
    <w:rsid w:val="008B3BCD"/>
    <w:rPr>
      <w:rFonts w:ascii="Expert Sans Regular" w:eastAsia="Expert Sans Regular" w:hAnsi="Expert Sans Regular" w:cs="Expert Sans Regular"/>
      <w:lang w:val="en-US" w:eastAsia="en-US"/>
    </w:rPr>
  </w:style>
  <w:style w:type="character" w:styleId="EndnoteReference">
    <w:name w:val="endnote reference"/>
    <w:basedOn w:val="DefaultParagraphFont"/>
    <w:rsid w:val="008B3BCD"/>
    <w:rPr>
      <w:vertAlign w:val="superscript"/>
    </w:rPr>
  </w:style>
  <w:style w:type="paragraph" w:styleId="DocumentMap">
    <w:name w:val="Document Map"/>
    <w:basedOn w:val="Normal"/>
    <w:link w:val="DocumentMapChar"/>
    <w:rsid w:val="008D6001"/>
    <w:rPr>
      <w:rFonts w:ascii="Tahoma" w:hAnsi="Tahoma" w:cs="Tahoma"/>
      <w:sz w:val="16"/>
      <w:szCs w:val="16"/>
    </w:rPr>
  </w:style>
  <w:style w:type="character" w:customStyle="1" w:styleId="DocumentMapChar">
    <w:name w:val="Document Map Char"/>
    <w:basedOn w:val="DefaultParagraphFont"/>
    <w:link w:val="DocumentMap"/>
    <w:rsid w:val="008D6001"/>
    <w:rPr>
      <w:rFonts w:ascii="Tahoma" w:eastAsia="Expert Sans Regular" w:hAnsi="Tahoma" w:cs="Tahoma"/>
      <w:sz w:val="16"/>
      <w:szCs w:val="16"/>
      <w:lang w:val="en-US" w:eastAsia="en-US"/>
    </w:rPr>
  </w:style>
  <w:style w:type="character" w:customStyle="1" w:styleId="BodyText-BarcRAChar201">
    <w:name w:val="Body Text - Barc RA Char_2_0"/>
    <w:basedOn w:val="DefaultParagraphFont"/>
    <w:locked/>
    <w:rsid w:val="00CC41A9"/>
    <w:rPr>
      <w:rFonts w:ascii="Expert Sans Regular" w:hAnsi="Expert Sans Regular"/>
      <w:sz w:val="18"/>
      <w:lang w:val="en-GB" w:eastAsia="en-US" w:bidi="ar-SA"/>
    </w:rPr>
  </w:style>
  <w:style w:type="paragraph" w:customStyle="1" w:styleId="Normal00">
    <w:name w:val="Normal_0_0"/>
    <w:qFormat/>
    <w:rsid w:val="00CC41A9"/>
    <w:rPr>
      <w:rFonts w:ascii="Expert Sans Regular" w:hAnsi="Expert Sans Regular"/>
      <w:sz w:val="18"/>
      <w:szCs w:val="24"/>
      <w:lang w:eastAsia="en-US"/>
    </w:rPr>
  </w:style>
  <w:style w:type="paragraph" w:customStyle="1" w:styleId="NoteSourceText-BarcRA17">
    <w:name w:val="Note &amp; Source Text - Barc RA_17"/>
    <w:basedOn w:val="Normal6"/>
    <w:link w:val="NoteSourceText-BarcRAChar17"/>
    <w:rsid w:val="00CC41A9"/>
    <w:pPr>
      <w:tabs>
        <w:tab w:val="left" w:pos="284"/>
      </w:tabs>
      <w:spacing w:before="20" w:after="20"/>
      <w:ind w:left="284" w:hanging="284"/>
      <w:jc w:val="both"/>
    </w:pPr>
    <w:rPr>
      <w:i/>
      <w:iCs/>
      <w:sz w:val="14"/>
      <w:szCs w:val="14"/>
    </w:rPr>
  </w:style>
  <w:style w:type="character" w:customStyle="1" w:styleId="NoteSourceText-BarcRAChar17">
    <w:name w:val="Note &amp; Source Text - Barc RA Char_17"/>
    <w:basedOn w:val="DefaultParagraphFont"/>
    <w:link w:val="NoteSourceText-BarcRA17"/>
    <w:locked/>
    <w:rsid w:val="00CC41A9"/>
    <w:rPr>
      <w:rFonts w:ascii="Expert Sans Regular" w:hAnsi="Expert Sans Regular"/>
      <w:i/>
      <w:iCs/>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706">
      <w:bodyDiv w:val="1"/>
      <w:marLeft w:val="0"/>
      <w:marRight w:val="0"/>
      <w:marTop w:val="0"/>
      <w:marBottom w:val="0"/>
      <w:divBdr>
        <w:top w:val="none" w:sz="0" w:space="0" w:color="auto"/>
        <w:left w:val="none" w:sz="0" w:space="0" w:color="auto"/>
        <w:bottom w:val="none" w:sz="0" w:space="0" w:color="auto"/>
        <w:right w:val="none" w:sz="0" w:space="0" w:color="auto"/>
      </w:divBdr>
    </w:div>
    <w:div w:id="371422693">
      <w:bodyDiv w:val="1"/>
      <w:marLeft w:val="0"/>
      <w:marRight w:val="0"/>
      <w:marTop w:val="0"/>
      <w:marBottom w:val="0"/>
      <w:divBdr>
        <w:top w:val="none" w:sz="0" w:space="0" w:color="auto"/>
        <w:left w:val="none" w:sz="0" w:space="0" w:color="auto"/>
        <w:bottom w:val="none" w:sz="0" w:space="0" w:color="auto"/>
        <w:right w:val="none" w:sz="0" w:space="0" w:color="auto"/>
      </w:divBdr>
    </w:div>
    <w:div w:id="415371638">
      <w:bodyDiv w:val="1"/>
      <w:marLeft w:val="0"/>
      <w:marRight w:val="0"/>
      <w:marTop w:val="0"/>
      <w:marBottom w:val="0"/>
      <w:divBdr>
        <w:top w:val="none" w:sz="0" w:space="0" w:color="auto"/>
        <w:left w:val="none" w:sz="0" w:space="0" w:color="auto"/>
        <w:bottom w:val="none" w:sz="0" w:space="0" w:color="auto"/>
        <w:right w:val="none" w:sz="0" w:space="0" w:color="auto"/>
      </w:divBdr>
    </w:div>
    <w:div w:id="843714077">
      <w:bodyDiv w:val="1"/>
      <w:marLeft w:val="0"/>
      <w:marRight w:val="0"/>
      <w:marTop w:val="0"/>
      <w:marBottom w:val="0"/>
      <w:divBdr>
        <w:top w:val="none" w:sz="0" w:space="0" w:color="auto"/>
        <w:left w:val="none" w:sz="0" w:space="0" w:color="auto"/>
        <w:bottom w:val="none" w:sz="0" w:space="0" w:color="auto"/>
        <w:right w:val="none" w:sz="0" w:space="0" w:color="auto"/>
      </w:divBdr>
    </w:div>
    <w:div w:id="1285113335">
      <w:bodyDiv w:val="1"/>
      <w:marLeft w:val="0"/>
      <w:marRight w:val="0"/>
      <w:marTop w:val="0"/>
      <w:marBottom w:val="0"/>
      <w:divBdr>
        <w:top w:val="none" w:sz="0" w:space="0" w:color="auto"/>
        <w:left w:val="none" w:sz="0" w:space="0" w:color="auto"/>
        <w:bottom w:val="none" w:sz="0" w:space="0" w:color="auto"/>
        <w:right w:val="none" w:sz="0" w:space="0" w:color="auto"/>
      </w:divBdr>
    </w:div>
    <w:div w:id="1319769008">
      <w:bodyDiv w:val="1"/>
      <w:marLeft w:val="0"/>
      <w:marRight w:val="0"/>
      <w:marTop w:val="0"/>
      <w:marBottom w:val="0"/>
      <w:divBdr>
        <w:top w:val="none" w:sz="0" w:space="0" w:color="auto"/>
        <w:left w:val="none" w:sz="0" w:space="0" w:color="auto"/>
        <w:bottom w:val="none" w:sz="0" w:space="0" w:color="auto"/>
        <w:right w:val="none" w:sz="0" w:space="0" w:color="auto"/>
      </w:divBdr>
    </w:div>
    <w:div w:id="1342195349">
      <w:bodyDiv w:val="1"/>
      <w:marLeft w:val="0"/>
      <w:marRight w:val="0"/>
      <w:marTop w:val="0"/>
      <w:marBottom w:val="0"/>
      <w:divBdr>
        <w:top w:val="none" w:sz="0" w:space="0" w:color="auto"/>
        <w:left w:val="none" w:sz="0" w:space="0" w:color="auto"/>
        <w:bottom w:val="none" w:sz="0" w:space="0" w:color="auto"/>
        <w:right w:val="none" w:sz="0" w:space="0" w:color="auto"/>
      </w:divBdr>
    </w:div>
    <w:div w:id="1383016872">
      <w:bodyDiv w:val="1"/>
      <w:marLeft w:val="0"/>
      <w:marRight w:val="0"/>
      <w:marTop w:val="0"/>
      <w:marBottom w:val="0"/>
      <w:divBdr>
        <w:top w:val="none" w:sz="0" w:space="0" w:color="auto"/>
        <w:left w:val="none" w:sz="0" w:space="0" w:color="auto"/>
        <w:bottom w:val="none" w:sz="0" w:space="0" w:color="auto"/>
        <w:right w:val="none" w:sz="0" w:space="0" w:color="auto"/>
      </w:divBdr>
    </w:div>
    <w:div w:id="1563129856">
      <w:bodyDiv w:val="1"/>
      <w:marLeft w:val="0"/>
      <w:marRight w:val="0"/>
      <w:marTop w:val="0"/>
      <w:marBottom w:val="0"/>
      <w:divBdr>
        <w:top w:val="none" w:sz="0" w:space="0" w:color="auto"/>
        <w:left w:val="none" w:sz="0" w:space="0" w:color="auto"/>
        <w:bottom w:val="none" w:sz="0" w:space="0" w:color="auto"/>
        <w:right w:val="none" w:sz="0" w:space="0" w:color="auto"/>
      </w:divBdr>
    </w:div>
    <w:div w:id="1697730428">
      <w:bodyDiv w:val="1"/>
      <w:marLeft w:val="0"/>
      <w:marRight w:val="0"/>
      <w:marTop w:val="0"/>
      <w:marBottom w:val="0"/>
      <w:divBdr>
        <w:top w:val="none" w:sz="0" w:space="0" w:color="auto"/>
        <w:left w:val="none" w:sz="0" w:space="0" w:color="auto"/>
        <w:bottom w:val="none" w:sz="0" w:space="0" w:color="auto"/>
        <w:right w:val="none" w:sz="0" w:space="0" w:color="auto"/>
      </w:divBdr>
    </w:div>
    <w:div w:id="1807894070">
      <w:bodyDiv w:val="1"/>
      <w:marLeft w:val="0"/>
      <w:marRight w:val="0"/>
      <w:marTop w:val="0"/>
      <w:marBottom w:val="0"/>
      <w:divBdr>
        <w:top w:val="none" w:sz="0" w:space="0" w:color="auto"/>
        <w:left w:val="none" w:sz="0" w:space="0" w:color="auto"/>
        <w:bottom w:val="none" w:sz="0" w:space="0" w:color="auto"/>
        <w:right w:val="none" w:sz="0" w:space="0" w:color="auto"/>
      </w:divBdr>
    </w:div>
    <w:div w:id="1836140355">
      <w:bodyDiv w:val="1"/>
      <w:marLeft w:val="0"/>
      <w:marRight w:val="0"/>
      <w:marTop w:val="0"/>
      <w:marBottom w:val="0"/>
      <w:divBdr>
        <w:top w:val="none" w:sz="0" w:space="0" w:color="auto"/>
        <w:left w:val="none" w:sz="0" w:space="0" w:color="auto"/>
        <w:bottom w:val="none" w:sz="0" w:space="0" w:color="auto"/>
        <w:right w:val="none" w:sz="0" w:space="0" w:color="auto"/>
      </w:divBdr>
    </w:div>
    <w:div w:id="1971398358">
      <w:bodyDiv w:val="1"/>
      <w:marLeft w:val="0"/>
      <w:marRight w:val="0"/>
      <w:marTop w:val="0"/>
      <w:marBottom w:val="0"/>
      <w:divBdr>
        <w:top w:val="none" w:sz="0" w:space="0" w:color="auto"/>
        <w:left w:val="none" w:sz="0" w:space="0" w:color="auto"/>
        <w:bottom w:val="none" w:sz="0" w:space="0" w:color="auto"/>
        <w:right w:val="none" w:sz="0" w:space="0" w:color="auto"/>
      </w:divBdr>
    </w:div>
    <w:div w:id="211211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group.barclays.com/about-barclays/investor-relations/investor-news" TargetMode="Externa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88CE-E1E9-4856-B868-FA4134FD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62820</Words>
  <Characters>358076</Characters>
  <Application>Microsoft Office Word</Application>
  <DocSecurity>0</DocSecurity>
  <Lines>2983</Lines>
  <Paragraphs>840</Paragraphs>
  <ScaleCrop>false</ScaleCrop>
  <HeadingPairs>
    <vt:vector size="2" baseType="variant">
      <vt:variant>
        <vt:lpstr>Title</vt:lpstr>
      </vt:variant>
      <vt:variant>
        <vt:i4>1</vt:i4>
      </vt:variant>
    </vt:vector>
  </HeadingPairs>
  <TitlesOfParts>
    <vt:vector size="1" baseType="lpstr">
      <vt:lpstr/>
    </vt:vector>
  </TitlesOfParts>
  <Company>Barclays PLC</Company>
  <LinksUpToDate>false</LinksUpToDate>
  <CharactersWithSpaces>420056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Rule, Rosamund : Barclays Corporate Secretariat</dc:creator>
  <cp:lastModifiedBy>Deeksha Perera</cp:lastModifiedBy>
  <cp:revision>3</cp:revision>
  <cp:lastPrinted>2013-07-29T13:47:00Z</cp:lastPrinted>
  <dcterms:created xsi:type="dcterms:W3CDTF">2013-07-30T14:16:00Z</dcterms:created>
  <dcterms:modified xsi:type="dcterms:W3CDTF">2013-07-30T14:17:00Z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-54167310</vt:i4>
  </property>
  <property fmtid="{D5CDD505-2E9C-101B-9397-08002B2CF9AE}" pid="3" name="_NewReviewCycle">
    <vt:lpwstr/>
  </property>
  <property fmtid="{D5CDD505-2E9C-101B-9397-08002B2CF9AE}" pid="4" name="_EmailSubject">
    <vt:lpwstr>Barclays Interim Results 29/07/13 Update</vt:lpwstr>
  </property>
  <property fmtid="{D5CDD505-2E9C-101B-9397-08002B2CF9AE}" pid="5" name="_AuthorEmail">
    <vt:lpwstr>MStewart-Gutierrez@lseg.com</vt:lpwstr>
  </property>
  <property fmtid="{D5CDD505-2E9C-101B-9397-08002B2CF9AE}" pid="6" name="_AuthorEmailDisplayName">
    <vt:lpwstr>Stewart-Gutierrez, Marie</vt:lpwstr>
  </property>
  <property fmtid="{D5CDD505-2E9C-101B-9397-08002B2CF9AE}" pid="7" name="_PreviousAdHocReviewCycleID">
    <vt:i4>642715282</vt:i4>
  </property>
  <property fmtid="{D5CDD505-2E9C-101B-9397-08002B2CF9AE}" pid="8" name="_ReviewingToolsShownOnce">
    <vt:lpwstr/>
  </property>
</Properties>
</file>