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81D" w:rsidRPr="00BC081D" w:rsidRDefault="00BC081D" w:rsidP="00BC081D">
      <w:pPr>
        <w:spacing w:after="0" w:line="240" w:lineRule="auto"/>
        <w:rPr>
          <w:rFonts w:ascii="Times New Roman" w:eastAsia="Times New Roman" w:hAnsi="Times New Roman" w:cs="Times New Roman"/>
          <w:sz w:val="24"/>
          <w:szCs w:val="24"/>
          <w:lang w:eastAsia="en-GB"/>
        </w:rPr>
      </w:pPr>
      <w:r w:rsidRPr="00BC081D">
        <w:rPr>
          <w:rFonts w:ascii="Times New Roman" w:eastAsia="Times New Roman" w:hAnsi="Times New Roman" w:cs="Times New Roman"/>
          <w:sz w:val="24"/>
          <w:szCs w:val="24"/>
          <w:lang w:eastAsia="en-GB"/>
        </w:rPr>
        <w:t>﻿</w:t>
      </w:r>
    </w:p>
    <w:p w:rsidR="00BC081D" w:rsidRPr="00BC081D" w:rsidRDefault="00BC081D" w:rsidP="00BC081D">
      <w:pPr>
        <w:spacing w:after="240" w:line="240" w:lineRule="auto"/>
        <w:jc w:val="both"/>
        <w:rPr>
          <w:rFonts w:ascii="Times New Roman" w:eastAsia="Times New Roman" w:hAnsi="Times New Roman" w:cs="Times New Roman"/>
          <w:sz w:val="24"/>
          <w:szCs w:val="24"/>
          <w:lang w:eastAsia="en-GB"/>
        </w:rPr>
      </w:pPr>
      <w:r w:rsidRPr="00BC081D">
        <w:rPr>
          <w:rFonts w:ascii="Times New Roman" w:eastAsia="Times New Roman" w:hAnsi="Times New Roman" w:cs="Times New Roman"/>
          <w:sz w:val="20"/>
          <w:szCs w:val="20"/>
          <w:lang w:eastAsia="en-GB"/>
        </w:rPr>
        <w:t>April 26, 2013</w:t>
      </w:r>
    </w:p>
    <w:p w:rsidR="00BC081D" w:rsidRPr="00BC081D" w:rsidRDefault="00BC081D" w:rsidP="00BC081D">
      <w:pPr>
        <w:spacing w:after="240" w:line="240" w:lineRule="auto"/>
        <w:jc w:val="both"/>
        <w:rPr>
          <w:rFonts w:ascii="Times New Roman" w:eastAsia="Times New Roman" w:hAnsi="Times New Roman" w:cs="Times New Roman"/>
          <w:b/>
          <w:bCs/>
          <w:sz w:val="24"/>
          <w:szCs w:val="24"/>
          <w:lang w:eastAsia="en-GB"/>
        </w:rPr>
      </w:pPr>
      <w:r w:rsidRPr="00BC081D">
        <w:rPr>
          <w:rFonts w:ascii="Times New Roman" w:eastAsia="Times New Roman" w:hAnsi="Times New Roman" w:cs="Times New Roman"/>
          <w:b/>
          <w:bCs/>
          <w:sz w:val="20"/>
          <w:szCs w:val="20"/>
          <w:lang w:eastAsia="en-GB"/>
        </w:rPr>
        <w:t xml:space="preserve">BARCLAYS BANK PLC TENDER OFFER: EXPIRATION OF TENDER OFFER AND CANCELLATION OF NOTES PURCHASED PURSUANT THERETO </w:t>
      </w:r>
    </w:p>
    <w:p w:rsidR="00BC081D" w:rsidRPr="00BC081D" w:rsidRDefault="00BC081D" w:rsidP="00BC081D">
      <w:pPr>
        <w:spacing w:after="240" w:line="240" w:lineRule="auto"/>
        <w:jc w:val="both"/>
        <w:rPr>
          <w:rFonts w:ascii="Times New Roman" w:eastAsia="Times New Roman" w:hAnsi="Times New Roman" w:cs="Times New Roman"/>
          <w:sz w:val="24"/>
          <w:szCs w:val="24"/>
          <w:lang w:eastAsia="en-GB"/>
        </w:rPr>
      </w:pPr>
      <w:r w:rsidRPr="00BC081D">
        <w:rPr>
          <w:rFonts w:ascii="Times New Roman" w:eastAsia="Times New Roman" w:hAnsi="Times New Roman" w:cs="Times New Roman"/>
          <w:sz w:val="20"/>
          <w:szCs w:val="20"/>
          <w:lang w:eastAsia="en-GB"/>
        </w:rPr>
        <w:t>On March 26, 2013, Barclays Bank PLC (the "</w:t>
      </w:r>
      <w:r w:rsidRPr="00BC081D">
        <w:rPr>
          <w:rFonts w:ascii="Times New Roman" w:eastAsia="Times New Roman" w:hAnsi="Times New Roman" w:cs="Times New Roman"/>
          <w:b/>
          <w:bCs/>
          <w:sz w:val="20"/>
          <w:szCs w:val="20"/>
          <w:lang w:eastAsia="en-GB"/>
        </w:rPr>
        <w:t>Issuer</w:t>
      </w:r>
      <w:r w:rsidRPr="00BC081D">
        <w:rPr>
          <w:rFonts w:ascii="Times New Roman" w:eastAsia="Times New Roman" w:hAnsi="Times New Roman" w:cs="Times New Roman"/>
          <w:sz w:val="20"/>
          <w:szCs w:val="20"/>
          <w:lang w:eastAsia="en-GB"/>
        </w:rPr>
        <w:t>") announced a cash tender offer (the "</w:t>
      </w:r>
      <w:r w:rsidRPr="00BC081D">
        <w:rPr>
          <w:rFonts w:ascii="Times New Roman" w:eastAsia="Times New Roman" w:hAnsi="Times New Roman" w:cs="Times New Roman"/>
          <w:b/>
          <w:bCs/>
          <w:sz w:val="20"/>
          <w:szCs w:val="20"/>
          <w:lang w:eastAsia="en-GB"/>
        </w:rPr>
        <w:t>Tender Offer</w:t>
      </w:r>
      <w:r w:rsidRPr="00BC081D">
        <w:rPr>
          <w:rFonts w:ascii="Times New Roman" w:eastAsia="Times New Roman" w:hAnsi="Times New Roman" w:cs="Times New Roman"/>
          <w:sz w:val="20"/>
          <w:szCs w:val="20"/>
          <w:lang w:eastAsia="en-GB"/>
        </w:rPr>
        <w:t>") to holders of the Issuer's 6.05% Fixed Rate Subordinated Notes due 2017 (CUSIP/ISIN: 06739G AE9 / US06739GAE98 / XS0334249223) (the "</w:t>
      </w:r>
      <w:r w:rsidRPr="00BC081D">
        <w:rPr>
          <w:rFonts w:ascii="Times New Roman" w:eastAsia="Times New Roman" w:hAnsi="Times New Roman" w:cs="Times New Roman"/>
          <w:b/>
          <w:bCs/>
          <w:sz w:val="20"/>
          <w:szCs w:val="20"/>
          <w:lang w:eastAsia="en-GB"/>
        </w:rPr>
        <w:t>6.05% Notes</w:t>
      </w:r>
      <w:r w:rsidRPr="00BC081D">
        <w:rPr>
          <w:rFonts w:ascii="Times New Roman" w:eastAsia="Times New Roman" w:hAnsi="Times New Roman" w:cs="Times New Roman"/>
          <w:sz w:val="20"/>
          <w:szCs w:val="20"/>
          <w:lang w:eastAsia="en-GB"/>
        </w:rPr>
        <w:t>") and 5.140% Lower Tier 2 Notes due October 2020 (CUSIP/ISIN: 06739G BP3 / US06739GBP37)</w:t>
      </w:r>
      <w:r w:rsidRPr="00BC081D">
        <w:rPr>
          <w:rFonts w:ascii="Times New Roman" w:eastAsia="Times New Roman" w:hAnsi="Times New Roman" w:cs="Times New Roman"/>
          <w:sz w:val="18"/>
          <w:szCs w:val="18"/>
          <w:lang w:eastAsia="en-GB"/>
        </w:rPr>
        <w:t> </w:t>
      </w:r>
      <w:r w:rsidRPr="00BC081D">
        <w:rPr>
          <w:rFonts w:ascii="Times New Roman" w:eastAsia="Times New Roman" w:hAnsi="Times New Roman" w:cs="Times New Roman"/>
          <w:sz w:val="20"/>
          <w:szCs w:val="20"/>
          <w:lang w:eastAsia="en-GB"/>
        </w:rPr>
        <w:t>(the "</w:t>
      </w:r>
      <w:r w:rsidRPr="00BC081D">
        <w:rPr>
          <w:rFonts w:ascii="Times New Roman" w:eastAsia="Times New Roman" w:hAnsi="Times New Roman" w:cs="Times New Roman"/>
          <w:b/>
          <w:bCs/>
          <w:sz w:val="20"/>
          <w:szCs w:val="20"/>
          <w:lang w:eastAsia="en-GB"/>
        </w:rPr>
        <w:t>5.140% Notes</w:t>
      </w:r>
      <w:r w:rsidRPr="00BC081D">
        <w:rPr>
          <w:rFonts w:ascii="Times New Roman" w:eastAsia="Times New Roman" w:hAnsi="Times New Roman" w:cs="Times New Roman"/>
          <w:sz w:val="20"/>
          <w:szCs w:val="20"/>
          <w:lang w:eastAsia="en-GB"/>
        </w:rPr>
        <w:t>" and collectively with the 6.05% Notes, the "</w:t>
      </w:r>
      <w:r w:rsidRPr="00BC081D">
        <w:rPr>
          <w:rFonts w:ascii="Times New Roman" w:eastAsia="Times New Roman" w:hAnsi="Times New Roman" w:cs="Times New Roman"/>
          <w:b/>
          <w:bCs/>
          <w:sz w:val="20"/>
          <w:szCs w:val="20"/>
          <w:lang w:eastAsia="en-GB"/>
        </w:rPr>
        <w:t>Notes</w:t>
      </w:r>
      <w:r w:rsidRPr="00BC081D">
        <w:rPr>
          <w:rFonts w:ascii="Times New Roman" w:eastAsia="Times New Roman" w:hAnsi="Times New Roman" w:cs="Times New Roman"/>
          <w:sz w:val="20"/>
          <w:szCs w:val="20"/>
          <w:lang w:eastAsia="en-GB"/>
        </w:rPr>
        <w:t>"), subject to the terms and conditions set forth in an offer to purchase dated March 26, 2013, as amended by the Issuer's announcement on April 3, 2013 that it had decreased the maximum aggregate principal amount of Notes the Issuer will accept in the Tender Offer (the "</w:t>
      </w:r>
      <w:r w:rsidRPr="00BC081D">
        <w:rPr>
          <w:rFonts w:ascii="Times New Roman" w:eastAsia="Times New Roman" w:hAnsi="Times New Roman" w:cs="Times New Roman"/>
          <w:b/>
          <w:bCs/>
          <w:sz w:val="20"/>
          <w:szCs w:val="20"/>
          <w:lang w:eastAsia="en-GB"/>
        </w:rPr>
        <w:t>Tender Cap</w:t>
      </w:r>
      <w:r w:rsidRPr="00BC081D">
        <w:rPr>
          <w:rFonts w:ascii="Times New Roman" w:eastAsia="Times New Roman" w:hAnsi="Times New Roman" w:cs="Times New Roman"/>
          <w:sz w:val="20"/>
          <w:szCs w:val="20"/>
          <w:lang w:eastAsia="en-GB"/>
        </w:rPr>
        <w:t>") from $1 billion to $850 million (the "</w:t>
      </w:r>
      <w:r w:rsidRPr="00BC081D">
        <w:rPr>
          <w:rFonts w:ascii="Times New Roman" w:eastAsia="Times New Roman" w:hAnsi="Times New Roman" w:cs="Times New Roman"/>
          <w:b/>
          <w:bCs/>
          <w:sz w:val="20"/>
          <w:szCs w:val="20"/>
          <w:lang w:eastAsia="en-GB"/>
        </w:rPr>
        <w:t>Offer to Purchase</w:t>
      </w:r>
      <w:r w:rsidRPr="00BC081D">
        <w:rPr>
          <w:rFonts w:ascii="Times New Roman" w:eastAsia="Times New Roman" w:hAnsi="Times New Roman" w:cs="Times New Roman"/>
          <w:sz w:val="20"/>
          <w:szCs w:val="20"/>
          <w:lang w:eastAsia="en-GB"/>
        </w:rPr>
        <w:t xml:space="preserve">"). </w:t>
      </w:r>
    </w:p>
    <w:p w:rsidR="00BC081D" w:rsidRPr="00BC081D" w:rsidRDefault="00BC081D" w:rsidP="00BC081D">
      <w:pPr>
        <w:spacing w:after="240" w:line="240" w:lineRule="auto"/>
        <w:jc w:val="both"/>
        <w:rPr>
          <w:rFonts w:ascii="Times New Roman" w:eastAsia="Times New Roman" w:hAnsi="Times New Roman" w:cs="Times New Roman"/>
          <w:sz w:val="24"/>
          <w:szCs w:val="24"/>
          <w:lang w:eastAsia="en-GB"/>
        </w:rPr>
      </w:pPr>
      <w:r w:rsidRPr="00BC081D">
        <w:rPr>
          <w:rFonts w:ascii="Times New Roman" w:eastAsia="Times New Roman" w:hAnsi="Times New Roman" w:cs="Times New Roman"/>
          <w:sz w:val="20"/>
          <w:szCs w:val="20"/>
          <w:lang w:eastAsia="en-GB"/>
        </w:rPr>
        <w:t>On April 9, 2013, the Issuer announced that it had accepted for purchase approximately $850 million of the Notes validly tendered and not validly withdrawn at or prior to April 8, 2013 (the "</w:t>
      </w:r>
      <w:r w:rsidRPr="00BC081D">
        <w:rPr>
          <w:rFonts w:ascii="Times New Roman" w:eastAsia="Times New Roman" w:hAnsi="Times New Roman" w:cs="Times New Roman"/>
          <w:b/>
          <w:bCs/>
          <w:sz w:val="20"/>
          <w:szCs w:val="20"/>
          <w:lang w:eastAsia="en-GB"/>
        </w:rPr>
        <w:t>Early Participation Deadline</w:t>
      </w:r>
      <w:r w:rsidRPr="00BC081D">
        <w:rPr>
          <w:rFonts w:ascii="Times New Roman" w:eastAsia="Times New Roman" w:hAnsi="Times New Roman" w:cs="Times New Roman"/>
          <w:sz w:val="20"/>
          <w:szCs w:val="20"/>
          <w:lang w:eastAsia="en-GB"/>
        </w:rPr>
        <w:t xml:space="preserve">"). Because the Issuer accepted for purchase Notes in an aggregate principal amount equal to the Tender Cap, no Notes tendered after the Early Participation Deadline were accepted for purchase.  The Tender Offer expired at 5:00 p.m., New York City time, on April 25, 2013, in accordance with its terms. </w:t>
      </w:r>
    </w:p>
    <w:p w:rsidR="00BC081D" w:rsidRPr="00BC081D" w:rsidRDefault="00BC081D" w:rsidP="00BC081D">
      <w:pPr>
        <w:spacing w:line="240" w:lineRule="auto"/>
        <w:jc w:val="both"/>
        <w:rPr>
          <w:rFonts w:ascii="Times New Roman" w:eastAsia="Times New Roman" w:hAnsi="Times New Roman" w:cs="Times New Roman"/>
          <w:sz w:val="24"/>
          <w:szCs w:val="24"/>
          <w:lang w:eastAsia="en-GB"/>
        </w:rPr>
      </w:pPr>
      <w:r w:rsidRPr="00BC081D">
        <w:rPr>
          <w:rFonts w:ascii="Times New Roman" w:eastAsia="Times New Roman" w:hAnsi="Times New Roman" w:cs="Times New Roman"/>
          <w:sz w:val="20"/>
          <w:szCs w:val="20"/>
          <w:lang w:eastAsia="en-GB"/>
        </w:rPr>
        <w:t xml:space="preserve">All Notes purchased pursuant to the Tender Offer have been retired and cancelled by the Issuer and no longer remain outstanding obligations of the Issuer. Subsequent to such retirement and cancellation, the aggregate principal amounts of Notes outstanding in each series are as set forth in the table below: </w:t>
      </w:r>
    </w:p>
    <w:tbl>
      <w:tblPr>
        <w:tblW w:w="7905" w:type="dxa"/>
        <w:tblCellMar>
          <w:left w:w="0" w:type="dxa"/>
          <w:right w:w="0" w:type="dxa"/>
        </w:tblCellMar>
        <w:tblLook w:val="04A0" w:firstRow="1" w:lastRow="0" w:firstColumn="1" w:lastColumn="0" w:noHBand="0" w:noVBand="1"/>
      </w:tblPr>
      <w:tblGrid>
        <w:gridCol w:w="2694"/>
        <w:gridCol w:w="2605"/>
        <w:gridCol w:w="2606"/>
      </w:tblGrid>
      <w:tr w:rsidR="00BC081D" w:rsidRPr="00BC081D" w:rsidTr="00BC081D">
        <w:trPr>
          <w:trHeight w:val="1143"/>
        </w:trPr>
        <w:tc>
          <w:tcPr>
            <w:tcW w:w="2700" w:type="dxa"/>
            <w:vAlign w:val="bottom"/>
            <w:hideMark/>
          </w:tcPr>
          <w:p w:rsidR="00BC081D" w:rsidRPr="00BC081D" w:rsidRDefault="00BC081D" w:rsidP="00BC081D">
            <w:pPr>
              <w:spacing w:after="240" w:line="240" w:lineRule="auto"/>
              <w:jc w:val="center"/>
              <w:rPr>
                <w:rFonts w:ascii="Times New Roman" w:eastAsia="Times New Roman" w:hAnsi="Times New Roman" w:cs="Times New Roman"/>
                <w:b/>
                <w:bCs/>
                <w:sz w:val="24"/>
                <w:szCs w:val="24"/>
                <w:u w:val="single"/>
                <w:lang w:eastAsia="en-GB"/>
              </w:rPr>
            </w:pPr>
            <w:r w:rsidRPr="00BC081D">
              <w:rPr>
                <w:rFonts w:ascii="Times New Roman" w:eastAsia="Times New Roman" w:hAnsi="Times New Roman" w:cs="Times New Roman"/>
                <w:b/>
                <w:bCs/>
                <w:sz w:val="20"/>
                <w:szCs w:val="20"/>
                <w:u w:val="single"/>
                <w:lang w:eastAsia="en-GB"/>
              </w:rPr>
              <w:t>Series of Notes</w:t>
            </w:r>
          </w:p>
        </w:tc>
        <w:tc>
          <w:tcPr>
            <w:tcW w:w="2610" w:type="dxa"/>
            <w:vAlign w:val="bottom"/>
            <w:hideMark/>
          </w:tcPr>
          <w:p w:rsidR="00BC081D" w:rsidRPr="00BC081D" w:rsidRDefault="00BC081D" w:rsidP="00BC081D">
            <w:pPr>
              <w:spacing w:after="240" w:line="240" w:lineRule="auto"/>
              <w:jc w:val="center"/>
              <w:rPr>
                <w:rFonts w:ascii="Times New Roman" w:eastAsia="Times New Roman" w:hAnsi="Times New Roman" w:cs="Times New Roman"/>
                <w:b/>
                <w:bCs/>
                <w:sz w:val="24"/>
                <w:szCs w:val="24"/>
                <w:lang w:eastAsia="en-GB"/>
              </w:rPr>
            </w:pPr>
            <w:r w:rsidRPr="00BC081D">
              <w:rPr>
                <w:rFonts w:ascii="Times New Roman" w:eastAsia="Times New Roman" w:hAnsi="Times New Roman" w:cs="Times New Roman"/>
                <w:b/>
                <w:bCs/>
                <w:sz w:val="20"/>
                <w:szCs w:val="20"/>
                <w:lang w:eastAsia="en-GB"/>
              </w:rPr>
              <w:t>Aggregate Principal Amount Purchased pursuant to Tender Offer</w:t>
            </w:r>
            <w:r w:rsidRPr="00BC081D">
              <w:rPr>
                <w:rFonts w:ascii="Times New Roman" w:eastAsia="Times New Roman" w:hAnsi="Times New Roman" w:cs="Times New Roman"/>
                <w:b/>
                <w:bCs/>
                <w:sz w:val="20"/>
                <w:szCs w:val="20"/>
                <w:lang w:eastAsia="en-GB"/>
              </w:rPr>
              <w:br/>
            </w:r>
            <w:r w:rsidRPr="00BC081D">
              <w:rPr>
                <w:rFonts w:ascii="Times New Roman" w:eastAsia="Times New Roman" w:hAnsi="Times New Roman" w:cs="Times New Roman"/>
                <w:b/>
                <w:bCs/>
                <w:sz w:val="20"/>
                <w:szCs w:val="20"/>
                <w:u w:val="single"/>
                <w:lang w:eastAsia="en-GB"/>
              </w:rPr>
              <w:t>and Cancelled</w:t>
            </w:r>
          </w:p>
        </w:tc>
        <w:tc>
          <w:tcPr>
            <w:tcW w:w="2610" w:type="dxa"/>
            <w:vAlign w:val="bottom"/>
            <w:hideMark/>
          </w:tcPr>
          <w:p w:rsidR="00BC081D" w:rsidRPr="00BC081D" w:rsidRDefault="00BC081D" w:rsidP="00BC081D">
            <w:pPr>
              <w:spacing w:after="240" w:line="240" w:lineRule="auto"/>
              <w:jc w:val="center"/>
              <w:rPr>
                <w:rFonts w:ascii="Times New Roman" w:eastAsia="Times New Roman" w:hAnsi="Times New Roman" w:cs="Times New Roman"/>
                <w:b/>
                <w:bCs/>
                <w:sz w:val="24"/>
                <w:szCs w:val="24"/>
                <w:lang w:eastAsia="en-GB"/>
              </w:rPr>
            </w:pPr>
            <w:r w:rsidRPr="00BC081D">
              <w:rPr>
                <w:rFonts w:ascii="Times New Roman" w:eastAsia="Times New Roman" w:hAnsi="Times New Roman" w:cs="Times New Roman"/>
                <w:b/>
                <w:bCs/>
                <w:sz w:val="20"/>
                <w:szCs w:val="20"/>
                <w:lang w:eastAsia="en-GB"/>
              </w:rPr>
              <w:t>Aggregate Principal</w:t>
            </w:r>
            <w:r w:rsidRPr="00BC081D">
              <w:rPr>
                <w:rFonts w:ascii="Times New Roman" w:eastAsia="Times New Roman" w:hAnsi="Times New Roman" w:cs="Times New Roman"/>
                <w:b/>
                <w:bCs/>
                <w:sz w:val="20"/>
                <w:szCs w:val="20"/>
                <w:lang w:eastAsia="en-GB"/>
              </w:rPr>
              <w:br/>
            </w:r>
            <w:r w:rsidRPr="00BC081D">
              <w:rPr>
                <w:rFonts w:ascii="Times New Roman" w:eastAsia="Times New Roman" w:hAnsi="Times New Roman" w:cs="Times New Roman"/>
                <w:b/>
                <w:bCs/>
                <w:sz w:val="20"/>
                <w:szCs w:val="20"/>
                <w:u w:val="single"/>
                <w:lang w:eastAsia="en-GB"/>
              </w:rPr>
              <w:t>Amount Outstanding</w:t>
            </w:r>
          </w:p>
        </w:tc>
      </w:tr>
      <w:tr w:rsidR="00BC081D" w:rsidRPr="00BC081D" w:rsidTr="00BC081D">
        <w:trPr>
          <w:trHeight w:val="431"/>
        </w:trPr>
        <w:tc>
          <w:tcPr>
            <w:tcW w:w="2700" w:type="dxa"/>
            <w:hideMark/>
          </w:tcPr>
          <w:p w:rsidR="00BC081D" w:rsidRPr="00BC081D" w:rsidRDefault="00BC081D" w:rsidP="00BC081D">
            <w:pPr>
              <w:spacing w:after="240" w:line="240" w:lineRule="auto"/>
              <w:jc w:val="center"/>
              <w:rPr>
                <w:rFonts w:ascii="Times New Roman" w:eastAsia="Times New Roman" w:hAnsi="Times New Roman" w:cs="Times New Roman"/>
                <w:sz w:val="24"/>
                <w:szCs w:val="24"/>
                <w:lang w:eastAsia="en-GB"/>
              </w:rPr>
            </w:pPr>
            <w:r w:rsidRPr="00BC081D">
              <w:rPr>
                <w:rFonts w:ascii="Times New Roman" w:eastAsia="Times New Roman" w:hAnsi="Times New Roman" w:cs="Times New Roman"/>
                <w:sz w:val="20"/>
                <w:szCs w:val="20"/>
                <w:lang w:eastAsia="en-GB"/>
              </w:rPr>
              <w:t>6.05% Notes</w:t>
            </w:r>
          </w:p>
        </w:tc>
        <w:tc>
          <w:tcPr>
            <w:tcW w:w="2610" w:type="dxa"/>
            <w:hideMark/>
          </w:tcPr>
          <w:p w:rsidR="00BC081D" w:rsidRPr="00BC081D" w:rsidRDefault="00BC081D" w:rsidP="00BC081D">
            <w:pPr>
              <w:spacing w:after="240" w:line="240" w:lineRule="auto"/>
              <w:jc w:val="center"/>
              <w:rPr>
                <w:rFonts w:ascii="Times New Roman" w:eastAsia="Times New Roman" w:hAnsi="Times New Roman" w:cs="Times New Roman"/>
                <w:sz w:val="24"/>
                <w:szCs w:val="24"/>
                <w:lang w:eastAsia="en-GB"/>
              </w:rPr>
            </w:pPr>
            <w:r w:rsidRPr="00BC081D">
              <w:rPr>
                <w:rFonts w:ascii="Times New Roman" w:eastAsia="Times New Roman" w:hAnsi="Times New Roman" w:cs="Times New Roman"/>
                <w:sz w:val="20"/>
                <w:szCs w:val="20"/>
                <w:lang w:eastAsia="en-GB"/>
              </w:rPr>
              <w:t>$693,643,000</w:t>
            </w:r>
          </w:p>
        </w:tc>
        <w:tc>
          <w:tcPr>
            <w:tcW w:w="2610" w:type="dxa"/>
            <w:hideMark/>
          </w:tcPr>
          <w:p w:rsidR="00BC081D" w:rsidRPr="00BC081D" w:rsidRDefault="00BC081D" w:rsidP="00BC081D">
            <w:pPr>
              <w:spacing w:after="240" w:line="240" w:lineRule="auto"/>
              <w:jc w:val="center"/>
              <w:rPr>
                <w:rFonts w:ascii="Times New Roman" w:eastAsia="Times New Roman" w:hAnsi="Times New Roman" w:cs="Times New Roman"/>
                <w:sz w:val="24"/>
                <w:szCs w:val="24"/>
                <w:lang w:eastAsia="en-GB"/>
              </w:rPr>
            </w:pPr>
            <w:r w:rsidRPr="00BC081D">
              <w:rPr>
                <w:rFonts w:ascii="Times New Roman" w:eastAsia="Times New Roman" w:hAnsi="Times New Roman" w:cs="Times New Roman"/>
                <w:sz w:val="20"/>
                <w:szCs w:val="20"/>
                <w:lang w:eastAsia="en-GB"/>
              </w:rPr>
              <w:t>$1,556,357,000</w:t>
            </w:r>
          </w:p>
        </w:tc>
      </w:tr>
      <w:tr w:rsidR="00BC081D" w:rsidRPr="00BC081D" w:rsidTr="00BC081D">
        <w:trPr>
          <w:trHeight w:val="431"/>
        </w:trPr>
        <w:tc>
          <w:tcPr>
            <w:tcW w:w="2700" w:type="dxa"/>
            <w:hideMark/>
          </w:tcPr>
          <w:p w:rsidR="00BC081D" w:rsidRPr="00BC081D" w:rsidRDefault="00BC081D" w:rsidP="00BC081D">
            <w:pPr>
              <w:spacing w:after="240" w:line="240" w:lineRule="auto"/>
              <w:jc w:val="center"/>
              <w:rPr>
                <w:rFonts w:ascii="Times New Roman" w:eastAsia="Times New Roman" w:hAnsi="Times New Roman" w:cs="Times New Roman"/>
                <w:sz w:val="24"/>
                <w:szCs w:val="24"/>
                <w:lang w:eastAsia="en-GB"/>
              </w:rPr>
            </w:pPr>
            <w:r w:rsidRPr="00BC081D">
              <w:rPr>
                <w:rFonts w:ascii="Times New Roman" w:eastAsia="Times New Roman" w:hAnsi="Times New Roman" w:cs="Times New Roman"/>
                <w:sz w:val="20"/>
                <w:szCs w:val="20"/>
                <w:lang w:eastAsia="en-GB"/>
              </w:rPr>
              <w:t>5.140% Notes</w:t>
            </w:r>
          </w:p>
        </w:tc>
        <w:tc>
          <w:tcPr>
            <w:tcW w:w="2610" w:type="dxa"/>
            <w:hideMark/>
          </w:tcPr>
          <w:p w:rsidR="00BC081D" w:rsidRPr="00BC081D" w:rsidRDefault="00BC081D" w:rsidP="00BC081D">
            <w:pPr>
              <w:spacing w:after="240" w:line="240" w:lineRule="auto"/>
              <w:jc w:val="center"/>
              <w:rPr>
                <w:rFonts w:ascii="Times New Roman" w:eastAsia="Times New Roman" w:hAnsi="Times New Roman" w:cs="Times New Roman"/>
                <w:sz w:val="24"/>
                <w:szCs w:val="24"/>
                <w:lang w:eastAsia="en-GB"/>
              </w:rPr>
            </w:pPr>
            <w:r w:rsidRPr="00BC081D">
              <w:rPr>
                <w:rFonts w:ascii="Times New Roman" w:eastAsia="Times New Roman" w:hAnsi="Times New Roman" w:cs="Times New Roman"/>
                <w:sz w:val="20"/>
                <w:szCs w:val="20"/>
                <w:lang w:eastAsia="en-GB"/>
              </w:rPr>
              <w:t>$156,315,000</w:t>
            </w:r>
          </w:p>
        </w:tc>
        <w:tc>
          <w:tcPr>
            <w:tcW w:w="2610" w:type="dxa"/>
            <w:hideMark/>
          </w:tcPr>
          <w:p w:rsidR="00BC081D" w:rsidRPr="00BC081D" w:rsidRDefault="00BC081D" w:rsidP="00BC081D">
            <w:pPr>
              <w:spacing w:after="240" w:line="240" w:lineRule="auto"/>
              <w:jc w:val="center"/>
              <w:rPr>
                <w:rFonts w:ascii="Times New Roman" w:eastAsia="Times New Roman" w:hAnsi="Times New Roman" w:cs="Times New Roman"/>
                <w:sz w:val="24"/>
                <w:szCs w:val="24"/>
                <w:lang w:eastAsia="en-GB"/>
              </w:rPr>
            </w:pPr>
            <w:r w:rsidRPr="00BC081D">
              <w:rPr>
                <w:rFonts w:ascii="Times New Roman" w:eastAsia="Times New Roman" w:hAnsi="Times New Roman" w:cs="Times New Roman"/>
                <w:sz w:val="20"/>
                <w:szCs w:val="20"/>
                <w:lang w:eastAsia="en-GB"/>
              </w:rPr>
              <w:t>$1,093,685,000</w:t>
            </w:r>
          </w:p>
        </w:tc>
      </w:tr>
    </w:tbl>
    <w:p w:rsidR="00BC081D" w:rsidRPr="00BC081D" w:rsidRDefault="00BC081D" w:rsidP="00BC081D">
      <w:pPr>
        <w:spacing w:after="240" w:line="240" w:lineRule="auto"/>
        <w:jc w:val="both"/>
        <w:rPr>
          <w:rFonts w:ascii="Times New Roman" w:eastAsia="Times New Roman" w:hAnsi="Times New Roman" w:cs="Times New Roman"/>
          <w:sz w:val="24"/>
          <w:szCs w:val="24"/>
          <w:lang w:eastAsia="en-GB"/>
        </w:rPr>
      </w:pPr>
      <w:r w:rsidRPr="00BC081D">
        <w:rPr>
          <w:rFonts w:ascii="Times New Roman" w:eastAsia="Times New Roman" w:hAnsi="Times New Roman" w:cs="Times New Roman"/>
          <w:sz w:val="20"/>
          <w:szCs w:val="20"/>
          <w:lang w:eastAsia="en-GB"/>
        </w:rPr>
        <w:t> </w:t>
      </w:r>
    </w:p>
    <w:p w:rsidR="00BC081D" w:rsidRPr="00BC081D" w:rsidRDefault="00BC081D" w:rsidP="00BC081D">
      <w:pPr>
        <w:keepNext/>
        <w:spacing w:before="240" w:after="240" w:line="240" w:lineRule="auto"/>
        <w:jc w:val="both"/>
        <w:rPr>
          <w:rFonts w:ascii="Times New Roman" w:eastAsia="Times New Roman" w:hAnsi="Times New Roman" w:cs="Times New Roman"/>
          <w:b/>
          <w:bCs/>
          <w:sz w:val="24"/>
          <w:szCs w:val="24"/>
          <w:lang w:eastAsia="en-GB"/>
        </w:rPr>
      </w:pPr>
      <w:r w:rsidRPr="00BC081D">
        <w:rPr>
          <w:rFonts w:ascii="Times New Roman" w:eastAsia="Times New Roman" w:hAnsi="Times New Roman" w:cs="Times New Roman"/>
          <w:b/>
          <w:bCs/>
          <w:sz w:val="20"/>
          <w:szCs w:val="20"/>
          <w:lang w:eastAsia="en-GB"/>
        </w:rPr>
        <w:t>For Further Information</w:t>
      </w:r>
    </w:p>
    <w:p w:rsidR="00BC081D" w:rsidRPr="00BC081D" w:rsidRDefault="00BC081D" w:rsidP="00BC081D">
      <w:pPr>
        <w:keepNext/>
        <w:spacing w:after="240" w:line="240" w:lineRule="auto"/>
        <w:jc w:val="both"/>
        <w:rPr>
          <w:rFonts w:ascii="Times New Roman" w:eastAsia="Times New Roman" w:hAnsi="Times New Roman" w:cs="Times New Roman"/>
          <w:sz w:val="24"/>
          <w:szCs w:val="24"/>
          <w:lang w:eastAsia="en-GB"/>
        </w:rPr>
      </w:pPr>
      <w:r w:rsidRPr="00BC081D">
        <w:rPr>
          <w:rFonts w:ascii="Times New Roman" w:eastAsia="Times New Roman" w:hAnsi="Times New Roman" w:cs="Times New Roman"/>
          <w:sz w:val="20"/>
          <w:szCs w:val="20"/>
          <w:lang w:eastAsia="en-GB"/>
        </w:rPr>
        <w:t>Further details about the transaction can be obtained from:</w:t>
      </w:r>
    </w:p>
    <w:p w:rsidR="00BC081D" w:rsidRPr="00BC081D" w:rsidRDefault="00BC081D" w:rsidP="00BC081D">
      <w:pPr>
        <w:keepNext/>
        <w:spacing w:line="240" w:lineRule="auto"/>
        <w:jc w:val="both"/>
        <w:rPr>
          <w:rFonts w:ascii="Times New Roman" w:eastAsia="Times New Roman" w:hAnsi="Times New Roman" w:cs="Times New Roman"/>
          <w:b/>
          <w:bCs/>
          <w:sz w:val="24"/>
          <w:szCs w:val="24"/>
          <w:lang w:eastAsia="en-GB"/>
        </w:rPr>
      </w:pPr>
      <w:r w:rsidRPr="00BC081D">
        <w:rPr>
          <w:rFonts w:ascii="Times New Roman" w:eastAsia="Times New Roman" w:hAnsi="Times New Roman" w:cs="Times New Roman"/>
          <w:b/>
          <w:bCs/>
          <w:sz w:val="20"/>
          <w:szCs w:val="20"/>
          <w:lang w:eastAsia="en-GB"/>
        </w:rPr>
        <w:t>The Dealer Manager</w:t>
      </w:r>
    </w:p>
    <w:p w:rsidR="00BC081D" w:rsidRPr="00BC081D" w:rsidRDefault="00BC081D" w:rsidP="00BC081D">
      <w:pPr>
        <w:spacing w:line="240" w:lineRule="auto"/>
        <w:rPr>
          <w:rFonts w:ascii="Times New Roman" w:eastAsia="Times New Roman" w:hAnsi="Times New Roman" w:cs="Times New Roman"/>
          <w:sz w:val="24"/>
          <w:szCs w:val="24"/>
          <w:lang w:eastAsia="en-GB"/>
        </w:rPr>
      </w:pPr>
      <w:r w:rsidRPr="00BC081D">
        <w:rPr>
          <w:rFonts w:ascii="Times New Roman" w:eastAsia="Times New Roman" w:hAnsi="Times New Roman" w:cs="Times New Roman"/>
          <w:b/>
          <w:bCs/>
          <w:sz w:val="20"/>
          <w:szCs w:val="20"/>
          <w:lang w:eastAsia="en-GB"/>
        </w:rPr>
        <w:t>Barclays Capital Inc.</w:t>
      </w:r>
      <w:r w:rsidRPr="00BC081D">
        <w:rPr>
          <w:rFonts w:ascii="Times New Roman" w:eastAsia="Times New Roman" w:hAnsi="Times New Roman" w:cs="Times New Roman"/>
          <w:b/>
          <w:bCs/>
          <w:sz w:val="20"/>
          <w:szCs w:val="20"/>
          <w:lang w:eastAsia="en-GB"/>
        </w:rPr>
        <w:br/>
      </w:r>
      <w:r w:rsidRPr="00BC081D">
        <w:rPr>
          <w:rFonts w:ascii="Times New Roman" w:eastAsia="Times New Roman" w:hAnsi="Times New Roman" w:cs="Times New Roman"/>
          <w:sz w:val="20"/>
          <w:szCs w:val="20"/>
          <w:lang w:eastAsia="en-GB"/>
        </w:rPr>
        <w:t>745 Seventh Avenue</w:t>
      </w:r>
      <w:r w:rsidRPr="00BC081D">
        <w:rPr>
          <w:rFonts w:ascii="Times New Roman" w:eastAsia="Times New Roman" w:hAnsi="Times New Roman" w:cs="Times New Roman"/>
          <w:sz w:val="20"/>
          <w:szCs w:val="20"/>
          <w:lang w:eastAsia="en-GB"/>
        </w:rPr>
        <w:br/>
        <w:t>New York, New York 10019</w:t>
      </w:r>
      <w:r w:rsidRPr="00BC081D">
        <w:rPr>
          <w:rFonts w:ascii="Times New Roman" w:eastAsia="Times New Roman" w:hAnsi="Times New Roman" w:cs="Times New Roman"/>
          <w:sz w:val="20"/>
          <w:szCs w:val="20"/>
          <w:lang w:eastAsia="en-GB"/>
        </w:rPr>
        <w:br/>
        <w:t>United States</w:t>
      </w:r>
      <w:r w:rsidRPr="00BC081D">
        <w:rPr>
          <w:rFonts w:ascii="Times New Roman" w:eastAsia="Times New Roman" w:hAnsi="Times New Roman" w:cs="Times New Roman"/>
          <w:sz w:val="20"/>
          <w:szCs w:val="20"/>
          <w:lang w:eastAsia="en-GB"/>
        </w:rPr>
        <w:br/>
        <w:t>Telephone: +1 (212) 528-7581</w:t>
      </w:r>
      <w:r w:rsidRPr="00BC081D">
        <w:rPr>
          <w:rFonts w:ascii="Times New Roman" w:eastAsia="Times New Roman" w:hAnsi="Times New Roman" w:cs="Times New Roman"/>
          <w:sz w:val="20"/>
          <w:szCs w:val="20"/>
          <w:lang w:eastAsia="en-GB"/>
        </w:rPr>
        <w:br/>
        <w:t>US Toll Free Number: +1 (800) 438-3242</w:t>
      </w:r>
      <w:r w:rsidRPr="00BC081D">
        <w:rPr>
          <w:rFonts w:ascii="Times New Roman" w:eastAsia="Times New Roman" w:hAnsi="Times New Roman" w:cs="Times New Roman"/>
          <w:sz w:val="20"/>
          <w:szCs w:val="20"/>
          <w:lang w:eastAsia="en-GB"/>
        </w:rPr>
        <w:br/>
        <w:t>Attention: Liability Management Group</w:t>
      </w:r>
      <w:r w:rsidRPr="00BC081D">
        <w:rPr>
          <w:rFonts w:ascii="Times New Roman" w:eastAsia="Times New Roman" w:hAnsi="Times New Roman" w:cs="Times New Roman"/>
          <w:sz w:val="20"/>
          <w:szCs w:val="20"/>
          <w:lang w:eastAsia="en-GB"/>
        </w:rPr>
        <w:br/>
        <w:t xml:space="preserve">Email: </w:t>
      </w:r>
      <w:hyperlink r:id="rId5" w:history="1">
        <w:r w:rsidRPr="00BC081D">
          <w:rPr>
            <w:rFonts w:ascii="Times New Roman" w:eastAsia="Times New Roman" w:hAnsi="Times New Roman" w:cs="Times New Roman"/>
            <w:color w:val="0000FF"/>
            <w:sz w:val="20"/>
            <w:szCs w:val="20"/>
            <w:u w:val="single"/>
            <w:lang w:eastAsia="en-GB"/>
          </w:rPr>
          <w:t>liability.management@barclays.com</w:t>
        </w:r>
      </w:hyperlink>
    </w:p>
    <w:p w:rsidR="00BC081D" w:rsidRPr="00BC081D" w:rsidRDefault="00BC081D" w:rsidP="00BC081D">
      <w:pPr>
        <w:keepNext/>
        <w:spacing w:after="240" w:line="240" w:lineRule="auto"/>
        <w:jc w:val="both"/>
        <w:rPr>
          <w:rFonts w:ascii="Times New Roman" w:eastAsia="Times New Roman" w:hAnsi="Times New Roman" w:cs="Times New Roman"/>
          <w:b/>
          <w:bCs/>
          <w:sz w:val="24"/>
          <w:szCs w:val="24"/>
          <w:lang w:eastAsia="en-GB"/>
        </w:rPr>
      </w:pPr>
      <w:r w:rsidRPr="00BC081D">
        <w:rPr>
          <w:rFonts w:ascii="Times New Roman" w:eastAsia="Times New Roman" w:hAnsi="Times New Roman" w:cs="Times New Roman"/>
          <w:b/>
          <w:bCs/>
          <w:sz w:val="20"/>
          <w:szCs w:val="20"/>
          <w:lang w:eastAsia="en-GB"/>
        </w:rPr>
        <w:t>The Tender Agent</w:t>
      </w:r>
    </w:p>
    <w:p w:rsidR="00BC081D" w:rsidRPr="00BC081D" w:rsidRDefault="00BC081D" w:rsidP="00BC081D">
      <w:pPr>
        <w:spacing w:after="240" w:line="240" w:lineRule="auto"/>
        <w:rPr>
          <w:rFonts w:ascii="Times New Roman" w:eastAsia="Times New Roman" w:hAnsi="Times New Roman" w:cs="Times New Roman"/>
          <w:sz w:val="24"/>
          <w:szCs w:val="24"/>
          <w:lang w:eastAsia="en-GB"/>
        </w:rPr>
      </w:pPr>
      <w:r w:rsidRPr="00BC081D">
        <w:rPr>
          <w:rFonts w:ascii="Times New Roman" w:eastAsia="Times New Roman" w:hAnsi="Times New Roman" w:cs="Times New Roman"/>
          <w:b/>
          <w:bCs/>
          <w:sz w:val="20"/>
          <w:szCs w:val="20"/>
          <w:lang w:eastAsia="en-GB"/>
        </w:rPr>
        <w:t>Global Bondholder Services Corporation</w:t>
      </w:r>
      <w:r w:rsidRPr="00BC081D">
        <w:rPr>
          <w:rFonts w:ascii="Times New Roman" w:eastAsia="Times New Roman" w:hAnsi="Times New Roman" w:cs="Times New Roman"/>
          <w:b/>
          <w:bCs/>
          <w:sz w:val="20"/>
          <w:szCs w:val="20"/>
          <w:lang w:eastAsia="en-GB"/>
        </w:rPr>
        <w:br/>
      </w:r>
      <w:r w:rsidRPr="00BC081D">
        <w:rPr>
          <w:rFonts w:ascii="Times New Roman" w:eastAsia="Times New Roman" w:hAnsi="Times New Roman" w:cs="Times New Roman"/>
          <w:sz w:val="20"/>
          <w:szCs w:val="20"/>
          <w:lang w:eastAsia="en-GB"/>
        </w:rPr>
        <w:t>65 Broadway - Suite 404</w:t>
      </w:r>
      <w:r w:rsidRPr="00BC081D">
        <w:rPr>
          <w:rFonts w:ascii="Times New Roman" w:eastAsia="Times New Roman" w:hAnsi="Times New Roman" w:cs="Times New Roman"/>
          <w:sz w:val="20"/>
          <w:szCs w:val="20"/>
          <w:lang w:eastAsia="en-GB"/>
        </w:rPr>
        <w:br/>
        <w:t>New York, New York 10006</w:t>
      </w:r>
      <w:r w:rsidRPr="00BC081D">
        <w:rPr>
          <w:rFonts w:ascii="Times New Roman" w:eastAsia="Times New Roman" w:hAnsi="Times New Roman" w:cs="Times New Roman"/>
          <w:sz w:val="20"/>
          <w:szCs w:val="20"/>
          <w:lang w:eastAsia="en-GB"/>
        </w:rPr>
        <w:br/>
        <w:t>United States</w:t>
      </w:r>
      <w:r w:rsidRPr="00BC081D">
        <w:rPr>
          <w:rFonts w:ascii="Times New Roman" w:eastAsia="Times New Roman" w:hAnsi="Times New Roman" w:cs="Times New Roman"/>
          <w:sz w:val="20"/>
          <w:szCs w:val="20"/>
          <w:lang w:eastAsia="en-GB"/>
        </w:rPr>
        <w:br/>
        <w:t>Banks and Brokers Call: +1 (212) 430-3774</w:t>
      </w:r>
      <w:r w:rsidRPr="00BC081D">
        <w:rPr>
          <w:rFonts w:ascii="Times New Roman" w:eastAsia="Times New Roman" w:hAnsi="Times New Roman" w:cs="Times New Roman"/>
          <w:sz w:val="20"/>
          <w:szCs w:val="20"/>
          <w:lang w:eastAsia="en-GB"/>
        </w:rPr>
        <w:br/>
        <w:t>Toll Free Number: +1 (866) 470-4200</w:t>
      </w:r>
      <w:r w:rsidRPr="00BC081D">
        <w:rPr>
          <w:rFonts w:ascii="Times New Roman" w:eastAsia="Times New Roman" w:hAnsi="Times New Roman" w:cs="Times New Roman"/>
          <w:sz w:val="20"/>
          <w:szCs w:val="20"/>
          <w:lang w:eastAsia="en-GB"/>
        </w:rPr>
        <w:br/>
        <w:t>Facsimile: +1 (212) 430-3775/3779</w:t>
      </w:r>
      <w:r w:rsidRPr="00BC081D">
        <w:rPr>
          <w:rFonts w:ascii="Times New Roman" w:eastAsia="Times New Roman" w:hAnsi="Times New Roman" w:cs="Times New Roman"/>
          <w:sz w:val="20"/>
          <w:szCs w:val="20"/>
          <w:lang w:eastAsia="en-GB"/>
        </w:rPr>
        <w:br/>
      </w:r>
      <w:r w:rsidRPr="00BC081D">
        <w:rPr>
          <w:rFonts w:ascii="Times New Roman" w:eastAsia="Times New Roman" w:hAnsi="Times New Roman" w:cs="Times New Roman"/>
          <w:sz w:val="20"/>
          <w:szCs w:val="20"/>
          <w:lang w:eastAsia="en-GB"/>
        </w:rPr>
        <w:lastRenderedPageBreak/>
        <w:t>Attention: Corporate Actions</w:t>
      </w:r>
      <w:r w:rsidRPr="00BC081D">
        <w:rPr>
          <w:rFonts w:ascii="Times New Roman" w:eastAsia="Times New Roman" w:hAnsi="Times New Roman" w:cs="Times New Roman"/>
          <w:sz w:val="20"/>
          <w:szCs w:val="20"/>
          <w:lang w:eastAsia="en-GB"/>
        </w:rPr>
        <w:br/>
        <w:t xml:space="preserve">Email: </w:t>
      </w:r>
      <w:hyperlink r:id="rId6" w:history="1">
        <w:r w:rsidRPr="00BC081D">
          <w:rPr>
            <w:rFonts w:ascii="Times New Roman" w:eastAsia="Times New Roman" w:hAnsi="Times New Roman" w:cs="Times New Roman"/>
            <w:color w:val="0000FF"/>
            <w:sz w:val="20"/>
            <w:szCs w:val="20"/>
            <w:u w:val="single"/>
            <w:lang w:eastAsia="en-GB"/>
          </w:rPr>
          <w:t>Info@gbsc-usa.com</w:t>
        </w:r>
      </w:hyperlink>
    </w:p>
    <w:p w:rsidR="00BC081D" w:rsidRPr="00BC081D" w:rsidRDefault="00BC081D" w:rsidP="00BC081D">
      <w:pPr>
        <w:spacing w:after="240" w:line="240" w:lineRule="auto"/>
        <w:jc w:val="both"/>
        <w:rPr>
          <w:rFonts w:ascii="Times New Roman" w:eastAsia="Times New Roman" w:hAnsi="Times New Roman" w:cs="Times New Roman"/>
          <w:b/>
          <w:bCs/>
          <w:sz w:val="24"/>
          <w:szCs w:val="24"/>
          <w:lang w:eastAsia="en-GB"/>
        </w:rPr>
      </w:pPr>
      <w:r w:rsidRPr="00BC081D">
        <w:rPr>
          <w:rFonts w:ascii="Times New Roman" w:eastAsia="Times New Roman" w:hAnsi="Times New Roman" w:cs="Times New Roman"/>
          <w:b/>
          <w:bCs/>
          <w:sz w:val="20"/>
          <w:szCs w:val="20"/>
          <w:lang w:eastAsia="en-GB"/>
        </w:rPr>
        <w:t>Analyst and Investor Information</w:t>
      </w:r>
    </w:p>
    <w:p w:rsidR="00BC081D" w:rsidRPr="00BC081D" w:rsidRDefault="00BC081D" w:rsidP="00BC081D">
      <w:pPr>
        <w:spacing w:after="240" w:line="240" w:lineRule="auto"/>
        <w:jc w:val="both"/>
        <w:rPr>
          <w:rFonts w:ascii="Times New Roman" w:eastAsia="Times New Roman" w:hAnsi="Times New Roman" w:cs="Times New Roman"/>
          <w:sz w:val="24"/>
          <w:szCs w:val="24"/>
          <w:lang w:eastAsia="en-GB"/>
        </w:rPr>
      </w:pPr>
      <w:r w:rsidRPr="00BC081D">
        <w:rPr>
          <w:rFonts w:ascii="Times New Roman" w:eastAsia="Times New Roman" w:hAnsi="Times New Roman" w:cs="Times New Roman"/>
          <w:sz w:val="20"/>
          <w:szCs w:val="20"/>
          <w:lang w:eastAsia="en-GB"/>
        </w:rPr>
        <w:t>Further information for analysts and investors can be obtained from the following contacts at Barclays:</w:t>
      </w:r>
    </w:p>
    <w:p w:rsidR="00BC081D" w:rsidRPr="00BC081D" w:rsidRDefault="00BC081D" w:rsidP="00BC081D">
      <w:pPr>
        <w:spacing w:after="0" w:line="240" w:lineRule="auto"/>
        <w:jc w:val="both"/>
        <w:rPr>
          <w:rFonts w:ascii="Times New Roman" w:eastAsia="Times New Roman" w:hAnsi="Times New Roman" w:cs="Times New Roman"/>
          <w:b/>
          <w:bCs/>
          <w:sz w:val="24"/>
          <w:szCs w:val="24"/>
          <w:lang w:eastAsia="en-GB"/>
        </w:rPr>
      </w:pPr>
      <w:r w:rsidRPr="00BC081D">
        <w:rPr>
          <w:rFonts w:ascii="Times New Roman" w:eastAsia="Times New Roman" w:hAnsi="Times New Roman" w:cs="Times New Roman"/>
          <w:b/>
          <w:bCs/>
          <w:sz w:val="20"/>
          <w:szCs w:val="20"/>
          <w:lang w:eastAsia="en-GB"/>
        </w:rPr>
        <w:t xml:space="preserve">Investor Relations </w:t>
      </w:r>
    </w:p>
    <w:p w:rsidR="00BC081D" w:rsidRPr="00BC081D" w:rsidRDefault="00BC081D" w:rsidP="00BC081D">
      <w:pPr>
        <w:spacing w:after="0" w:line="240" w:lineRule="auto"/>
        <w:jc w:val="both"/>
        <w:rPr>
          <w:rFonts w:ascii="Times New Roman" w:eastAsia="Times New Roman" w:hAnsi="Times New Roman" w:cs="Times New Roman"/>
          <w:sz w:val="24"/>
          <w:szCs w:val="24"/>
          <w:lang w:eastAsia="en-GB"/>
        </w:rPr>
      </w:pPr>
      <w:r w:rsidRPr="00BC081D">
        <w:rPr>
          <w:rFonts w:ascii="Times New Roman" w:eastAsia="Times New Roman" w:hAnsi="Times New Roman" w:cs="Times New Roman"/>
          <w:sz w:val="20"/>
          <w:szCs w:val="20"/>
          <w:lang w:eastAsia="en-GB"/>
        </w:rPr>
        <w:t xml:space="preserve">Charlie </w:t>
      </w:r>
      <w:proofErr w:type="spellStart"/>
      <w:r w:rsidRPr="00BC081D">
        <w:rPr>
          <w:rFonts w:ascii="Times New Roman" w:eastAsia="Times New Roman" w:hAnsi="Times New Roman" w:cs="Times New Roman"/>
          <w:sz w:val="20"/>
          <w:szCs w:val="20"/>
          <w:lang w:eastAsia="en-GB"/>
        </w:rPr>
        <w:t>Rozes</w:t>
      </w:r>
      <w:proofErr w:type="spellEnd"/>
    </w:p>
    <w:p w:rsidR="00BC081D" w:rsidRPr="00BC081D" w:rsidRDefault="00BC081D" w:rsidP="00BC081D">
      <w:pPr>
        <w:spacing w:line="240" w:lineRule="auto"/>
        <w:jc w:val="both"/>
        <w:rPr>
          <w:rFonts w:ascii="Times New Roman" w:eastAsia="Times New Roman" w:hAnsi="Times New Roman" w:cs="Times New Roman"/>
          <w:sz w:val="24"/>
          <w:szCs w:val="24"/>
          <w:lang w:eastAsia="en-GB"/>
        </w:rPr>
      </w:pPr>
      <w:r w:rsidRPr="00BC081D">
        <w:rPr>
          <w:rFonts w:ascii="Times New Roman" w:eastAsia="Times New Roman" w:hAnsi="Times New Roman" w:cs="Times New Roman"/>
          <w:sz w:val="20"/>
          <w:szCs w:val="20"/>
          <w:lang w:eastAsia="en-GB"/>
        </w:rPr>
        <w:t>Tel: +44 (0) 20 7116 5752</w:t>
      </w:r>
    </w:p>
    <w:p w:rsidR="00BC081D" w:rsidRPr="00BC081D" w:rsidRDefault="00BC081D" w:rsidP="00BC081D">
      <w:pPr>
        <w:spacing w:after="0" w:line="240" w:lineRule="auto"/>
        <w:jc w:val="both"/>
        <w:rPr>
          <w:rFonts w:ascii="Times New Roman" w:eastAsia="Times New Roman" w:hAnsi="Times New Roman" w:cs="Times New Roman"/>
          <w:b/>
          <w:bCs/>
          <w:sz w:val="24"/>
          <w:szCs w:val="24"/>
          <w:lang w:eastAsia="en-GB"/>
        </w:rPr>
      </w:pPr>
      <w:r w:rsidRPr="00BC081D">
        <w:rPr>
          <w:rFonts w:ascii="Times New Roman" w:eastAsia="Times New Roman" w:hAnsi="Times New Roman" w:cs="Times New Roman"/>
          <w:b/>
          <w:bCs/>
          <w:sz w:val="20"/>
          <w:szCs w:val="20"/>
          <w:lang w:eastAsia="en-GB"/>
        </w:rPr>
        <w:t>Barclays Treasury</w:t>
      </w:r>
    </w:p>
    <w:p w:rsidR="00BC081D" w:rsidRPr="00BC081D" w:rsidRDefault="00BC081D" w:rsidP="00BC081D">
      <w:pPr>
        <w:spacing w:after="0" w:line="240" w:lineRule="auto"/>
        <w:jc w:val="both"/>
        <w:rPr>
          <w:rFonts w:ascii="Times New Roman" w:eastAsia="Times New Roman" w:hAnsi="Times New Roman" w:cs="Times New Roman"/>
          <w:sz w:val="24"/>
          <w:szCs w:val="24"/>
          <w:lang w:eastAsia="en-GB"/>
        </w:rPr>
      </w:pPr>
      <w:r w:rsidRPr="00BC081D">
        <w:rPr>
          <w:rFonts w:ascii="Times New Roman" w:eastAsia="Times New Roman" w:hAnsi="Times New Roman" w:cs="Times New Roman"/>
          <w:sz w:val="20"/>
          <w:szCs w:val="20"/>
          <w:lang w:eastAsia="en-GB"/>
        </w:rPr>
        <w:t xml:space="preserve">Steven </w:t>
      </w:r>
      <w:proofErr w:type="spellStart"/>
      <w:r w:rsidRPr="00BC081D">
        <w:rPr>
          <w:rFonts w:ascii="Times New Roman" w:eastAsia="Times New Roman" w:hAnsi="Times New Roman" w:cs="Times New Roman"/>
          <w:sz w:val="20"/>
          <w:szCs w:val="20"/>
          <w:lang w:eastAsia="en-GB"/>
        </w:rPr>
        <w:t>Penketh</w:t>
      </w:r>
      <w:proofErr w:type="spellEnd"/>
    </w:p>
    <w:p w:rsidR="00BC081D" w:rsidRPr="00BC081D" w:rsidRDefault="00BC081D" w:rsidP="00BC081D">
      <w:pPr>
        <w:spacing w:line="240" w:lineRule="auto"/>
        <w:jc w:val="both"/>
        <w:rPr>
          <w:rFonts w:ascii="Times New Roman" w:eastAsia="Times New Roman" w:hAnsi="Times New Roman" w:cs="Times New Roman"/>
          <w:sz w:val="24"/>
          <w:szCs w:val="24"/>
          <w:lang w:eastAsia="en-GB"/>
        </w:rPr>
      </w:pPr>
      <w:r w:rsidRPr="00BC081D">
        <w:rPr>
          <w:rFonts w:ascii="Times New Roman" w:eastAsia="Times New Roman" w:hAnsi="Times New Roman" w:cs="Times New Roman"/>
          <w:sz w:val="20"/>
          <w:szCs w:val="20"/>
          <w:lang w:eastAsia="en-GB"/>
        </w:rPr>
        <w:t>Tel: +44 (0) 20 7773 0125</w:t>
      </w:r>
    </w:p>
    <w:p w:rsidR="00BC081D" w:rsidRPr="00BC081D" w:rsidRDefault="00BC081D" w:rsidP="00BC081D">
      <w:pPr>
        <w:spacing w:after="0" w:line="240" w:lineRule="auto"/>
        <w:jc w:val="both"/>
        <w:rPr>
          <w:rFonts w:ascii="Times New Roman" w:eastAsia="Times New Roman" w:hAnsi="Times New Roman" w:cs="Times New Roman"/>
          <w:b/>
          <w:bCs/>
          <w:sz w:val="24"/>
          <w:szCs w:val="24"/>
          <w:lang w:eastAsia="en-GB"/>
        </w:rPr>
      </w:pPr>
      <w:r w:rsidRPr="00BC081D">
        <w:rPr>
          <w:rFonts w:ascii="Times New Roman" w:eastAsia="Times New Roman" w:hAnsi="Times New Roman" w:cs="Times New Roman"/>
          <w:b/>
          <w:bCs/>
          <w:sz w:val="20"/>
          <w:szCs w:val="20"/>
          <w:lang w:eastAsia="en-GB"/>
        </w:rPr>
        <w:t>Media Relations</w:t>
      </w:r>
    </w:p>
    <w:p w:rsidR="00BC081D" w:rsidRPr="00BC081D" w:rsidRDefault="00BC081D" w:rsidP="00BC081D">
      <w:pPr>
        <w:spacing w:after="0" w:line="240" w:lineRule="auto"/>
        <w:jc w:val="both"/>
        <w:rPr>
          <w:rFonts w:ascii="Times New Roman" w:eastAsia="Times New Roman" w:hAnsi="Times New Roman" w:cs="Times New Roman"/>
          <w:sz w:val="24"/>
          <w:szCs w:val="24"/>
          <w:lang w:eastAsia="en-GB"/>
        </w:rPr>
      </w:pPr>
      <w:r w:rsidRPr="00BC081D">
        <w:rPr>
          <w:rFonts w:ascii="Times New Roman" w:eastAsia="Times New Roman" w:hAnsi="Times New Roman" w:cs="Times New Roman"/>
          <w:sz w:val="20"/>
          <w:szCs w:val="20"/>
          <w:lang w:eastAsia="en-GB"/>
        </w:rPr>
        <w:t xml:space="preserve">Giles </w:t>
      </w:r>
      <w:proofErr w:type="spellStart"/>
      <w:r w:rsidRPr="00BC081D">
        <w:rPr>
          <w:rFonts w:ascii="Times New Roman" w:eastAsia="Times New Roman" w:hAnsi="Times New Roman" w:cs="Times New Roman"/>
          <w:sz w:val="20"/>
          <w:szCs w:val="20"/>
          <w:lang w:eastAsia="en-GB"/>
        </w:rPr>
        <w:t>Croot</w:t>
      </w:r>
      <w:proofErr w:type="spellEnd"/>
    </w:p>
    <w:p w:rsidR="00BC081D" w:rsidRPr="00BC081D" w:rsidRDefault="00BC081D" w:rsidP="00BC081D">
      <w:pPr>
        <w:spacing w:line="240" w:lineRule="auto"/>
        <w:jc w:val="both"/>
        <w:rPr>
          <w:rFonts w:ascii="Times New Roman" w:eastAsia="Times New Roman" w:hAnsi="Times New Roman" w:cs="Times New Roman"/>
          <w:sz w:val="24"/>
          <w:szCs w:val="24"/>
          <w:lang w:eastAsia="en-GB"/>
        </w:rPr>
      </w:pPr>
      <w:r w:rsidRPr="00BC081D">
        <w:rPr>
          <w:rFonts w:ascii="Times New Roman" w:eastAsia="Times New Roman" w:hAnsi="Times New Roman" w:cs="Times New Roman"/>
          <w:sz w:val="20"/>
          <w:szCs w:val="20"/>
          <w:lang w:eastAsia="en-GB"/>
        </w:rPr>
        <w:t>Tel: +44 (0) 20 7116 6132</w:t>
      </w:r>
    </w:p>
    <w:p w:rsidR="00BC081D" w:rsidRPr="00BC081D" w:rsidRDefault="00BC081D" w:rsidP="00BC081D">
      <w:pPr>
        <w:keepNext/>
        <w:spacing w:after="240" w:line="240" w:lineRule="auto"/>
        <w:jc w:val="both"/>
        <w:rPr>
          <w:rFonts w:ascii="Times New Roman" w:eastAsia="Times New Roman" w:hAnsi="Times New Roman" w:cs="Times New Roman"/>
          <w:b/>
          <w:bCs/>
          <w:sz w:val="24"/>
          <w:szCs w:val="24"/>
          <w:lang w:eastAsia="en-GB"/>
        </w:rPr>
      </w:pPr>
      <w:r w:rsidRPr="00BC081D">
        <w:rPr>
          <w:rFonts w:ascii="Times New Roman" w:eastAsia="Times New Roman" w:hAnsi="Times New Roman" w:cs="Times New Roman"/>
          <w:b/>
          <w:bCs/>
          <w:sz w:val="20"/>
          <w:szCs w:val="20"/>
          <w:lang w:eastAsia="en-GB"/>
        </w:rPr>
        <w:t>DISCLAIMER</w:t>
      </w:r>
    </w:p>
    <w:p w:rsidR="00BC081D" w:rsidRPr="00BC081D" w:rsidRDefault="00BC081D" w:rsidP="00BC081D">
      <w:pPr>
        <w:spacing w:line="240" w:lineRule="auto"/>
        <w:jc w:val="both"/>
        <w:rPr>
          <w:rFonts w:ascii="Times New Roman" w:eastAsia="Times New Roman" w:hAnsi="Times New Roman" w:cs="Times New Roman"/>
          <w:sz w:val="24"/>
          <w:szCs w:val="24"/>
          <w:lang w:eastAsia="en-GB"/>
        </w:rPr>
      </w:pPr>
      <w:r w:rsidRPr="00BC081D">
        <w:rPr>
          <w:rFonts w:ascii="Times New Roman" w:eastAsia="Times New Roman" w:hAnsi="Times New Roman" w:cs="Times New Roman"/>
          <w:sz w:val="20"/>
          <w:szCs w:val="20"/>
          <w:lang w:eastAsia="en-GB"/>
        </w:rPr>
        <w:t>This announcement must be read in conjunction with the Offer to Purchase.  No offer or invitation to acquire or exchange any securities is being made pursuant to this announcement. If any holder is in any doubt as to the action it should take, it is recommended to seek its own legal, tax and financial advice, including as to any tax consequences, from its stockbroker, bank manager, lawyer, accountant or other independent financial adviser. The distribution of this announcement and the Offer to Purchase in certain jurisdictions may be restricted by law.  Persons into whose possession this announcement and/or the Offer to Purchase comes are required by each of the Issuer, the Dealer Manager and the Tender Agent to inform themselves about and to observe any such restrictions.</w:t>
      </w:r>
    </w:p>
    <w:p w:rsidR="00EC5D27" w:rsidRDefault="00EC5D27">
      <w:bookmarkStart w:id="0" w:name="_GoBack"/>
      <w:bookmarkEnd w:id="0"/>
    </w:p>
    <w:sectPr w:rsidR="00EC5D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81D"/>
    <w:rsid w:val="00BC081D"/>
    <w:rsid w:val="00EC5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081D"/>
    <w:pPr>
      <w:spacing w:after="0" w:line="240" w:lineRule="auto"/>
    </w:pPr>
    <w:rPr>
      <w:rFonts w:ascii="Times New Roman" w:eastAsia="Times New Roman" w:hAnsi="Times New Roman" w:cs="Times New Roman"/>
      <w:sz w:val="24"/>
      <w:szCs w:val="24"/>
      <w:lang w:eastAsia="en-GB"/>
    </w:rPr>
  </w:style>
  <w:style w:type="paragraph" w:customStyle="1" w:styleId="eg">
    <w:name w:val="eg"/>
    <w:basedOn w:val="Normal"/>
    <w:rsid w:val="00BC081D"/>
    <w:pPr>
      <w:spacing w:after="240" w:line="240" w:lineRule="auto"/>
      <w:jc w:val="both"/>
    </w:pPr>
    <w:rPr>
      <w:rFonts w:ascii="Times New Roman" w:eastAsia="Times New Roman" w:hAnsi="Times New Roman" w:cs="Times New Roman"/>
      <w:sz w:val="24"/>
      <w:szCs w:val="24"/>
      <w:lang w:eastAsia="en-GB"/>
    </w:rPr>
  </w:style>
  <w:style w:type="paragraph" w:customStyle="1" w:styleId="eh">
    <w:name w:val="eh"/>
    <w:basedOn w:val="Normal"/>
    <w:rsid w:val="00BC081D"/>
    <w:pPr>
      <w:spacing w:after="240" w:line="240" w:lineRule="auto"/>
      <w:jc w:val="both"/>
    </w:pPr>
    <w:rPr>
      <w:rFonts w:ascii="Times New Roman" w:eastAsia="Times New Roman" w:hAnsi="Times New Roman" w:cs="Times New Roman"/>
      <w:b/>
      <w:bCs/>
      <w:sz w:val="24"/>
      <w:szCs w:val="24"/>
      <w:lang w:eastAsia="en-GB"/>
    </w:rPr>
  </w:style>
  <w:style w:type="paragraph" w:customStyle="1" w:styleId="ej">
    <w:name w:val="ej"/>
    <w:basedOn w:val="Normal"/>
    <w:rsid w:val="00BC081D"/>
    <w:pPr>
      <w:spacing w:after="240" w:line="240" w:lineRule="auto"/>
      <w:jc w:val="center"/>
    </w:pPr>
    <w:rPr>
      <w:rFonts w:ascii="Times New Roman" w:eastAsia="Times New Roman" w:hAnsi="Times New Roman" w:cs="Times New Roman"/>
      <w:b/>
      <w:bCs/>
      <w:sz w:val="24"/>
      <w:szCs w:val="24"/>
      <w:u w:val="single"/>
      <w:lang w:eastAsia="en-GB"/>
    </w:rPr>
  </w:style>
  <w:style w:type="paragraph" w:customStyle="1" w:styleId="ek">
    <w:name w:val="ek"/>
    <w:basedOn w:val="Normal"/>
    <w:rsid w:val="00BC081D"/>
    <w:pPr>
      <w:spacing w:after="240" w:line="240" w:lineRule="auto"/>
      <w:jc w:val="center"/>
    </w:pPr>
    <w:rPr>
      <w:rFonts w:ascii="Times New Roman" w:eastAsia="Times New Roman" w:hAnsi="Times New Roman" w:cs="Times New Roman"/>
      <w:b/>
      <w:bCs/>
      <w:sz w:val="24"/>
      <w:szCs w:val="24"/>
      <w:lang w:eastAsia="en-GB"/>
    </w:rPr>
  </w:style>
  <w:style w:type="paragraph" w:customStyle="1" w:styleId="el">
    <w:name w:val="el"/>
    <w:basedOn w:val="Normal"/>
    <w:rsid w:val="00BC081D"/>
    <w:pPr>
      <w:spacing w:after="240" w:line="240" w:lineRule="auto"/>
      <w:jc w:val="center"/>
    </w:pPr>
    <w:rPr>
      <w:rFonts w:ascii="Times New Roman" w:eastAsia="Times New Roman" w:hAnsi="Times New Roman" w:cs="Times New Roman"/>
      <w:sz w:val="24"/>
      <w:szCs w:val="24"/>
      <w:lang w:eastAsia="en-GB"/>
    </w:rPr>
  </w:style>
  <w:style w:type="paragraph" w:customStyle="1" w:styleId="em">
    <w:name w:val="em"/>
    <w:basedOn w:val="Normal"/>
    <w:rsid w:val="00BC081D"/>
    <w:pPr>
      <w:keepNext/>
      <w:spacing w:before="240" w:after="240" w:line="240" w:lineRule="auto"/>
      <w:jc w:val="both"/>
    </w:pPr>
    <w:rPr>
      <w:rFonts w:ascii="Times New Roman" w:eastAsia="Times New Roman" w:hAnsi="Times New Roman" w:cs="Times New Roman"/>
      <w:b/>
      <w:bCs/>
      <w:sz w:val="24"/>
      <w:szCs w:val="24"/>
      <w:lang w:eastAsia="en-GB"/>
    </w:rPr>
  </w:style>
  <w:style w:type="paragraph" w:customStyle="1" w:styleId="en">
    <w:name w:val="en"/>
    <w:basedOn w:val="Normal"/>
    <w:rsid w:val="00BC081D"/>
    <w:pPr>
      <w:keepNext/>
      <w:spacing w:after="240" w:line="240" w:lineRule="auto"/>
      <w:jc w:val="both"/>
    </w:pPr>
    <w:rPr>
      <w:rFonts w:ascii="Times New Roman" w:eastAsia="Times New Roman" w:hAnsi="Times New Roman" w:cs="Times New Roman"/>
      <w:sz w:val="24"/>
      <w:szCs w:val="24"/>
      <w:lang w:eastAsia="en-GB"/>
    </w:rPr>
  </w:style>
  <w:style w:type="paragraph" w:customStyle="1" w:styleId="eo">
    <w:name w:val="eo"/>
    <w:basedOn w:val="Normal"/>
    <w:rsid w:val="00BC081D"/>
    <w:pPr>
      <w:keepNext/>
      <w:spacing w:line="240" w:lineRule="auto"/>
      <w:jc w:val="both"/>
    </w:pPr>
    <w:rPr>
      <w:rFonts w:ascii="Times New Roman" w:eastAsia="Times New Roman" w:hAnsi="Times New Roman" w:cs="Times New Roman"/>
      <w:b/>
      <w:bCs/>
      <w:sz w:val="24"/>
      <w:szCs w:val="24"/>
      <w:lang w:eastAsia="en-GB"/>
    </w:rPr>
  </w:style>
  <w:style w:type="paragraph" w:customStyle="1" w:styleId="ep">
    <w:name w:val="ep"/>
    <w:basedOn w:val="Normal"/>
    <w:rsid w:val="00BC081D"/>
    <w:pPr>
      <w:spacing w:line="240" w:lineRule="auto"/>
    </w:pPr>
    <w:rPr>
      <w:rFonts w:ascii="Times New Roman" w:eastAsia="Times New Roman" w:hAnsi="Times New Roman" w:cs="Times New Roman"/>
      <w:sz w:val="24"/>
      <w:szCs w:val="24"/>
      <w:lang w:eastAsia="en-GB"/>
    </w:rPr>
  </w:style>
  <w:style w:type="paragraph" w:customStyle="1" w:styleId="eq">
    <w:name w:val="eq"/>
    <w:basedOn w:val="Normal"/>
    <w:rsid w:val="00BC081D"/>
    <w:pPr>
      <w:keepNext/>
      <w:spacing w:after="240" w:line="240" w:lineRule="auto"/>
      <w:jc w:val="both"/>
    </w:pPr>
    <w:rPr>
      <w:rFonts w:ascii="Times New Roman" w:eastAsia="Times New Roman" w:hAnsi="Times New Roman" w:cs="Times New Roman"/>
      <w:b/>
      <w:bCs/>
      <w:sz w:val="24"/>
      <w:szCs w:val="24"/>
      <w:lang w:eastAsia="en-GB"/>
    </w:rPr>
  </w:style>
  <w:style w:type="paragraph" w:customStyle="1" w:styleId="er">
    <w:name w:val="er"/>
    <w:basedOn w:val="Normal"/>
    <w:rsid w:val="00BC081D"/>
    <w:pPr>
      <w:spacing w:after="240" w:line="240" w:lineRule="auto"/>
    </w:pPr>
    <w:rPr>
      <w:rFonts w:ascii="Times New Roman" w:eastAsia="Times New Roman" w:hAnsi="Times New Roman" w:cs="Times New Roman"/>
      <w:sz w:val="24"/>
      <w:szCs w:val="24"/>
      <w:lang w:eastAsia="en-GB"/>
    </w:rPr>
  </w:style>
  <w:style w:type="paragraph" w:customStyle="1" w:styleId="es">
    <w:name w:val="es"/>
    <w:basedOn w:val="Normal"/>
    <w:rsid w:val="00BC081D"/>
    <w:pPr>
      <w:spacing w:after="0" w:line="240" w:lineRule="auto"/>
      <w:jc w:val="both"/>
    </w:pPr>
    <w:rPr>
      <w:rFonts w:ascii="Times New Roman" w:eastAsia="Times New Roman" w:hAnsi="Times New Roman" w:cs="Times New Roman"/>
      <w:b/>
      <w:bCs/>
      <w:sz w:val="24"/>
      <w:szCs w:val="24"/>
      <w:lang w:eastAsia="en-GB"/>
    </w:rPr>
  </w:style>
  <w:style w:type="paragraph" w:customStyle="1" w:styleId="et">
    <w:name w:val="et"/>
    <w:basedOn w:val="Normal"/>
    <w:rsid w:val="00BC081D"/>
    <w:pPr>
      <w:spacing w:after="0" w:line="240" w:lineRule="auto"/>
      <w:jc w:val="both"/>
    </w:pPr>
    <w:rPr>
      <w:rFonts w:ascii="Times New Roman" w:eastAsia="Times New Roman" w:hAnsi="Times New Roman" w:cs="Times New Roman"/>
      <w:sz w:val="24"/>
      <w:szCs w:val="24"/>
      <w:lang w:eastAsia="en-GB"/>
    </w:rPr>
  </w:style>
  <w:style w:type="paragraph" w:customStyle="1" w:styleId="eu">
    <w:name w:val="eu"/>
    <w:basedOn w:val="Normal"/>
    <w:rsid w:val="00BC081D"/>
    <w:pPr>
      <w:spacing w:line="240" w:lineRule="auto"/>
      <w:jc w:val="both"/>
    </w:pPr>
    <w:rPr>
      <w:rFonts w:ascii="Times New Roman" w:eastAsia="Times New Roman" w:hAnsi="Times New Roman" w:cs="Times New Roman"/>
      <w:sz w:val="24"/>
      <w:szCs w:val="24"/>
      <w:lang w:eastAsia="en-GB"/>
    </w:rPr>
  </w:style>
  <w:style w:type="character" w:customStyle="1" w:styleId="ee">
    <w:name w:val="ee"/>
    <w:basedOn w:val="DefaultParagraphFont"/>
    <w:rsid w:val="00BC081D"/>
    <w:rPr>
      <w:sz w:val="20"/>
      <w:szCs w:val="20"/>
    </w:rPr>
  </w:style>
  <w:style w:type="character" w:customStyle="1" w:styleId="eb">
    <w:name w:val="eb"/>
    <w:basedOn w:val="DefaultParagraphFont"/>
    <w:rsid w:val="00BC081D"/>
    <w:rPr>
      <w:sz w:val="18"/>
      <w:szCs w:val="18"/>
    </w:rPr>
  </w:style>
  <w:style w:type="character" w:customStyle="1" w:styleId="dy">
    <w:name w:val="dy"/>
    <w:basedOn w:val="DefaultParagraphFont"/>
    <w:rsid w:val="00BC081D"/>
    <w:rPr>
      <w:u w:val="single"/>
    </w:rPr>
  </w:style>
  <w:style w:type="character" w:styleId="Hyperlink">
    <w:name w:val="Hyperlink"/>
    <w:basedOn w:val="DefaultParagraphFont"/>
    <w:uiPriority w:val="99"/>
    <w:semiHidden/>
    <w:unhideWhenUsed/>
    <w:rsid w:val="00BC081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081D"/>
    <w:pPr>
      <w:spacing w:after="0" w:line="240" w:lineRule="auto"/>
    </w:pPr>
    <w:rPr>
      <w:rFonts w:ascii="Times New Roman" w:eastAsia="Times New Roman" w:hAnsi="Times New Roman" w:cs="Times New Roman"/>
      <w:sz w:val="24"/>
      <w:szCs w:val="24"/>
      <w:lang w:eastAsia="en-GB"/>
    </w:rPr>
  </w:style>
  <w:style w:type="paragraph" w:customStyle="1" w:styleId="eg">
    <w:name w:val="eg"/>
    <w:basedOn w:val="Normal"/>
    <w:rsid w:val="00BC081D"/>
    <w:pPr>
      <w:spacing w:after="240" w:line="240" w:lineRule="auto"/>
      <w:jc w:val="both"/>
    </w:pPr>
    <w:rPr>
      <w:rFonts w:ascii="Times New Roman" w:eastAsia="Times New Roman" w:hAnsi="Times New Roman" w:cs="Times New Roman"/>
      <w:sz w:val="24"/>
      <w:szCs w:val="24"/>
      <w:lang w:eastAsia="en-GB"/>
    </w:rPr>
  </w:style>
  <w:style w:type="paragraph" w:customStyle="1" w:styleId="eh">
    <w:name w:val="eh"/>
    <w:basedOn w:val="Normal"/>
    <w:rsid w:val="00BC081D"/>
    <w:pPr>
      <w:spacing w:after="240" w:line="240" w:lineRule="auto"/>
      <w:jc w:val="both"/>
    </w:pPr>
    <w:rPr>
      <w:rFonts w:ascii="Times New Roman" w:eastAsia="Times New Roman" w:hAnsi="Times New Roman" w:cs="Times New Roman"/>
      <w:b/>
      <w:bCs/>
      <w:sz w:val="24"/>
      <w:szCs w:val="24"/>
      <w:lang w:eastAsia="en-GB"/>
    </w:rPr>
  </w:style>
  <w:style w:type="paragraph" w:customStyle="1" w:styleId="ej">
    <w:name w:val="ej"/>
    <w:basedOn w:val="Normal"/>
    <w:rsid w:val="00BC081D"/>
    <w:pPr>
      <w:spacing w:after="240" w:line="240" w:lineRule="auto"/>
      <w:jc w:val="center"/>
    </w:pPr>
    <w:rPr>
      <w:rFonts w:ascii="Times New Roman" w:eastAsia="Times New Roman" w:hAnsi="Times New Roman" w:cs="Times New Roman"/>
      <w:b/>
      <w:bCs/>
      <w:sz w:val="24"/>
      <w:szCs w:val="24"/>
      <w:u w:val="single"/>
      <w:lang w:eastAsia="en-GB"/>
    </w:rPr>
  </w:style>
  <w:style w:type="paragraph" w:customStyle="1" w:styleId="ek">
    <w:name w:val="ek"/>
    <w:basedOn w:val="Normal"/>
    <w:rsid w:val="00BC081D"/>
    <w:pPr>
      <w:spacing w:after="240" w:line="240" w:lineRule="auto"/>
      <w:jc w:val="center"/>
    </w:pPr>
    <w:rPr>
      <w:rFonts w:ascii="Times New Roman" w:eastAsia="Times New Roman" w:hAnsi="Times New Roman" w:cs="Times New Roman"/>
      <w:b/>
      <w:bCs/>
      <w:sz w:val="24"/>
      <w:szCs w:val="24"/>
      <w:lang w:eastAsia="en-GB"/>
    </w:rPr>
  </w:style>
  <w:style w:type="paragraph" w:customStyle="1" w:styleId="el">
    <w:name w:val="el"/>
    <w:basedOn w:val="Normal"/>
    <w:rsid w:val="00BC081D"/>
    <w:pPr>
      <w:spacing w:after="240" w:line="240" w:lineRule="auto"/>
      <w:jc w:val="center"/>
    </w:pPr>
    <w:rPr>
      <w:rFonts w:ascii="Times New Roman" w:eastAsia="Times New Roman" w:hAnsi="Times New Roman" w:cs="Times New Roman"/>
      <w:sz w:val="24"/>
      <w:szCs w:val="24"/>
      <w:lang w:eastAsia="en-GB"/>
    </w:rPr>
  </w:style>
  <w:style w:type="paragraph" w:customStyle="1" w:styleId="em">
    <w:name w:val="em"/>
    <w:basedOn w:val="Normal"/>
    <w:rsid w:val="00BC081D"/>
    <w:pPr>
      <w:keepNext/>
      <w:spacing w:before="240" w:after="240" w:line="240" w:lineRule="auto"/>
      <w:jc w:val="both"/>
    </w:pPr>
    <w:rPr>
      <w:rFonts w:ascii="Times New Roman" w:eastAsia="Times New Roman" w:hAnsi="Times New Roman" w:cs="Times New Roman"/>
      <w:b/>
      <w:bCs/>
      <w:sz w:val="24"/>
      <w:szCs w:val="24"/>
      <w:lang w:eastAsia="en-GB"/>
    </w:rPr>
  </w:style>
  <w:style w:type="paragraph" w:customStyle="1" w:styleId="en">
    <w:name w:val="en"/>
    <w:basedOn w:val="Normal"/>
    <w:rsid w:val="00BC081D"/>
    <w:pPr>
      <w:keepNext/>
      <w:spacing w:after="240" w:line="240" w:lineRule="auto"/>
      <w:jc w:val="both"/>
    </w:pPr>
    <w:rPr>
      <w:rFonts w:ascii="Times New Roman" w:eastAsia="Times New Roman" w:hAnsi="Times New Roman" w:cs="Times New Roman"/>
      <w:sz w:val="24"/>
      <w:szCs w:val="24"/>
      <w:lang w:eastAsia="en-GB"/>
    </w:rPr>
  </w:style>
  <w:style w:type="paragraph" w:customStyle="1" w:styleId="eo">
    <w:name w:val="eo"/>
    <w:basedOn w:val="Normal"/>
    <w:rsid w:val="00BC081D"/>
    <w:pPr>
      <w:keepNext/>
      <w:spacing w:line="240" w:lineRule="auto"/>
      <w:jc w:val="both"/>
    </w:pPr>
    <w:rPr>
      <w:rFonts w:ascii="Times New Roman" w:eastAsia="Times New Roman" w:hAnsi="Times New Roman" w:cs="Times New Roman"/>
      <w:b/>
      <w:bCs/>
      <w:sz w:val="24"/>
      <w:szCs w:val="24"/>
      <w:lang w:eastAsia="en-GB"/>
    </w:rPr>
  </w:style>
  <w:style w:type="paragraph" w:customStyle="1" w:styleId="ep">
    <w:name w:val="ep"/>
    <w:basedOn w:val="Normal"/>
    <w:rsid w:val="00BC081D"/>
    <w:pPr>
      <w:spacing w:line="240" w:lineRule="auto"/>
    </w:pPr>
    <w:rPr>
      <w:rFonts w:ascii="Times New Roman" w:eastAsia="Times New Roman" w:hAnsi="Times New Roman" w:cs="Times New Roman"/>
      <w:sz w:val="24"/>
      <w:szCs w:val="24"/>
      <w:lang w:eastAsia="en-GB"/>
    </w:rPr>
  </w:style>
  <w:style w:type="paragraph" w:customStyle="1" w:styleId="eq">
    <w:name w:val="eq"/>
    <w:basedOn w:val="Normal"/>
    <w:rsid w:val="00BC081D"/>
    <w:pPr>
      <w:keepNext/>
      <w:spacing w:after="240" w:line="240" w:lineRule="auto"/>
      <w:jc w:val="both"/>
    </w:pPr>
    <w:rPr>
      <w:rFonts w:ascii="Times New Roman" w:eastAsia="Times New Roman" w:hAnsi="Times New Roman" w:cs="Times New Roman"/>
      <w:b/>
      <w:bCs/>
      <w:sz w:val="24"/>
      <w:szCs w:val="24"/>
      <w:lang w:eastAsia="en-GB"/>
    </w:rPr>
  </w:style>
  <w:style w:type="paragraph" w:customStyle="1" w:styleId="er">
    <w:name w:val="er"/>
    <w:basedOn w:val="Normal"/>
    <w:rsid w:val="00BC081D"/>
    <w:pPr>
      <w:spacing w:after="240" w:line="240" w:lineRule="auto"/>
    </w:pPr>
    <w:rPr>
      <w:rFonts w:ascii="Times New Roman" w:eastAsia="Times New Roman" w:hAnsi="Times New Roman" w:cs="Times New Roman"/>
      <w:sz w:val="24"/>
      <w:szCs w:val="24"/>
      <w:lang w:eastAsia="en-GB"/>
    </w:rPr>
  </w:style>
  <w:style w:type="paragraph" w:customStyle="1" w:styleId="es">
    <w:name w:val="es"/>
    <w:basedOn w:val="Normal"/>
    <w:rsid w:val="00BC081D"/>
    <w:pPr>
      <w:spacing w:after="0" w:line="240" w:lineRule="auto"/>
      <w:jc w:val="both"/>
    </w:pPr>
    <w:rPr>
      <w:rFonts w:ascii="Times New Roman" w:eastAsia="Times New Roman" w:hAnsi="Times New Roman" w:cs="Times New Roman"/>
      <w:b/>
      <w:bCs/>
      <w:sz w:val="24"/>
      <w:szCs w:val="24"/>
      <w:lang w:eastAsia="en-GB"/>
    </w:rPr>
  </w:style>
  <w:style w:type="paragraph" w:customStyle="1" w:styleId="et">
    <w:name w:val="et"/>
    <w:basedOn w:val="Normal"/>
    <w:rsid w:val="00BC081D"/>
    <w:pPr>
      <w:spacing w:after="0" w:line="240" w:lineRule="auto"/>
      <w:jc w:val="both"/>
    </w:pPr>
    <w:rPr>
      <w:rFonts w:ascii="Times New Roman" w:eastAsia="Times New Roman" w:hAnsi="Times New Roman" w:cs="Times New Roman"/>
      <w:sz w:val="24"/>
      <w:szCs w:val="24"/>
      <w:lang w:eastAsia="en-GB"/>
    </w:rPr>
  </w:style>
  <w:style w:type="paragraph" w:customStyle="1" w:styleId="eu">
    <w:name w:val="eu"/>
    <w:basedOn w:val="Normal"/>
    <w:rsid w:val="00BC081D"/>
    <w:pPr>
      <w:spacing w:line="240" w:lineRule="auto"/>
      <w:jc w:val="both"/>
    </w:pPr>
    <w:rPr>
      <w:rFonts w:ascii="Times New Roman" w:eastAsia="Times New Roman" w:hAnsi="Times New Roman" w:cs="Times New Roman"/>
      <w:sz w:val="24"/>
      <w:szCs w:val="24"/>
      <w:lang w:eastAsia="en-GB"/>
    </w:rPr>
  </w:style>
  <w:style w:type="character" w:customStyle="1" w:styleId="ee">
    <w:name w:val="ee"/>
    <w:basedOn w:val="DefaultParagraphFont"/>
    <w:rsid w:val="00BC081D"/>
    <w:rPr>
      <w:sz w:val="20"/>
      <w:szCs w:val="20"/>
    </w:rPr>
  </w:style>
  <w:style w:type="character" w:customStyle="1" w:styleId="eb">
    <w:name w:val="eb"/>
    <w:basedOn w:val="DefaultParagraphFont"/>
    <w:rsid w:val="00BC081D"/>
    <w:rPr>
      <w:sz w:val="18"/>
      <w:szCs w:val="18"/>
    </w:rPr>
  </w:style>
  <w:style w:type="character" w:customStyle="1" w:styleId="dy">
    <w:name w:val="dy"/>
    <w:basedOn w:val="DefaultParagraphFont"/>
    <w:rsid w:val="00BC081D"/>
    <w:rPr>
      <w:u w:val="single"/>
    </w:rPr>
  </w:style>
  <w:style w:type="character" w:styleId="Hyperlink">
    <w:name w:val="Hyperlink"/>
    <w:basedOn w:val="DefaultParagraphFont"/>
    <w:uiPriority w:val="99"/>
    <w:semiHidden/>
    <w:unhideWhenUsed/>
    <w:rsid w:val="00BC08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949335">
      <w:bodyDiv w:val="1"/>
      <w:marLeft w:val="0"/>
      <w:marRight w:val="0"/>
      <w:marTop w:val="0"/>
      <w:marBottom w:val="0"/>
      <w:divBdr>
        <w:top w:val="none" w:sz="0" w:space="0" w:color="auto"/>
        <w:left w:val="none" w:sz="0" w:space="0" w:color="auto"/>
        <w:bottom w:val="none" w:sz="0" w:space="0" w:color="auto"/>
        <w:right w:val="none" w:sz="0" w:space="0" w:color="auto"/>
      </w:divBdr>
      <w:divsChild>
        <w:div w:id="71007393">
          <w:marLeft w:val="1440"/>
          <w:marRight w:val="1440"/>
          <w:marTop w:val="1440"/>
          <w:marBottom w:val="14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gbsc-usa.com" TargetMode="External"/><Relationship Id="rId5" Type="http://schemas.openxmlformats.org/officeDocument/2006/relationships/hyperlink" Target="mailto:liability.management@barclay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3190</Characters>
  <Application>Microsoft Office Word</Application>
  <DocSecurity>0</DocSecurity>
  <Lines>26</Lines>
  <Paragraphs>7</Paragraphs>
  <ScaleCrop>false</ScaleCrop>
  <Company>LSE</Company>
  <LinksUpToDate>false</LinksUpToDate>
  <CharactersWithSpaces>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Deeksha Perera</dc:creator>
  <cp:lastModifiedBy>Deeksha Perera</cp:lastModifiedBy>
  <cp:revision>1</cp:revision>
  <dcterms:created xsi:type="dcterms:W3CDTF">2013-04-26T13:29:00Z</dcterms:created>
  <dcterms:modified xsi:type="dcterms:W3CDTF">2013-04-26T13:30:00Z</dcterms:modified>
</cp:coreProperties>
</file>