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928" w:rsidRPr="00D14928" w:rsidRDefault="00D14928" w:rsidP="00D14928">
      <w:pPr>
        <w:spacing w:before="100" w:beforeAutospacing="1" w:after="100" w:afterAutospacing="1" w:line="240" w:lineRule="auto"/>
        <w:rPr>
          <w:rFonts w:ascii="Times New Roman" w:eastAsia="Times New Roman" w:hAnsi="Times New Roman" w:cs="Times New Roman"/>
          <w:sz w:val="24"/>
          <w:szCs w:val="24"/>
          <w:lang w:eastAsia="en-GB"/>
        </w:rPr>
      </w:pPr>
      <w:r w:rsidRPr="00D14928">
        <w:rPr>
          <w:rFonts w:ascii="Times New Roman" w:eastAsia="Times New Roman" w:hAnsi="Times New Roman" w:cs="Times New Roman"/>
          <w:sz w:val="24"/>
          <w:szCs w:val="24"/>
          <w:lang w:eastAsia="en-GB"/>
        </w:rPr>
        <w:t>﻿</w:t>
      </w:r>
    </w:p>
    <w:p w:rsidR="00D14928" w:rsidRPr="00D14928" w:rsidRDefault="00D14928" w:rsidP="00D14928">
      <w:pPr>
        <w:spacing w:after="180"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color w:val="000000"/>
          <w:sz w:val="24"/>
          <w:szCs w:val="24"/>
          <w:lang w:eastAsia="en-GB"/>
        </w:rPr>
        <w:t> </w:t>
      </w:r>
    </w:p>
    <w:p w:rsidR="00D14928" w:rsidRPr="00D14928" w:rsidRDefault="00D14928" w:rsidP="00D14928">
      <w:pPr>
        <w:spacing w:before="180" w:after="180" w:line="240" w:lineRule="auto"/>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 </w:t>
      </w:r>
    </w:p>
    <w:p w:rsidR="00D14928" w:rsidRPr="00D14928" w:rsidRDefault="00D14928" w:rsidP="00D14928">
      <w:pPr>
        <w:spacing w:before="180" w:after="180" w:line="240" w:lineRule="auto"/>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 </w:t>
      </w:r>
    </w:p>
    <w:p w:rsidR="00D14928" w:rsidRPr="00D14928" w:rsidRDefault="00D14928" w:rsidP="00D14928">
      <w:pPr>
        <w:spacing w:before="180" w:after="180" w:line="240" w:lineRule="auto"/>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 </w:t>
      </w:r>
    </w:p>
    <w:p w:rsidR="00D14928" w:rsidRPr="00D14928" w:rsidRDefault="00D14928" w:rsidP="00D14928">
      <w:pPr>
        <w:spacing w:before="180" w:after="180" w:line="240" w:lineRule="auto"/>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 </w:t>
      </w:r>
    </w:p>
    <w:p w:rsidR="00D14928" w:rsidRPr="00D14928" w:rsidRDefault="00D14928" w:rsidP="00D14928">
      <w:pPr>
        <w:spacing w:before="180" w:after="180" w:line="240" w:lineRule="auto"/>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 </w:t>
      </w:r>
    </w:p>
    <w:p w:rsidR="00D14928" w:rsidRPr="00D14928" w:rsidRDefault="00D14928" w:rsidP="00D14928">
      <w:pPr>
        <w:spacing w:before="180" w:after="180" w:line="240" w:lineRule="auto"/>
        <w:jc w:val="center"/>
        <w:rPr>
          <w:rFonts w:ascii="Arial" w:eastAsia="Times New Roman" w:hAnsi="Arial" w:cs="Arial"/>
          <w:b/>
          <w:bCs/>
          <w:sz w:val="48"/>
          <w:szCs w:val="48"/>
          <w:lang w:eastAsia="en-GB"/>
        </w:rPr>
      </w:pPr>
      <w:r w:rsidRPr="00D14928">
        <w:rPr>
          <w:rFonts w:ascii="Arial" w:eastAsia="Times New Roman" w:hAnsi="Arial" w:cs="Arial"/>
          <w:b/>
          <w:bCs/>
          <w:sz w:val="40"/>
          <w:szCs w:val="40"/>
          <w:lang w:eastAsia="en-GB"/>
        </w:rPr>
        <w:t>Barclays PLC</w:t>
      </w:r>
    </w:p>
    <w:p w:rsidR="00D14928" w:rsidRPr="00D14928" w:rsidRDefault="00D14928" w:rsidP="00D14928">
      <w:pPr>
        <w:spacing w:before="180" w:after="180" w:line="240" w:lineRule="auto"/>
        <w:jc w:val="center"/>
        <w:rPr>
          <w:rFonts w:ascii="Arial" w:eastAsia="Times New Roman" w:hAnsi="Arial" w:cs="Arial"/>
          <w:b/>
          <w:bCs/>
          <w:sz w:val="48"/>
          <w:szCs w:val="48"/>
          <w:lang w:eastAsia="en-GB"/>
        </w:rPr>
      </w:pPr>
      <w:r w:rsidRPr="00D14928">
        <w:rPr>
          <w:rFonts w:ascii="Arial" w:eastAsia="Times New Roman" w:hAnsi="Arial" w:cs="Arial"/>
          <w:b/>
          <w:bCs/>
          <w:sz w:val="40"/>
          <w:szCs w:val="40"/>
          <w:lang w:eastAsia="en-GB"/>
        </w:rPr>
        <w:t>Group Reporting Changes (effective 1</w:t>
      </w:r>
      <w:r w:rsidRPr="00D14928">
        <w:rPr>
          <w:rFonts w:ascii="Arial" w:eastAsia="Times New Roman" w:hAnsi="Arial" w:cs="Arial"/>
          <w:b/>
          <w:bCs/>
          <w:sz w:val="32"/>
          <w:szCs w:val="32"/>
          <w:vertAlign w:val="superscript"/>
          <w:lang w:eastAsia="en-GB"/>
        </w:rPr>
        <w:t>st</w:t>
      </w:r>
      <w:r w:rsidRPr="00D14928">
        <w:rPr>
          <w:rFonts w:ascii="Arial" w:eastAsia="Times New Roman" w:hAnsi="Arial" w:cs="Arial"/>
          <w:b/>
          <w:bCs/>
          <w:sz w:val="40"/>
          <w:szCs w:val="40"/>
          <w:lang w:eastAsia="en-GB"/>
        </w:rPr>
        <w:t xml:space="preserve"> January 2013)</w:t>
      </w:r>
    </w:p>
    <w:p w:rsidR="00D14928" w:rsidRPr="00D14928" w:rsidRDefault="00D14928" w:rsidP="00D14928">
      <w:pPr>
        <w:spacing w:before="180" w:line="240" w:lineRule="auto"/>
        <w:jc w:val="center"/>
        <w:rPr>
          <w:rFonts w:ascii="Arial" w:eastAsia="Times New Roman" w:hAnsi="Arial" w:cs="Arial"/>
          <w:b/>
          <w:bCs/>
          <w:sz w:val="48"/>
          <w:szCs w:val="48"/>
          <w:lang w:eastAsia="en-GB"/>
        </w:rPr>
      </w:pPr>
      <w:r w:rsidRPr="00D14928">
        <w:rPr>
          <w:rFonts w:ascii="Arial" w:eastAsia="Times New Roman" w:hAnsi="Arial" w:cs="Arial"/>
          <w:b/>
          <w:bCs/>
          <w:sz w:val="40"/>
          <w:szCs w:val="40"/>
          <w:lang w:eastAsia="en-GB"/>
        </w:rPr>
        <w:t>2012 &amp; 2011 Restatement Document</w:t>
      </w:r>
    </w:p>
    <w:p w:rsidR="00D14928" w:rsidRDefault="00D14928" w:rsidP="00D14928">
      <w:pPr>
        <w:spacing w:before="100" w:beforeAutospacing="1" w:after="100" w:afterAutospacing="1" w:line="240" w:lineRule="auto"/>
        <w:rPr>
          <w:rFonts w:ascii="Arial" w:eastAsia="Times New Roman" w:hAnsi="Arial" w:cs="Arial"/>
          <w:b/>
          <w:bCs/>
          <w:color w:val="FF0000"/>
          <w:sz w:val="48"/>
          <w:szCs w:val="48"/>
          <w:lang w:eastAsia="en-GB"/>
        </w:rPr>
      </w:pPr>
    </w:p>
    <w:p w:rsidR="00D14928" w:rsidRDefault="00D14928" w:rsidP="00D14928">
      <w:pPr>
        <w:spacing w:before="100" w:beforeAutospacing="1" w:after="100" w:afterAutospacing="1" w:line="240" w:lineRule="auto"/>
        <w:rPr>
          <w:rFonts w:ascii="Arial" w:eastAsia="Times New Roman" w:hAnsi="Arial" w:cs="Arial"/>
          <w:b/>
          <w:bCs/>
          <w:color w:val="FF0000"/>
          <w:sz w:val="48"/>
          <w:szCs w:val="48"/>
          <w:lang w:eastAsia="en-GB"/>
        </w:rPr>
      </w:pPr>
    </w:p>
    <w:p w:rsidR="00D14928" w:rsidRDefault="00D14928" w:rsidP="00D14928">
      <w:pPr>
        <w:spacing w:before="100" w:beforeAutospacing="1" w:after="100" w:afterAutospacing="1" w:line="240" w:lineRule="auto"/>
        <w:rPr>
          <w:rFonts w:ascii="Arial" w:eastAsia="Times New Roman" w:hAnsi="Arial" w:cs="Arial"/>
          <w:b/>
          <w:bCs/>
          <w:color w:val="FF0000"/>
          <w:sz w:val="48"/>
          <w:szCs w:val="48"/>
          <w:lang w:eastAsia="en-GB"/>
        </w:rPr>
      </w:pPr>
    </w:p>
    <w:p w:rsidR="00D14928" w:rsidRDefault="00D14928" w:rsidP="00D14928">
      <w:pPr>
        <w:spacing w:before="100" w:beforeAutospacing="1" w:after="100" w:afterAutospacing="1" w:line="240" w:lineRule="auto"/>
        <w:rPr>
          <w:rFonts w:ascii="Arial" w:eastAsia="Times New Roman" w:hAnsi="Arial" w:cs="Arial"/>
          <w:b/>
          <w:bCs/>
          <w:color w:val="FF0000"/>
          <w:sz w:val="48"/>
          <w:szCs w:val="48"/>
          <w:lang w:eastAsia="en-GB"/>
        </w:rPr>
      </w:pPr>
    </w:p>
    <w:p w:rsidR="00D14928" w:rsidRDefault="00D14928" w:rsidP="00D14928">
      <w:pPr>
        <w:spacing w:before="100" w:beforeAutospacing="1" w:after="100" w:afterAutospacing="1" w:line="240" w:lineRule="auto"/>
        <w:rPr>
          <w:rFonts w:ascii="Arial" w:eastAsia="Times New Roman" w:hAnsi="Arial" w:cs="Arial"/>
          <w:b/>
          <w:bCs/>
          <w:color w:val="FF0000"/>
          <w:sz w:val="48"/>
          <w:szCs w:val="48"/>
          <w:lang w:eastAsia="en-GB"/>
        </w:rPr>
      </w:pPr>
    </w:p>
    <w:p w:rsidR="00D14928" w:rsidRDefault="00D14928" w:rsidP="00D14928">
      <w:pPr>
        <w:spacing w:before="100" w:beforeAutospacing="1" w:after="100" w:afterAutospacing="1" w:line="240" w:lineRule="auto"/>
        <w:rPr>
          <w:rFonts w:ascii="Arial" w:eastAsia="Times New Roman" w:hAnsi="Arial" w:cs="Arial"/>
          <w:b/>
          <w:bCs/>
          <w:color w:val="FF0000"/>
          <w:sz w:val="48"/>
          <w:szCs w:val="48"/>
          <w:lang w:eastAsia="en-GB"/>
        </w:rPr>
      </w:pPr>
    </w:p>
    <w:p w:rsidR="00D14928" w:rsidRDefault="00D14928" w:rsidP="00D14928">
      <w:pPr>
        <w:spacing w:before="100" w:beforeAutospacing="1" w:after="100" w:afterAutospacing="1" w:line="240" w:lineRule="auto"/>
        <w:rPr>
          <w:rFonts w:ascii="Arial" w:eastAsia="Times New Roman" w:hAnsi="Arial" w:cs="Arial"/>
          <w:b/>
          <w:bCs/>
          <w:color w:val="FF0000"/>
          <w:sz w:val="48"/>
          <w:szCs w:val="48"/>
          <w:lang w:eastAsia="en-GB"/>
        </w:rPr>
      </w:pPr>
    </w:p>
    <w:p w:rsidR="00D14928" w:rsidRDefault="00D14928" w:rsidP="00D14928">
      <w:pPr>
        <w:spacing w:before="100" w:beforeAutospacing="1" w:after="100" w:afterAutospacing="1" w:line="240" w:lineRule="auto"/>
        <w:rPr>
          <w:rFonts w:ascii="Arial" w:eastAsia="Times New Roman" w:hAnsi="Arial" w:cs="Arial"/>
          <w:b/>
          <w:bCs/>
          <w:color w:val="FF0000"/>
          <w:sz w:val="48"/>
          <w:szCs w:val="48"/>
          <w:lang w:eastAsia="en-GB"/>
        </w:rPr>
      </w:pPr>
    </w:p>
    <w:p w:rsidR="00D14928" w:rsidRDefault="00D14928" w:rsidP="00D14928">
      <w:pPr>
        <w:spacing w:before="100" w:beforeAutospacing="1" w:after="100" w:afterAutospacing="1" w:line="240" w:lineRule="auto"/>
        <w:rPr>
          <w:rFonts w:ascii="Arial" w:eastAsia="Times New Roman" w:hAnsi="Arial" w:cs="Arial"/>
          <w:b/>
          <w:bCs/>
          <w:color w:val="FF0000"/>
          <w:sz w:val="48"/>
          <w:szCs w:val="48"/>
          <w:lang w:eastAsia="en-GB"/>
        </w:rPr>
      </w:pPr>
    </w:p>
    <w:p w:rsidR="00D14928" w:rsidRDefault="00D14928" w:rsidP="00D14928">
      <w:pPr>
        <w:spacing w:before="100" w:beforeAutospacing="1" w:after="100" w:afterAutospacing="1" w:line="240" w:lineRule="auto"/>
        <w:rPr>
          <w:rFonts w:ascii="Arial" w:eastAsia="Times New Roman" w:hAnsi="Arial" w:cs="Arial"/>
          <w:b/>
          <w:bCs/>
          <w:color w:val="FF0000"/>
          <w:sz w:val="48"/>
          <w:szCs w:val="48"/>
          <w:lang w:eastAsia="en-GB"/>
        </w:rPr>
      </w:pPr>
    </w:p>
    <w:p w:rsidR="00D14928" w:rsidRPr="00D14928" w:rsidRDefault="00D14928" w:rsidP="00D14928">
      <w:pPr>
        <w:spacing w:before="100" w:beforeAutospacing="1" w:after="100" w:afterAutospacing="1" w:line="240" w:lineRule="auto"/>
        <w:rPr>
          <w:rFonts w:ascii="Times New Roman" w:eastAsia="Times New Roman" w:hAnsi="Times New Roman" w:cs="Times New Roman"/>
          <w:b/>
          <w:bCs/>
          <w:sz w:val="24"/>
          <w:szCs w:val="24"/>
          <w:lang w:eastAsia="en-GB"/>
        </w:rPr>
      </w:pPr>
    </w:p>
    <w:p w:rsidR="00D14928" w:rsidRPr="00D14928" w:rsidRDefault="00D14928" w:rsidP="00D14928">
      <w:pPr>
        <w:spacing w:after="180"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sz w:val="24"/>
          <w:szCs w:val="24"/>
          <w:lang w:eastAsia="en-GB"/>
        </w:rPr>
        <w:t>Table of Contents</w:t>
      </w:r>
    </w:p>
    <w:p w:rsidR="00D14928" w:rsidRPr="00D14928" w:rsidRDefault="00D14928" w:rsidP="00D14928">
      <w:pPr>
        <w:spacing w:line="240" w:lineRule="auto"/>
        <w:jc w:val="both"/>
        <w:rPr>
          <w:rFonts w:ascii="Arial" w:eastAsia="Times New Roman" w:hAnsi="Arial" w:cs="Arial"/>
          <w:sz w:val="10"/>
          <w:szCs w:val="10"/>
          <w:lang w:eastAsia="en-GB"/>
        </w:rPr>
      </w:pPr>
      <w:r w:rsidRPr="00D14928">
        <w:rPr>
          <w:rFonts w:ascii="Arial" w:eastAsia="Times New Roman" w:hAnsi="Arial" w:cs="Arial"/>
          <w:sz w:val="10"/>
          <w:szCs w:val="10"/>
          <w:lang w:eastAsia="en-GB"/>
        </w:rPr>
        <w:t> </w:t>
      </w:r>
    </w:p>
    <w:tbl>
      <w:tblPr>
        <w:tblW w:w="0" w:type="auto"/>
        <w:tblInd w:w="-108" w:type="dxa"/>
        <w:tblCellMar>
          <w:left w:w="0" w:type="dxa"/>
          <w:right w:w="0" w:type="dxa"/>
        </w:tblCellMar>
        <w:tblLook w:val="04A0" w:firstRow="1" w:lastRow="0" w:firstColumn="1" w:lastColumn="0" w:noHBand="0" w:noVBand="1"/>
      </w:tblPr>
      <w:tblGrid>
        <w:gridCol w:w="7382"/>
        <w:gridCol w:w="1968"/>
      </w:tblGrid>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after="180" w:line="240" w:lineRule="auto"/>
              <w:rPr>
                <w:rFonts w:ascii="Arial" w:eastAsia="Times New Roman" w:hAnsi="Arial" w:cs="Arial"/>
                <w:b/>
                <w:bCs/>
                <w:color w:val="000000"/>
                <w:sz w:val="24"/>
                <w:szCs w:val="24"/>
                <w:lang w:eastAsia="en-GB"/>
              </w:rPr>
            </w:pPr>
            <w:r w:rsidRPr="00D14928">
              <w:rPr>
                <w:rFonts w:ascii="Arial" w:eastAsia="Times New Roman" w:hAnsi="Arial" w:cs="Arial"/>
                <w:b/>
                <w:bCs/>
                <w:sz w:val="24"/>
                <w:szCs w:val="24"/>
                <w:lang w:eastAsia="en-GB"/>
              </w:rPr>
              <w:t>Restatement Document</w:t>
            </w:r>
          </w:p>
        </w:tc>
        <w:tc>
          <w:tcPr>
            <w:tcW w:w="1980" w:type="dxa"/>
            <w:tcMar>
              <w:top w:w="0" w:type="dxa"/>
              <w:left w:w="108" w:type="dxa"/>
              <w:bottom w:w="0" w:type="dxa"/>
              <w:right w:w="108" w:type="dxa"/>
            </w:tcMar>
            <w:vAlign w:val="center"/>
            <w:hideMark/>
          </w:tcPr>
          <w:p w:rsidR="00D14928" w:rsidRPr="00D14928" w:rsidRDefault="00D14928" w:rsidP="00D14928">
            <w:pPr>
              <w:spacing w:after="180" w:line="240" w:lineRule="auto"/>
              <w:jc w:val="right"/>
              <w:rPr>
                <w:rFonts w:ascii="Arial" w:eastAsia="Times New Roman" w:hAnsi="Arial" w:cs="Arial"/>
                <w:b/>
                <w:bCs/>
                <w:color w:val="000000"/>
                <w:sz w:val="24"/>
                <w:szCs w:val="24"/>
                <w:lang w:eastAsia="en-GB"/>
              </w:rPr>
            </w:pPr>
            <w:r w:rsidRPr="00D14928">
              <w:rPr>
                <w:rFonts w:ascii="Arial" w:eastAsia="Times New Roman" w:hAnsi="Arial" w:cs="Arial"/>
                <w:b/>
                <w:bCs/>
                <w:sz w:val="24"/>
                <w:szCs w:val="24"/>
                <w:lang w:eastAsia="en-GB"/>
              </w:rPr>
              <w:t>Page</w:t>
            </w:r>
          </w:p>
        </w:tc>
      </w:tr>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before="96" w:after="96" w:line="240" w:lineRule="auto"/>
              <w:ind w:left="284" w:hanging="284"/>
              <w:rPr>
                <w:rFonts w:ascii="Arial" w:eastAsia="Times New Roman" w:hAnsi="Arial" w:cs="Arial"/>
                <w:sz w:val="18"/>
                <w:szCs w:val="18"/>
                <w:lang w:eastAsia="en-GB"/>
              </w:rPr>
            </w:pPr>
            <w:r w:rsidRPr="00D14928">
              <w:rPr>
                <w:rFonts w:ascii="Arial" w:eastAsia="Times New Roman" w:hAnsi="Arial" w:cs="Arial"/>
                <w:sz w:val="18"/>
                <w:szCs w:val="18"/>
                <w:lang w:eastAsia="en-GB"/>
              </w:rPr>
              <w:t>Overview of Reporting Changes</w:t>
            </w:r>
          </w:p>
        </w:tc>
        <w:tc>
          <w:tcPr>
            <w:tcW w:w="1980" w:type="dxa"/>
            <w:tcMar>
              <w:top w:w="0" w:type="dxa"/>
              <w:left w:w="108" w:type="dxa"/>
              <w:bottom w:w="0" w:type="dxa"/>
              <w:right w:w="108" w:type="dxa"/>
            </w:tcMar>
            <w:vAlign w:val="center"/>
            <w:hideMark/>
          </w:tcPr>
          <w:p w:rsidR="00D14928" w:rsidRPr="00D14928" w:rsidRDefault="00D14928" w:rsidP="00D14928">
            <w:pPr>
              <w:spacing w:before="96" w:after="96" w:line="240" w:lineRule="auto"/>
              <w:jc w:val="right"/>
              <w:rPr>
                <w:rFonts w:ascii="Arial" w:eastAsia="Times New Roman" w:hAnsi="Arial" w:cs="Arial"/>
                <w:sz w:val="18"/>
                <w:szCs w:val="18"/>
                <w:lang w:eastAsia="en-GB"/>
              </w:rPr>
            </w:pPr>
            <w:r w:rsidRPr="00D14928">
              <w:rPr>
                <w:rFonts w:ascii="Arial" w:eastAsia="Times New Roman" w:hAnsi="Arial" w:cs="Arial"/>
                <w:sz w:val="18"/>
                <w:szCs w:val="18"/>
                <w:lang w:eastAsia="en-GB"/>
              </w:rPr>
              <w:t>1</w:t>
            </w:r>
          </w:p>
        </w:tc>
      </w:tr>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before="96" w:after="96" w:line="240" w:lineRule="auto"/>
              <w:ind w:left="284" w:hanging="284"/>
              <w:rPr>
                <w:rFonts w:ascii="Arial" w:eastAsia="Times New Roman" w:hAnsi="Arial" w:cs="Arial"/>
                <w:sz w:val="18"/>
                <w:szCs w:val="18"/>
                <w:lang w:eastAsia="en-GB"/>
              </w:rPr>
            </w:pPr>
            <w:r w:rsidRPr="00D14928">
              <w:rPr>
                <w:rFonts w:ascii="Arial" w:eastAsia="Times New Roman" w:hAnsi="Arial" w:cs="Arial"/>
                <w:sz w:val="18"/>
                <w:szCs w:val="18"/>
                <w:lang w:eastAsia="en-GB"/>
              </w:rPr>
              <w:t>Performance Highlights</w:t>
            </w:r>
          </w:p>
        </w:tc>
        <w:tc>
          <w:tcPr>
            <w:tcW w:w="1980" w:type="dxa"/>
            <w:tcMar>
              <w:top w:w="0" w:type="dxa"/>
              <w:left w:w="108" w:type="dxa"/>
              <w:bottom w:w="0" w:type="dxa"/>
              <w:right w:w="108" w:type="dxa"/>
            </w:tcMar>
            <w:vAlign w:val="center"/>
            <w:hideMark/>
          </w:tcPr>
          <w:p w:rsidR="00D14928" w:rsidRPr="00D14928" w:rsidRDefault="00D14928" w:rsidP="00D14928">
            <w:pPr>
              <w:spacing w:before="96" w:after="96" w:line="240" w:lineRule="auto"/>
              <w:jc w:val="right"/>
              <w:rPr>
                <w:rFonts w:ascii="Arial" w:eastAsia="Times New Roman" w:hAnsi="Arial" w:cs="Arial"/>
                <w:sz w:val="18"/>
                <w:szCs w:val="18"/>
                <w:lang w:eastAsia="en-GB"/>
              </w:rPr>
            </w:pPr>
            <w:r w:rsidRPr="00D14928">
              <w:rPr>
                <w:rFonts w:ascii="Arial" w:eastAsia="Times New Roman" w:hAnsi="Arial" w:cs="Arial"/>
                <w:sz w:val="18"/>
                <w:szCs w:val="18"/>
                <w:lang w:eastAsia="en-GB"/>
              </w:rPr>
              <w:t>5</w:t>
            </w:r>
          </w:p>
        </w:tc>
      </w:tr>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before="96" w:after="96" w:line="240" w:lineRule="auto"/>
              <w:ind w:left="284" w:hanging="284"/>
              <w:rPr>
                <w:rFonts w:ascii="Arial" w:eastAsia="Times New Roman" w:hAnsi="Arial" w:cs="Arial"/>
                <w:sz w:val="18"/>
                <w:szCs w:val="18"/>
                <w:lang w:eastAsia="en-GB"/>
              </w:rPr>
            </w:pPr>
            <w:r w:rsidRPr="00D14928">
              <w:rPr>
                <w:rFonts w:ascii="Arial" w:eastAsia="Times New Roman" w:hAnsi="Arial" w:cs="Arial"/>
                <w:sz w:val="18"/>
                <w:szCs w:val="18"/>
                <w:lang w:eastAsia="en-GB"/>
              </w:rPr>
              <w:t>Barclays Results by Quarter</w:t>
            </w:r>
          </w:p>
        </w:tc>
        <w:tc>
          <w:tcPr>
            <w:tcW w:w="1980" w:type="dxa"/>
            <w:tcMar>
              <w:top w:w="0" w:type="dxa"/>
              <w:left w:w="108" w:type="dxa"/>
              <w:bottom w:w="0" w:type="dxa"/>
              <w:right w:w="108" w:type="dxa"/>
            </w:tcMar>
            <w:vAlign w:val="center"/>
            <w:hideMark/>
          </w:tcPr>
          <w:p w:rsidR="00D14928" w:rsidRPr="00D14928" w:rsidRDefault="00D14928" w:rsidP="00D14928">
            <w:pPr>
              <w:spacing w:before="96" w:after="96" w:line="240" w:lineRule="auto"/>
              <w:jc w:val="right"/>
              <w:rPr>
                <w:rFonts w:ascii="Arial" w:eastAsia="Times New Roman" w:hAnsi="Arial" w:cs="Arial"/>
                <w:sz w:val="18"/>
                <w:szCs w:val="18"/>
                <w:lang w:eastAsia="en-GB"/>
              </w:rPr>
            </w:pPr>
            <w:r w:rsidRPr="00D14928">
              <w:rPr>
                <w:rFonts w:ascii="Arial" w:eastAsia="Times New Roman" w:hAnsi="Arial" w:cs="Arial"/>
                <w:sz w:val="18"/>
                <w:szCs w:val="18"/>
                <w:lang w:eastAsia="en-GB"/>
              </w:rPr>
              <w:t>8</w:t>
            </w:r>
          </w:p>
        </w:tc>
      </w:tr>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before="96" w:after="96" w:line="240" w:lineRule="auto"/>
              <w:ind w:left="284" w:hanging="284"/>
              <w:rPr>
                <w:rFonts w:ascii="Arial" w:eastAsia="Times New Roman" w:hAnsi="Arial" w:cs="Arial"/>
                <w:sz w:val="18"/>
                <w:szCs w:val="18"/>
                <w:lang w:eastAsia="en-GB"/>
              </w:rPr>
            </w:pPr>
            <w:r w:rsidRPr="00D14928">
              <w:rPr>
                <w:rFonts w:ascii="Arial" w:eastAsia="Times New Roman" w:hAnsi="Arial" w:cs="Arial"/>
                <w:sz w:val="18"/>
                <w:szCs w:val="18"/>
                <w:lang w:eastAsia="en-GB"/>
              </w:rPr>
              <w:t>Condensed Consolidated Income Statement</w:t>
            </w:r>
          </w:p>
        </w:tc>
        <w:tc>
          <w:tcPr>
            <w:tcW w:w="1980" w:type="dxa"/>
            <w:tcMar>
              <w:top w:w="0" w:type="dxa"/>
              <w:left w:w="108" w:type="dxa"/>
              <w:bottom w:w="0" w:type="dxa"/>
              <w:right w:w="108" w:type="dxa"/>
            </w:tcMar>
            <w:vAlign w:val="center"/>
            <w:hideMark/>
          </w:tcPr>
          <w:p w:rsidR="00D14928" w:rsidRPr="00D14928" w:rsidRDefault="00D14928" w:rsidP="00D14928">
            <w:pPr>
              <w:spacing w:before="96" w:after="96" w:line="240" w:lineRule="auto"/>
              <w:jc w:val="right"/>
              <w:rPr>
                <w:rFonts w:ascii="Arial" w:eastAsia="Times New Roman" w:hAnsi="Arial" w:cs="Arial"/>
                <w:sz w:val="18"/>
                <w:szCs w:val="18"/>
                <w:lang w:eastAsia="en-GB"/>
              </w:rPr>
            </w:pPr>
            <w:r w:rsidRPr="00D14928">
              <w:rPr>
                <w:rFonts w:ascii="Arial" w:eastAsia="Times New Roman" w:hAnsi="Arial" w:cs="Arial"/>
                <w:sz w:val="18"/>
                <w:szCs w:val="18"/>
                <w:lang w:eastAsia="en-GB"/>
              </w:rPr>
              <w:t>9</w:t>
            </w:r>
          </w:p>
        </w:tc>
      </w:tr>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before="96" w:after="96" w:line="240" w:lineRule="auto"/>
              <w:rPr>
                <w:rFonts w:ascii="Arial" w:eastAsia="Times New Roman" w:hAnsi="Arial" w:cs="Arial"/>
                <w:sz w:val="18"/>
                <w:szCs w:val="18"/>
                <w:lang w:eastAsia="en-GB"/>
              </w:rPr>
            </w:pPr>
            <w:r w:rsidRPr="00D14928">
              <w:rPr>
                <w:rFonts w:ascii="Arial" w:eastAsia="Times New Roman" w:hAnsi="Arial" w:cs="Arial"/>
                <w:sz w:val="18"/>
                <w:szCs w:val="18"/>
                <w:lang w:eastAsia="en-GB"/>
              </w:rPr>
              <w:t>Condensed Consolidated Balance Sheet</w:t>
            </w:r>
          </w:p>
        </w:tc>
        <w:tc>
          <w:tcPr>
            <w:tcW w:w="1980" w:type="dxa"/>
            <w:tcMar>
              <w:top w:w="0" w:type="dxa"/>
              <w:left w:w="108" w:type="dxa"/>
              <w:bottom w:w="0" w:type="dxa"/>
              <w:right w:w="108" w:type="dxa"/>
            </w:tcMar>
            <w:vAlign w:val="center"/>
            <w:hideMark/>
          </w:tcPr>
          <w:p w:rsidR="00D14928" w:rsidRPr="00D14928" w:rsidRDefault="00D14928" w:rsidP="00D14928">
            <w:pPr>
              <w:spacing w:before="96" w:after="96" w:line="240" w:lineRule="auto"/>
              <w:jc w:val="right"/>
              <w:rPr>
                <w:rFonts w:ascii="Arial" w:eastAsia="Times New Roman" w:hAnsi="Arial" w:cs="Arial"/>
                <w:sz w:val="18"/>
                <w:szCs w:val="18"/>
                <w:lang w:eastAsia="en-GB"/>
              </w:rPr>
            </w:pPr>
            <w:r w:rsidRPr="00D14928">
              <w:rPr>
                <w:rFonts w:ascii="Arial" w:eastAsia="Times New Roman" w:hAnsi="Arial" w:cs="Arial"/>
                <w:sz w:val="18"/>
                <w:szCs w:val="18"/>
                <w:lang w:eastAsia="en-GB"/>
              </w:rPr>
              <w:t>10</w:t>
            </w:r>
          </w:p>
        </w:tc>
      </w:tr>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before="96" w:after="96" w:line="240" w:lineRule="auto"/>
              <w:rPr>
                <w:rFonts w:ascii="Arial" w:eastAsia="Times New Roman" w:hAnsi="Arial" w:cs="Arial"/>
                <w:sz w:val="18"/>
                <w:szCs w:val="18"/>
                <w:lang w:eastAsia="en-GB"/>
              </w:rPr>
            </w:pPr>
            <w:r w:rsidRPr="00D14928">
              <w:rPr>
                <w:rFonts w:ascii="Arial" w:eastAsia="Times New Roman" w:hAnsi="Arial" w:cs="Arial"/>
                <w:sz w:val="18"/>
                <w:szCs w:val="18"/>
                <w:lang w:eastAsia="en-GB"/>
              </w:rPr>
              <w:t>Results by Business</w:t>
            </w:r>
          </w:p>
        </w:tc>
        <w:tc>
          <w:tcPr>
            <w:tcW w:w="1980" w:type="dxa"/>
            <w:tcMar>
              <w:top w:w="0" w:type="dxa"/>
              <w:left w:w="108" w:type="dxa"/>
              <w:bottom w:w="0" w:type="dxa"/>
              <w:right w:w="108" w:type="dxa"/>
            </w:tcMar>
            <w:vAlign w:val="center"/>
            <w:hideMark/>
          </w:tcPr>
          <w:p w:rsidR="00D14928" w:rsidRPr="00D14928" w:rsidRDefault="00D14928" w:rsidP="00D14928">
            <w:pPr>
              <w:spacing w:before="96" w:after="96" w:line="240" w:lineRule="auto"/>
              <w:jc w:val="right"/>
              <w:rPr>
                <w:rFonts w:ascii="Arial" w:eastAsia="Times New Roman" w:hAnsi="Arial" w:cs="Arial"/>
                <w:sz w:val="18"/>
                <w:szCs w:val="18"/>
                <w:lang w:eastAsia="en-GB"/>
              </w:rPr>
            </w:pPr>
          </w:p>
        </w:tc>
      </w:tr>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before="96" w:after="96" w:line="240" w:lineRule="auto"/>
              <w:ind w:left="284" w:hanging="284"/>
              <w:jc w:val="both"/>
              <w:rPr>
                <w:rFonts w:ascii="Arial" w:eastAsia="Times New Roman" w:hAnsi="Arial" w:cs="Arial"/>
                <w:sz w:val="18"/>
                <w:szCs w:val="18"/>
                <w:lang w:eastAsia="en-GB"/>
              </w:rPr>
            </w:pPr>
            <w:r w:rsidRPr="00D14928">
              <w:rPr>
                <w:rFonts w:ascii="Wingdings 2" w:eastAsia="Times New Roman" w:hAnsi="Wingdings 2" w:cs="Arial"/>
                <w:sz w:val="18"/>
                <w:szCs w:val="18"/>
                <w:lang w:eastAsia="en-GB"/>
              </w:rPr>
              <w:t></w:t>
            </w:r>
            <w:r w:rsidRPr="00D14928">
              <w:rPr>
                <w:rFonts w:ascii="Wingdings 2" w:eastAsia="Times New Roman" w:hAnsi="Wingdings 2" w:cs="Arial"/>
                <w:sz w:val="18"/>
                <w:szCs w:val="18"/>
                <w:lang w:eastAsia="en-GB"/>
              </w:rPr>
              <w:t></w:t>
            </w:r>
            <w:r w:rsidRPr="00D14928">
              <w:rPr>
                <w:rFonts w:ascii="Arial" w:eastAsia="Times New Roman" w:hAnsi="Arial" w:cs="Arial"/>
                <w:sz w:val="18"/>
                <w:szCs w:val="18"/>
                <w:lang w:eastAsia="en-GB"/>
              </w:rPr>
              <w:t>Retail and Business Banking</w:t>
            </w:r>
          </w:p>
        </w:tc>
        <w:tc>
          <w:tcPr>
            <w:tcW w:w="1980" w:type="dxa"/>
            <w:tcMar>
              <w:top w:w="0" w:type="dxa"/>
              <w:left w:w="108" w:type="dxa"/>
              <w:bottom w:w="0" w:type="dxa"/>
              <w:right w:w="108" w:type="dxa"/>
            </w:tcMar>
            <w:vAlign w:val="center"/>
            <w:hideMark/>
          </w:tcPr>
          <w:p w:rsidR="00D14928" w:rsidRPr="00D14928" w:rsidRDefault="00D14928" w:rsidP="00D14928">
            <w:pPr>
              <w:spacing w:before="96" w:after="96" w:line="240" w:lineRule="auto"/>
              <w:jc w:val="right"/>
              <w:rPr>
                <w:rFonts w:ascii="Arial" w:eastAsia="Times New Roman" w:hAnsi="Arial" w:cs="Arial"/>
                <w:sz w:val="18"/>
                <w:szCs w:val="18"/>
                <w:lang w:eastAsia="en-GB"/>
              </w:rPr>
            </w:pPr>
            <w:r w:rsidRPr="00D14928">
              <w:rPr>
                <w:rFonts w:ascii="Arial" w:eastAsia="Times New Roman" w:hAnsi="Arial" w:cs="Arial"/>
                <w:sz w:val="18"/>
                <w:szCs w:val="18"/>
                <w:lang w:eastAsia="en-GB"/>
              </w:rPr>
              <w:t> </w:t>
            </w:r>
          </w:p>
        </w:tc>
      </w:tr>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before="40" w:after="40" w:line="240" w:lineRule="auto"/>
              <w:ind w:left="1049" w:hanging="737"/>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   UK</w:t>
            </w:r>
          </w:p>
        </w:tc>
        <w:tc>
          <w:tcPr>
            <w:tcW w:w="1980" w:type="dxa"/>
            <w:tcMar>
              <w:top w:w="0" w:type="dxa"/>
              <w:left w:w="108" w:type="dxa"/>
              <w:bottom w:w="0" w:type="dxa"/>
              <w:right w:w="108" w:type="dxa"/>
            </w:tcMar>
            <w:vAlign w:val="center"/>
            <w:hideMark/>
          </w:tcPr>
          <w:p w:rsidR="00D14928" w:rsidRPr="00D14928" w:rsidRDefault="00D14928" w:rsidP="00D14928">
            <w:pPr>
              <w:spacing w:before="96" w:after="96" w:line="240" w:lineRule="auto"/>
              <w:jc w:val="right"/>
              <w:rPr>
                <w:rFonts w:ascii="Arial" w:eastAsia="Times New Roman" w:hAnsi="Arial" w:cs="Arial"/>
                <w:sz w:val="16"/>
                <w:szCs w:val="16"/>
                <w:lang w:eastAsia="en-GB"/>
              </w:rPr>
            </w:pPr>
            <w:r w:rsidRPr="00D14928">
              <w:rPr>
                <w:rFonts w:ascii="Arial" w:eastAsia="Times New Roman" w:hAnsi="Arial" w:cs="Arial"/>
                <w:sz w:val="18"/>
                <w:szCs w:val="18"/>
                <w:lang w:eastAsia="en-GB"/>
              </w:rPr>
              <w:t>11</w:t>
            </w:r>
          </w:p>
        </w:tc>
      </w:tr>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before="40" w:after="40" w:line="240" w:lineRule="auto"/>
              <w:ind w:left="1049" w:hanging="737"/>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   Europe</w:t>
            </w:r>
          </w:p>
        </w:tc>
        <w:tc>
          <w:tcPr>
            <w:tcW w:w="1980" w:type="dxa"/>
            <w:tcMar>
              <w:top w:w="0" w:type="dxa"/>
              <w:left w:w="108" w:type="dxa"/>
              <w:bottom w:w="0" w:type="dxa"/>
              <w:right w:w="108" w:type="dxa"/>
            </w:tcMar>
            <w:vAlign w:val="center"/>
            <w:hideMark/>
          </w:tcPr>
          <w:p w:rsidR="00D14928" w:rsidRPr="00D14928" w:rsidRDefault="00D14928" w:rsidP="00D14928">
            <w:pPr>
              <w:spacing w:before="96" w:after="96" w:line="240" w:lineRule="auto"/>
              <w:jc w:val="right"/>
              <w:rPr>
                <w:rFonts w:ascii="Arial" w:eastAsia="Times New Roman" w:hAnsi="Arial" w:cs="Arial"/>
                <w:sz w:val="16"/>
                <w:szCs w:val="16"/>
                <w:lang w:eastAsia="en-GB"/>
              </w:rPr>
            </w:pPr>
            <w:r w:rsidRPr="00D14928">
              <w:rPr>
                <w:rFonts w:ascii="Arial" w:eastAsia="Times New Roman" w:hAnsi="Arial" w:cs="Arial"/>
                <w:sz w:val="18"/>
                <w:szCs w:val="18"/>
                <w:lang w:eastAsia="en-GB"/>
              </w:rPr>
              <w:t>13</w:t>
            </w:r>
          </w:p>
        </w:tc>
      </w:tr>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before="40" w:after="40" w:line="240" w:lineRule="auto"/>
              <w:ind w:left="1049" w:hanging="737"/>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   Africa</w:t>
            </w:r>
          </w:p>
        </w:tc>
        <w:tc>
          <w:tcPr>
            <w:tcW w:w="1980" w:type="dxa"/>
            <w:tcMar>
              <w:top w:w="0" w:type="dxa"/>
              <w:left w:w="108" w:type="dxa"/>
              <w:bottom w:w="0" w:type="dxa"/>
              <w:right w:w="108" w:type="dxa"/>
            </w:tcMar>
            <w:vAlign w:val="center"/>
            <w:hideMark/>
          </w:tcPr>
          <w:p w:rsidR="00D14928" w:rsidRPr="00D14928" w:rsidRDefault="00D14928" w:rsidP="00D14928">
            <w:pPr>
              <w:spacing w:before="96" w:after="96" w:line="240" w:lineRule="auto"/>
              <w:jc w:val="right"/>
              <w:rPr>
                <w:rFonts w:ascii="Arial" w:eastAsia="Times New Roman" w:hAnsi="Arial" w:cs="Arial"/>
                <w:sz w:val="16"/>
                <w:szCs w:val="16"/>
                <w:lang w:eastAsia="en-GB"/>
              </w:rPr>
            </w:pPr>
            <w:r w:rsidRPr="00D14928">
              <w:rPr>
                <w:rFonts w:ascii="Arial" w:eastAsia="Times New Roman" w:hAnsi="Arial" w:cs="Arial"/>
                <w:sz w:val="18"/>
                <w:szCs w:val="18"/>
                <w:lang w:eastAsia="en-GB"/>
              </w:rPr>
              <w:t>15</w:t>
            </w:r>
          </w:p>
        </w:tc>
      </w:tr>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before="96" w:after="96" w:line="240" w:lineRule="auto"/>
              <w:ind w:left="284" w:hanging="284"/>
              <w:jc w:val="both"/>
              <w:rPr>
                <w:rFonts w:ascii="Arial" w:eastAsia="Times New Roman" w:hAnsi="Arial" w:cs="Arial"/>
                <w:sz w:val="18"/>
                <w:szCs w:val="18"/>
                <w:lang w:eastAsia="en-GB"/>
              </w:rPr>
            </w:pPr>
            <w:r w:rsidRPr="00D14928">
              <w:rPr>
                <w:rFonts w:ascii="Wingdings 2" w:eastAsia="Times New Roman" w:hAnsi="Wingdings 2" w:cs="Arial"/>
                <w:sz w:val="18"/>
                <w:szCs w:val="18"/>
                <w:lang w:eastAsia="en-GB"/>
              </w:rPr>
              <w:t></w:t>
            </w:r>
            <w:r w:rsidRPr="00D14928">
              <w:rPr>
                <w:rFonts w:ascii="Wingdings 2" w:eastAsia="Times New Roman" w:hAnsi="Wingdings 2" w:cs="Arial"/>
                <w:sz w:val="18"/>
                <w:szCs w:val="18"/>
                <w:lang w:eastAsia="en-GB"/>
              </w:rPr>
              <w:t></w:t>
            </w:r>
            <w:r w:rsidRPr="00D14928">
              <w:rPr>
                <w:rFonts w:ascii="Arial" w:eastAsia="Times New Roman" w:hAnsi="Arial" w:cs="Arial"/>
                <w:sz w:val="18"/>
                <w:szCs w:val="18"/>
                <w:lang w:eastAsia="en-GB"/>
              </w:rPr>
              <w:t>Barclaycard</w:t>
            </w:r>
          </w:p>
        </w:tc>
        <w:tc>
          <w:tcPr>
            <w:tcW w:w="1980" w:type="dxa"/>
            <w:tcMar>
              <w:top w:w="0" w:type="dxa"/>
              <w:left w:w="108" w:type="dxa"/>
              <w:bottom w:w="0" w:type="dxa"/>
              <w:right w:w="108" w:type="dxa"/>
            </w:tcMar>
            <w:vAlign w:val="center"/>
            <w:hideMark/>
          </w:tcPr>
          <w:p w:rsidR="00D14928" w:rsidRPr="00D14928" w:rsidRDefault="00D14928" w:rsidP="00D14928">
            <w:pPr>
              <w:spacing w:before="96" w:after="96" w:line="240" w:lineRule="auto"/>
              <w:jc w:val="right"/>
              <w:rPr>
                <w:rFonts w:ascii="Arial" w:eastAsia="Times New Roman" w:hAnsi="Arial" w:cs="Arial"/>
                <w:sz w:val="16"/>
                <w:szCs w:val="16"/>
                <w:lang w:eastAsia="en-GB"/>
              </w:rPr>
            </w:pPr>
            <w:r w:rsidRPr="00D14928">
              <w:rPr>
                <w:rFonts w:ascii="Arial" w:eastAsia="Times New Roman" w:hAnsi="Arial" w:cs="Arial"/>
                <w:sz w:val="18"/>
                <w:szCs w:val="18"/>
                <w:lang w:eastAsia="en-GB"/>
              </w:rPr>
              <w:t>17</w:t>
            </w:r>
          </w:p>
        </w:tc>
      </w:tr>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before="96" w:after="96" w:line="240" w:lineRule="auto"/>
              <w:ind w:left="284" w:hanging="284"/>
              <w:jc w:val="both"/>
              <w:rPr>
                <w:rFonts w:ascii="Arial" w:eastAsia="Times New Roman" w:hAnsi="Arial" w:cs="Arial"/>
                <w:sz w:val="18"/>
                <w:szCs w:val="18"/>
                <w:lang w:eastAsia="en-GB"/>
              </w:rPr>
            </w:pPr>
            <w:r w:rsidRPr="00D14928">
              <w:rPr>
                <w:rFonts w:ascii="Wingdings 2" w:eastAsia="Times New Roman" w:hAnsi="Wingdings 2" w:cs="Arial"/>
                <w:sz w:val="18"/>
                <w:szCs w:val="18"/>
                <w:lang w:eastAsia="en-GB"/>
              </w:rPr>
              <w:t></w:t>
            </w:r>
            <w:r w:rsidRPr="00D14928">
              <w:rPr>
                <w:rFonts w:ascii="Wingdings 2" w:eastAsia="Times New Roman" w:hAnsi="Wingdings 2" w:cs="Arial"/>
                <w:sz w:val="18"/>
                <w:szCs w:val="18"/>
                <w:lang w:eastAsia="en-GB"/>
              </w:rPr>
              <w:t></w:t>
            </w:r>
            <w:r w:rsidRPr="00D14928">
              <w:rPr>
                <w:rFonts w:ascii="Arial" w:eastAsia="Times New Roman" w:hAnsi="Arial" w:cs="Arial"/>
                <w:sz w:val="18"/>
                <w:szCs w:val="18"/>
                <w:lang w:eastAsia="en-GB"/>
              </w:rPr>
              <w:t>Investment Bank</w:t>
            </w:r>
          </w:p>
        </w:tc>
        <w:tc>
          <w:tcPr>
            <w:tcW w:w="1980" w:type="dxa"/>
            <w:tcMar>
              <w:top w:w="0" w:type="dxa"/>
              <w:left w:w="108" w:type="dxa"/>
              <w:bottom w:w="0" w:type="dxa"/>
              <w:right w:w="108" w:type="dxa"/>
            </w:tcMar>
            <w:vAlign w:val="center"/>
            <w:hideMark/>
          </w:tcPr>
          <w:p w:rsidR="00D14928" w:rsidRPr="00D14928" w:rsidRDefault="00D14928" w:rsidP="00D14928">
            <w:pPr>
              <w:spacing w:before="96" w:after="96" w:line="240" w:lineRule="auto"/>
              <w:jc w:val="right"/>
              <w:rPr>
                <w:rFonts w:ascii="Arial" w:eastAsia="Times New Roman" w:hAnsi="Arial" w:cs="Arial"/>
                <w:sz w:val="16"/>
                <w:szCs w:val="16"/>
                <w:lang w:eastAsia="en-GB"/>
              </w:rPr>
            </w:pPr>
            <w:r w:rsidRPr="00D14928">
              <w:rPr>
                <w:rFonts w:ascii="Arial" w:eastAsia="Times New Roman" w:hAnsi="Arial" w:cs="Arial"/>
                <w:sz w:val="18"/>
                <w:szCs w:val="18"/>
                <w:lang w:eastAsia="en-GB"/>
              </w:rPr>
              <w:t>19</w:t>
            </w:r>
          </w:p>
        </w:tc>
      </w:tr>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before="96" w:after="96" w:line="240" w:lineRule="auto"/>
              <w:ind w:left="284" w:hanging="284"/>
              <w:jc w:val="both"/>
              <w:rPr>
                <w:rFonts w:ascii="Arial" w:eastAsia="Times New Roman" w:hAnsi="Arial" w:cs="Arial"/>
                <w:sz w:val="18"/>
                <w:szCs w:val="18"/>
                <w:lang w:eastAsia="en-GB"/>
              </w:rPr>
            </w:pPr>
            <w:r w:rsidRPr="00D14928">
              <w:rPr>
                <w:rFonts w:ascii="Wingdings 2" w:eastAsia="Times New Roman" w:hAnsi="Wingdings 2" w:cs="Arial"/>
                <w:sz w:val="18"/>
                <w:szCs w:val="18"/>
                <w:lang w:eastAsia="en-GB"/>
              </w:rPr>
              <w:t></w:t>
            </w:r>
            <w:r w:rsidRPr="00D14928">
              <w:rPr>
                <w:rFonts w:ascii="Wingdings 2" w:eastAsia="Times New Roman" w:hAnsi="Wingdings 2" w:cs="Arial"/>
                <w:sz w:val="18"/>
                <w:szCs w:val="18"/>
                <w:lang w:eastAsia="en-GB"/>
              </w:rPr>
              <w:t></w:t>
            </w:r>
            <w:r w:rsidRPr="00D14928">
              <w:rPr>
                <w:rFonts w:ascii="Arial" w:eastAsia="Times New Roman" w:hAnsi="Arial" w:cs="Arial"/>
                <w:sz w:val="18"/>
                <w:szCs w:val="18"/>
                <w:lang w:eastAsia="en-GB"/>
              </w:rPr>
              <w:t>Corporate Banking</w:t>
            </w:r>
          </w:p>
        </w:tc>
        <w:tc>
          <w:tcPr>
            <w:tcW w:w="1980" w:type="dxa"/>
            <w:tcMar>
              <w:top w:w="0" w:type="dxa"/>
              <w:left w:w="108" w:type="dxa"/>
              <w:bottom w:w="0" w:type="dxa"/>
              <w:right w:w="108" w:type="dxa"/>
            </w:tcMar>
            <w:vAlign w:val="center"/>
            <w:hideMark/>
          </w:tcPr>
          <w:p w:rsidR="00D14928" w:rsidRPr="00D14928" w:rsidRDefault="00D14928" w:rsidP="00D14928">
            <w:pPr>
              <w:spacing w:before="96" w:after="96" w:line="240" w:lineRule="auto"/>
              <w:jc w:val="right"/>
              <w:rPr>
                <w:rFonts w:ascii="Arial" w:eastAsia="Times New Roman" w:hAnsi="Arial" w:cs="Arial"/>
                <w:sz w:val="16"/>
                <w:szCs w:val="16"/>
                <w:lang w:eastAsia="en-GB"/>
              </w:rPr>
            </w:pPr>
            <w:r w:rsidRPr="00D14928">
              <w:rPr>
                <w:rFonts w:ascii="Arial" w:eastAsia="Times New Roman" w:hAnsi="Arial" w:cs="Arial"/>
                <w:sz w:val="18"/>
                <w:szCs w:val="18"/>
                <w:lang w:eastAsia="en-GB"/>
              </w:rPr>
              <w:t>21</w:t>
            </w:r>
          </w:p>
        </w:tc>
      </w:tr>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before="96" w:after="96" w:line="240" w:lineRule="auto"/>
              <w:ind w:left="284" w:hanging="284"/>
              <w:jc w:val="both"/>
              <w:rPr>
                <w:rFonts w:ascii="Arial" w:eastAsia="Times New Roman" w:hAnsi="Arial" w:cs="Arial"/>
                <w:sz w:val="18"/>
                <w:szCs w:val="18"/>
                <w:lang w:eastAsia="en-GB"/>
              </w:rPr>
            </w:pPr>
            <w:r w:rsidRPr="00D14928">
              <w:rPr>
                <w:rFonts w:ascii="Wingdings 2" w:eastAsia="Times New Roman" w:hAnsi="Wingdings 2" w:cs="Arial"/>
                <w:sz w:val="18"/>
                <w:szCs w:val="18"/>
                <w:lang w:eastAsia="en-GB"/>
              </w:rPr>
              <w:t></w:t>
            </w:r>
            <w:r w:rsidRPr="00D14928">
              <w:rPr>
                <w:rFonts w:ascii="Wingdings 2" w:eastAsia="Times New Roman" w:hAnsi="Wingdings 2" w:cs="Arial"/>
                <w:sz w:val="18"/>
                <w:szCs w:val="18"/>
                <w:lang w:eastAsia="en-GB"/>
              </w:rPr>
              <w:t></w:t>
            </w:r>
            <w:r w:rsidRPr="00D14928">
              <w:rPr>
                <w:rFonts w:ascii="Arial" w:eastAsia="Times New Roman" w:hAnsi="Arial" w:cs="Arial"/>
                <w:sz w:val="18"/>
                <w:szCs w:val="18"/>
                <w:lang w:eastAsia="en-GB"/>
              </w:rPr>
              <w:t>Wealth and Investment Management</w:t>
            </w:r>
          </w:p>
        </w:tc>
        <w:tc>
          <w:tcPr>
            <w:tcW w:w="1980" w:type="dxa"/>
            <w:tcMar>
              <w:top w:w="0" w:type="dxa"/>
              <w:left w:w="108" w:type="dxa"/>
              <w:bottom w:w="0" w:type="dxa"/>
              <w:right w:w="108" w:type="dxa"/>
            </w:tcMar>
            <w:vAlign w:val="center"/>
            <w:hideMark/>
          </w:tcPr>
          <w:p w:rsidR="00D14928" w:rsidRPr="00D14928" w:rsidRDefault="00D14928" w:rsidP="00D14928">
            <w:pPr>
              <w:spacing w:before="96" w:after="96" w:line="240" w:lineRule="auto"/>
              <w:jc w:val="right"/>
              <w:rPr>
                <w:rFonts w:ascii="Arial" w:eastAsia="Times New Roman" w:hAnsi="Arial" w:cs="Arial"/>
                <w:sz w:val="16"/>
                <w:szCs w:val="16"/>
                <w:lang w:eastAsia="en-GB"/>
              </w:rPr>
            </w:pPr>
            <w:r w:rsidRPr="00D14928">
              <w:rPr>
                <w:rFonts w:ascii="Arial" w:eastAsia="Times New Roman" w:hAnsi="Arial" w:cs="Arial"/>
                <w:sz w:val="18"/>
                <w:szCs w:val="18"/>
                <w:lang w:eastAsia="en-GB"/>
              </w:rPr>
              <w:t>23</w:t>
            </w:r>
          </w:p>
        </w:tc>
      </w:tr>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before="96" w:after="96" w:line="240" w:lineRule="auto"/>
              <w:ind w:left="284" w:hanging="284"/>
              <w:jc w:val="both"/>
              <w:rPr>
                <w:rFonts w:ascii="Arial" w:eastAsia="Times New Roman" w:hAnsi="Arial" w:cs="Arial"/>
                <w:sz w:val="18"/>
                <w:szCs w:val="18"/>
                <w:lang w:eastAsia="en-GB"/>
              </w:rPr>
            </w:pPr>
            <w:r w:rsidRPr="00D14928">
              <w:rPr>
                <w:rFonts w:ascii="Wingdings 2" w:eastAsia="Times New Roman" w:hAnsi="Wingdings 2" w:cs="Arial"/>
                <w:sz w:val="18"/>
                <w:szCs w:val="18"/>
                <w:lang w:eastAsia="en-GB"/>
              </w:rPr>
              <w:t></w:t>
            </w:r>
            <w:r w:rsidRPr="00D14928">
              <w:rPr>
                <w:rFonts w:ascii="Wingdings 2" w:eastAsia="Times New Roman" w:hAnsi="Wingdings 2" w:cs="Arial"/>
                <w:sz w:val="18"/>
                <w:szCs w:val="18"/>
                <w:lang w:eastAsia="en-GB"/>
              </w:rPr>
              <w:t></w:t>
            </w:r>
            <w:r w:rsidRPr="00D14928">
              <w:rPr>
                <w:rFonts w:ascii="Arial" w:eastAsia="Times New Roman" w:hAnsi="Arial" w:cs="Arial"/>
                <w:sz w:val="18"/>
                <w:szCs w:val="18"/>
                <w:lang w:eastAsia="en-GB"/>
              </w:rPr>
              <w:t>Head Office and Other Operations</w:t>
            </w:r>
          </w:p>
        </w:tc>
        <w:tc>
          <w:tcPr>
            <w:tcW w:w="1980" w:type="dxa"/>
            <w:tcMar>
              <w:top w:w="0" w:type="dxa"/>
              <w:left w:w="108" w:type="dxa"/>
              <w:bottom w:w="0" w:type="dxa"/>
              <w:right w:w="108" w:type="dxa"/>
            </w:tcMar>
            <w:vAlign w:val="center"/>
            <w:hideMark/>
          </w:tcPr>
          <w:p w:rsidR="00D14928" w:rsidRPr="00D14928" w:rsidRDefault="00D14928" w:rsidP="00D14928">
            <w:pPr>
              <w:spacing w:before="96" w:after="96" w:line="240" w:lineRule="auto"/>
              <w:jc w:val="right"/>
              <w:rPr>
                <w:rFonts w:ascii="Arial" w:eastAsia="Times New Roman" w:hAnsi="Arial" w:cs="Arial"/>
                <w:sz w:val="16"/>
                <w:szCs w:val="16"/>
                <w:lang w:eastAsia="en-GB"/>
              </w:rPr>
            </w:pPr>
            <w:r w:rsidRPr="00D14928">
              <w:rPr>
                <w:rFonts w:ascii="Arial" w:eastAsia="Times New Roman" w:hAnsi="Arial" w:cs="Arial"/>
                <w:sz w:val="18"/>
                <w:szCs w:val="18"/>
                <w:lang w:eastAsia="en-GB"/>
              </w:rPr>
              <w:t>25</w:t>
            </w:r>
          </w:p>
        </w:tc>
      </w:tr>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before="96" w:after="96" w:line="240" w:lineRule="auto"/>
              <w:ind w:left="284" w:hanging="284"/>
              <w:rPr>
                <w:rFonts w:ascii="Arial" w:eastAsia="Times New Roman" w:hAnsi="Arial" w:cs="Arial"/>
                <w:sz w:val="18"/>
                <w:szCs w:val="18"/>
                <w:lang w:eastAsia="en-GB"/>
              </w:rPr>
            </w:pPr>
            <w:r w:rsidRPr="00D14928">
              <w:rPr>
                <w:rFonts w:ascii="Arial" w:eastAsia="Times New Roman" w:hAnsi="Arial" w:cs="Arial"/>
                <w:sz w:val="18"/>
                <w:szCs w:val="18"/>
                <w:lang w:eastAsia="en-GB"/>
              </w:rPr>
              <w:t>Appendix I - Performance Management</w:t>
            </w:r>
          </w:p>
        </w:tc>
        <w:tc>
          <w:tcPr>
            <w:tcW w:w="1980" w:type="dxa"/>
            <w:tcMar>
              <w:top w:w="0" w:type="dxa"/>
              <w:left w:w="108" w:type="dxa"/>
              <w:bottom w:w="0" w:type="dxa"/>
              <w:right w:w="108" w:type="dxa"/>
            </w:tcMar>
            <w:vAlign w:val="center"/>
            <w:hideMark/>
          </w:tcPr>
          <w:p w:rsidR="00D14928" w:rsidRPr="00D14928" w:rsidRDefault="00D14928" w:rsidP="00D14928">
            <w:pPr>
              <w:spacing w:before="96" w:after="96" w:line="240" w:lineRule="auto"/>
              <w:jc w:val="right"/>
              <w:rPr>
                <w:rFonts w:ascii="Arial" w:eastAsia="Times New Roman" w:hAnsi="Arial" w:cs="Arial"/>
                <w:sz w:val="18"/>
                <w:szCs w:val="18"/>
                <w:lang w:eastAsia="en-GB"/>
              </w:rPr>
            </w:pPr>
            <w:r w:rsidRPr="00D14928">
              <w:rPr>
                <w:rFonts w:ascii="Arial" w:eastAsia="Times New Roman" w:hAnsi="Arial" w:cs="Arial"/>
                <w:sz w:val="18"/>
                <w:szCs w:val="18"/>
                <w:lang w:eastAsia="en-GB"/>
              </w:rPr>
              <w:t>27</w:t>
            </w:r>
          </w:p>
        </w:tc>
      </w:tr>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before="96" w:after="96" w:line="240" w:lineRule="auto"/>
              <w:rPr>
                <w:rFonts w:ascii="Arial" w:eastAsia="Times New Roman" w:hAnsi="Arial" w:cs="Arial"/>
                <w:sz w:val="16"/>
                <w:szCs w:val="16"/>
                <w:lang w:eastAsia="en-GB"/>
              </w:rPr>
            </w:pPr>
            <w:r w:rsidRPr="00D14928">
              <w:rPr>
                <w:rFonts w:ascii="Arial" w:eastAsia="Times New Roman" w:hAnsi="Arial" w:cs="Arial"/>
                <w:sz w:val="18"/>
                <w:szCs w:val="18"/>
                <w:lang w:eastAsia="en-GB"/>
              </w:rPr>
              <w:t>Appendix II - Balance Sheet and Capital</w:t>
            </w:r>
          </w:p>
        </w:tc>
        <w:tc>
          <w:tcPr>
            <w:tcW w:w="1980" w:type="dxa"/>
            <w:tcMar>
              <w:top w:w="0" w:type="dxa"/>
              <w:left w:w="108" w:type="dxa"/>
              <w:bottom w:w="0" w:type="dxa"/>
              <w:right w:w="108" w:type="dxa"/>
            </w:tcMar>
            <w:vAlign w:val="center"/>
            <w:hideMark/>
          </w:tcPr>
          <w:p w:rsidR="00D14928" w:rsidRPr="00D14928" w:rsidRDefault="00D14928" w:rsidP="00D14928">
            <w:pPr>
              <w:spacing w:before="96" w:after="96" w:line="240" w:lineRule="auto"/>
              <w:jc w:val="right"/>
              <w:rPr>
                <w:rFonts w:ascii="Arial" w:eastAsia="Times New Roman" w:hAnsi="Arial" w:cs="Arial"/>
                <w:sz w:val="18"/>
                <w:szCs w:val="18"/>
                <w:lang w:eastAsia="en-GB"/>
              </w:rPr>
            </w:pPr>
            <w:r w:rsidRPr="00D14928">
              <w:rPr>
                <w:rFonts w:ascii="Arial" w:eastAsia="Times New Roman" w:hAnsi="Arial" w:cs="Arial"/>
                <w:sz w:val="18"/>
                <w:szCs w:val="18"/>
                <w:lang w:eastAsia="en-GB"/>
              </w:rPr>
              <w:t>29</w:t>
            </w:r>
          </w:p>
        </w:tc>
      </w:tr>
      <w:tr w:rsidR="00D14928" w:rsidRPr="00D14928" w:rsidTr="00D14928">
        <w:tc>
          <w:tcPr>
            <w:tcW w:w="7440" w:type="dxa"/>
            <w:tcMar>
              <w:top w:w="0" w:type="dxa"/>
              <w:left w:w="108" w:type="dxa"/>
              <w:bottom w:w="0" w:type="dxa"/>
              <w:right w:w="108" w:type="dxa"/>
            </w:tcMar>
            <w:vAlign w:val="center"/>
            <w:hideMark/>
          </w:tcPr>
          <w:p w:rsidR="00D14928" w:rsidRPr="00D14928" w:rsidRDefault="00D14928" w:rsidP="00D14928">
            <w:pPr>
              <w:spacing w:before="96" w:after="96" w:line="240" w:lineRule="auto"/>
              <w:ind w:left="284" w:hanging="284"/>
              <w:rPr>
                <w:rFonts w:ascii="Arial" w:eastAsia="Times New Roman" w:hAnsi="Arial" w:cs="Arial"/>
                <w:sz w:val="18"/>
                <w:szCs w:val="18"/>
                <w:lang w:eastAsia="en-GB"/>
              </w:rPr>
            </w:pPr>
            <w:r w:rsidRPr="00D14928">
              <w:rPr>
                <w:rFonts w:ascii="Arial" w:eastAsia="Times New Roman" w:hAnsi="Arial" w:cs="Arial"/>
                <w:sz w:val="18"/>
                <w:szCs w:val="18"/>
                <w:lang w:eastAsia="en-GB"/>
              </w:rPr>
              <w:t>Appendix III - Credit Market Exposures</w:t>
            </w:r>
          </w:p>
        </w:tc>
        <w:tc>
          <w:tcPr>
            <w:tcW w:w="1980" w:type="dxa"/>
            <w:tcMar>
              <w:top w:w="0" w:type="dxa"/>
              <w:left w:w="108" w:type="dxa"/>
              <w:bottom w:w="0" w:type="dxa"/>
              <w:right w:w="108" w:type="dxa"/>
            </w:tcMar>
            <w:vAlign w:val="center"/>
            <w:hideMark/>
          </w:tcPr>
          <w:p w:rsidR="00D14928" w:rsidRPr="00D14928" w:rsidRDefault="00D14928" w:rsidP="00D14928">
            <w:pPr>
              <w:spacing w:before="96" w:after="96" w:line="240" w:lineRule="auto"/>
              <w:jc w:val="right"/>
              <w:rPr>
                <w:rFonts w:ascii="Arial" w:eastAsia="Times New Roman" w:hAnsi="Arial" w:cs="Arial"/>
                <w:sz w:val="18"/>
                <w:szCs w:val="18"/>
                <w:lang w:eastAsia="en-GB"/>
              </w:rPr>
            </w:pPr>
            <w:r w:rsidRPr="00D14928">
              <w:rPr>
                <w:rFonts w:ascii="Arial" w:eastAsia="Times New Roman" w:hAnsi="Arial" w:cs="Arial"/>
                <w:sz w:val="18"/>
                <w:szCs w:val="18"/>
                <w:lang w:eastAsia="en-GB"/>
              </w:rPr>
              <w:t>30</w:t>
            </w:r>
          </w:p>
        </w:tc>
      </w:tr>
    </w:tbl>
    <w:p w:rsidR="00D14928" w:rsidRPr="00D14928" w:rsidRDefault="00D14928" w:rsidP="00D14928">
      <w:pPr>
        <w:spacing w:before="180" w:after="180" w:line="240" w:lineRule="auto"/>
        <w:jc w:val="center"/>
        <w:rPr>
          <w:rFonts w:ascii="Arial" w:eastAsia="Times New Roman" w:hAnsi="Arial" w:cs="Arial"/>
          <w:sz w:val="12"/>
          <w:szCs w:val="12"/>
          <w:lang w:eastAsia="en-GB"/>
        </w:rPr>
      </w:pPr>
      <w:r w:rsidRPr="00D14928">
        <w:rPr>
          <w:rFonts w:ascii="Arial" w:eastAsia="Times New Roman" w:hAnsi="Arial" w:cs="Arial"/>
          <w:sz w:val="12"/>
          <w:szCs w:val="12"/>
          <w:lang w:eastAsia="en-GB"/>
        </w:rPr>
        <w:t> </w:t>
      </w:r>
    </w:p>
    <w:p w:rsidR="00D14928" w:rsidRPr="00D14928" w:rsidRDefault="00D14928" w:rsidP="00D14928">
      <w:pPr>
        <w:spacing w:before="180" w:after="180" w:line="240" w:lineRule="auto"/>
        <w:jc w:val="center"/>
        <w:rPr>
          <w:rFonts w:ascii="Arial" w:eastAsia="Times New Roman" w:hAnsi="Arial" w:cs="Arial"/>
          <w:sz w:val="12"/>
          <w:szCs w:val="12"/>
          <w:lang w:eastAsia="en-GB"/>
        </w:rPr>
      </w:pPr>
      <w:r w:rsidRPr="00D14928">
        <w:rPr>
          <w:rFonts w:ascii="Arial" w:eastAsia="Times New Roman" w:hAnsi="Arial" w:cs="Arial"/>
          <w:sz w:val="12"/>
          <w:szCs w:val="12"/>
          <w:lang w:eastAsia="en-GB"/>
        </w:rPr>
        <w:t> </w:t>
      </w:r>
    </w:p>
    <w:p w:rsidR="00D14928" w:rsidRPr="00D14928" w:rsidRDefault="00D14928" w:rsidP="00D14928">
      <w:pPr>
        <w:spacing w:before="180" w:after="180" w:line="240" w:lineRule="auto"/>
        <w:jc w:val="center"/>
        <w:rPr>
          <w:rFonts w:ascii="Arial" w:eastAsia="Times New Roman" w:hAnsi="Arial" w:cs="Arial"/>
          <w:sz w:val="12"/>
          <w:szCs w:val="12"/>
          <w:lang w:eastAsia="en-GB"/>
        </w:rPr>
      </w:pPr>
      <w:r w:rsidRPr="00D14928">
        <w:rPr>
          <w:rFonts w:ascii="Arial" w:eastAsia="Times New Roman" w:hAnsi="Arial" w:cs="Arial"/>
          <w:sz w:val="12"/>
          <w:szCs w:val="12"/>
          <w:lang w:eastAsia="en-GB"/>
        </w:rPr>
        <w:t> </w:t>
      </w:r>
    </w:p>
    <w:p w:rsidR="00D14928" w:rsidRPr="00D14928" w:rsidRDefault="00D14928" w:rsidP="00D14928">
      <w:pPr>
        <w:spacing w:before="180" w:after="180" w:line="240" w:lineRule="auto"/>
        <w:jc w:val="center"/>
        <w:rPr>
          <w:rFonts w:ascii="Arial" w:eastAsia="Times New Roman" w:hAnsi="Arial" w:cs="Arial"/>
          <w:sz w:val="12"/>
          <w:szCs w:val="12"/>
          <w:lang w:eastAsia="en-GB"/>
        </w:rPr>
      </w:pPr>
      <w:r w:rsidRPr="00D14928">
        <w:rPr>
          <w:rFonts w:ascii="Arial" w:eastAsia="Times New Roman" w:hAnsi="Arial" w:cs="Arial"/>
          <w:sz w:val="12"/>
          <w:szCs w:val="12"/>
          <w:lang w:eastAsia="en-GB"/>
        </w:rPr>
        <w:t> </w:t>
      </w:r>
    </w:p>
    <w:p w:rsidR="00D14928" w:rsidRPr="00D14928" w:rsidRDefault="00D14928" w:rsidP="00D14928">
      <w:pPr>
        <w:spacing w:before="180" w:after="180" w:line="240" w:lineRule="auto"/>
        <w:jc w:val="center"/>
        <w:rPr>
          <w:rFonts w:ascii="Arial" w:eastAsia="Times New Roman" w:hAnsi="Arial" w:cs="Arial"/>
          <w:sz w:val="12"/>
          <w:szCs w:val="12"/>
          <w:lang w:eastAsia="en-GB"/>
        </w:rPr>
      </w:pPr>
      <w:r w:rsidRPr="00D14928">
        <w:rPr>
          <w:rFonts w:ascii="Arial" w:eastAsia="Times New Roman" w:hAnsi="Arial" w:cs="Arial"/>
          <w:sz w:val="12"/>
          <w:szCs w:val="12"/>
          <w:lang w:eastAsia="en-GB"/>
        </w:rPr>
        <w:t> </w:t>
      </w:r>
    </w:p>
    <w:p w:rsidR="00D14928" w:rsidRPr="00D14928" w:rsidRDefault="00D14928" w:rsidP="00D14928">
      <w:pPr>
        <w:spacing w:before="180" w:after="180" w:line="240" w:lineRule="auto"/>
        <w:jc w:val="center"/>
        <w:rPr>
          <w:rFonts w:ascii="Arial" w:eastAsia="Times New Roman" w:hAnsi="Arial" w:cs="Arial"/>
          <w:sz w:val="12"/>
          <w:szCs w:val="12"/>
          <w:lang w:eastAsia="en-GB"/>
        </w:rPr>
      </w:pPr>
      <w:r w:rsidRPr="00D14928">
        <w:rPr>
          <w:rFonts w:ascii="Arial" w:eastAsia="Times New Roman" w:hAnsi="Arial" w:cs="Arial"/>
          <w:sz w:val="12"/>
          <w:szCs w:val="12"/>
          <w:lang w:eastAsia="en-GB"/>
        </w:rPr>
        <w:t>BARCLAYS PLC, 1 CHURCHILL PLACE, LONDON, E14 5HP, UNITED KINGDOM. TELEPHONE: +44 (0) 20 7116 1000. COMPANY NO. 48839</w:t>
      </w:r>
    </w:p>
    <w:p w:rsidR="00D14928" w:rsidRPr="00D14928" w:rsidRDefault="00D14928" w:rsidP="00D14928">
      <w:pPr>
        <w:spacing w:after="180"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color w:val="000000"/>
          <w:sz w:val="24"/>
          <w:szCs w:val="24"/>
          <w:lang w:eastAsia="en-GB"/>
        </w:rPr>
        <w:br w:type="page"/>
      </w:r>
      <w:r w:rsidRPr="00D14928">
        <w:rPr>
          <w:rFonts w:ascii="Arial" w:eastAsia="Times New Roman" w:hAnsi="Arial" w:cs="Arial"/>
          <w:sz w:val="16"/>
          <w:szCs w:val="16"/>
          <w:lang w:eastAsia="en-GB"/>
        </w:rPr>
        <w:lastRenderedPageBreak/>
        <w:t>The term Barclays or Group refers to Barclays PLC together with its subsidiaries. Unless otherwise stated, the income statement analysis compares the twelve months to 31 December 2012 to the corresponding twelve months of 2011 and balance sheet comparatives relate to 31 December 2011. The abbreviations '£m' and '£</w:t>
      </w:r>
      <w:proofErr w:type="spellStart"/>
      <w:r w:rsidRPr="00D14928">
        <w:rPr>
          <w:rFonts w:ascii="Arial" w:eastAsia="Times New Roman" w:hAnsi="Arial" w:cs="Arial"/>
          <w:sz w:val="16"/>
          <w:szCs w:val="16"/>
          <w:lang w:eastAsia="en-GB"/>
        </w:rPr>
        <w:t>bn</w:t>
      </w:r>
      <w:proofErr w:type="spellEnd"/>
      <w:r w:rsidRPr="00D14928">
        <w:rPr>
          <w:rFonts w:ascii="Arial" w:eastAsia="Times New Roman" w:hAnsi="Arial" w:cs="Arial"/>
          <w:sz w:val="16"/>
          <w:szCs w:val="16"/>
          <w:lang w:eastAsia="en-GB"/>
        </w:rPr>
        <w:t>' represent millions and thousands of millions of pounds sterling respectively; and the abbreviations '$m' and '$</w:t>
      </w:r>
      <w:proofErr w:type="spellStart"/>
      <w:r w:rsidRPr="00D14928">
        <w:rPr>
          <w:rFonts w:ascii="Arial" w:eastAsia="Times New Roman" w:hAnsi="Arial" w:cs="Arial"/>
          <w:sz w:val="16"/>
          <w:szCs w:val="16"/>
          <w:lang w:eastAsia="en-GB"/>
        </w:rPr>
        <w:t>bn</w:t>
      </w:r>
      <w:proofErr w:type="spellEnd"/>
      <w:r w:rsidRPr="00D14928">
        <w:rPr>
          <w:rFonts w:ascii="Arial" w:eastAsia="Times New Roman" w:hAnsi="Arial" w:cs="Arial"/>
          <w:sz w:val="16"/>
          <w:szCs w:val="16"/>
          <w:lang w:eastAsia="en-GB"/>
        </w:rPr>
        <w:t>' represent millions and thousands of millions of US dollars respectively.</w:t>
      </w:r>
    </w:p>
    <w:p w:rsidR="00D14928" w:rsidRPr="00D14928" w:rsidRDefault="00D14928" w:rsidP="00D14928">
      <w:pPr>
        <w:spacing w:before="120" w:after="120" w:line="240" w:lineRule="auto"/>
        <w:jc w:val="both"/>
        <w:rPr>
          <w:rFonts w:ascii="Arial" w:eastAsia="Times New Roman" w:hAnsi="Arial" w:cs="Arial"/>
          <w:sz w:val="18"/>
          <w:szCs w:val="18"/>
          <w:lang w:eastAsia="en-GB"/>
        </w:rPr>
      </w:pPr>
      <w:r w:rsidRPr="00D14928">
        <w:rPr>
          <w:rFonts w:ascii="Arial" w:eastAsia="Times New Roman" w:hAnsi="Arial" w:cs="Arial"/>
          <w:sz w:val="16"/>
          <w:szCs w:val="16"/>
          <w:lang w:eastAsia="en-GB"/>
        </w:rPr>
        <w:t xml:space="preserve">Adjusted profit before tax and adjusted performance metrics have been presented to provide a more consistent basis for comparing business performance between periods. Adjusting items are considered to be significant and not representative of the underlying business performance. Items excluded from the adjusted measures are: the impact of own credit; gains on debt buy-backs; impairment and disposal of the investment in </w:t>
      </w:r>
      <w:proofErr w:type="spellStart"/>
      <w:r w:rsidRPr="00D14928">
        <w:rPr>
          <w:rFonts w:ascii="Arial" w:eastAsia="Times New Roman" w:hAnsi="Arial" w:cs="Arial"/>
          <w:sz w:val="16"/>
          <w:szCs w:val="16"/>
          <w:lang w:eastAsia="en-GB"/>
        </w:rPr>
        <w:t>BlackRock</w:t>
      </w:r>
      <w:proofErr w:type="spellEnd"/>
      <w:r w:rsidRPr="00D14928">
        <w:rPr>
          <w:rFonts w:ascii="Arial" w:eastAsia="Times New Roman" w:hAnsi="Arial" w:cs="Arial"/>
          <w:sz w:val="16"/>
          <w:szCs w:val="16"/>
          <w:lang w:eastAsia="en-GB"/>
        </w:rPr>
        <w:t>, Inc.; the provision for Payment Protection Insurance redress payments and claims management costs (PPI redress); the provision for interest rate hedging products redress and claims management costs (provision for interest rate hedging products redress); goodwill impairments; and gains and losses on acquisitions and disposals. The regulatory penalties relating to the industry-wide investigation into the setting of interbank offered rates have not been excluded from adjusted measures.</w:t>
      </w:r>
    </w:p>
    <w:p w:rsidR="00D14928" w:rsidRPr="00D14928" w:rsidRDefault="00D14928" w:rsidP="00D14928">
      <w:pPr>
        <w:spacing w:before="120" w:after="120" w:line="240" w:lineRule="auto"/>
        <w:jc w:val="both"/>
        <w:rPr>
          <w:rFonts w:ascii="Arial" w:eastAsia="Times New Roman" w:hAnsi="Arial" w:cs="Arial"/>
          <w:sz w:val="18"/>
          <w:szCs w:val="18"/>
          <w:lang w:eastAsia="en-GB"/>
        </w:rPr>
      </w:pPr>
      <w:r w:rsidRPr="00D14928">
        <w:rPr>
          <w:rFonts w:ascii="Arial" w:eastAsia="Times New Roman" w:hAnsi="Arial" w:cs="Arial"/>
          <w:sz w:val="16"/>
          <w:szCs w:val="16"/>
          <w:lang w:eastAsia="en-GB"/>
        </w:rPr>
        <w:t>Relevant terms that are used in this document but are not defined under applicable regulatory guidance or International Financial Reporting Standards (IFRS) are explained in the Full Year 2012 Results glossary that can be accessed at www.barclays.com/results.</w:t>
      </w:r>
    </w:p>
    <w:p w:rsidR="00D14928" w:rsidRPr="00D14928" w:rsidRDefault="00D14928" w:rsidP="00D14928">
      <w:pPr>
        <w:spacing w:before="120" w:after="120" w:line="240" w:lineRule="auto"/>
        <w:jc w:val="both"/>
        <w:rPr>
          <w:rFonts w:ascii="Arial" w:eastAsia="Times New Roman" w:hAnsi="Arial" w:cs="Arial"/>
          <w:sz w:val="18"/>
          <w:szCs w:val="18"/>
          <w:lang w:eastAsia="en-GB"/>
        </w:rPr>
      </w:pPr>
      <w:r w:rsidRPr="00D14928">
        <w:rPr>
          <w:rFonts w:ascii="Arial" w:eastAsia="Times New Roman" w:hAnsi="Arial" w:cs="Arial"/>
          <w:sz w:val="16"/>
          <w:szCs w:val="16"/>
          <w:lang w:eastAsia="en-GB"/>
        </w:rPr>
        <w:t>The information in this announcement does not comprise statutory accounts or interim financial statements within the meaning of Section 434 of the Companies Act 2006 and IAS 34 respectively. Statutory accounts for the year ended 31 December 2012, which included certain information required for the Joint Annual Report on Form 20-F of Barclays PLC and Barclays Bank PLC to the US Securities and Exchange Commission (SEC) and which contained an unqualified audit report under Section 495 of the Companies Act 2006 and which did not make any statements under Section 498 of the Companies Act 2006, have been delivered to the Registrar of Companies in accordance with Section 441 of the Companies Act 2006.</w:t>
      </w:r>
    </w:p>
    <w:p w:rsidR="00D14928" w:rsidRPr="00D14928" w:rsidRDefault="00D14928" w:rsidP="00D14928">
      <w:pPr>
        <w:spacing w:before="120" w:after="120" w:line="240" w:lineRule="auto"/>
        <w:jc w:val="both"/>
        <w:rPr>
          <w:rFonts w:ascii="Arial" w:eastAsia="Times New Roman" w:hAnsi="Arial" w:cs="Arial"/>
          <w:b/>
          <w:bCs/>
          <w:sz w:val="16"/>
          <w:szCs w:val="16"/>
          <w:lang w:eastAsia="en-GB"/>
        </w:rPr>
      </w:pPr>
      <w:r w:rsidRPr="00D14928">
        <w:rPr>
          <w:rFonts w:ascii="Arial" w:eastAsia="Times New Roman" w:hAnsi="Arial" w:cs="Arial"/>
          <w:b/>
          <w:bCs/>
          <w:sz w:val="16"/>
          <w:szCs w:val="16"/>
          <w:lang w:eastAsia="en-GB"/>
        </w:rPr>
        <w:t>Forward-looking statements</w:t>
      </w:r>
    </w:p>
    <w:p w:rsidR="00D14928" w:rsidRPr="00D14928" w:rsidRDefault="00D14928" w:rsidP="00D14928">
      <w:pPr>
        <w:spacing w:before="120" w:after="120" w:line="240" w:lineRule="auto"/>
        <w:jc w:val="both"/>
        <w:rPr>
          <w:rFonts w:ascii="Arial" w:eastAsia="Times New Roman" w:hAnsi="Arial" w:cs="Arial"/>
          <w:sz w:val="18"/>
          <w:szCs w:val="18"/>
          <w:lang w:eastAsia="en-GB"/>
        </w:rPr>
      </w:pPr>
      <w:r w:rsidRPr="00D14928">
        <w:rPr>
          <w:rFonts w:ascii="Arial" w:eastAsia="Times New Roman" w:hAnsi="Arial" w:cs="Arial"/>
          <w:sz w:val="16"/>
          <w:szCs w:val="16"/>
          <w:lang w:eastAsia="en-GB"/>
        </w:rPr>
        <w:t>This document contains certain forward-looking statements within the meaning of Section 21E of the US Securities Exchange Act of 1934, as amended, and Section 27A of the US Securities Act of 1933, as amended, with respect to certain of the Group's plans and its current goals and expectations relating to its future financial condition and performance. Barclays cautions readers that no forward-looking statement is a guarantee of future performance and that actual results could differ materially from those contained in the forward-looking statements. These forward-looking statements can be identified by the fact that they do not relate only to historical or current facts. Forward-looking statements sometimes use words such as "may", "will", "seek", "continue", "aim", "anticipate", "target", "projected", "expect", "estimate", "intend", "plan", "goal", "believe", "achieve" or other words of similar meaning. Examples of forward-looking statements include, among others, statements regarding the Group's future financial position, income growth, assets, impairment charges, business strategy, capital ratios, leverage, payment of dividends, projected levels of growth in the banking and financial markets, projected costs, commitments in connection with the Transform Programme, estimates of capital expenditures and plans and objectives for future operations and other statements that are not historical fact. By their nature, forward-looking statements involve risk and uncertainty because they relate to future events and circumstances, including, but not limited to, UK domestic, Eurozone and global macroeconomic and business conditions, the effects of continued volatility in credit markets, market related risks such as changes in interest rates and foreign exchange rates, effects of changes in valuation of credit market exposures, changes in valuation of issued notes, the policies and actions of governmental and regulatory authorities (including requirements regarding capital and Group structures and the potential for one or more countries exiting the Eurozone), changes in legislation, the further development of standards and interpretations under International Financial Reporting Standards ("IFRS") and prudential capital rules applicable to past, current and future periods, evolving practices with regard to the interpretation and application of standards, the outcome of current and future legal proceedings, the success of future acquisitions and other strategic transactions and the impact of competition, a number of such factors being beyond the Group's control. As a result, the Group's actual future results may differ materially from the plans, goals, and expectations set forth in the Group's forward-looking statements.</w:t>
      </w:r>
    </w:p>
    <w:p w:rsidR="00D14928" w:rsidRPr="00D14928" w:rsidRDefault="00D14928" w:rsidP="00D14928">
      <w:pPr>
        <w:spacing w:before="120" w:line="240" w:lineRule="auto"/>
        <w:jc w:val="both"/>
        <w:rPr>
          <w:rFonts w:ascii="Arial" w:eastAsia="Times New Roman" w:hAnsi="Arial" w:cs="Arial"/>
          <w:sz w:val="18"/>
          <w:szCs w:val="18"/>
          <w:lang w:eastAsia="en-GB"/>
        </w:rPr>
      </w:pPr>
      <w:r w:rsidRPr="00D14928">
        <w:rPr>
          <w:rFonts w:ascii="Arial" w:eastAsia="Times New Roman" w:hAnsi="Arial" w:cs="Arial"/>
          <w:sz w:val="16"/>
          <w:szCs w:val="16"/>
          <w:lang w:eastAsia="en-GB"/>
        </w:rPr>
        <w:t xml:space="preserve">Any forward-looking statements made herein speak only as of the date they are made. Except as required by the Prudential Regulation Authority, the Financial Conduct Authority, the London Stock Exchange </w:t>
      </w:r>
      <w:proofErr w:type="spellStart"/>
      <w:r w:rsidRPr="00D14928">
        <w:rPr>
          <w:rFonts w:ascii="Arial" w:eastAsia="Times New Roman" w:hAnsi="Arial" w:cs="Arial"/>
          <w:sz w:val="16"/>
          <w:szCs w:val="16"/>
          <w:lang w:eastAsia="en-GB"/>
        </w:rPr>
        <w:t>plc</w:t>
      </w:r>
      <w:proofErr w:type="spellEnd"/>
      <w:r w:rsidRPr="00D14928">
        <w:rPr>
          <w:rFonts w:ascii="Arial" w:eastAsia="Times New Roman" w:hAnsi="Arial" w:cs="Arial"/>
          <w:sz w:val="16"/>
          <w:szCs w:val="16"/>
          <w:lang w:eastAsia="en-GB"/>
        </w:rPr>
        <w:t xml:space="preserve"> (the "LSE") or applicable law, Barclays expressly disclaims any obligation or undertaking to release publicly any updates or revisions to any forward-looking statements contained herein to reflect any change in Barclays' expectations with regard thereto or any change in events, conditions or circumstances on which any such statement is based. The reader should, however, consult any additional disclosures that Barclays has made or may make in documents it has published or may publish via the Regulatory News Service of the LSE and/or has filed or may file with the US Securities and Exchange Commission.</w:t>
      </w:r>
    </w:p>
    <w:p w:rsidR="00D14928" w:rsidRPr="00D14928" w:rsidRDefault="00D14928" w:rsidP="00D14928">
      <w:pPr>
        <w:spacing w:before="100" w:beforeAutospacing="1" w:after="100" w:afterAutospacing="1" w:line="240" w:lineRule="auto"/>
        <w:rPr>
          <w:rFonts w:ascii="Times New Roman" w:eastAsia="Times New Roman" w:hAnsi="Times New Roman" w:cs="Times New Roman"/>
          <w:sz w:val="24"/>
          <w:szCs w:val="24"/>
          <w:lang w:eastAsia="en-GB"/>
        </w:rPr>
      </w:pPr>
      <w:r w:rsidRPr="00D14928">
        <w:rPr>
          <w:rFonts w:ascii="Arial" w:eastAsia="Times New Roman" w:hAnsi="Arial" w:cs="Arial"/>
          <w:sz w:val="18"/>
          <w:szCs w:val="18"/>
          <w:lang w:eastAsia="en-GB"/>
        </w:rPr>
        <w:br w:type="page"/>
      </w:r>
    </w:p>
    <w:p w:rsidR="00D14928" w:rsidRPr="00D14928" w:rsidRDefault="00D14928" w:rsidP="00D14928">
      <w:pPr>
        <w:spacing w:after="180"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color w:val="000000"/>
          <w:sz w:val="24"/>
          <w:szCs w:val="24"/>
          <w:lang w:eastAsia="en-GB"/>
        </w:rPr>
        <w:lastRenderedPageBreak/>
        <w:t> </w:t>
      </w:r>
    </w:p>
    <w:p w:rsidR="00D14928" w:rsidRPr="00D14928" w:rsidRDefault="00D14928" w:rsidP="00D14928">
      <w:pPr>
        <w:spacing w:after="180"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sz w:val="24"/>
          <w:szCs w:val="24"/>
          <w:lang w:eastAsia="en-GB"/>
        </w:rPr>
        <w:t>Overview of Reporting Changes</w:t>
      </w:r>
    </w:p>
    <w:p w:rsidR="00D14928" w:rsidRPr="00D14928" w:rsidRDefault="00D14928" w:rsidP="00D14928">
      <w:pPr>
        <w:spacing w:after="0" w:line="240" w:lineRule="auto"/>
        <w:jc w:val="both"/>
        <w:rPr>
          <w:rFonts w:ascii="Arial" w:eastAsia="Times New Roman" w:hAnsi="Arial" w:cs="Arial"/>
          <w:sz w:val="10"/>
          <w:szCs w:val="10"/>
          <w:lang w:eastAsia="en-GB"/>
        </w:rPr>
      </w:pPr>
      <w:r w:rsidRPr="00D14928">
        <w:rPr>
          <w:rFonts w:ascii="Arial" w:eastAsia="Times New Roman" w:hAnsi="Arial" w:cs="Arial"/>
          <w:sz w:val="10"/>
          <w:szCs w:val="10"/>
          <w:lang w:eastAsia="en-GB"/>
        </w:rPr>
        <w:t> </w:t>
      </w:r>
    </w:p>
    <w:p w:rsidR="00D14928" w:rsidRPr="00D14928" w:rsidRDefault="00D14928" w:rsidP="00D14928">
      <w:pPr>
        <w:spacing w:before="60" w:after="80" w:line="240" w:lineRule="auto"/>
        <w:jc w:val="both"/>
        <w:rPr>
          <w:rFonts w:ascii="Arial" w:eastAsia="Times New Roman" w:hAnsi="Arial" w:cs="Arial"/>
          <w:sz w:val="12"/>
          <w:szCs w:val="12"/>
          <w:lang w:eastAsia="en-GB"/>
        </w:rPr>
      </w:pPr>
      <w:r w:rsidRPr="00D14928">
        <w:rPr>
          <w:rFonts w:ascii="Arial" w:eastAsia="Times New Roman" w:hAnsi="Arial" w:cs="Arial"/>
          <w:sz w:val="18"/>
          <w:szCs w:val="18"/>
          <w:lang w:eastAsia="en-GB"/>
        </w:rPr>
        <w:t xml:space="preserve">This document provides further details of the impact on the Group's results of the implementation of IFRS 10 </w:t>
      </w:r>
      <w:r w:rsidRPr="00D14928">
        <w:rPr>
          <w:rFonts w:ascii="Arial" w:eastAsia="Times New Roman" w:hAnsi="Arial" w:cs="Arial"/>
          <w:i/>
          <w:iCs/>
          <w:sz w:val="18"/>
          <w:szCs w:val="18"/>
          <w:lang w:eastAsia="en-GB"/>
        </w:rPr>
        <w:t>Consolidated Financial Statements</w:t>
      </w:r>
      <w:r w:rsidRPr="00D14928">
        <w:rPr>
          <w:rFonts w:ascii="Arial" w:eastAsia="Times New Roman" w:hAnsi="Arial" w:cs="Arial"/>
          <w:sz w:val="18"/>
          <w:szCs w:val="18"/>
          <w:lang w:eastAsia="en-GB"/>
        </w:rPr>
        <w:t xml:space="preserve"> and IAS 19 </w:t>
      </w:r>
      <w:r w:rsidRPr="00D14928">
        <w:rPr>
          <w:rFonts w:ascii="Arial" w:eastAsia="Times New Roman" w:hAnsi="Arial" w:cs="Arial"/>
          <w:i/>
          <w:iCs/>
          <w:sz w:val="18"/>
          <w:szCs w:val="18"/>
          <w:lang w:eastAsia="en-GB"/>
        </w:rPr>
        <w:t>Employee Benefits</w:t>
      </w:r>
      <w:r w:rsidRPr="00D14928">
        <w:rPr>
          <w:rFonts w:ascii="Arial" w:eastAsia="Times New Roman" w:hAnsi="Arial" w:cs="Arial"/>
          <w:sz w:val="18"/>
          <w:szCs w:val="18"/>
          <w:lang w:eastAsia="en-GB"/>
        </w:rPr>
        <w:t xml:space="preserve"> </w:t>
      </w:r>
      <w:r w:rsidRPr="00D14928">
        <w:rPr>
          <w:rFonts w:ascii="Arial" w:eastAsia="Times New Roman" w:hAnsi="Arial" w:cs="Arial"/>
          <w:i/>
          <w:iCs/>
          <w:sz w:val="18"/>
          <w:szCs w:val="18"/>
          <w:lang w:eastAsia="en-GB"/>
        </w:rPr>
        <w:t>(Revised 2011)</w:t>
      </w:r>
      <w:r w:rsidRPr="00D14928">
        <w:rPr>
          <w:rFonts w:ascii="Arial" w:eastAsia="Times New Roman" w:hAnsi="Arial" w:cs="Arial"/>
          <w:sz w:val="18"/>
          <w:szCs w:val="18"/>
          <w:lang w:eastAsia="en-GB"/>
        </w:rPr>
        <w:t>, as disclosed in the 2012 Barclays PLC Annual Report.</w:t>
      </w:r>
    </w:p>
    <w:p w:rsidR="00D14928" w:rsidRPr="00D14928" w:rsidRDefault="00D14928" w:rsidP="00D14928">
      <w:pPr>
        <w:spacing w:before="80" w:after="80" w:line="240" w:lineRule="auto"/>
        <w:jc w:val="both"/>
        <w:rPr>
          <w:rFonts w:ascii="Arial" w:eastAsia="Times New Roman" w:hAnsi="Arial" w:cs="Arial"/>
          <w:sz w:val="12"/>
          <w:szCs w:val="12"/>
          <w:lang w:eastAsia="en-GB"/>
        </w:rPr>
      </w:pPr>
      <w:r w:rsidRPr="00D14928">
        <w:rPr>
          <w:rFonts w:ascii="Arial" w:eastAsia="Times New Roman" w:hAnsi="Arial" w:cs="Arial"/>
          <w:sz w:val="18"/>
          <w:szCs w:val="18"/>
          <w:lang w:eastAsia="en-GB"/>
        </w:rPr>
        <w:t>It also outlines the impact to the Group's segmental results of the allocation of elements of the Head Office results to businesses and portfolio restatements between businesses.</w:t>
      </w:r>
    </w:p>
    <w:p w:rsidR="00D14928" w:rsidRPr="00D14928" w:rsidRDefault="00D14928" w:rsidP="00D14928">
      <w:pPr>
        <w:spacing w:before="80" w:after="80" w:line="240" w:lineRule="auto"/>
        <w:jc w:val="both"/>
        <w:rPr>
          <w:rFonts w:ascii="Arial" w:eastAsia="Times New Roman" w:hAnsi="Arial" w:cs="Arial"/>
          <w:sz w:val="12"/>
          <w:szCs w:val="12"/>
          <w:lang w:eastAsia="en-GB"/>
        </w:rPr>
      </w:pPr>
      <w:r w:rsidRPr="00D14928">
        <w:rPr>
          <w:rFonts w:ascii="Arial" w:eastAsia="Times New Roman" w:hAnsi="Arial" w:cs="Arial"/>
          <w:sz w:val="18"/>
          <w:szCs w:val="18"/>
          <w:lang w:eastAsia="en-GB"/>
        </w:rPr>
        <w:t>Whilst the Head Office allocation and portfolio restatements affect the reported results of the individual businesses, they have no impact on the Group's primary statements.</w:t>
      </w:r>
    </w:p>
    <w:p w:rsidR="00D14928" w:rsidRPr="00D14928" w:rsidRDefault="00D14928" w:rsidP="00D14928">
      <w:pPr>
        <w:spacing w:before="80" w:after="80" w:line="240" w:lineRule="auto"/>
        <w:jc w:val="both"/>
        <w:rPr>
          <w:rFonts w:ascii="Arial" w:eastAsia="Times New Roman" w:hAnsi="Arial" w:cs="Arial"/>
          <w:b/>
          <w:bCs/>
          <w:sz w:val="12"/>
          <w:szCs w:val="12"/>
          <w:lang w:eastAsia="en-GB"/>
        </w:rPr>
      </w:pPr>
      <w:r w:rsidRPr="00D14928">
        <w:rPr>
          <w:rFonts w:ascii="Arial" w:eastAsia="Times New Roman" w:hAnsi="Arial" w:cs="Arial"/>
          <w:b/>
          <w:bCs/>
          <w:sz w:val="24"/>
          <w:szCs w:val="24"/>
          <w:lang w:eastAsia="en-GB"/>
        </w:rPr>
        <w:t xml:space="preserve">Accounting Restatements </w:t>
      </w:r>
    </w:p>
    <w:p w:rsidR="00D14928" w:rsidRPr="00D14928" w:rsidRDefault="00D14928" w:rsidP="00D14928">
      <w:pPr>
        <w:spacing w:before="80" w:after="80" w:line="240" w:lineRule="auto"/>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IFRS 10 and IAS 19 (Revised 2011) became effective on 1 January 2013 and result in the restatements to the Barclays PLC results for the years ended 31 December 2011 and 2012. The 2012 results restatement reflects the application of both IFRS 10 and IAS 19. The 2011 results restatement reflects only the application of IAS 19, in line with IFRS 10 transition relief guidance.</w:t>
      </w:r>
    </w:p>
    <w:p w:rsidR="00D14928" w:rsidRPr="00D14928" w:rsidRDefault="00D14928" w:rsidP="00D14928">
      <w:pPr>
        <w:spacing w:before="120" w:after="120" w:line="240" w:lineRule="auto"/>
        <w:jc w:val="both"/>
        <w:rPr>
          <w:rFonts w:ascii="Arial" w:eastAsia="Times New Roman" w:hAnsi="Arial" w:cs="Arial"/>
          <w:b/>
          <w:bCs/>
          <w:sz w:val="12"/>
          <w:szCs w:val="12"/>
          <w:lang w:eastAsia="en-GB"/>
        </w:rPr>
      </w:pPr>
      <w:r w:rsidRPr="00D14928">
        <w:rPr>
          <w:rFonts w:ascii="Arial" w:eastAsia="Times New Roman" w:hAnsi="Arial" w:cs="Arial"/>
          <w:b/>
          <w:bCs/>
          <w:sz w:val="18"/>
          <w:szCs w:val="18"/>
          <w:lang w:eastAsia="en-GB"/>
        </w:rPr>
        <w:t>IFRS 10</w:t>
      </w:r>
    </w:p>
    <w:p w:rsidR="00D14928" w:rsidRPr="00D14928" w:rsidRDefault="00D14928" w:rsidP="00D14928">
      <w:pPr>
        <w:spacing w:before="80" w:after="80" w:line="240" w:lineRule="auto"/>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 xml:space="preserve">IFRS 10 replaced requirements in IAS 27 </w:t>
      </w:r>
      <w:r w:rsidRPr="00D14928">
        <w:rPr>
          <w:rFonts w:ascii="Arial" w:eastAsia="Times New Roman" w:hAnsi="Arial" w:cs="Arial"/>
          <w:i/>
          <w:iCs/>
          <w:sz w:val="18"/>
          <w:szCs w:val="18"/>
          <w:lang w:eastAsia="en-GB"/>
        </w:rPr>
        <w:t>Consolidated and Separate Financial Statements</w:t>
      </w:r>
      <w:r w:rsidRPr="00D14928">
        <w:rPr>
          <w:rFonts w:ascii="Arial" w:eastAsia="Times New Roman" w:hAnsi="Arial" w:cs="Arial"/>
          <w:sz w:val="18"/>
          <w:szCs w:val="18"/>
          <w:lang w:eastAsia="en-GB"/>
        </w:rPr>
        <w:t xml:space="preserve"> and SIC 12 </w:t>
      </w:r>
      <w:r w:rsidRPr="00D14928">
        <w:rPr>
          <w:rFonts w:ascii="Arial" w:eastAsia="Times New Roman" w:hAnsi="Arial" w:cs="Arial"/>
          <w:i/>
          <w:iCs/>
          <w:sz w:val="18"/>
          <w:szCs w:val="18"/>
          <w:lang w:eastAsia="en-GB"/>
        </w:rPr>
        <w:t>Consolidation - Special Purpose Entities</w:t>
      </w:r>
      <w:r w:rsidRPr="00D14928">
        <w:rPr>
          <w:rFonts w:ascii="Arial" w:eastAsia="Times New Roman" w:hAnsi="Arial" w:cs="Arial"/>
          <w:sz w:val="18"/>
          <w:szCs w:val="18"/>
          <w:lang w:eastAsia="en-GB"/>
        </w:rPr>
        <w:t>. This introduced new criteria to determine whether entities in which the Group has interests should be consolidated. The implementation of IFRS 10 resulted in the Group consolidating some entities that were previously not consolidated and deconsolidating some entities that were previously consolidated, principally impacting the consolidation of entities in the Investment Bank with credit market exposures.</w:t>
      </w:r>
    </w:p>
    <w:p w:rsidR="00D14928" w:rsidRPr="00D14928" w:rsidRDefault="00D14928" w:rsidP="00D14928">
      <w:pPr>
        <w:spacing w:before="120" w:after="120" w:line="240" w:lineRule="auto"/>
        <w:jc w:val="both"/>
        <w:rPr>
          <w:rFonts w:ascii="Arial" w:eastAsia="Times New Roman" w:hAnsi="Arial" w:cs="Arial"/>
          <w:b/>
          <w:bCs/>
          <w:sz w:val="12"/>
          <w:szCs w:val="12"/>
          <w:lang w:eastAsia="en-GB"/>
        </w:rPr>
      </w:pPr>
      <w:r w:rsidRPr="00D14928">
        <w:rPr>
          <w:rFonts w:ascii="Arial" w:eastAsia="Times New Roman" w:hAnsi="Arial" w:cs="Arial"/>
          <w:b/>
          <w:bCs/>
          <w:sz w:val="18"/>
          <w:szCs w:val="18"/>
          <w:lang w:eastAsia="en-GB"/>
        </w:rPr>
        <w:t>IAS 19</w:t>
      </w:r>
    </w:p>
    <w:p w:rsidR="00D14928" w:rsidRPr="00D14928" w:rsidRDefault="00D14928" w:rsidP="00D14928">
      <w:pPr>
        <w:spacing w:before="80" w:after="80" w:line="240" w:lineRule="auto"/>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The Group adopted IAS 19 (Revised 2011) from 1 January 2013 which, amongst other changes, requires actuarial gains and losses arising from defined benefit pension schemes to be recognised in full. Previously the Group deferred these over the remaining average service lives of the employees (known as the 'corridor' approach).</w:t>
      </w:r>
    </w:p>
    <w:p w:rsidR="00D14928" w:rsidRPr="00D14928" w:rsidRDefault="00D14928" w:rsidP="00D14928">
      <w:pPr>
        <w:spacing w:before="80" w:line="240" w:lineRule="auto"/>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The financial impact on the Group for the year ended 31 December 2012 had IFRS 10 and IAS 19 been adopted is shown in the table below:</w:t>
      </w:r>
    </w:p>
    <w:tbl>
      <w:tblPr>
        <w:tblW w:w="0" w:type="auto"/>
        <w:tblInd w:w="-36" w:type="dxa"/>
        <w:tblCellMar>
          <w:left w:w="0" w:type="dxa"/>
          <w:right w:w="0" w:type="dxa"/>
        </w:tblCellMar>
        <w:tblLook w:val="04A0" w:firstRow="1" w:lastRow="0" w:firstColumn="1" w:lastColumn="0" w:noHBand="0" w:noVBand="1"/>
      </w:tblPr>
      <w:tblGrid>
        <w:gridCol w:w="3525"/>
        <w:gridCol w:w="1035"/>
        <w:gridCol w:w="2190"/>
        <w:gridCol w:w="960"/>
        <w:gridCol w:w="1290"/>
      </w:tblGrid>
      <w:tr w:rsidR="00D14928" w:rsidRPr="00D14928" w:rsidTr="00D14928">
        <w:trPr>
          <w:trHeight w:val="255"/>
        </w:trPr>
        <w:tc>
          <w:tcPr>
            <w:tcW w:w="352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Impact of Accounting Restatements </w:t>
            </w:r>
          </w:p>
        </w:tc>
        <w:tc>
          <w:tcPr>
            <w:tcW w:w="103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219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Restatement Adjustments</w:t>
            </w:r>
          </w:p>
        </w:tc>
        <w:tc>
          <w:tcPr>
            <w:tcW w:w="96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9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482"/>
        <w:gridCol w:w="1076"/>
        <w:gridCol w:w="1069"/>
        <w:gridCol w:w="1071"/>
        <w:gridCol w:w="1076"/>
        <w:gridCol w:w="78"/>
        <w:gridCol w:w="1282"/>
      </w:tblGrid>
      <w:tr w:rsidR="00D14928" w:rsidRPr="00D14928" w:rsidTr="00D14928">
        <w:trPr>
          <w:trHeight w:val="510"/>
        </w:trPr>
        <w:tc>
          <w:tcPr>
            <w:tcW w:w="35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10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Published</w:t>
            </w:r>
          </w:p>
        </w:tc>
        <w:tc>
          <w:tcPr>
            <w:tcW w:w="10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IFRS 10</w:t>
            </w:r>
          </w:p>
        </w:tc>
        <w:tc>
          <w:tcPr>
            <w:tcW w:w="10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IAS 19</w:t>
            </w:r>
          </w:p>
        </w:tc>
        <w:tc>
          <w:tcPr>
            <w:tcW w:w="10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2012 as </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9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2011 as Restated (IAS 19 only)</w:t>
            </w:r>
          </w:p>
        </w:tc>
      </w:tr>
      <w:tr w:rsidR="00D14928" w:rsidRPr="00D14928" w:rsidTr="00D14928">
        <w:trPr>
          <w:trHeight w:val="255"/>
        </w:trPr>
        <w:tc>
          <w:tcPr>
            <w:tcW w:w="352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Adjusted Income Statement</w:t>
            </w:r>
            <w:r w:rsidRPr="00D14928">
              <w:rPr>
                <w:rFonts w:ascii="Arial" w:eastAsia="Times New Roman" w:hAnsi="Arial" w:cs="Arial"/>
                <w:color w:val="000000"/>
                <w:sz w:val="16"/>
                <w:szCs w:val="16"/>
                <w:vertAlign w:val="superscript"/>
                <w:lang w:eastAsia="en-GB"/>
              </w:rPr>
              <w:t xml:space="preserve"> </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9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r>
      <w:tr w:rsidR="00D14928" w:rsidRPr="00D14928" w:rsidTr="00D14928">
        <w:trPr>
          <w:trHeight w:val="255"/>
        </w:trPr>
        <w:tc>
          <w:tcPr>
            <w:tcW w:w="35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Profit before tax </w:t>
            </w: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7,048 </w:t>
            </w: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573 </w:t>
            </w: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w:t>
            </w: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7,599 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5,482 </w:t>
            </w:r>
          </w:p>
        </w:tc>
      </w:tr>
      <w:tr w:rsidR="00D14928" w:rsidRPr="00D14928" w:rsidTr="00D14928">
        <w:trPr>
          <w:trHeight w:val="255"/>
        </w:trPr>
        <w:tc>
          <w:tcPr>
            <w:tcW w:w="35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Tax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(2,025)</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(134)</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(2,159)</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(1,299)</w:t>
            </w:r>
          </w:p>
        </w:tc>
      </w:tr>
      <w:tr w:rsidR="00D14928" w:rsidRPr="00D14928" w:rsidTr="00D14928">
        <w:trPr>
          <w:trHeight w:val="255"/>
        </w:trPr>
        <w:tc>
          <w:tcPr>
            <w:tcW w:w="35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Profit after tax </w:t>
            </w: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5,023 </w:t>
            </w: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439 </w:t>
            </w: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(22)</w:t>
            </w: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5,440 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4,183 </w:t>
            </w:r>
          </w:p>
        </w:tc>
      </w:tr>
      <w:tr w:rsidR="00D14928" w:rsidRPr="00D14928" w:rsidTr="00D14928">
        <w:trPr>
          <w:trHeight w:val="90"/>
        </w:trPr>
        <w:tc>
          <w:tcPr>
            <w:tcW w:w="35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70"/>
        </w:trPr>
        <w:tc>
          <w:tcPr>
            <w:tcW w:w="35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Balance Sheet</w:t>
            </w:r>
            <w:r w:rsidRPr="00D14928">
              <w:rPr>
                <w:rFonts w:ascii="Arial" w:eastAsia="Times New Roman" w:hAnsi="Arial" w:cs="Arial"/>
                <w:b/>
                <w:bCs/>
                <w:color w:val="000000"/>
                <w:sz w:val="18"/>
                <w:szCs w:val="18"/>
                <w:vertAlign w:val="superscript"/>
                <w:lang w:eastAsia="en-GB"/>
              </w:rPr>
              <w:t xml:space="preserve">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55"/>
        </w:trPr>
        <w:tc>
          <w:tcPr>
            <w:tcW w:w="35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assets </w:t>
            </w: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1,490,321 </w:t>
            </w: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(144)</w:t>
            </w: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(1,842)</w:t>
            </w: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1,488,335 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1,562,083 </w:t>
            </w:r>
          </w:p>
        </w:tc>
      </w:tr>
      <w:tr w:rsidR="00D14928" w:rsidRPr="00D14928" w:rsidTr="00D14928">
        <w:trPr>
          <w:trHeight w:val="255"/>
        </w:trPr>
        <w:tc>
          <w:tcPr>
            <w:tcW w:w="35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liabilities </w:t>
            </w: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1,427,364 </w:t>
            </w: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333 </w:t>
            </w: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652 </w:t>
            </w: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1,428,349 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1,498,124 </w:t>
            </w:r>
          </w:p>
        </w:tc>
      </w:tr>
      <w:tr w:rsidR="00D14928" w:rsidRPr="00D14928" w:rsidTr="00D14928">
        <w:trPr>
          <w:trHeight w:val="255"/>
        </w:trPr>
        <w:tc>
          <w:tcPr>
            <w:tcW w:w="35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shareholders' equity </w:t>
            </w: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62,957 </w:t>
            </w: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(477)</w:t>
            </w: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(2,494)</w:t>
            </w: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59,986 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63,959 </w:t>
            </w:r>
          </w:p>
        </w:tc>
      </w:tr>
      <w:tr w:rsidR="00D14928" w:rsidRPr="00D14928" w:rsidTr="00D14928">
        <w:trPr>
          <w:trHeight w:val="90"/>
        </w:trPr>
        <w:tc>
          <w:tcPr>
            <w:tcW w:w="35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r w:rsidR="00D14928" w:rsidRPr="00D14928" w:rsidTr="00D14928">
        <w:trPr>
          <w:trHeight w:val="255"/>
        </w:trPr>
        <w:tc>
          <w:tcPr>
            <w:tcW w:w="35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Performance Measures</w:t>
            </w:r>
            <w:r w:rsidRPr="00D14928">
              <w:rPr>
                <w:rFonts w:ascii="Arial" w:eastAsia="Times New Roman" w:hAnsi="Arial" w:cs="Arial"/>
                <w:color w:val="000000"/>
                <w:sz w:val="16"/>
                <w:szCs w:val="16"/>
                <w:vertAlign w:val="superscript"/>
                <w:lang w:eastAsia="en-GB"/>
              </w:rPr>
              <w:t xml:space="preserve">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55"/>
        </w:trPr>
        <w:tc>
          <w:tcPr>
            <w:tcW w:w="35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Adjusted return on average shareholders' equity </w:t>
            </w: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7.8%</w:t>
            </w: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9.0%</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6.7%</w:t>
            </w:r>
          </w:p>
        </w:tc>
      </w:tr>
      <w:tr w:rsidR="00D14928" w:rsidRPr="00D14928" w:rsidTr="00D14928">
        <w:trPr>
          <w:trHeight w:val="255"/>
        </w:trPr>
        <w:tc>
          <w:tcPr>
            <w:tcW w:w="35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asset value per share </w:t>
            </w: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438p</w:t>
            </w: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(4p)</w:t>
            </w: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(20p)</w:t>
            </w: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414p</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446p</w:t>
            </w:r>
          </w:p>
        </w:tc>
      </w:tr>
      <w:tr w:rsidR="00D14928" w:rsidRPr="00D14928" w:rsidTr="00D14928">
        <w:trPr>
          <w:trHeight w:val="90"/>
        </w:trPr>
        <w:tc>
          <w:tcPr>
            <w:tcW w:w="35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55"/>
        </w:trPr>
        <w:tc>
          <w:tcPr>
            <w:tcW w:w="35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Capital</w:t>
            </w:r>
            <w:r w:rsidRPr="00D14928">
              <w:rPr>
                <w:rFonts w:ascii="Arial" w:eastAsia="Times New Roman" w:hAnsi="Arial" w:cs="Arial"/>
                <w:color w:val="000000"/>
                <w:sz w:val="16"/>
                <w:szCs w:val="16"/>
                <w:vertAlign w:val="superscript"/>
                <w:lang w:eastAsia="en-GB"/>
              </w:rPr>
              <w:t xml:space="preserve">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r w:rsidR="00D14928" w:rsidRPr="00D14928" w:rsidTr="00D14928">
        <w:trPr>
          <w:trHeight w:val="255"/>
        </w:trPr>
        <w:tc>
          <w:tcPr>
            <w:tcW w:w="35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Core Tier 1 capital</w:t>
            </w:r>
            <w:r w:rsidRPr="00D14928">
              <w:rPr>
                <w:rFonts w:ascii="Arial" w:eastAsia="Times New Roman" w:hAnsi="Arial" w:cs="Arial"/>
                <w:color w:val="000000"/>
                <w:sz w:val="13"/>
                <w:szCs w:val="13"/>
                <w:vertAlign w:val="superscript"/>
                <w:lang w:eastAsia="en-GB"/>
              </w:rPr>
              <w:t>1 </w:t>
            </w: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42,121 </w:t>
            </w: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(399)</w:t>
            </w: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10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41,722 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43,066 </w:t>
            </w:r>
          </w:p>
        </w:tc>
      </w:tr>
      <w:tr w:rsidR="00D14928" w:rsidRPr="00D14928" w:rsidTr="00D14928">
        <w:trPr>
          <w:trHeight w:val="255"/>
        </w:trPr>
        <w:tc>
          <w:tcPr>
            <w:tcW w:w="35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Core Tier 1 ratio (%)</w:t>
            </w:r>
            <w:r w:rsidRPr="00D14928">
              <w:rPr>
                <w:rFonts w:ascii="Arial" w:eastAsia="Times New Roman" w:hAnsi="Arial" w:cs="Arial"/>
                <w:b/>
                <w:bCs/>
                <w:color w:val="000000"/>
                <w:sz w:val="24"/>
                <w:szCs w:val="24"/>
                <w:vertAlign w:val="superscript"/>
                <w:lang w:eastAsia="en-GB"/>
              </w:rPr>
              <w:t xml:space="preserve"> </w:t>
            </w: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10.9%</w:t>
            </w: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10.8%</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11.0%</w:t>
            </w:r>
          </w:p>
        </w:tc>
      </w:tr>
    </w:tbl>
    <w:p w:rsidR="00D14928" w:rsidRPr="00D14928" w:rsidRDefault="00D14928" w:rsidP="00D14928">
      <w:pPr>
        <w:spacing w:before="80" w:after="80" w:line="240" w:lineRule="auto"/>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The positive financial impact of adopting IFRS 10 on the Group's results for the year ended 31 December 2012 principally reflects an increase in trading income and a reduction in impairment in the Investment Bank. However, there is a cumulative reduction in total shareholders' equity at 31 December 2012 of £477m as previously disclosed in the 2012 Barclays PLC Annual Report.</w:t>
      </w:r>
    </w:p>
    <w:p w:rsidR="00D14928" w:rsidRPr="00D14928" w:rsidRDefault="00D14928" w:rsidP="00D14928">
      <w:pPr>
        <w:spacing w:before="80" w:after="120" w:line="240" w:lineRule="auto"/>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lastRenderedPageBreak/>
        <w:t>Following the adoption of IAS 19, retirement benefit assets reduced by £2.3bn (2011: £1.8bn) and retirement benefit liabilities increased by £1.0bn (2011: reduced £0.1bn) as at 31 December 2012, with additional deferred tax assets recognised of £0.8bn (2011: £0.5bn), of which £0.4bn has been recognised in deferred tax assets and £0.4bn in deferred tax liabilities. As a result total assets reduced by £1.8bn and total liabilities increased by £0.7bn. Profit after tax for the period reduced by £22m (2011: £83m) with other comprehensive income lower by £2.4bn (2011: £1.2bn), resulting in a £2.5bn reduction in shareholders' equity.</w:t>
      </w:r>
    </w:p>
    <w:p w:rsidR="00D14928" w:rsidRPr="00D14928" w:rsidRDefault="00D14928" w:rsidP="00D14928">
      <w:pPr>
        <w:tabs>
          <w:tab w:val="left" w:pos="284"/>
        </w:tabs>
        <w:spacing w:after="20" w:line="240" w:lineRule="auto"/>
        <w:ind w:left="426" w:hanging="426"/>
        <w:jc w:val="both"/>
        <w:rPr>
          <w:rFonts w:ascii="Arial" w:eastAsia="Times New Roman" w:hAnsi="Arial" w:cs="Arial"/>
          <w:b/>
          <w:bCs/>
          <w:color w:val="000000"/>
          <w:sz w:val="24"/>
          <w:szCs w:val="24"/>
          <w:lang w:eastAsia="en-GB"/>
        </w:rPr>
      </w:pPr>
      <w:r w:rsidRPr="00D14928">
        <w:rPr>
          <w:rFonts w:ascii="Arial" w:eastAsia="Times New Roman" w:hAnsi="Arial" w:cs="Arial"/>
          <w:i/>
          <w:iCs/>
          <w:color w:val="000000"/>
          <w:sz w:val="14"/>
          <w:szCs w:val="14"/>
          <w:lang w:eastAsia="en-GB"/>
        </w:rPr>
        <w:t xml:space="preserve">1        The implementation of IAS 19 has no overall impact on the existing Core Tier 1 capital base as current regulatory rules require banks to </w:t>
      </w:r>
      <w:r>
        <w:rPr>
          <w:rFonts w:ascii="Arial" w:eastAsia="Times New Roman" w:hAnsi="Arial" w:cs="Arial"/>
          <w:i/>
          <w:iCs/>
          <w:color w:val="000000"/>
          <w:sz w:val="14"/>
          <w:szCs w:val="14"/>
          <w:lang w:eastAsia="en-GB"/>
        </w:rPr>
        <w:t xml:space="preserve"> </w:t>
      </w:r>
      <w:r w:rsidRPr="00D14928">
        <w:rPr>
          <w:rFonts w:ascii="Arial" w:eastAsia="Times New Roman" w:hAnsi="Arial" w:cs="Arial"/>
          <w:i/>
          <w:iCs/>
          <w:color w:val="000000"/>
          <w:sz w:val="14"/>
          <w:szCs w:val="14"/>
          <w:lang w:eastAsia="en-GB"/>
        </w:rPr>
        <w:t>derecognise any defined benefit pension asset from its capital base.</w:t>
      </w:r>
    </w:p>
    <w:p w:rsidR="00D14928" w:rsidRDefault="00D14928" w:rsidP="00D14928">
      <w:pPr>
        <w:spacing w:after="180" w:line="240" w:lineRule="auto"/>
        <w:jc w:val="both"/>
        <w:rPr>
          <w:rFonts w:ascii="Arial" w:eastAsia="Times New Roman" w:hAnsi="Arial" w:cs="Arial"/>
          <w:color w:val="000000"/>
          <w:sz w:val="24"/>
          <w:szCs w:val="24"/>
          <w:lang w:eastAsia="en-GB"/>
        </w:rPr>
      </w:pPr>
    </w:p>
    <w:p w:rsidR="00D14928" w:rsidRPr="00D14928" w:rsidRDefault="00D14928" w:rsidP="00D14928">
      <w:pPr>
        <w:spacing w:after="180"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sz w:val="24"/>
          <w:szCs w:val="24"/>
          <w:lang w:eastAsia="en-GB"/>
        </w:rPr>
        <w:t>Overview of Reporting Changes</w:t>
      </w:r>
    </w:p>
    <w:p w:rsidR="00D14928" w:rsidRPr="00D14928" w:rsidRDefault="00D14928" w:rsidP="00D14928">
      <w:pPr>
        <w:spacing w:after="0" w:line="240" w:lineRule="auto"/>
        <w:jc w:val="both"/>
        <w:rPr>
          <w:rFonts w:ascii="Arial" w:eastAsia="Times New Roman" w:hAnsi="Arial" w:cs="Arial"/>
          <w:sz w:val="10"/>
          <w:szCs w:val="10"/>
          <w:lang w:eastAsia="en-GB"/>
        </w:rPr>
      </w:pPr>
      <w:r w:rsidRPr="00D14928">
        <w:rPr>
          <w:rFonts w:ascii="Arial" w:eastAsia="Times New Roman" w:hAnsi="Arial" w:cs="Arial"/>
          <w:sz w:val="10"/>
          <w:szCs w:val="10"/>
          <w:lang w:eastAsia="en-GB"/>
        </w:rPr>
        <w:t> </w:t>
      </w:r>
    </w:p>
    <w:p w:rsidR="00D14928" w:rsidRPr="00D14928" w:rsidRDefault="00D14928" w:rsidP="00D14928">
      <w:pPr>
        <w:spacing w:before="60" w:after="120" w:line="240" w:lineRule="auto"/>
        <w:jc w:val="both"/>
        <w:rPr>
          <w:rFonts w:ascii="Arial" w:eastAsia="Times New Roman" w:hAnsi="Arial" w:cs="Arial"/>
          <w:b/>
          <w:bCs/>
          <w:sz w:val="12"/>
          <w:szCs w:val="12"/>
          <w:lang w:eastAsia="en-GB"/>
        </w:rPr>
      </w:pPr>
      <w:r w:rsidRPr="00D14928">
        <w:rPr>
          <w:rFonts w:ascii="Arial" w:eastAsia="Times New Roman" w:hAnsi="Arial" w:cs="Arial"/>
          <w:b/>
          <w:bCs/>
          <w:sz w:val="24"/>
          <w:szCs w:val="24"/>
          <w:lang w:eastAsia="en-GB"/>
        </w:rPr>
        <w:t xml:space="preserve">Segmental Restatements </w:t>
      </w:r>
    </w:p>
    <w:p w:rsidR="00D14928" w:rsidRPr="00D14928" w:rsidRDefault="00D14928" w:rsidP="00D14928">
      <w:pPr>
        <w:spacing w:before="120" w:after="120" w:line="240" w:lineRule="auto"/>
        <w:jc w:val="both"/>
        <w:rPr>
          <w:rFonts w:ascii="Arial" w:eastAsia="Times New Roman" w:hAnsi="Arial" w:cs="Arial"/>
          <w:b/>
          <w:bCs/>
          <w:sz w:val="12"/>
          <w:szCs w:val="12"/>
          <w:lang w:eastAsia="en-GB"/>
        </w:rPr>
      </w:pPr>
      <w:r w:rsidRPr="00D14928">
        <w:rPr>
          <w:rFonts w:ascii="Arial" w:eastAsia="Times New Roman" w:hAnsi="Arial" w:cs="Arial"/>
          <w:b/>
          <w:bCs/>
          <w:sz w:val="18"/>
          <w:szCs w:val="18"/>
          <w:lang w:eastAsia="en-GB"/>
        </w:rPr>
        <w:t>Head Office Allocations</w:t>
      </w:r>
    </w:p>
    <w:p w:rsidR="00D14928" w:rsidRPr="00D14928" w:rsidRDefault="00D14928" w:rsidP="00D14928">
      <w:pPr>
        <w:spacing w:before="120" w:after="120" w:line="240" w:lineRule="auto"/>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As stated in the full year results announcement, the Group has determined that it will allocate more elements of the Head Office results to the businesses, so that the aggregate of those businesses' results is more closely aligned to the Group's results, including Group return on equity. Segmental reporting reflects the information as presented to key management. For each income and expense item previously recorded in Head Office, consideration has been given to whether there is a logical basis for increased allocation of such items to other businesses:</w:t>
      </w:r>
    </w:p>
    <w:p w:rsidR="00D14928" w:rsidRPr="00D14928" w:rsidRDefault="00D14928" w:rsidP="00D14928">
      <w:pPr>
        <w:spacing w:before="120" w:after="120" w:line="240" w:lineRule="auto"/>
        <w:ind w:left="1418" w:hanging="284"/>
        <w:jc w:val="both"/>
        <w:rPr>
          <w:rFonts w:ascii="Arial" w:eastAsia="Times New Roman" w:hAnsi="Arial" w:cs="Arial"/>
          <w:sz w:val="18"/>
          <w:szCs w:val="18"/>
          <w:lang w:eastAsia="en-GB"/>
        </w:rPr>
      </w:pPr>
      <w:r w:rsidRPr="00D14928">
        <w:rPr>
          <w:rFonts w:ascii="Wingdings 2" w:eastAsia="Times New Roman" w:hAnsi="Wingdings 2" w:cs="Arial"/>
          <w:sz w:val="18"/>
          <w:szCs w:val="18"/>
          <w:lang w:eastAsia="en-GB"/>
        </w:rPr>
        <w:t></w:t>
      </w:r>
      <w:r w:rsidRPr="00D14928">
        <w:rPr>
          <w:rFonts w:ascii="Wingdings 2" w:eastAsia="Times New Roman" w:hAnsi="Wingdings 2" w:cs="Arial"/>
          <w:sz w:val="18"/>
          <w:szCs w:val="18"/>
          <w:lang w:eastAsia="en-GB"/>
        </w:rPr>
        <w:t></w:t>
      </w:r>
      <w:r w:rsidRPr="00D14928">
        <w:rPr>
          <w:rFonts w:ascii="Arial" w:eastAsia="Times New Roman" w:hAnsi="Arial" w:cs="Arial"/>
          <w:sz w:val="18"/>
          <w:szCs w:val="18"/>
          <w:lang w:eastAsia="en-GB"/>
        </w:rPr>
        <w:t>Intra-group allocation of funding costs and other income items now includes the majority of the costs of subordinated debt instruments, preference shares and allocation of liquidity costs; increased allocation of intra-group interest; and the elimination of fees to the Investment Bank for Structured Capital Markets activities. The allocation of the funding costs is based on the capital demand created by each business for the instruments from which these costs arise and intra-group interest is allocated on tangible equity of the businesses</w:t>
      </w:r>
    </w:p>
    <w:p w:rsidR="00D14928" w:rsidRPr="00D14928" w:rsidRDefault="00D14928" w:rsidP="00D14928">
      <w:pPr>
        <w:spacing w:before="120" w:after="120" w:line="240" w:lineRule="auto"/>
        <w:ind w:left="1418" w:hanging="284"/>
        <w:jc w:val="both"/>
        <w:rPr>
          <w:rFonts w:ascii="Arial" w:eastAsia="Times New Roman" w:hAnsi="Arial" w:cs="Arial"/>
          <w:sz w:val="18"/>
          <w:szCs w:val="18"/>
          <w:lang w:eastAsia="en-GB"/>
        </w:rPr>
      </w:pPr>
      <w:r w:rsidRPr="00D14928">
        <w:rPr>
          <w:rFonts w:ascii="Wingdings 2" w:eastAsia="Times New Roman" w:hAnsi="Wingdings 2" w:cs="Arial"/>
          <w:sz w:val="18"/>
          <w:szCs w:val="18"/>
          <w:lang w:eastAsia="en-GB"/>
        </w:rPr>
        <w:t></w:t>
      </w:r>
      <w:r w:rsidRPr="00D14928">
        <w:rPr>
          <w:rFonts w:ascii="Wingdings 2" w:eastAsia="Times New Roman" w:hAnsi="Wingdings 2" w:cs="Arial"/>
          <w:sz w:val="18"/>
          <w:szCs w:val="18"/>
          <w:lang w:eastAsia="en-GB"/>
        </w:rPr>
        <w:t></w:t>
      </w:r>
      <w:r w:rsidRPr="00D14928">
        <w:rPr>
          <w:rFonts w:ascii="Arial" w:eastAsia="Times New Roman" w:hAnsi="Arial" w:cs="Arial"/>
          <w:sz w:val="18"/>
          <w:szCs w:val="18"/>
          <w:lang w:eastAsia="en-GB"/>
        </w:rPr>
        <w:t>Head Office operating cost items, including the UK bank levy and Financial Services Compensation Scheme, have been allocated to businesses wherever practicable using the most appropriate driver of that cost</w:t>
      </w:r>
    </w:p>
    <w:p w:rsidR="00D14928" w:rsidRPr="00D14928" w:rsidRDefault="00D14928" w:rsidP="00D14928">
      <w:pPr>
        <w:spacing w:before="120" w:after="120" w:line="240" w:lineRule="auto"/>
        <w:ind w:left="1418" w:hanging="284"/>
        <w:jc w:val="both"/>
        <w:rPr>
          <w:rFonts w:ascii="Arial" w:eastAsia="Times New Roman" w:hAnsi="Arial" w:cs="Arial"/>
          <w:sz w:val="18"/>
          <w:szCs w:val="18"/>
          <w:lang w:eastAsia="en-GB"/>
        </w:rPr>
      </w:pPr>
      <w:r w:rsidRPr="00D14928">
        <w:rPr>
          <w:rFonts w:ascii="Wingdings 2" w:eastAsia="Times New Roman" w:hAnsi="Wingdings 2" w:cs="Arial"/>
          <w:sz w:val="18"/>
          <w:szCs w:val="18"/>
          <w:lang w:eastAsia="en-GB"/>
        </w:rPr>
        <w:t></w:t>
      </w:r>
      <w:r w:rsidRPr="00D14928">
        <w:rPr>
          <w:rFonts w:ascii="Wingdings 2" w:eastAsia="Times New Roman" w:hAnsi="Wingdings 2" w:cs="Arial"/>
          <w:sz w:val="18"/>
          <w:szCs w:val="18"/>
          <w:lang w:eastAsia="en-GB"/>
        </w:rPr>
        <w:t></w:t>
      </w:r>
      <w:r w:rsidRPr="00D14928">
        <w:rPr>
          <w:rFonts w:ascii="Arial" w:eastAsia="Times New Roman" w:hAnsi="Arial" w:cs="Arial"/>
          <w:sz w:val="18"/>
          <w:szCs w:val="18"/>
          <w:lang w:eastAsia="en-GB"/>
        </w:rPr>
        <w:t>The businesses average allocated equity has been calculated as 10.5% of average risk weighted assets (previously 10.0%) adjusted for capital deductions. This increase reflects the assumptions the Group uses for planning purposes in line with the long term management targets previously disclosed in the Strategic Review on 12 February 2013</w:t>
      </w:r>
    </w:p>
    <w:p w:rsidR="00D14928" w:rsidRPr="00D14928" w:rsidRDefault="00D14928" w:rsidP="00D14928">
      <w:pPr>
        <w:spacing w:before="120" w:after="120" w:line="240" w:lineRule="auto"/>
        <w:jc w:val="both"/>
        <w:rPr>
          <w:rFonts w:ascii="Calibri" w:eastAsia="Times New Roman" w:hAnsi="Calibri" w:cs="Times New Roman"/>
          <w:lang w:eastAsia="en-GB"/>
        </w:rPr>
      </w:pPr>
      <w:r w:rsidRPr="00D14928">
        <w:rPr>
          <w:rFonts w:ascii="Arial" w:eastAsia="Times New Roman" w:hAnsi="Arial" w:cs="Arial"/>
          <w:sz w:val="18"/>
          <w:szCs w:val="18"/>
          <w:lang w:eastAsia="en-GB"/>
        </w:rPr>
        <w:t>The residual Head Office result in the future will depend on the level of Group capital compared to the ratio used for allocation of capital to the businesses and other residual items which are not allocated to the businesses.</w:t>
      </w:r>
    </w:p>
    <w:p w:rsidR="00D14928" w:rsidRPr="00D14928" w:rsidRDefault="00D14928" w:rsidP="00D14928">
      <w:pPr>
        <w:spacing w:before="120" w:line="240" w:lineRule="auto"/>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The effect of the changes in allocation methodology on the 2012 and 2011 profit before tax by business are summarised in the table below:</w:t>
      </w:r>
    </w:p>
    <w:tbl>
      <w:tblPr>
        <w:tblW w:w="0" w:type="auto"/>
        <w:tblInd w:w="-36" w:type="dxa"/>
        <w:tblCellMar>
          <w:left w:w="0" w:type="dxa"/>
          <w:right w:w="0" w:type="dxa"/>
        </w:tblCellMar>
        <w:tblLook w:val="04A0" w:firstRow="1" w:lastRow="0" w:firstColumn="1" w:lastColumn="0" w:noHBand="0" w:noVBand="1"/>
      </w:tblPr>
      <w:tblGrid>
        <w:gridCol w:w="6797"/>
        <w:gridCol w:w="2337"/>
      </w:tblGrid>
      <w:tr w:rsidR="00D14928" w:rsidRPr="00D14928" w:rsidTr="00D14928">
        <w:trPr>
          <w:trHeight w:val="570"/>
        </w:trPr>
        <w:tc>
          <w:tcPr>
            <w:tcW w:w="7110"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Impact of Head Office Allocations</w:t>
            </w:r>
          </w:p>
        </w:tc>
        <w:tc>
          <w:tcPr>
            <w:tcW w:w="24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Impact on</w:t>
            </w:r>
          </w:p>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Profit Before Tax</w:t>
            </w: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6852"/>
        <w:gridCol w:w="1142"/>
        <w:gridCol w:w="1140"/>
      </w:tblGrid>
      <w:tr w:rsidR="00D14928" w:rsidRPr="00D14928" w:rsidTr="00D14928">
        <w:trPr>
          <w:trHeight w:val="255"/>
        </w:trPr>
        <w:tc>
          <w:tcPr>
            <w:tcW w:w="711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b/>
                <w:bCs/>
                <w:color w:val="000000"/>
                <w:sz w:val="16"/>
                <w:szCs w:val="16"/>
                <w:vertAlign w:val="superscript"/>
                <w:lang w:eastAsia="en-GB"/>
              </w:rPr>
              <w:t> </w:t>
            </w:r>
          </w:p>
        </w:tc>
        <w:tc>
          <w:tcPr>
            <w:tcW w:w="117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w:t>
            </w:r>
          </w:p>
        </w:tc>
        <w:tc>
          <w:tcPr>
            <w:tcW w:w="117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2011 </w:t>
            </w:r>
          </w:p>
        </w:tc>
      </w:tr>
      <w:tr w:rsidR="00D14928" w:rsidRPr="00D14928" w:rsidTr="00D14928">
        <w:trPr>
          <w:trHeight w:val="240"/>
        </w:trPr>
        <w:tc>
          <w:tcPr>
            <w:tcW w:w="71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11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11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r>
      <w:tr w:rsidR="00D14928" w:rsidRPr="00D14928" w:rsidTr="00D14928">
        <w:trPr>
          <w:trHeight w:val="240"/>
        </w:trPr>
        <w:tc>
          <w:tcPr>
            <w:tcW w:w="71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RBB </w:t>
            </w:r>
          </w:p>
        </w:tc>
        <w:tc>
          <w:tcPr>
            <w:tcW w:w="11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(220)</w:t>
            </w:r>
          </w:p>
        </w:tc>
        <w:tc>
          <w:tcPr>
            <w:tcW w:w="11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(136)</w:t>
            </w:r>
          </w:p>
        </w:tc>
      </w:tr>
      <w:tr w:rsidR="00D14928" w:rsidRPr="00D14928" w:rsidTr="00D14928">
        <w:trPr>
          <w:trHeight w:val="255"/>
        </w:trPr>
        <w:tc>
          <w:tcPr>
            <w:tcW w:w="7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Europe RBB </w:t>
            </w:r>
          </w:p>
        </w:tc>
        <w:tc>
          <w:tcPr>
            <w:tcW w:w="11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(57)</w:t>
            </w:r>
          </w:p>
        </w:tc>
        <w:tc>
          <w:tcPr>
            <w:tcW w:w="11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w:t>
            </w:r>
          </w:p>
        </w:tc>
      </w:tr>
      <w:tr w:rsidR="00D14928" w:rsidRPr="00D14928" w:rsidTr="00D14928">
        <w:trPr>
          <w:trHeight w:val="255"/>
        </w:trPr>
        <w:tc>
          <w:tcPr>
            <w:tcW w:w="7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Africa RBB </w:t>
            </w:r>
          </w:p>
        </w:tc>
        <w:tc>
          <w:tcPr>
            <w:tcW w:w="11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(98)</w:t>
            </w:r>
          </w:p>
        </w:tc>
        <w:tc>
          <w:tcPr>
            <w:tcW w:w="11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(80)</w:t>
            </w:r>
          </w:p>
        </w:tc>
      </w:tr>
      <w:tr w:rsidR="00D14928" w:rsidRPr="00D14928" w:rsidTr="00D14928">
        <w:trPr>
          <w:trHeight w:val="255"/>
        </w:trPr>
        <w:tc>
          <w:tcPr>
            <w:tcW w:w="7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Barclaycard </w:t>
            </w:r>
          </w:p>
        </w:tc>
        <w:tc>
          <w:tcPr>
            <w:tcW w:w="11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(58)</w:t>
            </w:r>
          </w:p>
        </w:tc>
        <w:tc>
          <w:tcPr>
            <w:tcW w:w="11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w:t>
            </w:r>
          </w:p>
        </w:tc>
      </w:tr>
      <w:tr w:rsidR="00D14928" w:rsidRPr="00D14928" w:rsidTr="00D14928">
        <w:trPr>
          <w:trHeight w:val="255"/>
        </w:trPr>
        <w:tc>
          <w:tcPr>
            <w:tcW w:w="7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Investment Bank </w:t>
            </w:r>
          </w:p>
        </w:tc>
        <w:tc>
          <w:tcPr>
            <w:tcW w:w="11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(701)</w:t>
            </w:r>
          </w:p>
        </w:tc>
        <w:tc>
          <w:tcPr>
            <w:tcW w:w="11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(573)</w:t>
            </w:r>
          </w:p>
        </w:tc>
      </w:tr>
      <w:tr w:rsidR="00D14928" w:rsidRPr="00D14928" w:rsidTr="00D14928">
        <w:trPr>
          <w:trHeight w:val="255"/>
        </w:trPr>
        <w:tc>
          <w:tcPr>
            <w:tcW w:w="7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Corporate Banking </w:t>
            </w:r>
          </w:p>
        </w:tc>
        <w:tc>
          <w:tcPr>
            <w:tcW w:w="11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(111)</w:t>
            </w:r>
          </w:p>
        </w:tc>
        <w:tc>
          <w:tcPr>
            <w:tcW w:w="11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w:t>
            </w:r>
          </w:p>
        </w:tc>
      </w:tr>
      <w:tr w:rsidR="00D14928" w:rsidRPr="00D14928" w:rsidTr="00D14928">
        <w:trPr>
          <w:trHeight w:val="255"/>
        </w:trPr>
        <w:tc>
          <w:tcPr>
            <w:tcW w:w="7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Wealth and Investment Management </w:t>
            </w:r>
          </w:p>
        </w:tc>
        <w:tc>
          <w:tcPr>
            <w:tcW w:w="11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w:t>
            </w:r>
          </w:p>
        </w:tc>
        <w:tc>
          <w:tcPr>
            <w:tcW w:w="11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w:t>
            </w:r>
          </w:p>
        </w:tc>
      </w:tr>
      <w:tr w:rsidR="00D14928" w:rsidRPr="00D14928" w:rsidTr="00D14928">
        <w:trPr>
          <w:trHeight w:val="255"/>
        </w:trPr>
        <w:tc>
          <w:tcPr>
            <w:tcW w:w="71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Head Office and Other Operations </w:t>
            </w:r>
          </w:p>
        </w:tc>
        <w:tc>
          <w:tcPr>
            <w:tcW w:w="11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1,281 </w:t>
            </w:r>
          </w:p>
        </w:tc>
        <w:tc>
          <w:tcPr>
            <w:tcW w:w="11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900 </w:t>
            </w:r>
          </w:p>
        </w:tc>
      </w:tr>
      <w:tr w:rsidR="00D14928" w:rsidRPr="00D14928" w:rsidTr="00D14928">
        <w:trPr>
          <w:trHeight w:val="255"/>
        </w:trPr>
        <w:tc>
          <w:tcPr>
            <w:tcW w:w="71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w:t>
            </w:r>
          </w:p>
        </w:tc>
        <w:tc>
          <w:tcPr>
            <w:tcW w:w="11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w:t>
            </w:r>
          </w:p>
        </w:tc>
        <w:tc>
          <w:tcPr>
            <w:tcW w:w="11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w:t>
            </w:r>
          </w:p>
        </w:tc>
      </w:tr>
    </w:tbl>
    <w:p w:rsidR="00D14928" w:rsidRPr="00D14928" w:rsidRDefault="00D14928" w:rsidP="00D14928">
      <w:pPr>
        <w:spacing w:before="120" w:after="120"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sz w:val="18"/>
          <w:szCs w:val="18"/>
          <w:lang w:eastAsia="en-GB"/>
        </w:rPr>
        <w:t xml:space="preserve">The net effect of the intra-group allocations is to increase Head Office profit before tax by £1,281m. Non-controlling interests in Head Office also reduce by £388m as a result of the allocation of preference share costs. The restated profit attributable to equity holders of the parent for each business, on which return on average equity and return on average tangible equity are calculated, is provided on page 28. </w:t>
      </w:r>
    </w:p>
    <w:p w:rsidR="00D14928" w:rsidRPr="00D14928" w:rsidRDefault="00D14928" w:rsidP="00D14928">
      <w:pPr>
        <w:spacing w:before="120" w:after="120" w:line="240" w:lineRule="auto"/>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lastRenderedPageBreak/>
        <w:t>The change in allocated equity reduces the average equity held at Head Office for the year ended 31 December 2012 from £8,939m to £4,313m.</w:t>
      </w:r>
    </w:p>
    <w:p w:rsidR="00D14928" w:rsidRPr="00D14928" w:rsidRDefault="00D14928" w:rsidP="00D14928">
      <w:pPr>
        <w:spacing w:before="120" w:after="120" w:line="240" w:lineRule="auto"/>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As noted in the Strategic Review on 12 February 2013, the Head Office allocation has the effect of reducing the published returns of the individual businesses. The Group level returns and 2015 financial targets are unaffected by this intra-group reallocation.</w:t>
      </w:r>
    </w:p>
    <w:p w:rsidR="00D14928" w:rsidRPr="00D14928" w:rsidRDefault="00D14928" w:rsidP="00D14928">
      <w:pPr>
        <w:spacing w:before="120" w:after="120" w:line="240" w:lineRule="auto"/>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The impact of the allocation of Head Office items to business units is to reduce the Return on Equity consumed by the Head Office by 3.5% (2011: 2.4%) from 4.3% to 0.8%.</w:t>
      </w:r>
    </w:p>
    <w:p w:rsidR="00D14928" w:rsidRDefault="00D14928" w:rsidP="00D14928">
      <w:pPr>
        <w:spacing w:after="180" w:line="240" w:lineRule="auto"/>
        <w:jc w:val="both"/>
        <w:rPr>
          <w:rFonts w:ascii="Arial" w:eastAsia="Times New Roman" w:hAnsi="Arial" w:cs="Arial"/>
          <w:color w:val="000000"/>
          <w:sz w:val="24"/>
          <w:szCs w:val="24"/>
          <w:lang w:eastAsia="en-GB"/>
        </w:rPr>
      </w:pPr>
    </w:p>
    <w:p w:rsidR="00D14928" w:rsidRPr="00D14928" w:rsidRDefault="00D14928" w:rsidP="00D14928">
      <w:pPr>
        <w:spacing w:after="180"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sz w:val="24"/>
          <w:szCs w:val="24"/>
          <w:lang w:eastAsia="en-GB"/>
        </w:rPr>
        <w:t>Overview of Reporting Changes</w:t>
      </w:r>
    </w:p>
    <w:p w:rsidR="00D14928" w:rsidRPr="00D14928" w:rsidRDefault="00D14928" w:rsidP="00D14928">
      <w:pPr>
        <w:spacing w:after="0" w:line="240" w:lineRule="auto"/>
        <w:jc w:val="both"/>
        <w:rPr>
          <w:rFonts w:ascii="Arial" w:eastAsia="Times New Roman" w:hAnsi="Arial" w:cs="Arial"/>
          <w:sz w:val="10"/>
          <w:szCs w:val="10"/>
          <w:lang w:eastAsia="en-GB"/>
        </w:rPr>
      </w:pPr>
      <w:r w:rsidRPr="00D14928">
        <w:rPr>
          <w:rFonts w:ascii="Arial" w:eastAsia="Times New Roman" w:hAnsi="Arial" w:cs="Arial"/>
          <w:sz w:val="10"/>
          <w:szCs w:val="10"/>
          <w:lang w:eastAsia="en-GB"/>
        </w:rPr>
        <w:t> </w:t>
      </w:r>
    </w:p>
    <w:p w:rsidR="00D14928" w:rsidRPr="00D14928" w:rsidRDefault="00D14928" w:rsidP="00D14928">
      <w:pPr>
        <w:spacing w:before="60" w:after="120" w:line="240" w:lineRule="auto"/>
        <w:jc w:val="both"/>
        <w:rPr>
          <w:rFonts w:ascii="Arial" w:eastAsia="Times New Roman" w:hAnsi="Arial" w:cs="Arial"/>
          <w:b/>
          <w:bCs/>
          <w:sz w:val="12"/>
          <w:szCs w:val="12"/>
          <w:lang w:eastAsia="en-GB"/>
        </w:rPr>
      </w:pPr>
      <w:r w:rsidRPr="00D14928">
        <w:rPr>
          <w:rFonts w:ascii="Arial" w:eastAsia="Times New Roman" w:hAnsi="Arial" w:cs="Arial"/>
          <w:b/>
          <w:bCs/>
          <w:sz w:val="18"/>
          <w:szCs w:val="18"/>
          <w:lang w:eastAsia="en-GB"/>
        </w:rPr>
        <w:t>Portfolio Restatements</w:t>
      </w:r>
    </w:p>
    <w:p w:rsidR="00D14928" w:rsidRPr="00D14928" w:rsidRDefault="00D14928" w:rsidP="00D14928">
      <w:pPr>
        <w:spacing w:before="120" w:after="120" w:line="240" w:lineRule="auto"/>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Some portfolio restatements have been implemented in Q1 2013 to reflect the management of the relevant businesses. In this document, the 2012 and 2011 individual business results have been restated to reflect these changes:</w:t>
      </w:r>
    </w:p>
    <w:p w:rsidR="00D14928" w:rsidRPr="00D14928" w:rsidRDefault="00D14928" w:rsidP="00D14928">
      <w:pPr>
        <w:spacing w:before="120" w:after="120" w:line="240" w:lineRule="auto"/>
        <w:ind w:left="709" w:hanging="284"/>
        <w:jc w:val="both"/>
        <w:rPr>
          <w:rFonts w:ascii="Arial" w:eastAsia="Times New Roman" w:hAnsi="Arial" w:cs="Arial"/>
          <w:sz w:val="18"/>
          <w:szCs w:val="18"/>
          <w:lang w:eastAsia="en-GB"/>
        </w:rPr>
      </w:pPr>
      <w:r w:rsidRPr="00D14928">
        <w:rPr>
          <w:rFonts w:ascii="Wingdings 2" w:eastAsia="Times New Roman" w:hAnsi="Wingdings 2" w:cs="Arial"/>
          <w:sz w:val="18"/>
          <w:szCs w:val="18"/>
          <w:lang w:eastAsia="en-GB"/>
        </w:rPr>
        <w:t></w:t>
      </w:r>
      <w:r w:rsidRPr="00D14928">
        <w:rPr>
          <w:rFonts w:ascii="Wingdings 2" w:eastAsia="Times New Roman" w:hAnsi="Wingdings 2" w:cs="Arial"/>
          <w:sz w:val="18"/>
          <w:szCs w:val="18"/>
          <w:lang w:eastAsia="en-GB"/>
        </w:rPr>
        <w:t></w:t>
      </w:r>
      <w:proofErr w:type="spellStart"/>
      <w:r w:rsidRPr="00D14928">
        <w:rPr>
          <w:rFonts w:ascii="Arial" w:eastAsia="Times New Roman" w:hAnsi="Arial" w:cs="Arial"/>
          <w:sz w:val="18"/>
          <w:szCs w:val="18"/>
          <w:lang w:eastAsia="en-GB"/>
        </w:rPr>
        <w:t>Ongoing</w:t>
      </w:r>
      <w:proofErr w:type="spellEnd"/>
      <w:r w:rsidRPr="00D14928">
        <w:rPr>
          <w:rFonts w:ascii="Arial" w:eastAsia="Times New Roman" w:hAnsi="Arial" w:cs="Arial"/>
          <w:sz w:val="18"/>
          <w:szCs w:val="18"/>
          <w:lang w:eastAsia="en-GB"/>
        </w:rPr>
        <w:t xml:space="preserve"> Europe Retail and Business Banking credit cards operations are transferred to Barclaycard (which already includes the Group's credit card operations in the UK and US, South Africa and other countries). This results in a profit before tax reallocation of £52m (2011: £70m) between the two businesses</w:t>
      </w:r>
    </w:p>
    <w:p w:rsidR="00D14928" w:rsidRPr="00D14928" w:rsidRDefault="00D14928" w:rsidP="00D14928">
      <w:pPr>
        <w:spacing w:before="120" w:after="120" w:line="240" w:lineRule="auto"/>
        <w:ind w:left="709" w:hanging="283"/>
        <w:jc w:val="both"/>
        <w:rPr>
          <w:rFonts w:ascii="Arial" w:eastAsia="Times New Roman" w:hAnsi="Arial" w:cs="Arial"/>
          <w:sz w:val="18"/>
          <w:szCs w:val="18"/>
          <w:lang w:eastAsia="en-GB"/>
        </w:rPr>
      </w:pPr>
      <w:r w:rsidRPr="00D14928">
        <w:rPr>
          <w:rFonts w:ascii="Wingdings 2" w:eastAsia="Times New Roman" w:hAnsi="Wingdings 2" w:cs="Arial"/>
          <w:sz w:val="18"/>
          <w:szCs w:val="18"/>
          <w:lang w:eastAsia="en-GB"/>
        </w:rPr>
        <w:t></w:t>
      </w:r>
      <w:r w:rsidRPr="00D14928">
        <w:rPr>
          <w:rFonts w:ascii="Wingdings 2" w:eastAsia="Times New Roman" w:hAnsi="Wingdings 2" w:cs="Arial"/>
          <w:sz w:val="18"/>
          <w:szCs w:val="18"/>
          <w:lang w:eastAsia="en-GB"/>
        </w:rPr>
        <w:t></w:t>
      </w:r>
      <w:r w:rsidRPr="00D14928">
        <w:rPr>
          <w:rFonts w:ascii="Arial" w:eastAsia="Times New Roman" w:hAnsi="Arial" w:cs="Arial"/>
          <w:sz w:val="18"/>
          <w:szCs w:val="18"/>
          <w:lang w:eastAsia="en-GB"/>
        </w:rPr>
        <w:t>Africa Retail and Business Banking - certain components are transferred to Corporate Banking and the Investment Bank:</w:t>
      </w:r>
    </w:p>
    <w:p w:rsidR="00D14928" w:rsidRPr="00D14928" w:rsidRDefault="00D14928" w:rsidP="00D14928">
      <w:pPr>
        <w:spacing w:before="120" w:after="120" w:line="240" w:lineRule="auto"/>
        <w:ind w:left="709" w:hanging="283"/>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    This includes alignment of existing corporate client relationships from retail to Corporate Banking, primarily all African subsidiaries of Barclays' global corporate client base and large local clients. This results in a profit before tax reallocation of £28m (2011: £31m) to Corporate Banking</w:t>
      </w:r>
    </w:p>
    <w:p w:rsidR="00D14928" w:rsidRPr="00D14928" w:rsidRDefault="00D14928" w:rsidP="00D14928">
      <w:pPr>
        <w:spacing w:before="120" w:after="120" w:line="240" w:lineRule="auto"/>
        <w:ind w:left="709" w:hanging="283"/>
        <w:jc w:val="both"/>
        <w:rPr>
          <w:rFonts w:ascii="Arial" w:eastAsia="Times New Roman" w:hAnsi="Arial" w:cs="Arial"/>
          <w:sz w:val="18"/>
          <w:szCs w:val="18"/>
          <w:lang w:eastAsia="en-GB"/>
        </w:rPr>
      </w:pPr>
      <w:r w:rsidRPr="00D14928">
        <w:rPr>
          <w:rFonts w:ascii="Arial" w:eastAsia="Times New Roman" w:hAnsi="Arial" w:cs="Arial"/>
          <w:sz w:val="18"/>
          <w:szCs w:val="18"/>
          <w:lang w:eastAsia="en-GB"/>
        </w:rPr>
        <w:t>-    Barclays Africa sales and trading activity is transferred to the Investment Bank (which already includes Absa Capital, the South Africa-based investment banking operation). This results in a profit before tax reallocation of £17m (2011: £17m) to the Investment Bank</w:t>
      </w:r>
    </w:p>
    <w:p w:rsidR="00D14928" w:rsidRPr="00D14928" w:rsidRDefault="00D14928" w:rsidP="00D14928">
      <w:pPr>
        <w:spacing w:before="120" w:after="120" w:line="240" w:lineRule="auto"/>
        <w:ind w:left="709" w:hanging="284"/>
        <w:jc w:val="both"/>
        <w:rPr>
          <w:rFonts w:ascii="Arial" w:eastAsia="Times New Roman" w:hAnsi="Arial" w:cs="Arial"/>
          <w:sz w:val="18"/>
          <w:szCs w:val="18"/>
          <w:lang w:eastAsia="en-GB"/>
        </w:rPr>
      </w:pPr>
      <w:r w:rsidRPr="00D14928">
        <w:rPr>
          <w:rFonts w:ascii="Wingdings 2" w:eastAsia="Times New Roman" w:hAnsi="Wingdings 2" w:cs="Arial"/>
          <w:sz w:val="18"/>
          <w:szCs w:val="18"/>
          <w:lang w:eastAsia="en-GB"/>
        </w:rPr>
        <w:t></w:t>
      </w:r>
      <w:r w:rsidRPr="00D14928">
        <w:rPr>
          <w:rFonts w:ascii="Wingdings 2" w:eastAsia="Times New Roman" w:hAnsi="Wingdings 2" w:cs="Arial"/>
          <w:sz w:val="18"/>
          <w:szCs w:val="18"/>
          <w:lang w:eastAsia="en-GB"/>
        </w:rPr>
        <w:t></w:t>
      </w:r>
      <w:r w:rsidRPr="00D14928">
        <w:rPr>
          <w:rFonts w:ascii="Arial" w:eastAsia="Times New Roman" w:hAnsi="Arial" w:cs="Arial"/>
          <w:sz w:val="18"/>
          <w:szCs w:val="18"/>
          <w:lang w:eastAsia="en-GB"/>
        </w:rPr>
        <w:t>Absa's debit cards operation is transferred from Barclaycard to Africa Retail and Business Banking (reflecting greater synergies with the Africa Retail and Business Banking business). This results in a profit before tax reallocation of £15m (2011: £18m) from Barclaycard to Africa Retail and Business Banking</w:t>
      </w:r>
    </w:p>
    <w:p w:rsidR="00D14928" w:rsidRPr="00D14928" w:rsidRDefault="00D14928" w:rsidP="00D14928">
      <w:pPr>
        <w:spacing w:before="120" w:after="120" w:line="240" w:lineRule="auto"/>
        <w:jc w:val="both"/>
        <w:rPr>
          <w:rFonts w:ascii="Arial" w:eastAsia="Times New Roman" w:hAnsi="Arial" w:cs="Arial"/>
          <w:b/>
          <w:bCs/>
          <w:sz w:val="12"/>
          <w:szCs w:val="12"/>
          <w:lang w:eastAsia="en-GB"/>
        </w:rPr>
      </w:pPr>
      <w:r w:rsidRPr="00D14928">
        <w:rPr>
          <w:rFonts w:ascii="Arial" w:eastAsia="Times New Roman" w:hAnsi="Arial" w:cs="Arial"/>
          <w:b/>
          <w:bCs/>
          <w:sz w:val="18"/>
          <w:szCs w:val="18"/>
          <w:lang w:eastAsia="en-GB"/>
        </w:rPr>
        <w:t>Change in Business Allocation of Employees</w:t>
      </w:r>
    </w:p>
    <w:p w:rsidR="00D14928" w:rsidRPr="00D14928" w:rsidRDefault="00D14928" w:rsidP="00D14928">
      <w:pPr>
        <w:spacing w:before="120" w:line="240" w:lineRule="auto"/>
        <w:jc w:val="both"/>
        <w:rPr>
          <w:rFonts w:ascii="Courier New" w:eastAsia="Times New Roman" w:hAnsi="Courier New" w:cs="Courier New"/>
          <w:sz w:val="18"/>
          <w:szCs w:val="18"/>
          <w:lang w:eastAsia="en-GB"/>
        </w:rPr>
      </w:pPr>
      <w:r w:rsidRPr="00D14928">
        <w:rPr>
          <w:rFonts w:ascii="Arial" w:eastAsia="Times New Roman" w:hAnsi="Arial" w:cs="Arial"/>
          <w:sz w:val="18"/>
          <w:szCs w:val="18"/>
          <w:lang w:eastAsia="en-GB"/>
        </w:rPr>
        <w:t xml:space="preserve">The Group has changed the allocation of full time equivalent employees so that they are allocated to businesses based upon utilisation of underlying headcount rather than the entity they are employed by. The change in business allocation includes 1,700 Head Office employees that are now allocated across the businesses. There is no impact on the Group's overall headcount. This document reflects this new allocation basis in both 2012 and 2011. </w:t>
      </w:r>
    </w:p>
    <w:tbl>
      <w:tblPr>
        <w:tblW w:w="0" w:type="auto"/>
        <w:tblInd w:w="-36" w:type="dxa"/>
        <w:tblCellMar>
          <w:left w:w="0" w:type="dxa"/>
          <w:right w:w="0" w:type="dxa"/>
        </w:tblCellMar>
        <w:tblLook w:val="04A0" w:firstRow="1" w:lastRow="0" w:firstColumn="1" w:lastColumn="0" w:noHBand="0" w:noVBand="1"/>
      </w:tblPr>
      <w:tblGrid>
        <w:gridCol w:w="3911"/>
        <w:gridCol w:w="1045"/>
        <w:gridCol w:w="1046"/>
        <w:gridCol w:w="1044"/>
        <w:gridCol w:w="1044"/>
        <w:gridCol w:w="1044"/>
      </w:tblGrid>
      <w:tr w:rsidR="00D14928" w:rsidRPr="00D14928" w:rsidTr="00D14928">
        <w:trPr>
          <w:trHeight w:val="570"/>
        </w:trPr>
        <w:tc>
          <w:tcPr>
            <w:tcW w:w="397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Impact of Change in Allocation of Employees</w:t>
            </w:r>
            <w:r w:rsidRPr="00D14928">
              <w:rPr>
                <w:rFonts w:ascii="Arial" w:eastAsia="Times New Roman" w:hAnsi="Arial" w:cs="Arial"/>
                <w:b/>
                <w:bCs/>
                <w:color w:val="000000"/>
                <w:sz w:val="20"/>
                <w:szCs w:val="20"/>
                <w:vertAlign w:val="superscript"/>
                <w:lang w:eastAsia="en-GB"/>
              </w:rPr>
              <w:t xml:space="preserve"> </w:t>
            </w:r>
          </w:p>
        </w:tc>
        <w:tc>
          <w:tcPr>
            <w:tcW w:w="105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 Published</w:t>
            </w:r>
          </w:p>
        </w:tc>
        <w:tc>
          <w:tcPr>
            <w:tcW w:w="105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Head Office Allocation</w:t>
            </w:r>
          </w:p>
        </w:tc>
        <w:tc>
          <w:tcPr>
            <w:tcW w:w="105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Group Structure</w:t>
            </w:r>
          </w:p>
        </w:tc>
        <w:tc>
          <w:tcPr>
            <w:tcW w:w="105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 Restated</w:t>
            </w:r>
          </w:p>
        </w:tc>
        <w:tc>
          <w:tcPr>
            <w:tcW w:w="105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2011 as Restated</w:t>
            </w:r>
          </w:p>
        </w:tc>
      </w:tr>
      <w:tr w:rsidR="00D14928" w:rsidRPr="00D14928" w:rsidTr="00D14928">
        <w:trPr>
          <w:trHeight w:val="240"/>
        </w:trPr>
        <w:tc>
          <w:tcPr>
            <w:tcW w:w="3975"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RBB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34,800 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100 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(1,900)</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33,000 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32,400 </w:t>
            </w:r>
          </w:p>
        </w:tc>
      </w:tr>
      <w:tr w:rsidR="00D14928" w:rsidRPr="00D14928" w:rsidTr="00D14928">
        <w:trPr>
          <w:trHeight w:val="255"/>
        </w:trPr>
        <w:tc>
          <w:tcPr>
            <w:tcW w:w="39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Europe RBB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7,900 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(500)</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8,100 </w:t>
            </w:r>
          </w:p>
        </w:tc>
      </w:tr>
      <w:tr w:rsidR="00D14928" w:rsidRPr="00D14928" w:rsidTr="00D14928">
        <w:trPr>
          <w:trHeight w:val="255"/>
        </w:trPr>
        <w:tc>
          <w:tcPr>
            <w:tcW w:w="39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Africa RBB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41,700 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(1,400)</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40,500 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42,700 </w:t>
            </w:r>
          </w:p>
        </w:tc>
      </w:tr>
      <w:tr w:rsidR="00D14928" w:rsidRPr="00D14928" w:rsidTr="00D14928">
        <w:trPr>
          <w:trHeight w:val="255"/>
        </w:trPr>
        <w:tc>
          <w:tcPr>
            <w:tcW w:w="39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Barclaycard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11,000 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(100)</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11,100 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10,900 </w:t>
            </w:r>
          </w:p>
        </w:tc>
      </w:tr>
      <w:tr w:rsidR="00D14928" w:rsidRPr="00D14928" w:rsidTr="00D14928">
        <w:trPr>
          <w:trHeight w:val="255"/>
        </w:trPr>
        <w:tc>
          <w:tcPr>
            <w:tcW w:w="39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Investment Bank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24,000 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25,600 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24,400 </w:t>
            </w:r>
          </w:p>
        </w:tc>
      </w:tr>
      <w:tr w:rsidR="00D14928" w:rsidRPr="00D14928" w:rsidTr="00D14928">
        <w:trPr>
          <w:trHeight w:val="255"/>
        </w:trPr>
        <w:tc>
          <w:tcPr>
            <w:tcW w:w="39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Corporate Banking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10,300 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13,000 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14,000 </w:t>
            </w:r>
          </w:p>
        </w:tc>
      </w:tr>
      <w:tr w:rsidR="00D14928" w:rsidRPr="00D14928" w:rsidTr="00D14928">
        <w:trPr>
          <w:trHeight w:val="255"/>
        </w:trPr>
        <w:tc>
          <w:tcPr>
            <w:tcW w:w="39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Wealth and Investment Management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7,900 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8,300 </w:t>
            </w:r>
          </w:p>
        </w:tc>
        <w:tc>
          <w:tcPr>
            <w:tcW w:w="10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8,500 </w:t>
            </w:r>
          </w:p>
        </w:tc>
      </w:tr>
      <w:tr w:rsidR="00D14928" w:rsidRPr="00D14928" w:rsidTr="00D14928">
        <w:trPr>
          <w:trHeight w:val="255"/>
        </w:trPr>
        <w:tc>
          <w:tcPr>
            <w:tcW w:w="397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Head Office and Other Operations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1,600 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(1,700)</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300 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200 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100 </w:t>
            </w:r>
          </w:p>
        </w:tc>
      </w:tr>
      <w:tr w:rsidR="00D14928" w:rsidRPr="00D14928" w:rsidTr="00D14928">
        <w:trPr>
          <w:trHeight w:val="255"/>
        </w:trPr>
        <w:tc>
          <w:tcPr>
            <w:tcW w:w="397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w:t>
            </w:r>
          </w:p>
        </w:tc>
        <w:tc>
          <w:tcPr>
            <w:tcW w:w="10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139,200 </w:t>
            </w:r>
          </w:p>
        </w:tc>
        <w:tc>
          <w:tcPr>
            <w:tcW w:w="10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10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10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139,200 </w:t>
            </w:r>
          </w:p>
        </w:tc>
        <w:tc>
          <w:tcPr>
            <w:tcW w:w="10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141,100 </w:t>
            </w:r>
          </w:p>
        </w:tc>
      </w:tr>
    </w:tbl>
    <w:p w:rsidR="00D14928" w:rsidRPr="00D14928" w:rsidRDefault="00D14928" w:rsidP="00D14928">
      <w:pPr>
        <w:spacing w:before="100" w:beforeAutospacing="1" w:after="100" w:afterAutospacing="1" w:line="240" w:lineRule="auto"/>
        <w:rPr>
          <w:rFonts w:ascii="Times New Roman" w:eastAsia="Times New Roman" w:hAnsi="Times New Roman" w:cs="Times New Roman"/>
          <w:sz w:val="24"/>
          <w:szCs w:val="24"/>
          <w:lang w:eastAsia="en-GB"/>
        </w:rPr>
      </w:pPr>
      <w:r w:rsidRPr="00D14928">
        <w:rPr>
          <w:rFonts w:ascii="Arial" w:eastAsia="Times New Roman" w:hAnsi="Arial" w:cs="Arial"/>
          <w:sz w:val="16"/>
          <w:szCs w:val="16"/>
          <w:lang w:eastAsia="en-GB"/>
        </w:rPr>
        <w:br w:type="page"/>
      </w:r>
    </w:p>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color w:val="000000"/>
          <w:sz w:val="24"/>
          <w:szCs w:val="24"/>
          <w:lang w:eastAsia="en-GB"/>
        </w:rPr>
        <w:lastRenderedPageBreak/>
        <w:t> </w:t>
      </w:r>
    </w:p>
    <w:p w:rsidR="00D14928" w:rsidRPr="00D14928" w:rsidRDefault="00D14928" w:rsidP="00D14928">
      <w:pPr>
        <w:spacing w:before="100" w:beforeAutospacing="1" w:after="100" w:afterAutospacing="1" w:line="240" w:lineRule="auto"/>
        <w:rPr>
          <w:rFonts w:ascii="Times New Roman" w:eastAsia="Times New Roman" w:hAnsi="Times New Roman" w:cs="Times New Roman"/>
          <w:sz w:val="24"/>
          <w:szCs w:val="24"/>
          <w:lang w:eastAsia="en-GB"/>
        </w:rPr>
      </w:pPr>
      <w:r w:rsidRPr="00D14928">
        <w:rPr>
          <w:rFonts w:ascii="Arial" w:eastAsia="Times New Roman" w:hAnsi="Arial" w:cs="Arial"/>
          <w:b/>
          <w:bCs/>
          <w:color w:val="000000"/>
          <w:sz w:val="24"/>
          <w:szCs w:val="24"/>
          <w:lang w:eastAsia="en-GB"/>
        </w:rPr>
        <w:t>Performance Highlights</w:t>
      </w:r>
    </w:p>
    <w:p w:rsidR="00D14928" w:rsidRPr="00D14928" w:rsidRDefault="00D14928" w:rsidP="00D14928">
      <w:pPr>
        <w:spacing w:before="60" w:after="0" w:line="240" w:lineRule="auto"/>
        <w:jc w:val="both"/>
        <w:rPr>
          <w:rFonts w:ascii="Arial" w:eastAsia="Times New Roman" w:hAnsi="Arial" w:cs="Arial"/>
          <w:b/>
          <w:bCs/>
          <w:sz w:val="18"/>
          <w:szCs w:val="18"/>
          <w:lang w:eastAsia="en-GB"/>
        </w:rPr>
      </w:pPr>
      <w:r w:rsidRPr="00D14928">
        <w:rPr>
          <w:rFonts w:ascii="Arial" w:eastAsia="Times New Roman" w:hAnsi="Arial" w:cs="Arial"/>
          <w:b/>
          <w:bCs/>
          <w:sz w:val="20"/>
          <w:szCs w:val="20"/>
          <w:lang w:eastAsia="en-GB"/>
        </w:rPr>
        <w:t xml:space="preserve">Set out below are Barclays Group 2012 restated results which are impacted by the adoption of IFRS 10 and IAS 19 accounting changes. 2011 has been restated only for the revised accounting rules under IAS 19. </w:t>
      </w:r>
    </w:p>
    <w:p w:rsidR="00D14928" w:rsidRPr="00D14928" w:rsidRDefault="00D14928" w:rsidP="00D14928">
      <w:pPr>
        <w:spacing w:after="0" w:line="240" w:lineRule="auto"/>
        <w:jc w:val="both"/>
        <w:rPr>
          <w:rFonts w:ascii="Arial" w:eastAsia="Times New Roman" w:hAnsi="Arial" w:cs="Arial"/>
          <w:b/>
          <w:bCs/>
          <w:sz w:val="18"/>
          <w:szCs w:val="18"/>
          <w:lang w:eastAsia="en-GB"/>
        </w:rPr>
      </w:pPr>
      <w:r w:rsidRPr="00D14928">
        <w:rPr>
          <w:rFonts w:ascii="Arial" w:eastAsia="Times New Roman" w:hAnsi="Arial" w:cs="Arial"/>
          <w:b/>
          <w:bCs/>
          <w:sz w:val="20"/>
          <w:szCs w:val="20"/>
          <w:lang w:eastAsia="en-GB"/>
        </w:rPr>
        <w:t> </w:t>
      </w:r>
    </w:p>
    <w:p w:rsidR="00D14928" w:rsidRPr="00D14928" w:rsidRDefault="00D14928" w:rsidP="00D14928">
      <w:pPr>
        <w:spacing w:after="0" w:line="240" w:lineRule="auto"/>
        <w:jc w:val="both"/>
        <w:rPr>
          <w:rFonts w:ascii="Arial" w:eastAsia="Times New Roman" w:hAnsi="Arial" w:cs="Arial"/>
          <w:b/>
          <w:bCs/>
          <w:sz w:val="18"/>
          <w:szCs w:val="18"/>
          <w:lang w:eastAsia="en-GB"/>
        </w:rPr>
      </w:pPr>
      <w:r w:rsidRPr="00D14928">
        <w:rPr>
          <w:rFonts w:ascii="Arial" w:eastAsia="Times New Roman" w:hAnsi="Arial" w:cs="Arial"/>
          <w:b/>
          <w:bCs/>
          <w:sz w:val="20"/>
          <w:szCs w:val="20"/>
          <w:lang w:eastAsia="en-GB"/>
        </w:rPr>
        <w:t>All disclosures in this document are on a restated basis unless otherwise stated.</w:t>
      </w:r>
    </w:p>
    <w:p w:rsidR="00D14928" w:rsidRPr="00D14928" w:rsidRDefault="00D14928" w:rsidP="00D14928">
      <w:pPr>
        <w:spacing w:line="240" w:lineRule="auto"/>
        <w:rPr>
          <w:rFonts w:ascii="Arial" w:eastAsia="Times New Roman" w:hAnsi="Arial" w:cs="Arial"/>
          <w:b/>
          <w:bCs/>
          <w:sz w:val="2"/>
          <w:szCs w:val="2"/>
          <w:lang w:eastAsia="en-GB"/>
        </w:rPr>
      </w:pPr>
      <w:r w:rsidRPr="00D14928">
        <w:rPr>
          <w:rFonts w:ascii="Arial" w:eastAsia="Times New Roman" w:hAnsi="Arial" w:cs="Arial"/>
          <w:b/>
          <w:bCs/>
          <w:sz w:val="20"/>
          <w:szCs w:val="20"/>
          <w:lang w:eastAsia="en-GB"/>
        </w:rPr>
        <w:t> </w:t>
      </w:r>
    </w:p>
    <w:tbl>
      <w:tblPr>
        <w:tblW w:w="0" w:type="auto"/>
        <w:tblInd w:w="-36" w:type="dxa"/>
        <w:tblCellMar>
          <w:left w:w="0" w:type="dxa"/>
          <w:right w:w="0" w:type="dxa"/>
        </w:tblCellMar>
        <w:tblLook w:val="04A0" w:firstRow="1" w:lastRow="0" w:firstColumn="1" w:lastColumn="0" w:noHBand="0" w:noVBand="1"/>
      </w:tblPr>
      <w:tblGrid>
        <w:gridCol w:w="3121"/>
        <w:gridCol w:w="2956"/>
        <w:gridCol w:w="100"/>
        <w:gridCol w:w="2957"/>
      </w:tblGrid>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b/>
                <w:bCs/>
                <w:color w:val="000000"/>
                <w:sz w:val="16"/>
                <w:szCs w:val="16"/>
                <w:vertAlign w:val="superscript"/>
                <w:lang w:eastAsia="en-GB"/>
              </w:rPr>
              <w:t> </w:t>
            </w:r>
          </w:p>
        </w:tc>
        <w:tc>
          <w:tcPr>
            <w:tcW w:w="30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Adjusted</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vertAlign w:val="superscript"/>
                <w:lang w:eastAsia="en-GB"/>
              </w:rPr>
              <w:t> </w:t>
            </w:r>
          </w:p>
        </w:tc>
        <w:tc>
          <w:tcPr>
            <w:tcW w:w="30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Statutory</w:t>
            </w: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028"/>
        <w:gridCol w:w="837"/>
        <w:gridCol w:w="675"/>
        <w:gridCol w:w="748"/>
        <w:gridCol w:w="748"/>
        <w:gridCol w:w="78"/>
        <w:gridCol w:w="837"/>
        <w:gridCol w:w="687"/>
        <w:gridCol w:w="748"/>
        <w:gridCol w:w="748"/>
      </w:tblGrid>
      <w:tr w:rsidR="00D14928" w:rsidRPr="00D14928" w:rsidTr="00D14928">
        <w:trPr>
          <w:trHeight w:val="720"/>
        </w:trPr>
        <w:tc>
          <w:tcPr>
            <w:tcW w:w="3240"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Barclays Results </w:t>
            </w:r>
          </w:p>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for the twelve months ended </w:t>
            </w:r>
          </w:p>
        </w:tc>
        <w:tc>
          <w:tcPr>
            <w:tcW w:w="70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Published</w:t>
            </w:r>
          </w:p>
        </w:tc>
        <w:tc>
          <w:tcPr>
            <w:tcW w:w="70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IFRS 10</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and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IAS 19</w:t>
            </w:r>
          </w:p>
        </w:tc>
        <w:tc>
          <w:tcPr>
            <w:tcW w:w="70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c>
          <w:tcPr>
            <w:tcW w:w="70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2011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Restated </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Published</w:t>
            </w:r>
          </w:p>
        </w:tc>
        <w:tc>
          <w:tcPr>
            <w:tcW w:w="70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IFRS 10</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and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IAS 19</w:t>
            </w:r>
          </w:p>
        </w:tc>
        <w:tc>
          <w:tcPr>
            <w:tcW w:w="70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c>
          <w:tcPr>
            <w:tcW w:w="70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2011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r>
      <w:tr w:rsidR="00D14928" w:rsidRPr="00D14928" w:rsidTr="00D14928">
        <w:trPr>
          <w:trHeight w:val="240"/>
        </w:trPr>
        <w:tc>
          <w:tcPr>
            <w:tcW w:w="324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0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0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0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0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0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0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0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r>
      <w:tr w:rsidR="00D14928" w:rsidRPr="00D14928" w:rsidTr="00D14928">
        <w:trPr>
          <w:trHeight w:val="240"/>
        </w:trPr>
        <w:tc>
          <w:tcPr>
            <w:tcW w:w="324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income net of insurance claims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29,043 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318 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29,361 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28,513 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24,691 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318 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25,009 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32,292 </w:t>
            </w:r>
          </w:p>
        </w:tc>
      </w:tr>
      <w:tr w:rsidR="00D14928" w:rsidRPr="00D14928" w:rsidTr="00D14928">
        <w:trPr>
          <w:trHeight w:val="510"/>
        </w:trPr>
        <w:tc>
          <w:tcPr>
            <w:tcW w:w="324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charges and other provisions </w:t>
            </w:r>
            <w:r w:rsidRPr="00D14928">
              <w:rPr>
                <w:rFonts w:ascii="Arial" w:eastAsia="Times New Roman" w:hAnsi="Arial" w:cs="Arial"/>
                <w:color w:val="000000"/>
                <w:sz w:val="13"/>
                <w:szCs w:val="13"/>
                <w:vertAlign w:val="superscript"/>
                <w:lang w:eastAsia="en-GB"/>
              </w:rPr>
              <w:t> </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(3,596)</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256 </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(3,340)</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(3,802)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(3,596)</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256 </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(3,340)</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(5,602)</w:t>
            </w:r>
          </w:p>
        </w:tc>
      </w:tr>
      <w:tr w:rsidR="00D14928" w:rsidRPr="00D14928" w:rsidTr="00D14928">
        <w:trPr>
          <w:trHeight w:val="240"/>
        </w:trPr>
        <w:tc>
          <w:tcPr>
            <w:tcW w:w="324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Net operating income </w:t>
            </w:r>
            <w:r w:rsidRPr="00D14928">
              <w:rPr>
                <w:rFonts w:ascii="Arial" w:eastAsia="Times New Roman" w:hAnsi="Arial" w:cs="Arial"/>
                <w:b/>
                <w:bCs/>
                <w:color w:val="000000"/>
                <w:sz w:val="13"/>
                <w:szCs w:val="13"/>
                <w:vertAlign w:val="superscript"/>
                <w:lang w:eastAsia="en-GB"/>
              </w:rPr>
              <w:t>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25,447 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574 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26,021 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24,711 </w:t>
            </w:r>
            <w:r w:rsidRPr="00D14928">
              <w:rPr>
                <w:rFonts w:ascii="Arial" w:eastAsia="Times New Roman" w:hAnsi="Arial" w:cs="Arial"/>
                <w:color w:val="000000"/>
                <w:sz w:val="16"/>
                <w:szCs w:val="16"/>
                <w:vertAlign w:val="superscript"/>
                <w:lang w:eastAsia="en-GB"/>
              </w:rPr>
              <w:t xml:space="preserve">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21,095 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574 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21,669 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26,690 </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Operating expenses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(18,539)</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(18,562)</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(19,289)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(20,989)</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(21,012)</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(20,886)</w:t>
            </w:r>
          </w:p>
        </w:tc>
      </w:tr>
      <w:tr w:rsidR="00D14928" w:rsidRPr="00D14928" w:rsidTr="00D14928">
        <w:trPr>
          <w:trHeight w:val="240"/>
        </w:trPr>
        <w:tc>
          <w:tcPr>
            <w:tcW w:w="324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net income/(expense) </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140 </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140 </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60 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140 </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140 </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w:t>
            </w:r>
          </w:p>
        </w:tc>
      </w:tr>
      <w:tr w:rsidR="00D14928" w:rsidRPr="00D14928" w:rsidTr="00D14928">
        <w:trPr>
          <w:trHeight w:val="240"/>
        </w:trPr>
        <w:tc>
          <w:tcPr>
            <w:tcW w:w="324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Profit before tax </w:t>
            </w:r>
            <w:r w:rsidRPr="00D14928">
              <w:rPr>
                <w:rFonts w:ascii="Arial" w:eastAsia="Times New Roman" w:hAnsi="Arial" w:cs="Arial"/>
                <w:b/>
                <w:bCs/>
                <w:color w:val="000000"/>
                <w:sz w:val="13"/>
                <w:szCs w:val="13"/>
                <w:vertAlign w:val="superscript"/>
                <w:lang w:eastAsia="en-GB"/>
              </w:rPr>
              <w:t>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7,048 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551 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7,599 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5,482 </w:t>
            </w:r>
            <w:r w:rsidRPr="00D14928">
              <w:rPr>
                <w:rFonts w:ascii="Arial" w:eastAsia="Times New Roman" w:hAnsi="Arial" w:cs="Arial"/>
                <w:color w:val="000000"/>
                <w:sz w:val="16"/>
                <w:szCs w:val="16"/>
                <w:vertAlign w:val="superscript"/>
                <w:lang w:eastAsia="en-GB"/>
              </w:rPr>
              <w:t xml:space="preserve">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246 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551 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797 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5,770 </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Profit/(loss) after tax  </w:t>
            </w:r>
            <w:r w:rsidRPr="00D14928">
              <w:rPr>
                <w:rFonts w:ascii="Arial" w:eastAsia="Times New Roman" w:hAnsi="Arial" w:cs="Arial"/>
                <w:color w:val="000000"/>
                <w:sz w:val="13"/>
                <w:szCs w:val="13"/>
                <w:vertAlign w:val="superscript"/>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5,023 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417 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5,440 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4,183 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(236)</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417 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181 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3,868 </w:t>
            </w:r>
          </w:p>
        </w:tc>
      </w:tr>
      <w:tr w:rsidR="00D14928" w:rsidRPr="00D14928" w:rsidTr="00D14928">
        <w:trPr>
          <w:trHeight w:val="21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85"/>
        </w:trPr>
        <w:tc>
          <w:tcPr>
            <w:tcW w:w="324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Performance Measures </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324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Return on average shareholders' equity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7.8%</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9.0%</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6.7%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0.7%</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5.9%</w:t>
            </w:r>
          </w:p>
        </w:tc>
      </w:tr>
      <w:tr w:rsidR="00D14928" w:rsidRPr="00D14928" w:rsidTr="00D14928">
        <w:trPr>
          <w:trHeight w:val="48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Return on average tangible shareholders' equity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9.1%</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10.6%</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8.1%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0.8%</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7.1%</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Return on average risk weighted assets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0.1%</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1.1%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(0.1%)</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0.1%</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Cost: income ratio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64%</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63%</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68%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85%</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84%</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65%</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Compensation: net operating income ratio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43%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45%</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 loss rate (bps)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77 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77 </w:t>
            </w:r>
          </w:p>
        </w:tc>
      </w:tr>
      <w:tr w:rsidR="00D14928" w:rsidRPr="00D14928" w:rsidTr="00D14928">
        <w:trPr>
          <w:trHeight w:val="120"/>
        </w:trPr>
        <w:tc>
          <w:tcPr>
            <w:tcW w:w="324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r w:rsidR="00D14928" w:rsidRPr="00D14928" w:rsidTr="00D14928">
        <w:trPr>
          <w:trHeight w:val="240"/>
        </w:trPr>
        <w:tc>
          <w:tcPr>
            <w:tcW w:w="324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Basic earnings/(loss) per share </w:t>
            </w:r>
            <w:r w:rsidRPr="00D14928">
              <w:rPr>
                <w:rFonts w:ascii="Arial" w:eastAsia="Times New Roman" w:hAnsi="Arial" w:cs="Arial"/>
                <w:color w:val="000000"/>
                <w:sz w:val="13"/>
                <w:szCs w:val="13"/>
                <w:vertAlign w:val="superscript"/>
                <w:lang w:eastAsia="en-GB"/>
              </w:rPr>
              <w:t>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34.5p</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3.4p</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37.9p</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27.0p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(8.5p)</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3.4p</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(5.1p)</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24.4p</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Dividend per share </w:t>
            </w:r>
            <w:r w:rsidRPr="00D14928">
              <w:rPr>
                <w:rFonts w:ascii="Arial" w:eastAsia="Times New Roman" w:hAnsi="Arial" w:cs="Arial"/>
                <w:color w:val="000000"/>
                <w:sz w:val="13"/>
                <w:szCs w:val="13"/>
                <w:vertAlign w:val="superscript"/>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6.5p</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6.5p</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6.0p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6.5p</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6.5p</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6.0p</w:t>
            </w:r>
          </w:p>
        </w:tc>
      </w:tr>
      <w:tr w:rsidR="00D14928" w:rsidRPr="00D14928" w:rsidTr="00D14928">
        <w:trPr>
          <w:trHeight w:val="21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r w:rsidRPr="00D14928">
              <w:rPr>
                <w:rFonts w:ascii="Arial" w:eastAsia="Times New Roman" w:hAnsi="Arial" w:cs="Arial"/>
                <w:color w:val="000000"/>
                <w:sz w:val="13"/>
                <w:szCs w:val="13"/>
                <w:vertAlign w:val="superscript"/>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85"/>
        </w:trPr>
        <w:tc>
          <w:tcPr>
            <w:tcW w:w="324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Capital and Balance Sheet </w:t>
            </w:r>
            <w:r w:rsidRPr="00D14928">
              <w:rPr>
                <w:rFonts w:ascii="Arial" w:eastAsia="Times New Roman" w:hAnsi="Arial" w:cs="Arial"/>
                <w:b/>
                <w:bCs/>
                <w:color w:val="000000"/>
                <w:sz w:val="16"/>
                <w:szCs w:val="16"/>
                <w:vertAlign w:val="superscript"/>
                <w:lang w:eastAsia="en-GB"/>
              </w:rPr>
              <w:t> </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r w:rsidR="00D14928" w:rsidRPr="00D14928" w:rsidTr="00D14928">
        <w:trPr>
          <w:trHeight w:val="240"/>
        </w:trPr>
        <w:tc>
          <w:tcPr>
            <w:tcW w:w="324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Core Tier 1 ratio </w:t>
            </w:r>
            <w:r w:rsidRPr="00D14928">
              <w:rPr>
                <w:rFonts w:ascii="Arial" w:eastAsia="Times New Roman" w:hAnsi="Arial" w:cs="Arial"/>
                <w:color w:val="000000"/>
                <w:sz w:val="13"/>
                <w:szCs w:val="13"/>
                <w:vertAlign w:val="superscript"/>
                <w:lang w:eastAsia="en-GB"/>
              </w:rPr>
              <w:t>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10.9%</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(0.1%)</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10.8%</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11.0%</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Risk weighted assets </w:t>
            </w:r>
            <w:r w:rsidRPr="00D14928">
              <w:rPr>
                <w:rFonts w:ascii="Arial" w:eastAsia="Times New Roman" w:hAnsi="Arial" w:cs="Arial"/>
                <w:color w:val="000000"/>
                <w:sz w:val="13"/>
                <w:szCs w:val="13"/>
                <w:vertAlign w:val="superscript"/>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£387bn</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£387bn</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£391bn</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Adjusted gross leverage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19x</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19x</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20x</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Group liquidity pool </w:t>
            </w:r>
            <w:r w:rsidRPr="00D14928">
              <w:rPr>
                <w:rFonts w:ascii="Arial" w:eastAsia="Times New Roman" w:hAnsi="Arial" w:cs="Arial"/>
                <w:color w:val="000000"/>
                <w:sz w:val="13"/>
                <w:szCs w:val="13"/>
                <w:vertAlign w:val="superscript"/>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£150bn</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£150bn</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£152bn</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asset value per share </w:t>
            </w:r>
            <w:r w:rsidRPr="00D14928">
              <w:rPr>
                <w:rFonts w:ascii="Arial" w:eastAsia="Times New Roman" w:hAnsi="Arial" w:cs="Arial"/>
                <w:color w:val="000000"/>
                <w:sz w:val="13"/>
                <w:szCs w:val="13"/>
                <w:vertAlign w:val="superscript"/>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438p</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(24p)</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414p</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446p</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tangible asset value per share </w:t>
            </w:r>
            <w:r w:rsidRPr="00D14928">
              <w:rPr>
                <w:rFonts w:ascii="Arial" w:eastAsia="Times New Roman" w:hAnsi="Arial" w:cs="Arial"/>
                <w:color w:val="000000"/>
                <w:sz w:val="13"/>
                <w:szCs w:val="13"/>
                <w:vertAlign w:val="superscript"/>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373p</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(24p)</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349p</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381p</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 deposit ratio </w:t>
            </w:r>
            <w:r w:rsidRPr="00D14928">
              <w:rPr>
                <w:rFonts w:ascii="Arial" w:eastAsia="Times New Roman" w:hAnsi="Arial" w:cs="Arial"/>
                <w:color w:val="000000"/>
                <w:sz w:val="13"/>
                <w:szCs w:val="13"/>
                <w:vertAlign w:val="superscript"/>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110%</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110%</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118%</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324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Adjusted Profit Reconciliation</w:t>
            </w:r>
            <w:r w:rsidRPr="00D14928">
              <w:rPr>
                <w:rFonts w:ascii="Arial" w:eastAsia="Times New Roman" w:hAnsi="Arial" w:cs="Arial"/>
                <w:color w:val="000000"/>
                <w:sz w:val="16"/>
                <w:szCs w:val="16"/>
                <w:vertAlign w:val="superscript"/>
                <w:lang w:eastAsia="en-GB"/>
              </w:rPr>
              <w:t xml:space="preserve"> </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324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Adjusted profit before tax</w:t>
            </w:r>
            <w:r w:rsidRPr="00D14928">
              <w:rPr>
                <w:rFonts w:ascii="Arial" w:eastAsia="Times New Roman" w:hAnsi="Arial" w:cs="Arial"/>
                <w:color w:val="000000"/>
                <w:sz w:val="16"/>
                <w:szCs w:val="16"/>
                <w:vertAlign w:val="superscript"/>
                <w:lang w:eastAsia="en-GB"/>
              </w:rPr>
              <w:t xml:space="preserve">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7,048 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551 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7,599 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5,482 </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Own credit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(4,579)</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(4,579)</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2,708 </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Gains on debt buy-backs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1,130 </w:t>
            </w:r>
          </w:p>
        </w:tc>
      </w:tr>
      <w:tr w:rsidR="00D14928" w:rsidRPr="00D14928" w:rsidTr="00D14928">
        <w:trPr>
          <w:trHeight w:val="51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Gain/(loss) on disposal and impairment of </w:t>
            </w:r>
            <w:proofErr w:type="spellStart"/>
            <w:r w:rsidRPr="00D14928">
              <w:rPr>
                <w:rFonts w:ascii="Arial" w:eastAsia="Times New Roman" w:hAnsi="Arial" w:cs="Arial"/>
                <w:color w:val="000000"/>
                <w:sz w:val="16"/>
                <w:szCs w:val="16"/>
                <w:lang w:eastAsia="en-GB"/>
              </w:rPr>
              <w:t>BlackRock</w:t>
            </w:r>
            <w:proofErr w:type="spellEnd"/>
            <w:r w:rsidRPr="00D14928">
              <w:rPr>
                <w:rFonts w:ascii="Arial" w:eastAsia="Times New Roman" w:hAnsi="Arial" w:cs="Arial"/>
                <w:color w:val="000000"/>
                <w:sz w:val="16"/>
                <w:szCs w:val="16"/>
                <w:lang w:eastAsia="en-GB"/>
              </w:rPr>
              <w:t xml:space="preserve"> investment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227 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227 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(1,858)</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Provision for PPI redress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(1,600)</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(1,600)</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(1,000)</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Provision for interest rate hedging products redress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(850)</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(850)</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r>
      <w:tr w:rsidR="00D14928" w:rsidRPr="00D14928" w:rsidTr="00D14928">
        <w:trPr>
          <w:trHeight w:val="240"/>
        </w:trPr>
        <w:tc>
          <w:tcPr>
            <w:tcW w:w="324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Goodwill impairment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(597)</w:t>
            </w:r>
          </w:p>
        </w:tc>
      </w:tr>
      <w:tr w:rsidR="00D14928" w:rsidRPr="00D14928" w:rsidTr="00D14928">
        <w:trPr>
          <w:trHeight w:val="240"/>
        </w:trPr>
        <w:tc>
          <w:tcPr>
            <w:tcW w:w="324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lastRenderedPageBreak/>
              <w:t xml:space="preserve">Losses on acquisitions and disposals </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(94)</w:t>
            </w:r>
          </w:p>
        </w:tc>
      </w:tr>
      <w:tr w:rsidR="00D14928" w:rsidRPr="00D14928" w:rsidTr="00D14928">
        <w:trPr>
          <w:trHeight w:val="240"/>
        </w:trPr>
        <w:tc>
          <w:tcPr>
            <w:tcW w:w="324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Statutory profit before tax</w:t>
            </w:r>
            <w:r w:rsidRPr="00D14928">
              <w:rPr>
                <w:rFonts w:ascii="Arial" w:eastAsia="Times New Roman" w:hAnsi="Arial" w:cs="Arial"/>
                <w:color w:val="000000"/>
                <w:sz w:val="16"/>
                <w:szCs w:val="16"/>
                <w:vertAlign w:val="superscript"/>
                <w:lang w:eastAsia="en-GB"/>
              </w:rPr>
              <w:t xml:space="preserve">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246 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551 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797 </w:t>
            </w:r>
          </w:p>
        </w:tc>
        <w:tc>
          <w:tcPr>
            <w:tcW w:w="7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5,771 </w:t>
            </w:r>
          </w:p>
        </w:tc>
      </w:tr>
    </w:tbl>
    <w:p w:rsidR="00D14928" w:rsidRDefault="00D14928" w:rsidP="00D14928">
      <w:pPr>
        <w:spacing w:line="240" w:lineRule="auto"/>
        <w:jc w:val="both"/>
        <w:rPr>
          <w:rFonts w:ascii="Arial" w:eastAsia="Times New Roman" w:hAnsi="Arial" w:cs="Arial"/>
          <w:color w:val="000000"/>
          <w:sz w:val="24"/>
          <w:szCs w:val="24"/>
          <w:lang w:eastAsia="en-GB"/>
        </w:rPr>
      </w:pPr>
    </w:p>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color w:val="000000"/>
          <w:sz w:val="24"/>
          <w:szCs w:val="24"/>
          <w:lang w:eastAsia="en-GB"/>
        </w:rPr>
        <w:t>Performance Highlights</w:t>
      </w:r>
    </w:p>
    <w:tbl>
      <w:tblPr>
        <w:tblW w:w="0" w:type="auto"/>
        <w:tblInd w:w="-36" w:type="dxa"/>
        <w:tblCellMar>
          <w:left w:w="0" w:type="dxa"/>
          <w:right w:w="0" w:type="dxa"/>
        </w:tblCellMar>
        <w:tblLook w:val="04A0" w:firstRow="1" w:lastRow="0" w:firstColumn="1" w:lastColumn="0" w:noHBand="0" w:noVBand="1"/>
      </w:tblPr>
      <w:tblGrid>
        <w:gridCol w:w="4266"/>
        <w:gridCol w:w="772"/>
        <w:gridCol w:w="776"/>
        <w:gridCol w:w="775"/>
        <w:gridCol w:w="923"/>
        <w:gridCol w:w="772"/>
        <w:gridCol w:w="78"/>
        <w:gridCol w:w="772"/>
      </w:tblGrid>
      <w:tr w:rsidR="00D14928" w:rsidRPr="00D14928" w:rsidTr="00D14928">
        <w:trPr>
          <w:trHeight w:val="240"/>
        </w:trPr>
        <w:tc>
          <w:tcPr>
            <w:tcW w:w="4305" w:type="dxa"/>
            <w:tcMar>
              <w:top w:w="0" w:type="dxa"/>
              <w:left w:w="36" w:type="dxa"/>
              <w:bottom w:w="0" w:type="dxa"/>
              <w:right w:w="36" w:type="dxa"/>
            </w:tcMar>
            <w:vAlign w:val="bottom"/>
            <w:hideMark/>
          </w:tcPr>
          <w:p w:rsidR="00D14928" w:rsidRPr="00D14928" w:rsidRDefault="00D14928" w:rsidP="00D14928">
            <w:pPr>
              <w:spacing w:before="60"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Total Income by Business</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430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2490" w:type="dxa"/>
            <w:gridSpan w:val="3"/>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Restatement Adjustments</w:t>
            </w: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133"/>
        <w:gridCol w:w="837"/>
        <w:gridCol w:w="762"/>
        <w:gridCol w:w="846"/>
        <w:gridCol w:w="922"/>
        <w:gridCol w:w="778"/>
        <w:gridCol w:w="78"/>
        <w:gridCol w:w="778"/>
      </w:tblGrid>
      <w:tr w:rsidR="00D14928" w:rsidRPr="00D14928" w:rsidTr="00D14928">
        <w:trPr>
          <w:trHeight w:val="720"/>
        </w:trPr>
        <w:tc>
          <w:tcPr>
            <w:tcW w:w="430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Adjusted</w:t>
            </w: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Published</w:t>
            </w: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IFRS 10</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and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IAS 19</w:t>
            </w: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Head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Office</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Allocation</w:t>
            </w: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Group</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Structure</w:t>
            </w: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2011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r>
      <w:tr w:rsidR="00D14928" w:rsidRPr="00D14928" w:rsidTr="00D14928">
        <w:trPr>
          <w:trHeight w:val="240"/>
        </w:trPr>
        <w:tc>
          <w:tcPr>
            <w:tcW w:w="430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r>
      <w:tr w:rsidR="00D14928" w:rsidRPr="00D14928" w:rsidTr="00D14928">
        <w:trPr>
          <w:trHeight w:val="240"/>
        </w:trPr>
        <w:tc>
          <w:tcPr>
            <w:tcW w:w="43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UK RBB</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4,421 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(37)</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4,384 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4,621 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Europe RBB</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915 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(193)</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1,004 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Africa RBB</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3,157 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(198)</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2,928 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3,364 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Barclaycard</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4,170 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175 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4,344 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4,305 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Investment Bank</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11,722 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318 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66 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11,775 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10,222 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Corporate Banking</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2,918 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154 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3,046 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3,315 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Wealth and Investment Management</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1,815 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1,820 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1,770 </w:t>
            </w:r>
          </w:p>
        </w:tc>
      </w:tr>
      <w:tr w:rsidR="00D14928" w:rsidRPr="00D14928" w:rsidTr="00D14928">
        <w:trPr>
          <w:trHeight w:val="240"/>
        </w:trPr>
        <w:tc>
          <w:tcPr>
            <w:tcW w:w="43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Head Office and Other Operations</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437 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(88)</w:t>
            </w:r>
          </w:p>
        </w:tc>
      </w:tr>
      <w:tr w:rsidR="00D14928" w:rsidRPr="00D14928" w:rsidTr="00D14928">
        <w:trPr>
          <w:trHeight w:val="240"/>
        </w:trPr>
        <w:tc>
          <w:tcPr>
            <w:tcW w:w="43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Total income net of insurance claims</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29,043 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318 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29,361 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28,513 </w:t>
            </w:r>
          </w:p>
        </w:tc>
      </w:tr>
      <w:tr w:rsidR="00D14928" w:rsidRPr="00D14928" w:rsidTr="00D14928">
        <w:trPr>
          <w:trHeight w:val="9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24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430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Statutory</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43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UK RBB</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4,421 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(37)</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4,384 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4,621 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Europe RBB</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915 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(193)</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1,004 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Africa RBB</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3,157 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(198)</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2,928 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3,364 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Barclaycard</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4,170 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175 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4,344 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4,305 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Investment Bank</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11,722 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318 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66 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11,775 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10,222 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Corporate Banking</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2,918 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154 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3,046 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3,315 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Wealth and Investment Management</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1,815 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1,820 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1,770 </w:t>
            </w:r>
          </w:p>
        </w:tc>
      </w:tr>
      <w:tr w:rsidR="00D14928" w:rsidRPr="00D14928" w:rsidTr="00D14928">
        <w:trPr>
          <w:trHeight w:val="240"/>
        </w:trPr>
        <w:tc>
          <w:tcPr>
            <w:tcW w:w="43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Head Office and Other Operations</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(4,427)</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437 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(3,996)</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3,691 </w:t>
            </w:r>
          </w:p>
        </w:tc>
      </w:tr>
      <w:tr w:rsidR="00D14928" w:rsidRPr="00D14928" w:rsidTr="00D14928">
        <w:trPr>
          <w:trHeight w:val="240"/>
        </w:trPr>
        <w:tc>
          <w:tcPr>
            <w:tcW w:w="43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Total income net of insurance claims</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24,691 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318 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25,009 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32,292 </w:t>
            </w:r>
          </w:p>
        </w:tc>
      </w:tr>
      <w:tr w:rsidR="00D14928" w:rsidRPr="00D14928" w:rsidTr="00D14928">
        <w:trPr>
          <w:trHeight w:val="12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bl>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color w:val="000000"/>
          <w:sz w:val="24"/>
          <w:szCs w:val="24"/>
          <w:lang w:eastAsia="en-GB"/>
        </w:rPr>
        <w:t>Performance Highlights</w:t>
      </w:r>
    </w:p>
    <w:tbl>
      <w:tblPr>
        <w:tblW w:w="0" w:type="auto"/>
        <w:tblInd w:w="-36" w:type="dxa"/>
        <w:tblCellMar>
          <w:left w:w="0" w:type="dxa"/>
          <w:right w:w="0" w:type="dxa"/>
        </w:tblCellMar>
        <w:tblLook w:val="04A0" w:firstRow="1" w:lastRow="0" w:firstColumn="1" w:lastColumn="0" w:noHBand="0" w:noVBand="1"/>
      </w:tblPr>
      <w:tblGrid>
        <w:gridCol w:w="4266"/>
        <w:gridCol w:w="772"/>
        <w:gridCol w:w="776"/>
        <w:gridCol w:w="775"/>
        <w:gridCol w:w="923"/>
        <w:gridCol w:w="772"/>
        <w:gridCol w:w="78"/>
        <w:gridCol w:w="772"/>
      </w:tblGrid>
      <w:tr w:rsidR="00D14928" w:rsidRPr="00D14928" w:rsidTr="00D14928">
        <w:trPr>
          <w:trHeight w:val="240"/>
        </w:trPr>
        <w:tc>
          <w:tcPr>
            <w:tcW w:w="4305" w:type="dxa"/>
            <w:tcMar>
              <w:top w:w="0" w:type="dxa"/>
              <w:left w:w="36" w:type="dxa"/>
              <w:bottom w:w="0" w:type="dxa"/>
              <w:right w:w="36" w:type="dxa"/>
            </w:tcMar>
            <w:vAlign w:val="bottom"/>
            <w:hideMark/>
          </w:tcPr>
          <w:p w:rsidR="00D14928" w:rsidRPr="00D14928" w:rsidRDefault="00D14928" w:rsidP="00D14928">
            <w:pPr>
              <w:spacing w:before="60"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Profit Before Tax by Business</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430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2490" w:type="dxa"/>
            <w:gridSpan w:val="3"/>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Restatement Adjustments</w:t>
            </w: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133"/>
        <w:gridCol w:w="837"/>
        <w:gridCol w:w="762"/>
        <w:gridCol w:w="846"/>
        <w:gridCol w:w="922"/>
        <w:gridCol w:w="778"/>
        <w:gridCol w:w="78"/>
        <w:gridCol w:w="778"/>
      </w:tblGrid>
      <w:tr w:rsidR="00D14928" w:rsidRPr="00D14928" w:rsidTr="00D14928">
        <w:trPr>
          <w:trHeight w:val="720"/>
        </w:trPr>
        <w:tc>
          <w:tcPr>
            <w:tcW w:w="430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Adjusted</w:t>
            </w: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Published</w:t>
            </w: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IFRS 10</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and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IAS 19</w:t>
            </w: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Head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Office</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Allocation</w:t>
            </w: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Group</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Structure</w:t>
            </w: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2011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r>
      <w:tr w:rsidR="00D14928" w:rsidRPr="00D14928" w:rsidTr="00D14928">
        <w:trPr>
          <w:trHeight w:val="240"/>
        </w:trPr>
        <w:tc>
          <w:tcPr>
            <w:tcW w:w="430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r>
      <w:tr w:rsidR="00D14928" w:rsidRPr="00D14928" w:rsidTr="00D14928">
        <w:trPr>
          <w:trHeight w:val="255"/>
        </w:trPr>
        <w:tc>
          <w:tcPr>
            <w:tcW w:w="43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UK RBB</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1,472 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(220)</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1,225 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1,222 </w:t>
            </w:r>
          </w:p>
        </w:tc>
      </w:tr>
      <w:tr w:rsidR="00D14928" w:rsidRPr="00D14928" w:rsidTr="00D14928">
        <w:trPr>
          <w:trHeight w:val="255"/>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Europe RBB</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(239)</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(57)</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(52)</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(343)</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(340)</w:t>
            </w:r>
          </w:p>
        </w:tc>
      </w:tr>
      <w:tr w:rsidR="00D14928" w:rsidRPr="00D14928" w:rsidTr="00D14928">
        <w:trPr>
          <w:trHeight w:val="255"/>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Africa RBB</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468 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(98)</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730 </w:t>
            </w:r>
          </w:p>
        </w:tc>
      </w:tr>
      <w:tr w:rsidR="00D14928" w:rsidRPr="00D14928" w:rsidTr="00D14928">
        <w:trPr>
          <w:trHeight w:val="255"/>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Barclaycard</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1,506 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(58)</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1,482 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1,212 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Investment Bank</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4,063 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603 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3,990 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2,415 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Corporate Banking</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551 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191 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Wealth and Investment Management</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315 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188 </w:t>
            </w:r>
          </w:p>
        </w:tc>
      </w:tr>
      <w:tr w:rsidR="00D14928" w:rsidRPr="00D14928" w:rsidTr="00D14928">
        <w:trPr>
          <w:trHeight w:val="240"/>
        </w:trPr>
        <w:tc>
          <w:tcPr>
            <w:tcW w:w="43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Head Office and Other Operations</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(1,088)</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1,281 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(136)</w:t>
            </w:r>
          </w:p>
        </w:tc>
      </w:tr>
      <w:tr w:rsidR="00D14928" w:rsidRPr="00D14928" w:rsidTr="00D14928">
        <w:trPr>
          <w:trHeight w:val="240"/>
        </w:trPr>
        <w:tc>
          <w:tcPr>
            <w:tcW w:w="43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Total profit before tax</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7,048 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551 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7,599 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5,482 </w:t>
            </w:r>
          </w:p>
        </w:tc>
      </w:tr>
      <w:tr w:rsidR="00D14928" w:rsidRPr="00D14928" w:rsidTr="00D14928">
        <w:trPr>
          <w:trHeight w:val="9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24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430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Statutory</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43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UK RBB</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292 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(220)</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822 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Europe RBB</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(239)</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(57)</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(52)</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(343)</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(767)</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Africa RBB</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468 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(98)</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730 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Barclaycard</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1,086 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(58)</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1,062 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565 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lastRenderedPageBreak/>
              <w:t>Investment Bank</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4,063 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603 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3,990 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2,415 </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Corporate Banking</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(299)</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(390)</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w:t>
            </w:r>
          </w:p>
        </w:tc>
      </w:tr>
      <w:tr w:rsidR="00D14928" w:rsidRPr="00D14928" w:rsidTr="00D14928">
        <w:trPr>
          <w:trHeight w:val="240"/>
        </w:trPr>
        <w:tc>
          <w:tcPr>
            <w:tcW w:w="430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Wealth and Investment Management</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315 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188 </w:t>
            </w:r>
          </w:p>
        </w:tc>
      </w:tr>
      <w:tr w:rsidR="00D14928" w:rsidRPr="00D14928" w:rsidTr="00D14928">
        <w:trPr>
          <w:trHeight w:val="240"/>
        </w:trPr>
        <w:tc>
          <w:tcPr>
            <w:tcW w:w="430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Head Office and Other Operations</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(5,440)</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1,281 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(4,163)</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1,822 </w:t>
            </w:r>
          </w:p>
        </w:tc>
      </w:tr>
      <w:tr w:rsidR="00D14928" w:rsidRPr="00D14928" w:rsidTr="00D14928">
        <w:trPr>
          <w:trHeight w:val="240"/>
        </w:trPr>
        <w:tc>
          <w:tcPr>
            <w:tcW w:w="430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Total profit before tax</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246 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551 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797 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5,770 </w:t>
            </w:r>
          </w:p>
        </w:tc>
      </w:tr>
    </w:tbl>
    <w:p w:rsidR="00D14928" w:rsidRPr="00D14928" w:rsidRDefault="00D14928" w:rsidP="00D14928">
      <w:pPr>
        <w:spacing w:before="100" w:beforeAutospacing="1" w:after="100" w:afterAutospacing="1" w:line="240" w:lineRule="auto"/>
        <w:rPr>
          <w:rFonts w:ascii="Times New Roman" w:eastAsia="Times New Roman" w:hAnsi="Times New Roman" w:cs="Times New Roman"/>
          <w:b/>
          <w:bCs/>
          <w:sz w:val="24"/>
          <w:szCs w:val="24"/>
          <w:lang w:eastAsia="en-GB"/>
        </w:rPr>
      </w:pPr>
      <w:r w:rsidRPr="00D14928">
        <w:rPr>
          <w:rFonts w:ascii="Arial" w:eastAsia="Times New Roman" w:hAnsi="Arial" w:cs="Arial"/>
          <w:b/>
          <w:bCs/>
          <w:color w:val="000000"/>
          <w:sz w:val="24"/>
          <w:szCs w:val="24"/>
          <w:lang w:eastAsia="en-GB"/>
        </w:rPr>
        <w:t>Barclays Results by Quarter</w:t>
      </w:r>
    </w:p>
    <w:tbl>
      <w:tblPr>
        <w:tblW w:w="0" w:type="auto"/>
        <w:tblInd w:w="-36" w:type="dxa"/>
        <w:tblCellMar>
          <w:left w:w="0" w:type="dxa"/>
          <w:right w:w="0" w:type="dxa"/>
        </w:tblCellMar>
        <w:tblLook w:val="04A0" w:firstRow="1" w:lastRow="0" w:firstColumn="1" w:lastColumn="0" w:noHBand="0" w:noVBand="1"/>
      </w:tblPr>
      <w:tblGrid>
        <w:gridCol w:w="4410"/>
        <w:gridCol w:w="579"/>
        <w:gridCol w:w="579"/>
        <w:gridCol w:w="579"/>
        <w:gridCol w:w="579"/>
        <w:gridCol w:w="78"/>
        <w:gridCol w:w="579"/>
        <w:gridCol w:w="579"/>
        <w:gridCol w:w="579"/>
        <w:gridCol w:w="579"/>
      </w:tblGrid>
      <w:tr w:rsidR="00D14928" w:rsidRPr="00D14928" w:rsidTr="00D14928">
        <w:trPr>
          <w:trHeight w:val="240"/>
        </w:trPr>
        <w:tc>
          <w:tcPr>
            <w:tcW w:w="4410" w:type="dxa"/>
            <w:tcMar>
              <w:top w:w="0" w:type="dxa"/>
              <w:left w:w="36" w:type="dxa"/>
              <w:bottom w:w="0" w:type="dxa"/>
              <w:right w:w="36" w:type="dxa"/>
            </w:tcMar>
            <w:vAlign w:val="bottom"/>
            <w:hideMark/>
          </w:tcPr>
          <w:p w:rsidR="00D14928" w:rsidRPr="00D14928" w:rsidRDefault="00D14928" w:rsidP="00D14928">
            <w:pPr>
              <w:spacing w:before="60"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Restated Barclays Results by Quarter</w:t>
            </w:r>
            <w:r w:rsidRPr="00D14928">
              <w:rPr>
                <w:rFonts w:ascii="Arial" w:eastAsia="Times New Roman" w:hAnsi="Arial" w:cs="Arial"/>
                <w:color w:val="000000"/>
                <w:sz w:val="20"/>
                <w:szCs w:val="20"/>
                <w:vertAlign w:val="superscript"/>
                <w:lang w:eastAsia="en-GB"/>
              </w:rPr>
              <w:t xml:space="preserve"> </w:t>
            </w:r>
          </w:p>
        </w:tc>
        <w:tc>
          <w:tcPr>
            <w:tcW w:w="55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Q412</w:t>
            </w:r>
          </w:p>
        </w:tc>
        <w:tc>
          <w:tcPr>
            <w:tcW w:w="55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Q312</w:t>
            </w:r>
          </w:p>
        </w:tc>
        <w:tc>
          <w:tcPr>
            <w:tcW w:w="55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Q212</w:t>
            </w:r>
          </w:p>
        </w:tc>
        <w:tc>
          <w:tcPr>
            <w:tcW w:w="55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Q112</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Q411</w:t>
            </w:r>
          </w:p>
        </w:tc>
        <w:tc>
          <w:tcPr>
            <w:tcW w:w="55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Q311</w:t>
            </w:r>
          </w:p>
        </w:tc>
        <w:tc>
          <w:tcPr>
            <w:tcW w:w="55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Q211</w:t>
            </w:r>
          </w:p>
        </w:tc>
        <w:tc>
          <w:tcPr>
            <w:tcW w:w="55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Q111</w:t>
            </w:r>
          </w:p>
        </w:tc>
      </w:tr>
      <w:tr w:rsidR="00D14928" w:rsidRPr="00D14928" w:rsidTr="00D14928">
        <w:trPr>
          <w:trHeight w:val="240"/>
        </w:trPr>
        <w:tc>
          <w:tcPr>
            <w:tcW w:w="44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r>
      <w:tr w:rsidR="00D14928" w:rsidRPr="00D14928" w:rsidTr="00D14928">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xml:space="preserve">Adjusted basis </w:t>
            </w:r>
            <w:r w:rsidRPr="00D14928">
              <w:rPr>
                <w:rFonts w:ascii="Arial" w:eastAsia="Times New Roman" w:hAnsi="Arial" w:cs="Arial"/>
                <w:color w:val="000000"/>
                <w:sz w:val="16"/>
                <w:szCs w:val="16"/>
                <w:vertAlign w:val="superscript"/>
                <w:lang w:eastAsia="en-GB"/>
              </w:rPr>
              <w:t>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income net of insurance claims </w:t>
            </w:r>
            <w:r w:rsidRPr="00D14928">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6,867 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7,002 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7,384 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8,108 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6,213 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7,001 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7,549 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7,750 </w:t>
            </w:r>
          </w:p>
        </w:tc>
      </w:tr>
      <w:tr w:rsidR="00D14928" w:rsidRPr="00D14928" w:rsidTr="00D14928">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charges and other provisions </w:t>
            </w:r>
            <w:r w:rsidRPr="00D14928">
              <w:rPr>
                <w:rFonts w:ascii="Arial" w:eastAsia="Times New Roman" w:hAnsi="Arial" w:cs="Arial"/>
                <w:color w:val="000000"/>
                <w:sz w:val="13"/>
                <w:szCs w:val="13"/>
                <w:vertAlign w:val="superscript"/>
                <w:lang w:eastAsia="en-GB"/>
              </w:rPr>
              <w:t>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(825)</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(805)</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(926)</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(784)</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(951)</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(1,023)</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(907)</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(921)</w:t>
            </w:r>
          </w:p>
        </w:tc>
      </w:tr>
      <w:tr w:rsidR="00D14928" w:rsidRPr="00D14928" w:rsidTr="00D14928">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xml:space="preserve">Net operating income </w:t>
            </w:r>
            <w:r w:rsidRPr="00D14928">
              <w:rPr>
                <w:rFonts w:ascii="Arial" w:eastAsia="Times New Roman" w:hAnsi="Arial" w:cs="Arial"/>
                <w:color w:val="000000"/>
                <w:sz w:val="16"/>
                <w:szCs w:val="16"/>
                <w:vertAlign w:val="superscript"/>
                <w:lang w:eastAsia="en-GB"/>
              </w:rPr>
              <w:t>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6,042 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6,197 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6,458 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7,324 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5,262 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5,978 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6,642 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6,829 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Operating expenses (excluding UK bank levy) </w:t>
            </w:r>
            <w:r w:rsidRPr="00D14928">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(4,345)</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(4,353)</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(4,555)</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(4,965)</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(4,441)</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(4,686)</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(4,967)</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(4,869)</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bank levy </w:t>
            </w:r>
            <w:r w:rsidRPr="00D14928">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(345)</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(325)</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r>
      <w:tr w:rsidR="00D14928" w:rsidRPr="00D14928" w:rsidTr="00D14928">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net income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17 </w:t>
            </w:r>
          </w:p>
        </w:tc>
      </w:tr>
      <w:tr w:rsidR="00D14928" w:rsidRPr="00D14928" w:rsidTr="00D14928">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xml:space="preserve">Adjusted profit before tax </w:t>
            </w:r>
            <w:r w:rsidRPr="00D14928">
              <w:rPr>
                <w:rFonts w:ascii="Arial" w:eastAsia="Times New Roman" w:hAnsi="Arial" w:cs="Arial"/>
                <w:color w:val="000000"/>
                <w:sz w:val="16"/>
                <w:szCs w:val="16"/>
                <w:vertAlign w:val="superscript"/>
                <w:lang w:eastAsia="en-GB"/>
              </w:rPr>
              <w:t>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1,395 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1,865 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1,944 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2,395 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501 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1,310 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1,694 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1,977 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xml:space="preserve">  </w:t>
            </w:r>
            <w:r w:rsidRPr="00D14928">
              <w:rPr>
                <w:rFonts w:ascii="Arial" w:eastAsia="Times New Roman" w:hAnsi="Arial" w:cs="Arial"/>
                <w:color w:val="000000"/>
                <w:sz w:val="16"/>
                <w:szCs w:val="16"/>
                <w:vertAlign w:val="superscript"/>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r w:rsidR="00D14928" w:rsidRPr="00D14928" w:rsidTr="00D14928">
        <w:trPr>
          <w:trHeight w:val="240"/>
        </w:trPr>
        <w:tc>
          <w:tcPr>
            <w:tcW w:w="44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xml:space="preserve">Adjusting items </w:t>
            </w:r>
            <w:r w:rsidRPr="00D14928">
              <w:rPr>
                <w:rFonts w:ascii="Arial" w:eastAsia="Times New Roman" w:hAnsi="Arial" w:cs="Arial"/>
                <w:color w:val="000000"/>
                <w:sz w:val="16"/>
                <w:szCs w:val="16"/>
                <w:vertAlign w:val="superscript"/>
                <w:lang w:eastAsia="en-GB"/>
              </w:rPr>
              <w:t>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r w:rsidR="00D14928" w:rsidRPr="00D14928" w:rsidTr="00D14928">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Own credit </w:t>
            </w:r>
            <w:r w:rsidRPr="00D14928">
              <w:rPr>
                <w:rFonts w:ascii="Arial" w:eastAsia="Times New Roman" w:hAnsi="Arial" w:cs="Arial"/>
                <w:color w:val="000000"/>
                <w:sz w:val="13"/>
                <w:szCs w:val="13"/>
                <w:vertAlign w:val="superscript"/>
                <w:lang w:eastAsia="en-GB"/>
              </w:rPr>
              <w:t>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(560)</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(1,074)</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(325)</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(2,620)</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(263)</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2,882 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440 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(351)</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Gains on debt buy-backs </w:t>
            </w:r>
            <w:r w:rsidRPr="00D14928">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1,130 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Impairment and gain/(loss) on disposal of </w:t>
            </w:r>
            <w:proofErr w:type="spellStart"/>
            <w:r w:rsidRPr="00D14928">
              <w:rPr>
                <w:rFonts w:ascii="Arial" w:eastAsia="Times New Roman" w:hAnsi="Arial" w:cs="Arial"/>
                <w:color w:val="000000"/>
                <w:sz w:val="16"/>
                <w:szCs w:val="16"/>
                <w:lang w:eastAsia="en-GB"/>
              </w:rPr>
              <w:t>BlackRock</w:t>
            </w:r>
            <w:proofErr w:type="spellEnd"/>
            <w:r w:rsidRPr="00D14928">
              <w:rPr>
                <w:rFonts w:ascii="Arial" w:eastAsia="Times New Roman" w:hAnsi="Arial" w:cs="Arial"/>
                <w:color w:val="000000"/>
                <w:sz w:val="16"/>
                <w:szCs w:val="16"/>
                <w:lang w:eastAsia="en-GB"/>
              </w:rPr>
              <w:t xml:space="preserve"> investment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227 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(1,800)</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(58)</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r>
      <w:tr w:rsidR="00D14928" w:rsidRPr="00D14928" w:rsidTr="00D14928">
        <w:trPr>
          <w:trHeight w:val="255"/>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Provision for PPI redress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(600)</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(700)</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(300)</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(1,000)</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r>
      <w:tr w:rsidR="00D14928" w:rsidRPr="00D14928" w:rsidTr="00D14928">
        <w:trPr>
          <w:trHeight w:val="255"/>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Provision for interest rate hedging products redress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(400)</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(450)</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Goodwill impairment </w:t>
            </w:r>
            <w:r w:rsidRPr="00D14928">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(550)</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(47)</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(Losses)/gains on acquisitions and disposals </w:t>
            </w:r>
            <w:r w:rsidRPr="00D14928">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(67)</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r>
      <w:tr w:rsidR="00D14928" w:rsidRPr="00D14928" w:rsidTr="00D14928">
        <w:trPr>
          <w:trHeight w:val="240"/>
        </w:trPr>
        <w:tc>
          <w:tcPr>
            <w:tcW w:w="4410"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Statutory (loss)/profit before tax </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(165)</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91 </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1,396 </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(525)</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786 </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2,395 </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962 </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1,628 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Statutory (loss)/profit after tax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(364)</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943 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(385)</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581 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1,345 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721 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1,220 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r w:rsidR="00D14928" w:rsidRPr="00D14928" w:rsidTr="00D14928">
        <w:trPr>
          <w:trHeight w:val="240"/>
        </w:trPr>
        <w:tc>
          <w:tcPr>
            <w:tcW w:w="44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Attributable to:</w:t>
            </w:r>
            <w:r w:rsidRPr="00D14928">
              <w:rPr>
                <w:rFonts w:ascii="Arial" w:eastAsia="Times New Roman" w:hAnsi="Arial" w:cs="Arial"/>
                <w:color w:val="000000"/>
                <w:sz w:val="16"/>
                <w:szCs w:val="16"/>
                <w:vertAlign w:val="superscript"/>
                <w:lang w:eastAsia="en-GB"/>
              </w:rPr>
              <w:t xml:space="preserve">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r w:rsidR="00D14928" w:rsidRPr="00D14928" w:rsidTr="00D14928">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Equity holders of the parent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(589)</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(183)</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746 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(598)</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335 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1132 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465 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991 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Non-controlling interests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225 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170 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197 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246 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213 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256 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229 </w:t>
            </w:r>
          </w:p>
        </w:tc>
      </w:tr>
      <w:tr w:rsidR="00D14928" w:rsidRPr="00D14928" w:rsidTr="00D14928">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Adjusted basic earnings per share </w:t>
            </w:r>
            <w:r w:rsidRPr="00D14928">
              <w:rPr>
                <w:rFonts w:ascii="Arial" w:eastAsia="Times New Roman" w:hAnsi="Arial" w:cs="Arial"/>
                <w:color w:val="000000"/>
                <w:sz w:val="13"/>
                <w:szCs w:val="13"/>
                <w:vertAlign w:val="superscript"/>
                <w:lang w:eastAsia="en-GB"/>
              </w:rPr>
              <w:t>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7.2p</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8.3p</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9.2p</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13.2p</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1.0p</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6.8p</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8.7p</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10.5p</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Adjusted cost: income ratio </w:t>
            </w:r>
            <w:r w:rsidRPr="00D14928">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68%</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62%</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62%</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61%</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77%</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67%</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66%</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63%</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Basic (loss)/earnings per share </w:t>
            </w:r>
            <w:r w:rsidRPr="00D14928">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(4.8p)</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(1.5p)</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6.1p</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(4.9p)</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2.8p</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9.4p</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3.9p</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8.3p</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Cost: income ratio </w:t>
            </w:r>
            <w:r w:rsidRPr="00D14928">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90%</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85%</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69%</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96%</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58%</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76%</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66%</w:t>
            </w:r>
          </w:p>
        </w:tc>
      </w:tr>
    </w:tbl>
    <w:p w:rsidR="00D14928" w:rsidRPr="00D14928" w:rsidRDefault="00D14928" w:rsidP="00D14928">
      <w:pPr>
        <w:spacing w:line="240" w:lineRule="auto"/>
        <w:rPr>
          <w:rFonts w:ascii="Arial" w:eastAsia="Times New Roman" w:hAnsi="Arial" w:cs="Arial"/>
          <w:b/>
          <w:bCs/>
          <w:sz w:val="2"/>
          <w:szCs w:val="2"/>
          <w:lang w:eastAsia="en-GB"/>
        </w:rPr>
      </w:pPr>
      <w:r w:rsidRPr="00D14928">
        <w:rPr>
          <w:rFonts w:ascii="Arial" w:eastAsia="Times New Roman" w:hAnsi="Arial" w:cs="Arial"/>
          <w:b/>
          <w:bCs/>
          <w:sz w:val="20"/>
          <w:szCs w:val="20"/>
          <w:lang w:eastAsia="en-GB"/>
        </w:rPr>
        <w:t> </w:t>
      </w:r>
    </w:p>
    <w:tbl>
      <w:tblPr>
        <w:tblW w:w="0" w:type="auto"/>
        <w:tblInd w:w="-36" w:type="dxa"/>
        <w:tblCellMar>
          <w:left w:w="0" w:type="dxa"/>
          <w:right w:w="0" w:type="dxa"/>
        </w:tblCellMar>
        <w:tblLook w:val="04A0" w:firstRow="1" w:lastRow="0" w:firstColumn="1" w:lastColumn="0" w:noHBand="0" w:noVBand="1"/>
      </w:tblPr>
      <w:tblGrid>
        <w:gridCol w:w="4410"/>
        <w:gridCol w:w="555"/>
        <w:gridCol w:w="555"/>
        <w:gridCol w:w="555"/>
        <w:gridCol w:w="555"/>
        <w:gridCol w:w="78"/>
        <w:gridCol w:w="555"/>
        <w:gridCol w:w="555"/>
        <w:gridCol w:w="555"/>
        <w:gridCol w:w="555"/>
      </w:tblGrid>
      <w:tr w:rsidR="00D14928" w:rsidRPr="00D14928" w:rsidTr="00D14928">
        <w:trPr>
          <w:trHeight w:val="570"/>
        </w:trPr>
        <w:tc>
          <w:tcPr>
            <w:tcW w:w="4410"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Restated Adjusted Profit/(Loss) Before Tax by Business</w:t>
            </w:r>
            <w:r w:rsidRPr="00D14928">
              <w:rPr>
                <w:rFonts w:ascii="Arial" w:eastAsia="Times New Roman" w:hAnsi="Arial" w:cs="Arial"/>
                <w:color w:val="000000"/>
                <w:sz w:val="16"/>
                <w:szCs w:val="16"/>
                <w:vertAlign w:val="superscript"/>
                <w:lang w:eastAsia="en-GB"/>
              </w:rPr>
              <w:t xml:space="preserve"> </w:t>
            </w:r>
          </w:p>
        </w:tc>
        <w:tc>
          <w:tcPr>
            <w:tcW w:w="55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Q412</w:t>
            </w:r>
          </w:p>
        </w:tc>
        <w:tc>
          <w:tcPr>
            <w:tcW w:w="55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Q312</w:t>
            </w:r>
          </w:p>
        </w:tc>
        <w:tc>
          <w:tcPr>
            <w:tcW w:w="55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Q212</w:t>
            </w:r>
          </w:p>
        </w:tc>
        <w:tc>
          <w:tcPr>
            <w:tcW w:w="55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Q112</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Q411</w:t>
            </w:r>
          </w:p>
        </w:tc>
        <w:tc>
          <w:tcPr>
            <w:tcW w:w="55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Q311</w:t>
            </w:r>
          </w:p>
        </w:tc>
        <w:tc>
          <w:tcPr>
            <w:tcW w:w="55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Q211</w:t>
            </w:r>
          </w:p>
        </w:tc>
        <w:tc>
          <w:tcPr>
            <w:tcW w:w="55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Q111</w:t>
            </w:r>
          </w:p>
        </w:tc>
      </w:tr>
      <w:tr w:rsidR="00D14928" w:rsidRPr="00D14928" w:rsidTr="00D14928">
        <w:trPr>
          <w:trHeight w:val="240"/>
        </w:trPr>
        <w:tc>
          <w:tcPr>
            <w:tcW w:w="44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b/>
                <w:bCs/>
                <w:color w:val="000000"/>
                <w:sz w:val="18"/>
                <w:szCs w:val="18"/>
                <w:vertAlign w:val="superscript"/>
                <w:lang w:eastAsia="en-GB"/>
              </w:rPr>
              <w:t> </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r>
      <w:tr w:rsidR="00D14928" w:rsidRPr="00D14928" w:rsidTr="00D14928">
        <w:trPr>
          <w:trHeight w:val="255"/>
        </w:trPr>
        <w:tc>
          <w:tcPr>
            <w:tcW w:w="44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RBB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275 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358 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360 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162 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429 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378 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253 </w:t>
            </w:r>
          </w:p>
        </w:tc>
      </w:tr>
      <w:tr w:rsidR="00D14928" w:rsidRPr="00D14928" w:rsidTr="00D14928">
        <w:trPr>
          <w:trHeight w:val="255"/>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Europe RBB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(114)</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(81)</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(76)</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(72)</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(176)</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(109)</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(76)</w:t>
            </w:r>
          </w:p>
        </w:tc>
      </w:tr>
      <w:tr w:rsidR="00D14928" w:rsidRPr="00D14928" w:rsidTr="00D14928">
        <w:trPr>
          <w:trHeight w:val="255"/>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Africa RBB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105 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51 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231 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191 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178 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130 </w:t>
            </w:r>
          </w:p>
        </w:tc>
      </w:tr>
      <w:tr w:rsidR="00D14928" w:rsidRPr="00D14928" w:rsidTr="00D14928">
        <w:trPr>
          <w:trHeight w:val="255"/>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Barclaycard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335 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396 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404 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261 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367 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273 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311 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Investment Bank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760 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988 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1,060 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1,182 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210 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888 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1,349 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Corporate Banking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61 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88 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108 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140 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37 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Wealth and Investment Management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105 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49 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34 </w:t>
            </w:r>
          </w:p>
        </w:tc>
        <w:tc>
          <w:tcPr>
            <w:tcW w:w="55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41 </w:t>
            </w:r>
          </w:p>
        </w:tc>
      </w:tr>
      <w:tr w:rsidR="00D14928" w:rsidRPr="00D14928" w:rsidTr="00D14928">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Head Office and Other Operations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(132)</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(118)</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(55)</w:t>
            </w:r>
          </w:p>
        </w:tc>
      </w:tr>
      <w:tr w:rsidR="00D14928" w:rsidRPr="00D14928" w:rsidTr="00D14928">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profit before tax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1,395 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1,865 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1,944 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2,395 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501 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1,310 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1,694 </w:t>
            </w:r>
          </w:p>
        </w:tc>
        <w:tc>
          <w:tcPr>
            <w:tcW w:w="5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1,977 </w:t>
            </w:r>
          </w:p>
        </w:tc>
      </w:tr>
    </w:tbl>
    <w:p w:rsidR="00D14928" w:rsidRPr="00D14928" w:rsidRDefault="00D14928" w:rsidP="00D14928">
      <w:pPr>
        <w:spacing w:before="100" w:beforeAutospacing="1" w:after="100" w:afterAutospacing="1" w:line="240" w:lineRule="auto"/>
        <w:rPr>
          <w:rFonts w:ascii="Times New Roman" w:eastAsia="Times New Roman" w:hAnsi="Times New Roman" w:cs="Times New Roman"/>
          <w:b/>
          <w:bCs/>
          <w:sz w:val="24"/>
          <w:szCs w:val="24"/>
          <w:lang w:eastAsia="en-GB"/>
        </w:rPr>
      </w:pPr>
      <w:r w:rsidRPr="00D14928">
        <w:rPr>
          <w:rFonts w:ascii="Arial" w:eastAsia="Times New Roman" w:hAnsi="Arial" w:cs="Arial"/>
          <w:b/>
          <w:bCs/>
          <w:sz w:val="20"/>
          <w:szCs w:val="20"/>
          <w:lang w:eastAsia="en-GB"/>
        </w:rPr>
        <w:br w:type="page"/>
      </w:r>
    </w:p>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color w:val="000000"/>
          <w:sz w:val="24"/>
          <w:szCs w:val="24"/>
          <w:lang w:eastAsia="en-GB"/>
        </w:rPr>
        <w:lastRenderedPageBreak/>
        <w:t>Condensed Consolidated Financial Statements</w:t>
      </w:r>
    </w:p>
    <w:tbl>
      <w:tblPr>
        <w:tblW w:w="9720" w:type="dxa"/>
        <w:tblInd w:w="-36" w:type="dxa"/>
        <w:tblCellMar>
          <w:left w:w="0" w:type="dxa"/>
          <w:right w:w="0" w:type="dxa"/>
        </w:tblCellMar>
        <w:tblLook w:val="04A0" w:firstRow="1" w:lastRow="0" w:firstColumn="1" w:lastColumn="0" w:noHBand="0" w:noVBand="1"/>
      </w:tblPr>
      <w:tblGrid>
        <w:gridCol w:w="4346"/>
        <w:gridCol w:w="660"/>
        <w:gridCol w:w="330"/>
        <w:gridCol w:w="45"/>
        <w:gridCol w:w="944"/>
        <w:gridCol w:w="90"/>
        <w:gridCol w:w="1094"/>
        <w:gridCol w:w="870"/>
        <w:gridCol w:w="78"/>
        <w:gridCol w:w="105"/>
        <w:gridCol w:w="78"/>
        <w:gridCol w:w="810"/>
        <w:gridCol w:w="270"/>
      </w:tblGrid>
      <w:tr w:rsidR="00D14928" w:rsidRPr="00D14928" w:rsidTr="00D14928">
        <w:trPr>
          <w:trHeight w:val="315"/>
        </w:trPr>
        <w:tc>
          <w:tcPr>
            <w:tcW w:w="4785" w:type="dxa"/>
            <w:gridSpan w:val="2"/>
            <w:tcMar>
              <w:top w:w="0" w:type="dxa"/>
              <w:left w:w="36" w:type="dxa"/>
              <w:bottom w:w="0" w:type="dxa"/>
              <w:right w:w="36" w:type="dxa"/>
            </w:tcMar>
            <w:vAlign w:val="bottom"/>
            <w:hideMark/>
          </w:tcPr>
          <w:p w:rsidR="00D14928" w:rsidRPr="00D14928" w:rsidRDefault="00D14928" w:rsidP="00D14928">
            <w:pPr>
              <w:spacing w:before="60"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xml:space="preserve">Condensed Consolidated Income Statement </w:t>
            </w:r>
          </w:p>
        </w:tc>
        <w:tc>
          <w:tcPr>
            <w:tcW w:w="31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945" w:type="dxa"/>
            <w:gridSpan w:val="2"/>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1065" w:type="dxa"/>
            <w:gridSpan w:val="2"/>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82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0"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945" w:type="dxa"/>
            <w:gridSpan w:val="3"/>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255" w:type="dxa"/>
            <w:tcBorders>
              <w:top w:val="nil"/>
              <w:left w:val="nil"/>
              <w:bottom w:val="nil"/>
              <w:right w:val="nil"/>
            </w:tcBorders>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c>
      </w:tr>
      <w:tr w:rsidR="00D14928" w:rsidRPr="00D14928" w:rsidTr="00D14928">
        <w:trPr>
          <w:trHeight w:val="385"/>
        </w:trPr>
        <w:tc>
          <w:tcPr>
            <w:tcW w:w="4155" w:type="dxa"/>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945" w:type="dxa"/>
            <w:gridSpan w:val="2"/>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vertAlign w:val="superscript"/>
                <w:lang w:eastAsia="en-GB"/>
              </w:rPr>
              <w:t> </w:t>
            </w:r>
          </w:p>
        </w:tc>
        <w:tc>
          <w:tcPr>
            <w:tcW w:w="2085" w:type="dxa"/>
            <w:gridSpan w:val="4"/>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Restatement Adjustments</w:t>
            </w:r>
          </w:p>
        </w:tc>
        <w:tc>
          <w:tcPr>
            <w:tcW w:w="82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45" w:type="dxa"/>
            <w:gridSpan w:val="3"/>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255" w:type="dxa"/>
            <w:tcBorders>
              <w:top w:val="nil"/>
              <w:left w:val="nil"/>
              <w:bottom w:val="nil"/>
              <w:right w:val="nil"/>
            </w:tcBorders>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c>
      </w:tr>
      <w:tr w:rsidR="00D14928" w:rsidRPr="00D14928" w:rsidTr="00D14928">
        <w:trPr>
          <w:trHeight w:val="510"/>
        </w:trPr>
        <w:tc>
          <w:tcPr>
            <w:tcW w:w="415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Continuing Operations </w:t>
            </w:r>
          </w:p>
        </w:tc>
        <w:tc>
          <w:tcPr>
            <w:tcW w:w="990" w:type="dxa"/>
            <w:gridSpan w:val="3"/>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Published</w:t>
            </w:r>
          </w:p>
        </w:tc>
        <w:tc>
          <w:tcPr>
            <w:tcW w:w="990" w:type="dxa"/>
            <w:gridSpan w:val="2"/>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IFRS 10</w:t>
            </w:r>
          </w:p>
        </w:tc>
        <w:tc>
          <w:tcPr>
            <w:tcW w:w="99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IAS 19</w:t>
            </w:r>
          </w:p>
        </w:tc>
        <w:tc>
          <w:tcPr>
            <w:tcW w:w="990" w:type="dxa"/>
            <w:gridSpan w:val="3"/>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2012 as </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05" w:type="dxa"/>
            <w:gridSpan w:val="2"/>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2011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r>
      <w:tr w:rsidR="00D14928" w:rsidRPr="00D14928" w:rsidTr="00D14928">
        <w:trPr>
          <w:trHeight w:val="240"/>
        </w:trPr>
        <w:tc>
          <w:tcPr>
            <w:tcW w:w="41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990" w:type="dxa"/>
            <w:gridSpan w:val="3"/>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990" w:type="dxa"/>
            <w:gridSpan w:val="2"/>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99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990" w:type="dxa"/>
            <w:gridSpan w:val="3"/>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r>
      <w:tr w:rsidR="00D14928" w:rsidRPr="00D14928" w:rsidTr="00D14928">
        <w:trPr>
          <w:trHeight w:val="240"/>
        </w:trPr>
        <w:tc>
          <w:tcPr>
            <w:tcW w:w="41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interest income </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11,639 </w:t>
            </w:r>
          </w:p>
        </w:tc>
        <w:tc>
          <w:tcPr>
            <w:tcW w:w="990"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15 </w:t>
            </w:r>
          </w:p>
        </w:tc>
        <w:tc>
          <w:tcPr>
            <w:tcW w:w="9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11,654 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12,201 </w:t>
            </w:r>
          </w:p>
        </w:tc>
      </w:tr>
      <w:tr w:rsidR="00D14928" w:rsidRPr="00D14928" w:rsidTr="00D14928">
        <w:trPr>
          <w:trHeight w:val="240"/>
        </w:trPr>
        <w:tc>
          <w:tcPr>
            <w:tcW w:w="415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fee and commission income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8,582 </w:t>
            </w:r>
          </w:p>
        </w:tc>
        <w:tc>
          <w:tcPr>
            <w:tcW w:w="990"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w:t>
            </w:r>
          </w:p>
        </w:tc>
        <w:tc>
          <w:tcPr>
            <w:tcW w:w="9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8,536 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8,622 </w:t>
            </w:r>
          </w:p>
        </w:tc>
      </w:tr>
      <w:tr w:rsidR="00D14928" w:rsidRPr="00D14928" w:rsidTr="00D14928">
        <w:trPr>
          <w:trHeight w:val="240"/>
        </w:trPr>
        <w:tc>
          <w:tcPr>
            <w:tcW w:w="415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trading income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3,025 </w:t>
            </w:r>
          </w:p>
        </w:tc>
        <w:tc>
          <w:tcPr>
            <w:tcW w:w="990"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322 </w:t>
            </w:r>
          </w:p>
        </w:tc>
        <w:tc>
          <w:tcPr>
            <w:tcW w:w="9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3,347 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7,660 </w:t>
            </w:r>
          </w:p>
        </w:tc>
      </w:tr>
      <w:tr w:rsidR="00D14928" w:rsidRPr="00D14928" w:rsidTr="00D14928">
        <w:trPr>
          <w:trHeight w:val="240"/>
        </w:trPr>
        <w:tc>
          <w:tcPr>
            <w:tcW w:w="415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investment income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817 </w:t>
            </w:r>
          </w:p>
        </w:tc>
        <w:tc>
          <w:tcPr>
            <w:tcW w:w="990"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27 </w:t>
            </w:r>
          </w:p>
        </w:tc>
        <w:tc>
          <w:tcPr>
            <w:tcW w:w="9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844 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2,305 </w:t>
            </w:r>
          </w:p>
        </w:tc>
      </w:tr>
      <w:tr w:rsidR="00D14928" w:rsidRPr="00D14928" w:rsidTr="00D14928">
        <w:trPr>
          <w:trHeight w:val="240"/>
        </w:trPr>
        <w:tc>
          <w:tcPr>
            <w:tcW w:w="415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premiums from insurance contracts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896 </w:t>
            </w:r>
          </w:p>
        </w:tc>
        <w:tc>
          <w:tcPr>
            <w:tcW w:w="990"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896 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1,076 </w:t>
            </w:r>
          </w:p>
        </w:tc>
      </w:tr>
      <w:tr w:rsidR="00D14928" w:rsidRPr="00D14928" w:rsidTr="00D14928">
        <w:trPr>
          <w:trHeight w:val="240"/>
        </w:trPr>
        <w:tc>
          <w:tcPr>
            <w:tcW w:w="415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gain on disposal of investment in </w:t>
            </w:r>
            <w:proofErr w:type="spellStart"/>
            <w:r w:rsidRPr="00D14928">
              <w:rPr>
                <w:rFonts w:ascii="Arial" w:eastAsia="Times New Roman" w:hAnsi="Arial" w:cs="Arial"/>
                <w:color w:val="000000"/>
                <w:sz w:val="16"/>
                <w:szCs w:val="16"/>
                <w:lang w:eastAsia="en-GB"/>
              </w:rPr>
              <w:t>BlackRock</w:t>
            </w:r>
            <w:proofErr w:type="spellEnd"/>
            <w:r w:rsidRPr="00D14928">
              <w:rPr>
                <w:rFonts w:ascii="Arial" w:eastAsia="Times New Roman" w:hAnsi="Arial" w:cs="Arial"/>
                <w:color w:val="000000"/>
                <w:sz w:val="16"/>
                <w:szCs w:val="16"/>
                <w:lang w:eastAsia="en-GB"/>
              </w:rPr>
              <w:t xml:space="preserve">, Inc.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227 </w:t>
            </w:r>
          </w:p>
        </w:tc>
        <w:tc>
          <w:tcPr>
            <w:tcW w:w="990"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r>
      <w:tr w:rsidR="00D14928" w:rsidRPr="00D14928" w:rsidTr="00D14928">
        <w:trPr>
          <w:trHeight w:val="240"/>
        </w:trPr>
        <w:tc>
          <w:tcPr>
            <w:tcW w:w="41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income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105 </w:t>
            </w:r>
          </w:p>
        </w:tc>
        <w:tc>
          <w:tcPr>
            <w:tcW w:w="990"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1,169 </w:t>
            </w:r>
          </w:p>
        </w:tc>
      </w:tr>
      <w:tr w:rsidR="00D14928" w:rsidRPr="00D14928" w:rsidTr="00D14928">
        <w:trPr>
          <w:trHeight w:val="240"/>
        </w:trPr>
        <w:tc>
          <w:tcPr>
            <w:tcW w:w="41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income </w:t>
            </w:r>
            <w:r w:rsidRPr="00D14928">
              <w:rPr>
                <w:rFonts w:ascii="Arial" w:eastAsia="Times New Roman" w:hAnsi="Arial" w:cs="Arial"/>
                <w:b/>
                <w:bCs/>
                <w:color w:val="000000"/>
                <w:sz w:val="13"/>
                <w:szCs w:val="13"/>
                <w:vertAlign w:val="superscript"/>
                <w:lang w:eastAsia="en-GB"/>
              </w:rPr>
              <w:t> </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25,291 </w:t>
            </w:r>
          </w:p>
        </w:tc>
        <w:tc>
          <w:tcPr>
            <w:tcW w:w="990"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318 </w:t>
            </w:r>
          </w:p>
        </w:tc>
        <w:tc>
          <w:tcPr>
            <w:tcW w:w="9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25,609 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05"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33,033 </w:t>
            </w:r>
          </w:p>
        </w:tc>
      </w:tr>
      <w:tr w:rsidR="00D14928" w:rsidRPr="00D14928" w:rsidTr="00D14928">
        <w:trPr>
          <w:trHeight w:val="240"/>
        </w:trPr>
        <w:tc>
          <w:tcPr>
            <w:tcW w:w="41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claims and benefits incurred on insurance contracts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(600)</w:t>
            </w:r>
          </w:p>
        </w:tc>
        <w:tc>
          <w:tcPr>
            <w:tcW w:w="990"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(600)</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(741)</w:t>
            </w:r>
          </w:p>
        </w:tc>
      </w:tr>
      <w:tr w:rsidR="00D14928" w:rsidRPr="00D14928" w:rsidTr="00D14928">
        <w:trPr>
          <w:trHeight w:val="240"/>
        </w:trPr>
        <w:tc>
          <w:tcPr>
            <w:tcW w:w="41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income net of insurance claims </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24,691 </w:t>
            </w:r>
          </w:p>
        </w:tc>
        <w:tc>
          <w:tcPr>
            <w:tcW w:w="990"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318 </w:t>
            </w:r>
          </w:p>
        </w:tc>
        <w:tc>
          <w:tcPr>
            <w:tcW w:w="9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25,009 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05"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32,292 </w:t>
            </w:r>
          </w:p>
        </w:tc>
      </w:tr>
      <w:tr w:rsidR="00D14928" w:rsidRPr="00D14928" w:rsidTr="00D14928">
        <w:trPr>
          <w:trHeight w:val="240"/>
        </w:trPr>
        <w:tc>
          <w:tcPr>
            <w:tcW w:w="415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charges and other provisions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(3,596)</w:t>
            </w:r>
          </w:p>
        </w:tc>
        <w:tc>
          <w:tcPr>
            <w:tcW w:w="990"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256 </w:t>
            </w:r>
          </w:p>
        </w:tc>
        <w:tc>
          <w:tcPr>
            <w:tcW w:w="9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(3,340)</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(3,802)</w:t>
            </w:r>
          </w:p>
        </w:tc>
      </w:tr>
      <w:tr w:rsidR="00D14928" w:rsidRPr="00D14928" w:rsidTr="00D14928">
        <w:trPr>
          <w:trHeight w:val="240"/>
        </w:trPr>
        <w:tc>
          <w:tcPr>
            <w:tcW w:w="41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Impairment of investment in </w:t>
            </w:r>
            <w:proofErr w:type="spellStart"/>
            <w:r w:rsidRPr="00D14928">
              <w:rPr>
                <w:rFonts w:ascii="Arial" w:eastAsia="Times New Roman" w:hAnsi="Arial" w:cs="Arial"/>
                <w:color w:val="000000"/>
                <w:sz w:val="16"/>
                <w:szCs w:val="16"/>
                <w:lang w:eastAsia="en-GB"/>
              </w:rPr>
              <w:t>BlackRock</w:t>
            </w:r>
            <w:proofErr w:type="spellEnd"/>
            <w:r w:rsidRPr="00D14928">
              <w:rPr>
                <w:rFonts w:ascii="Arial" w:eastAsia="Times New Roman" w:hAnsi="Arial" w:cs="Arial"/>
                <w:color w:val="000000"/>
                <w:sz w:val="16"/>
                <w:szCs w:val="16"/>
                <w:lang w:eastAsia="en-GB"/>
              </w:rPr>
              <w:t xml:space="preserve">, Inc.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(1,800)</w:t>
            </w:r>
          </w:p>
        </w:tc>
      </w:tr>
      <w:tr w:rsidR="00D14928" w:rsidRPr="00D14928" w:rsidTr="00D14928">
        <w:trPr>
          <w:trHeight w:val="240"/>
        </w:trPr>
        <w:tc>
          <w:tcPr>
            <w:tcW w:w="41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Net operating income </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21,095 </w:t>
            </w:r>
          </w:p>
        </w:tc>
        <w:tc>
          <w:tcPr>
            <w:tcW w:w="990"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574 </w:t>
            </w:r>
          </w:p>
        </w:tc>
        <w:tc>
          <w:tcPr>
            <w:tcW w:w="9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21,669 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05"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26,690 </w:t>
            </w:r>
          </w:p>
        </w:tc>
      </w:tr>
      <w:tr w:rsidR="00D14928" w:rsidRPr="00D14928" w:rsidTr="00D14928">
        <w:trPr>
          <w:trHeight w:val="240"/>
        </w:trPr>
        <w:tc>
          <w:tcPr>
            <w:tcW w:w="41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90"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05"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r w:rsidR="00D14928" w:rsidRPr="00D14928" w:rsidTr="00D14928">
        <w:trPr>
          <w:trHeight w:val="240"/>
        </w:trPr>
        <w:tc>
          <w:tcPr>
            <w:tcW w:w="41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Staff costs </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(10,447)</w:t>
            </w:r>
          </w:p>
        </w:tc>
        <w:tc>
          <w:tcPr>
            <w:tcW w:w="990"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9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(10,470)</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(11,516)</w:t>
            </w:r>
          </w:p>
        </w:tc>
      </w:tr>
      <w:tr w:rsidR="00D14928" w:rsidRPr="00D14928" w:rsidTr="00D14928">
        <w:trPr>
          <w:trHeight w:val="240"/>
        </w:trPr>
        <w:tc>
          <w:tcPr>
            <w:tcW w:w="415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Administration and general expenses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(6,643)</w:t>
            </w:r>
          </w:p>
        </w:tc>
        <w:tc>
          <w:tcPr>
            <w:tcW w:w="990"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(6,643)</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(6,356)</w:t>
            </w:r>
          </w:p>
        </w:tc>
      </w:tr>
      <w:tr w:rsidR="00D14928" w:rsidRPr="00D14928" w:rsidTr="00D14928">
        <w:trPr>
          <w:trHeight w:val="240"/>
        </w:trPr>
        <w:tc>
          <w:tcPr>
            <w:tcW w:w="415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Depreciation of property, plant and equipment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(669)</w:t>
            </w:r>
          </w:p>
        </w:tc>
        <w:tc>
          <w:tcPr>
            <w:tcW w:w="990"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(669)</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(673)</w:t>
            </w:r>
          </w:p>
        </w:tc>
      </w:tr>
      <w:tr w:rsidR="00D14928" w:rsidRPr="00D14928" w:rsidTr="00D14928">
        <w:trPr>
          <w:trHeight w:val="240"/>
        </w:trPr>
        <w:tc>
          <w:tcPr>
            <w:tcW w:w="415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Amortisation of intangible assets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(435)</w:t>
            </w:r>
          </w:p>
        </w:tc>
        <w:tc>
          <w:tcPr>
            <w:tcW w:w="990"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(435)</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(419)</w:t>
            </w:r>
          </w:p>
        </w:tc>
      </w:tr>
      <w:tr w:rsidR="00D14928" w:rsidRPr="00D14928" w:rsidTr="00D14928">
        <w:trPr>
          <w:trHeight w:val="240"/>
        </w:trPr>
        <w:tc>
          <w:tcPr>
            <w:tcW w:w="41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Bank Levy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(345)</w:t>
            </w:r>
          </w:p>
        </w:tc>
        <w:tc>
          <w:tcPr>
            <w:tcW w:w="990"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(345)</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(325)</w:t>
            </w:r>
          </w:p>
        </w:tc>
      </w:tr>
      <w:tr w:rsidR="00D14928" w:rsidRPr="00D14928" w:rsidTr="00D14928">
        <w:trPr>
          <w:trHeight w:val="480"/>
        </w:trPr>
        <w:tc>
          <w:tcPr>
            <w:tcW w:w="41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Operating expenses excluding goodwill impairment and provisions for PPI and interest rate hedging products redress </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(18,539)</w:t>
            </w:r>
          </w:p>
        </w:tc>
        <w:tc>
          <w:tcPr>
            <w:tcW w:w="990"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w:t>
            </w:r>
          </w:p>
        </w:tc>
        <w:tc>
          <w:tcPr>
            <w:tcW w:w="9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(22)</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(18,562)</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05"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(19,289)</w:t>
            </w:r>
          </w:p>
        </w:tc>
      </w:tr>
      <w:tr w:rsidR="00D14928" w:rsidRPr="00D14928" w:rsidTr="00D14928">
        <w:trPr>
          <w:trHeight w:val="255"/>
        </w:trPr>
        <w:tc>
          <w:tcPr>
            <w:tcW w:w="415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Goodwill impairment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(597)</w:t>
            </w:r>
          </w:p>
        </w:tc>
      </w:tr>
      <w:tr w:rsidR="00D14928" w:rsidRPr="00D14928" w:rsidTr="00D14928">
        <w:trPr>
          <w:trHeight w:val="240"/>
        </w:trPr>
        <w:tc>
          <w:tcPr>
            <w:tcW w:w="415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Provision for PPI redress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(1,600)</w:t>
            </w:r>
          </w:p>
        </w:tc>
        <w:tc>
          <w:tcPr>
            <w:tcW w:w="990"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(1,600)</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(1,000)</w:t>
            </w:r>
          </w:p>
        </w:tc>
      </w:tr>
      <w:tr w:rsidR="00D14928" w:rsidRPr="00D14928" w:rsidTr="00D14928">
        <w:trPr>
          <w:trHeight w:val="240"/>
        </w:trPr>
        <w:tc>
          <w:tcPr>
            <w:tcW w:w="41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Provision for interest rate hedging products redress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(850)</w:t>
            </w:r>
          </w:p>
        </w:tc>
        <w:tc>
          <w:tcPr>
            <w:tcW w:w="990"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(850)</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r>
      <w:tr w:rsidR="00D14928" w:rsidRPr="00D14928" w:rsidTr="00D14928">
        <w:trPr>
          <w:trHeight w:val="240"/>
        </w:trPr>
        <w:tc>
          <w:tcPr>
            <w:tcW w:w="41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Operating expenses </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(20,989)</w:t>
            </w:r>
          </w:p>
        </w:tc>
        <w:tc>
          <w:tcPr>
            <w:tcW w:w="990"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w:t>
            </w:r>
          </w:p>
        </w:tc>
        <w:tc>
          <w:tcPr>
            <w:tcW w:w="9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(22)</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(21,012)</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05"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(20,886)</w:t>
            </w:r>
          </w:p>
        </w:tc>
      </w:tr>
      <w:tr w:rsidR="00D14928" w:rsidRPr="00D14928" w:rsidTr="00D14928">
        <w:trPr>
          <w:trHeight w:val="240"/>
        </w:trPr>
        <w:tc>
          <w:tcPr>
            <w:tcW w:w="415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90"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05"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r w:rsidR="00D14928" w:rsidRPr="00D14928" w:rsidTr="00D14928">
        <w:trPr>
          <w:trHeight w:val="480"/>
        </w:trPr>
        <w:tc>
          <w:tcPr>
            <w:tcW w:w="41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Profit/(loss) on disposals of undertakings and share of results of associates and joint ventures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140 </w:t>
            </w:r>
          </w:p>
        </w:tc>
        <w:tc>
          <w:tcPr>
            <w:tcW w:w="990"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w:t>
            </w:r>
          </w:p>
        </w:tc>
      </w:tr>
      <w:tr w:rsidR="00D14928" w:rsidRPr="00D14928" w:rsidTr="00D14928">
        <w:trPr>
          <w:trHeight w:val="240"/>
        </w:trPr>
        <w:tc>
          <w:tcPr>
            <w:tcW w:w="41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Profit before tax </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246 </w:t>
            </w:r>
          </w:p>
        </w:tc>
        <w:tc>
          <w:tcPr>
            <w:tcW w:w="990"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573 </w:t>
            </w:r>
          </w:p>
        </w:tc>
        <w:tc>
          <w:tcPr>
            <w:tcW w:w="9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(22)</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797 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05"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5,770 </w:t>
            </w:r>
          </w:p>
        </w:tc>
      </w:tr>
      <w:tr w:rsidR="00D14928" w:rsidRPr="00D14928" w:rsidTr="00D14928">
        <w:trPr>
          <w:trHeight w:val="240"/>
        </w:trPr>
        <w:tc>
          <w:tcPr>
            <w:tcW w:w="41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Tax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(482)</w:t>
            </w:r>
          </w:p>
        </w:tc>
        <w:tc>
          <w:tcPr>
            <w:tcW w:w="990"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(134)</w:t>
            </w:r>
          </w:p>
        </w:tc>
        <w:tc>
          <w:tcPr>
            <w:tcW w:w="9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(616)</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(1,902)</w:t>
            </w:r>
          </w:p>
        </w:tc>
      </w:tr>
      <w:tr w:rsidR="00D14928" w:rsidRPr="00D14928" w:rsidTr="00D14928">
        <w:trPr>
          <w:trHeight w:val="240"/>
        </w:trPr>
        <w:tc>
          <w:tcPr>
            <w:tcW w:w="41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(Loss)/Profit after tax </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(236)</w:t>
            </w:r>
          </w:p>
        </w:tc>
        <w:tc>
          <w:tcPr>
            <w:tcW w:w="990"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439 </w:t>
            </w:r>
          </w:p>
        </w:tc>
        <w:tc>
          <w:tcPr>
            <w:tcW w:w="9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(22)</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181 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05"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3,868 </w:t>
            </w:r>
          </w:p>
        </w:tc>
      </w:tr>
      <w:tr w:rsidR="00D14928" w:rsidRPr="00D14928" w:rsidTr="00D14928">
        <w:trPr>
          <w:trHeight w:val="240"/>
        </w:trPr>
        <w:tc>
          <w:tcPr>
            <w:tcW w:w="415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90"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05"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r w:rsidR="00D14928" w:rsidRPr="00D14928" w:rsidTr="00D14928">
        <w:trPr>
          <w:trHeight w:val="240"/>
        </w:trPr>
        <w:tc>
          <w:tcPr>
            <w:tcW w:w="41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Attributable to: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90"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05"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r w:rsidR="00D14928" w:rsidRPr="00D14928" w:rsidTr="00D14928">
        <w:trPr>
          <w:trHeight w:val="240"/>
        </w:trPr>
        <w:tc>
          <w:tcPr>
            <w:tcW w:w="41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Equity holders of the parent </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(1,041)</w:t>
            </w:r>
          </w:p>
        </w:tc>
        <w:tc>
          <w:tcPr>
            <w:tcW w:w="990"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439 </w:t>
            </w:r>
          </w:p>
        </w:tc>
        <w:tc>
          <w:tcPr>
            <w:tcW w:w="9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(624)</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2,924 </w:t>
            </w:r>
          </w:p>
        </w:tc>
      </w:tr>
      <w:tr w:rsidR="00D14928" w:rsidRPr="00D14928" w:rsidTr="00D14928">
        <w:trPr>
          <w:trHeight w:val="240"/>
        </w:trPr>
        <w:tc>
          <w:tcPr>
            <w:tcW w:w="415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Non-controlling interests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805 </w:t>
            </w:r>
          </w:p>
        </w:tc>
        <w:tc>
          <w:tcPr>
            <w:tcW w:w="990"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805 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944 </w:t>
            </w:r>
          </w:p>
        </w:tc>
      </w:tr>
      <w:tr w:rsidR="00D14928" w:rsidRPr="00D14928" w:rsidTr="00D14928">
        <w:trPr>
          <w:trHeight w:val="240"/>
        </w:trPr>
        <w:tc>
          <w:tcPr>
            <w:tcW w:w="41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(Loss)/Profit after tax </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(236)</w:t>
            </w:r>
          </w:p>
        </w:tc>
        <w:tc>
          <w:tcPr>
            <w:tcW w:w="990"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439 </w:t>
            </w:r>
          </w:p>
        </w:tc>
        <w:tc>
          <w:tcPr>
            <w:tcW w:w="9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(22)</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181 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05"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3,868 </w:t>
            </w:r>
          </w:p>
        </w:tc>
      </w:tr>
      <w:tr w:rsidR="00D14928" w:rsidRPr="00D14928" w:rsidTr="00D14928">
        <w:trPr>
          <w:trHeight w:val="240"/>
        </w:trPr>
        <w:tc>
          <w:tcPr>
            <w:tcW w:w="415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90"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415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Earnings per Share from Continuing Operations </w:t>
            </w: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90"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90" w:type="dxa"/>
            <w:gridSpan w:val="3"/>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415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Basic (loss)/earnings per ordinary share </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(8.5p)</w:t>
            </w:r>
          </w:p>
        </w:tc>
        <w:tc>
          <w:tcPr>
            <w:tcW w:w="990"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3.6p</w:t>
            </w:r>
          </w:p>
        </w:tc>
        <w:tc>
          <w:tcPr>
            <w:tcW w:w="9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(0.2p)</w:t>
            </w:r>
          </w:p>
        </w:tc>
        <w:tc>
          <w:tcPr>
            <w:tcW w:w="990" w:type="dxa"/>
            <w:gridSpan w:val="3"/>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(5.1p)</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24.4p</w:t>
            </w:r>
          </w:p>
        </w:tc>
      </w:tr>
      <w:tr w:rsidR="00D14928" w:rsidRPr="00D14928" w:rsidTr="00D14928">
        <w:trPr>
          <w:trHeight w:val="240"/>
        </w:trPr>
        <w:tc>
          <w:tcPr>
            <w:tcW w:w="415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Diluted (loss)/earnings per ordinary share </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(8.5p)</w:t>
            </w:r>
          </w:p>
        </w:tc>
        <w:tc>
          <w:tcPr>
            <w:tcW w:w="990"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3.6p</w:t>
            </w:r>
          </w:p>
        </w:tc>
        <w:tc>
          <w:tcPr>
            <w:tcW w:w="99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(0.2p)</w:t>
            </w:r>
          </w:p>
        </w:tc>
        <w:tc>
          <w:tcPr>
            <w:tcW w:w="990" w:type="dxa"/>
            <w:gridSpan w:val="3"/>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(5.1p)</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05" w:type="dxa"/>
            <w:gridSpan w:val="2"/>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23.3p</w:t>
            </w:r>
          </w:p>
        </w:tc>
      </w:tr>
      <w:tr w:rsidR="00D14928" w:rsidRPr="00D14928" w:rsidTr="00D14928">
        <w:tc>
          <w:tcPr>
            <w:tcW w:w="4350" w:type="dxa"/>
            <w:tcBorders>
              <w:top w:val="nil"/>
              <w:left w:val="nil"/>
              <w:bottom w:val="nil"/>
              <w:right w:val="nil"/>
            </w:tcBorders>
            <w:vAlign w:val="center"/>
            <w:hideMark/>
          </w:tcPr>
          <w:p w:rsidR="00D14928" w:rsidRPr="00D14928" w:rsidRDefault="00D14928" w:rsidP="00D14928">
            <w:pPr>
              <w:spacing w:after="0" w:line="240" w:lineRule="auto"/>
              <w:rPr>
                <w:rFonts w:ascii="Times New Roman" w:eastAsia="Times New Roman" w:hAnsi="Times New Roman" w:cs="Times New Roman"/>
                <w:sz w:val="1"/>
                <w:szCs w:val="24"/>
                <w:lang w:eastAsia="en-GB"/>
              </w:rPr>
            </w:pPr>
          </w:p>
        </w:tc>
        <w:tc>
          <w:tcPr>
            <w:tcW w:w="660" w:type="dxa"/>
            <w:tcBorders>
              <w:top w:val="nil"/>
              <w:left w:val="nil"/>
              <w:bottom w:val="nil"/>
              <w:right w:val="nil"/>
            </w:tcBorders>
            <w:vAlign w:val="center"/>
            <w:hideMark/>
          </w:tcPr>
          <w:p w:rsidR="00D14928" w:rsidRPr="00D14928" w:rsidRDefault="00D14928" w:rsidP="00D14928">
            <w:pPr>
              <w:spacing w:after="0" w:line="240" w:lineRule="auto"/>
              <w:rPr>
                <w:rFonts w:ascii="Times New Roman" w:eastAsia="Times New Roman" w:hAnsi="Times New Roman" w:cs="Times New Roman"/>
                <w:sz w:val="1"/>
                <w:szCs w:val="24"/>
                <w:lang w:eastAsia="en-GB"/>
              </w:rPr>
            </w:pPr>
          </w:p>
        </w:tc>
        <w:tc>
          <w:tcPr>
            <w:tcW w:w="330" w:type="dxa"/>
            <w:tcBorders>
              <w:top w:val="nil"/>
              <w:left w:val="nil"/>
              <w:bottom w:val="nil"/>
              <w:right w:val="nil"/>
            </w:tcBorders>
            <w:vAlign w:val="center"/>
            <w:hideMark/>
          </w:tcPr>
          <w:p w:rsidR="00D14928" w:rsidRPr="00D14928" w:rsidRDefault="00D14928" w:rsidP="00D14928">
            <w:pPr>
              <w:spacing w:after="0" w:line="240" w:lineRule="auto"/>
              <w:rPr>
                <w:rFonts w:ascii="Times New Roman" w:eastAsia="Times New Roman" w:hAnsi="Times New Roman" w:cs="Times New Roman"/>
                <w:sz w:val="1"/>
                <w:szCs w:val="24"/>
                <w:lang w:eastAsia="en-GB"/>
              </w:rPr>
            </w:pPr>
          </w:p>
        </w:tc>
        <w:tc>
          <w:tcPr>
            <w:tcW w:w="45" w:type="dxa"/>
            <w:tcBorders>
              <w:top w:val="nil"/>
              <w:left w:val="nil"/>
              <w:bottom w:val="nil"/>
              <w:right w:val="nil"/>
            </w:tcBorders>
            <w:vAlign w:val="center"/>
            <w:hideMark/>
          </w:tcPr>
          <w:p w:rsidR="00D14928" w:rsidRPr="00D14928" w:rsidRDefault="00D14928" w:rsidP="00D14928">
            <w:pPr>
              <w:spacing w:after="0" w:line="240" w:lineRule="auto"/>
              <w:rPr>
                <w:rFonts w:ascii="Times New Roman" w:eastAsia="Times New Roman" w:hAnsi="Times New Roman" w:cs="Times New Roman"/>
                <w:sz w:val="1"/>
                <w:szCs w:val="24"/>
                <w:lang w:eastAsia="en-GB"/>
              </w:rPr>
            </w:pPr>
          </w:p>
        </w:tc>
        <w:tc>
          <w:tcPr>
            <w:tcW w:w="945" w:type="dxa"/>
            <w:tcBorders>
              <w:top w:val="nil"/>
              <w:left w:val="nil"/>
              <w:bottom w:val="nil"/>
              <w:right w:val="nil"/>
            </w:tcBorders>
            <w:vAlign w:val="center"/>
            <w:hideMark/>
          </w:tcPr>
          <w:p w:rsidR="00D14928" w:rsidRPr="00D14928" w:rsidRDefault="00D14928" w:rsidP="00D14928">
            <w:pPr>
              <w:spacing w:after="0" w:line="240" w:lineRule="auto"/>
              <w:rPr>
                <w:rFonts w:ascii="Times New Roman" w:eastAsia="Times New Roman" w:hAnsi="Times New Roman" w:cs="Times New Roman"/>
                <w:sz w:val="1"/>
                <w:szCs w:val="24"/>
                <w:lang w:eastAsia="en-GB"/>
              </w:rPr>
            </w:pPr>
          </w:p>
        </w:tc>
        <w:tc>
          <w:tcPr>
            <w:tcW w:w="90" w:type="dxa"/>
            <w:tcBorders>
              <w:top w:val="nil"/>
              <w:left w:val="nil"/>
              <w:bottom w:val="nil"/>
              <w:right w:val="nil"/>
            </w:tcBorders>
            <w:vAlign w:val="center"/>
            <w:hideMark/>
          </w:tcPr>
          <w:p w:rsidR="00D14928" w:rsidRPr="00D14928" w:rsidRDefault="00D14928" w:rsidP="00D14928">
            <w:pPr>
              <w:spacing w:after="0" w:line="240" w:lineRule="auto"/>
              <w:rPr>
                <w:rFonts w:ascii="Times New Roman" w:eastAsia="Times New Roman" w:hAnsi="Times New Roman" w:cs="Times New Roman"/>
                <w:sz w:val="1"/>
                <w:szCs w:val="24"/>
                <w:lang w:eastAsia="en-GB"/>
              </w:rPr>
            </w:pPr>
          </w:p>
        </w:tc>
        <w:tc>
          <w:tcPr>
            <w:tcW w:w="1095" w:type="dxa"/>
            <w:tcBorders>
              <w:top w:val="nil"/>
              <w:left w:val="nil"/>
              <w:bottom w:val="nil"/>
              <w:right w:val="nil"/>
            </w:tcBorders>
            <w:vAlign w:val="center"/>
            <w:hideMark/>
          </w:tcPr>
          <w:p w:rsidR="00D14928" w:rsidRPr="00D14928" w:rsidRDefault="00D14928" w:rsidP="00D14928">
            <w:pPr>
              <w:spacing w:after="0" w:line="240" w:lineRule="auto"/>
              <w:rPr>
                <w:rFonts w:ascii="Times New Roman" w:eastAsia="Times New Roman" w:hAnsi="Times New Roman" w:cs="Times New Roman"/>
                <w:sz w:val="1"/>
                <w:szCs w:val="24"/>
                <w:lang w:eastAsia="en-GB"/>
              </w:rPr>
            </w:pPr>
          </w:p>
        </w:tc>
        <w:tc>
          <w:tcPr>
            <w:tcW w:w="870" w:type="dxa"/>
            <w:tcBorders>
              <w:top w:val="nil"/>
              <w:left w:val="nil"/>
              <w:bottom w:val="nil"/>
              <w:right w:val="nil"/>
            </w:tcBorders>
            <w:vAlign w:val="center"/>
            <w:hideMark/>
          </w:tcPr>
          <w:p w:rsidR="00D14928" w:rsidRPr="00D14928" w:rsidRDefault="00D14928" w:rsidP="00D14928">
            <w:pPr>
              <w:spacing w:after="0" w:line="240" w:lineRule="auto"/>
              <w:rPr>
                <w:rFonts w:ascii="Times New Roman" w:eastAsia="Times New Roman" w:hAnsi="Times New Roman" w:cs="Times New Roman"/>
                <w:sz w:val="1"/>
                <w:szCs w:val="24"/>
                <w:lang w:eastAsia="en-GB"/>
              </w:rPr>
            </w:pPr>
          </w:p>
        </w:tc>
        <w:tc>
          <w:tcPr>
            <w:tcW w:w="75" w:type="dxa"/>
            <w:tcBorders>
              <w:top w:val="nil"/>
              <w:left w:val="nil"/>
              <w:bottom w:val="nil"/>
              <w:right w:val="nil"/>
            </w:tcBorders>
            <w:vAlign w:val="center"/>
            <w:hideMark/>
          </w:tcPr>
          <w:p w:rsidR="00D14928" w:rsidRPr="00D14928" w:rsidRDefault="00D14928" w:rsidP="00D14928">
            <w:pPr>
              <w:spacing w:after="0" w:line="240" w:lineRule="auto"/>
              <w:rPr>
                <w:rFonts w:ascii="Times New Roman" w:eastAsia="Times New Roman" w:hAnsi="Times New Roman" w:cs="Times New Roman"/>
                <w:sz w:val="1"/>
                <w:szCs w:val="24"/>
                <w:lang w:eastAsia="en-GB"/>
              </w:rPr>
            </w:pPr>
          </w:p>
        </w:tc>
        <w:tc>
          <w:tcPr>
            <w:tcW w:w="105" w:type="dxa"/>
            <w:tcBorders>
              <w:top w:val="nil"/>
              <w:left w:val="nil"/>
              <w:bottom w:val="nil"/>
              <w:right w:val="nil"/>
            </w:tcBorders>
            <w:vAlign w:val="center"/>
            <w:hideMark/>
          </w:tcPr>
          <w:p w:rsidR="00D14928" w:rsidRPr="00D14928" w:rsidRDefault="00D14928" w:rsidP="00D14928">
            <w:pPr>
              <w:spacing w:after="0" w:line="240" w:lineRule="auto"/>
              <w:rPr>
                <w:rFonts w:ascii="Times New Roman" w:eastAsia="Times New Roman" w:hAnsi="Times New Roman" w:cs="Times New Roman"/>
                <w:sz w:val="1"/>
                <w:szCs w:val="24"/>
                <w:lang w:eastAsia="en-GB"/>
              </w:rPr>
            </w:pPr>
          </w:p>
        </w:tc>
        <w:tc>
          <w:tcPr>
            <w:tcW w:w="75" w:type="dxa"/>
            <w:tcBorders>
              <w:top w:val="nil"/>
              <w:left w:val="nil"/>
              <w:bottom w:val="nil"/>
              <w:right w:val="nil"/>
            </w:tcBorders>
            <w:vAlign w:val="center"/>
            <w:hideMark/>
          </w:tcPr>
          <w:p w:rsidR="00D14928" w:rsidRPr="00D14928" w:rsidRDefault="00D14928" w:rsidP="00D14928">
            <w:pPr>
              <w:spacing w:after="0" w:line="240" w:lineRule="auto"/>
              <w:rPr>
                <w:rFonts w:ascii="Times New Roman" w:eastAsia="Times New Roman" w:hAnsi="Times New Roman" w:cs="Times New Roman"/>
                <w:sz w:val="1"/>
                <w:szCs w:val="24"/>
                <w:lang w:eastAsia="en-GB"/>
              </w:rPr>
            </w:pPr>
          </w:p>
        </w:tc>
        <w:tc>
          <w:tcPr>
            <w:tcW w:w="810" w:type="dxa"/>
            <w:tcBorders>
              <w:top w:val="nil"/>
              <w:left w:val="nil"/>
              <w:bottom w:val="nil"/>
              <w:right w:val="nil"/>
            </w:tcBorders>
            <w:vAlign w:val="center"/>
            <w:hideMark/>
          </w:tcPr>
          <w:p w:rsidR="00D14928" w:rsidRPr="00D14928" w:rsidRDefault="00D14928" w:rsidP="00D14928">
            <w:pPr>
              <w:spacing w:after="0" w:line="240" w:lineRule="auto"/>
              <w:rPr>
                <w:rFonts w:ascii="Times New Roman" w:eastAsia="Times New Roman" w:hAnsi="Times New Roman" w:cs="Times New Roman"/>
                <w:sz w:val="1"/>
                <w:szCs w:val="24"/>
                <w:lang w:eastAsia="en-GB"/>
              </w:rPr>
            </w:pPr>
          </w:p>
        </w:tc>
        <w:tc>
          <w:tcPr>
            <w:tcW w:w="270" w:type="dxa"/>
            <w:tcBorders>
              <w:top w:val="nil"/>
              <w:left w:val="nil"/>
              <w:bottom w:val="nil"/>
              <w:right w:val="nil"/>
            </w:tcBorders>
            <w:vAlign w:val="center"/>
            <w:hideMark/>
          </w:tcPr>
          <w:p w:rsidR="00D14928" w:rsidRPr="00D14928" w:rsidRDefault="00D14928" w:rsidP="00D14928">
            <w:pPr>
              <w:spacing w:after="0" w:line="240" w:lineRule="auto"/>
              <w:rPr>
                <w:rFonts w:ascii="Times New Roman" w:eastAsia="Times New Roman" w:hAnsi="Times New Roman" w:cs="Times New Roman"/>
                <w:sz w:val="1"/>
                <w:szCs w:val="24"/>
                <w:lang w:eastAsia="en-GB"/>
              </w:rPr>
            </w:pPr>
          </w:p>
        </w:tc>
      </w:tr>
    </w:tbl>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color w:val="000000"/>
          <w:sz w:val="24"/>
          <w:szCs w:val="24"/>
          <w:lang w:eastAsia="en-GB"/>
        </w:rPr>
        <w:br w:type="page"/>
      </w:r>
      <w:r w:rsidRPr="00D14928">
        <w:rPr>
          <w:rFonts w:ascii="Arial" w:eastAsia="Times New Roman" w:hAnsi="Arial" w:cs="Arial"/>
          <w:b/>
          <w:bCs/>
          <w:color w:val="000000"/>
          <w:sz w:val="24"/>
          <w:szCs w:val="24"/>
          <w:lang w:eastAsia="en-GB"/>
        </w:rPr>
        <w:lastRenderedPageBreak/>
        <w:t>Condensed Consolidated Financial Statements</w:t>
      </w:r>
    </w:p>
    <w:tbl>
      <w:tblPr>
        <w:tblW w:w="0" w:type="auto"/>
        <w:tblInd w:w="-36" w:type="dxa"/>
        <w:tblCellMar>
          <w:left w:w="0" w:type="dxa"/>
          <w:right w:w="0" w:type="dxa"/>
        </w:tblCellMar>
        <w:tblLook w:val="04A0" w:firstRow="1" w:lastRow="0" w:firstColumn="1" w:lastColumn="0" w:noHBand="0" w:noVBand="1"/>
      </w:tblPr>
      <w:tblGrid>
        <w:gridCol w:w="4155"/>
        <w:gridCol w:w="881"/>
        <w:gridCol w:w="1910"/>
        <w:gridCol w:w="879"/>
        <w:gridCol w:w="78"/>
        <w:gridCol w:w="1231"/>
      </w:tblGrid>
      <w:tr w:rsidR="00D14928" w:rsidRPr="00D14928" w:rsidTr="00D14928">
        <w:trPr>
          <w:trHeight w:val="315"/>
        </w:trPr>
        <w:tc>
          <w:tcPr>
            <w:tcW w:w="9615" w:type="dxa"/>
            <w:gridSpan w:val="6"/>
            <w:tcMar>
              <w:top w:w="0" w:type="dxa"/>
              <w:left w:w="36" w:type="dxa"/>
              <w:bottom w:w="0" w:type="dxa"/>
              <w:right w:w="36" w:type="dxa"/>
            </w:tcMar>
            <w:vAlign w:val="bottom"/>
            <w:hideMark/>
          </w:tcPr>
          <w:p w:rsidR="00D14928" w:rsidRPr="00D14928" w:rsidRDefault="00D14928" w:rsidP="00D14928">
            <w:pPr>
              <w:spacing w:before="60"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Condensed Consolidated Balance Sheet</w:t>
            </w:r>
          </w:p>
        </w:tc>
      </w:tr>
      <w:tr w:rsidR="00D14928" w:rsidRPr="00D14928" w:rsidTr="00D14928">
        <w:trPr>
          <w:trHeight w:val="285"/>
        </w:trPr>
        <w:tc>
          <w:tcPr>
            <w:tcW w:w="4410"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b/>
                <w:bCs/>
                <w:color w:val="000000"/>
                <w:sz w:val="16"/>
                <w:szCs w:val="16"/>
                <w:vertAlign w:val="superscript"/>
                <w:lang w:eastAsia="en-GB"/>
              </w:rPr>
              <w:t> </w:t>
            </w:r>
          </w:p>
        </w:tc>
        <w:tc>
          <w:tcPr>
            <w:tcW w:w="930" w:type="dxa"/>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20"/>
                <w:szCs w:val="20"/>
                <w:vertAlign w:val="superscript"/>
                <w:lang w:eastAsia="en-GB"/>
              </w:rPr>
              <w:t> </w:t>
            </w:r>
          </w:p>
        </w:tc>
        <w:tc>
          <w:tcPr>
            <w:tcW w:w="196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Restatement Adjustments</w:t>
            </w:r>
          </w:p>
        </w:tc>
        <w:tc>
          <w:tcPr>
            <w:tcW w:w="9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385"/>
        <w:gridCol w:w="929"/>
        <w:gridCol w:w="942"/>
        <w:gridCol w:w="942"/>
        <w:gridCol w:w="929"/>
        <w:gridCol w:w="78"/>
        <w:gridCol w:w="929"/>
      </w:tblGrid>
      <w:tr w:rsidR="00D14928" w:rsidRPr="00D14928" w:rsidTr="00D14928">
        <w:trPr>
          <w:trHeight w:val="510"/>
        </w:trPr>
        <w:tc>
          <w:tcPr>
            <w:tcW w:w="4410"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8"/>
                <w:szCs w:val="18"/>
                <w:lang w:eastAsia="en-GB"/>
              </w:rPr>
              <w:t> </w:t>
            </w:r>
            <w:r w:rsidRPr="00D14928">
              <w:rPr>
                <w:rFonts w:ascii="Arial" w:eastAsia="Times New Roman" w:hAnsi="Arial" w:cs="Arial"/>
                <w:b/>
                <w:bCs/>
                <w:color w:val="000000"/>
                <w:sz w:val="16"/>
                <w:szCs w:val="16"/>
                <w:vertAlign w:val="superscript"/>
                <w:lang w:eastAsia="en-GB"/>
              </w:rPr>
              <w:t> </w:t>
            </w:r>
          </w:p>
        </w:tc>
        <w:tc>
          <w:tcPr>
            <w:tcW w:w="9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Published</w:t>
            </w:r>
          </w:p>
        </w:tc>
        <w:tc>
          <w:tcPr>
            <w:tcW w:w="9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IFRS 10</w:t>
            </w:r>
          </w:p>
        </w:tc>
        <w:tc>
          <w:tcPr>
            <w:tcW w:w="9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IAS 19</w:t>
            </w:r>
          </w:p>
        </w:tc>
        <w:tc>
          <w:tcPr>
            <w:tcW w:w="9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2011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r>
      <w:tr w:rsidR="00D14928" w:rsidRPr="00D14928" w:rsidTr="00D14928">
        <w:trPr>
          <w:trHeight w:val="240"/>
        </w:trPr>
        <w:tc>
          <w:tcPr>
            <w:tcW w:w="44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8"/>
                <w:szCs w:val="18"/>
                <w:lang w:eastAsia="en-GB"/>
              </w:rPr>
              <w:t xml:space="preserve">Assets </w:t>
            </w:r>
          </w:p>
        </w:tc>
        <w:tc>
          <w:tcPr>
            <w:tcW w:w="9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9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9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9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r>
      <w:tr w:rsidR="00D14928" w:rsidRPr="00D14928" w:rsidTr="00D14928">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Cash and balances at central banks </w:t>
            </w: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86,175 </w:t>
            </w:r>
          </w:p>
        </w:tc>
        <w:tc>
          <w:tcPr>
            <w:tcW w:w="9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16 </w:t>
            </w:r>
          </w:p>
        </w:tc>
        <w:tc>
          <w:tcPr>
            <w:tcW w:w="9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86,191 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106,894 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Items in the course of collection from other banks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1,456 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1,473 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1,812 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Trading portfolio assets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145,030 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1,322 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146,352 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152,183 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Financial assets designated at fair value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46,061 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568 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46,629 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36,949 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Derivative financial instruments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469,146 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469,156 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538,964 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Loans and advances to banks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40,489 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40,462 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47,446 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Loans and advances to customers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425,729 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(1,823)</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423,906 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431,934 </w:t>
            </w:r>
          </w:p>
        </w:tc>
      </w:tr>
      <w:tr w:rsidR="00D14928" w:rsidRPr="00D14928" w:rsidTr="00D14928">
        <w:trPr>
          <w:trHeight w:val="48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Reverse repurchase agreements and other similar secured lending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176,956 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(434)</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176,522 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153,665 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Available for sale investments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75,109 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75,109 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68,491 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Current and deferred tax assets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3,268 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139 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408 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3,815 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3,702 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Prepayments, accrued income and other assets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4,360 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4,365 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4,563 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Investments in associates and joint ventures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570 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63 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633 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427 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Goodwill and intangible assets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7,915 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7,915 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7,846 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Property, plant and equipment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5,754 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5,754 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7,166 </w:t>
            </w:r>
          </w:p>
        </w:tc>
      </w:tr>
      <w:tr w:rsidR="00D14928" w:rsidRPr="00D14928" w:rsidTr="00D14928">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Retirement benefit assets </w:t>
            </w: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2,303 </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(2,250)</w:t>
            </w: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41 </w:t>
            </w:r>
          </w:p>
        </w:tc>
      </w:tr>
      <w:tr w:rsidR="00D14928" w:rsidRPr="00D14928" w:rsidTr="00D14928">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assets </w:t>
            </w: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1,490,321 </w:t>
            </w:r>
          </w:p>
        </w:tc>
        <w:tc>
          <w:tcPr>
            <w:tcW w:w="9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(144)</w:t>
            </w:r>
          </w:p>
        </w:tc>
        <w:tc>
          <w:tcPr>
            <w:tcW w:w="9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(1,842)</w:t>
            </w: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1,488,335 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1,562,083 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r w:rsidR="00D14928" w:rsidRPr="00D14928" w:rsidTr="00D14928">
        <w:trPr>
          <w:trHeight w:val="240"/>
        </w:trPr>
        <w:tc>
          <w:tcPr>
            <w:tcW w:w="44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8"/>
                <w:szCs w:val="18"/>
                <w:lang w:eastAsia="en-GB"/>
              </w:rPr>
              <w:t xml:space="preserve">Liabilities </w:t>
            </w: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r w:rsidR="00D14928" w:rsidRPr="00D14928" w:rsidTr="00D14928">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Deposits from banks </w:t>
            </w: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77,010 </w:t>
            </w:r>
          </w:p>
        </w:tc>
        <w:tc>
          <w:tcPr>
            <w:tcW w:w="9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9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77,012 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91,116 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Items in the course of collection due to other banks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1,573 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1,587 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969 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Customer accounts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385,707 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(296)</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385,411 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366,032 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Repurchase agreements and other similar secured borrowing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217,342 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(164)</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217,178 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207,292 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Trading portfolio liabilities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44,794 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44,794 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45,887 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Financial liabilities designated at fair value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78,280 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281 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78,561 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87,997 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Derivative financial instruments </w:t>
            </w:r>
            <w:r w:rsidRPr="00D14928">
              <w:rPr>
                <w:rFonts w:ascii="Arial" w:eastAsia="Times New Roman" w:hAnsi="Arial" w:cs="Arial"/>
                <w:color w:val="000000"/>
                <w:sz w:val="13"/>
                <w:szCs w:val="13"/>
                <w:vertAlign w:val="superscript"/>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462,468 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253 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462,721 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527,910 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Debt securities in issue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119,581 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(56)</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119,525 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129,736 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Accruals, deferred income and other liabilities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12,232 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300 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12,532 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12,580 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Current and deferred tax liabilities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1,340 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(377)</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962 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1,963 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Subordinated liabilities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24,018 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24,018 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24,870 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Provisions </w:t>
            </w:r>
            <w:r w:rsidRPr="00D14928">
              <w:rPr>
                <w:rFonts w:ascii="Arial" w:eastAsia="Times New Roman" w:hAnsi="Arial" w:cs="Arial"/>
                <w:color w:val="000000"/>
                <w:sz w:val="13"/>
                <w:szCs w:val="13"/>
                <w:vertAlign w:val="superscript"/>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2,766 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2,766 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1,529 </w:t>
            </w:r>
          </w:p>
        </w:tc>
      </w:tr>
      <w:tr w:rsidR="00D14928" w:rsidRPr="00D14928" w:rsidTr="00D14928">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Retirement benefit liabilities </w:t>
            </w: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253 </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1,029 </w:t>
            </w: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1,282 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243 </w:t>
            </w:r>
          </w:p>
        </w:tc>
      </w:tr>
      <w:tr w:rsidR="00D14928" w:rsidRPr="00D14928" w:rsidTr="00D14928">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liabilities </w:t>
            </w: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1,427,364 </w:t>
            </w:r>
          </w:p>
        </w:tc>
        <w:tc>
          <w:tcPr>
            <w:tcW w:w="9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333 </w:t>
            </w:r>
          </w:p>
        </w:tc>
        <w:tc>
          <w:tcPr>
            <w:tcW w:w="9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652 </w:t>
            </w: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1,428,349 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1,498,124 </w:t>
            </w:r>
          </w:p>
        </w:tc>
      </w:tr>
      <w:tr w:rsidR="00D14928" w:rsidRPr="00D14928" w:rsidTr="00D14928">
        <w:trPr>
          <w:trHeight w:val="240"/>
        </w:trPr>
        <w:tc>
          <w:tcPr>
            <w:tcW w:w="44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44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8"/>
                <w:szCs w:val="18"/>
                <w:lang w:eastAsia="en-GB"/>
              </w:rPr>
              <w:t xml:space="preserve">Shareholders' Equity </w:t>
            </w: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Shareholders' equity excluding non-controlling interests </w:t>
            </w: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53,586 </w:t>
            </w:r>
          </w:p>
        </w:tc>
        <w:tc>
          <w:tcPr>
            <w:tcW w:w="9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(477)</w:t>
            </w:r>
          </w:p>
        </w:tc>
        <w:tc>
          <w:tcPr>
            <w:tcW w:w="9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(2,494)</w:t>
            </w: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50,615 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54,352 </w:t>
            </w:r>
          </w:p>
        </w:tc>
      </w:tr>
      <w:tr w:rsidR="00D14928" w:rsidRPr="00D14928" w:rsidTr="00D14928">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Non-controlling interests </w:t>
            </w: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9,371 </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9,371 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9,607 </w:t>
            </w:r>
          </w:p>
        </w:tc>
      </w:tr>
      <w:tr w:rsidR="00D14928" w:rsidRPr="00D14928" w:rsidTr="00D14928">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shareholders' equity </w:t>
            </w: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62,957 </w:t>
            </w:r>
          </w:p>
        </w:tc>
        <w:tc>
          <w:tcPr>
            <w:tcW w:w="9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(477)</w:t>
            </w:r>
          </w:p>
        </w:tc>
        <w:tc>
          <w:tcPr>
            <w:tcW w:w="9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(2,494)</w:t>
            </w: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59,986 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63,959 </w:t>
            </w:r>
          </w:p>
        </w:tc>
      </w:tr>
      <w:tr w:rsidR="00D14928" w:rsidRPr="00D14928" w:rsidTr="00D14928">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liabilities and shareholders' equity </w:t>
            </w: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1,490,321 </w:t>
            </w:r>
          </w:p>
        </w:tc>
        <w:tc>
          <w:tcPr>
            <w:tcW w:w="9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(144)</w:t>
            </w:r>
          </w:p>
        </w:tc>
        <w:tc>
          <w:tcPr>
            <w:tcW w:w="9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(1,842)</w:t>
            </w: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1,488,335 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9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1,562,083 </w:t>
            </w:r>
          </w:p>
        </w:tc>
      </w:tr>
    </w:tbl>
    <w:p w:rsidR="00D14928" w:rsidRPr="00D14928" w:rsidRDefault="00D14928" w:rsidP="00D14928">
      <w:pPr>
        <w:spacing w:before="100" w:beforeAutospacing="1" w:after="100" w:afterAutospacing="1" w:line="240" w:lineRule="auto"/>
        <w:rPr>
          <w:rFonts w:ascii="Times New Roman" w:eastAsia="Times New Roman" w:hAnsi="Times New Roman" w:cs="Times New Roman"/>
          <w:b/>
          <w:bCs/>
          <w:sz w:val="24"/>
          <w:szCs w:val="24"/>
          <w:lang w:eastAsia="en-GB"/>
        </w:rPr>
      </w:pPr>
    </w:p>
    <w:p w:rsidR="00D14928" w:rsidRPr="00D14928" w:rsidRDefault="00D14928" w:rsidP="00D14928">
      <w:pPr>
        <w:spacing w:before="100" w:beforeAutospacing="1" w:after="100" w:afterAutospacing="1" w:line="240" w:lineRule="auto"/>
        <w:rPr>
          <w:rFonts w:ascii="Times New Roman" w:eastAsia="Times New Roman" w:hAnsi="Times New Roman" w:cs="Times New Roman"/>
          <w:sz w:val="24"/>
          <w:szCs w:val="24"/>
          <w:lang w:eastAsia="en-GB"/>
        </w:rPr>
      </w:pPr>
      <w:r w:rsidRPr="00D14928">
        <w:rPr>
          <w:rFonts w:ascii="Arial" w:eastAsia="Times New Roman" w:hAnsi="Arial" w:cs="Arial"/>
          <w:sz w:val="2"/>
          <w:szCs w:val="2"/>
          <w:lang w:eastAsia="en-GB"/>
        </w:rPr>
        <w:br w:type="page"/>
      </w:r>
    </w:p>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color w:val="000000"/>
          <w:sz w:val="24"/>
          <w:szCs w:val="24"/>
          <w:lang w:eastAsia="en-GB"/>
        </w:rPr>
        <w:lastRenderedPageBreak/>
        <w:t>Results by Business</w:t>
      </w:r>
    </w:p>
    <w:tbl>
      <w:tblPr>
        <w:tblW w:w="0" w:type="auto"/>
        <w:tblInd w:w="-36" w:type="dxa"/>
        <w:tblCellMar>
          <w:left w:w="0" w:type="dxa"/>
          <w:right w:w="0" w:type="dxa"/>
        </w:tblCellMar>
        <w:tblLook w:val="04A0" w:firstRow="1" w:lastRow="0" w:firstColumn="1" w:lastColumn="0" w:noHBand="0" w:noVBand="1"/>
      </w:tblPr>
      <w:tblGrid>
        <w:gridCol w:w="4179"/>
        <w:gridCol w:w="787"/>
        <w:gridCol w:w="790"/>
        <w:gridCol w:w="789"/>
        <w:gridCol w:w="937"/>
        <w:gridCol w:w="786"/>
        <w:gridCol w:w="78"/>
        <w:gridCol w:w="788"/>
      </w:tblGrid>
      <w:tr w:rsidR="00D14928" w:rsidRPr="00D14928" w:rsidTr="00D14928">
        <w:trPr>
          <w:trHeight w:val="315"/>
        </w:trPr>
        <w:tc>
          <w:tcPr>
            <w:tcW w:w="4215" w:type="dxa"/>
            <w:tcMar>
              <w:top w:w="0" w:type="dxa"/>
              <w:left w:w="36" w:type="dxa"/>
              <w:bottom w:w="0" w:type="dxa"/>
              <w:right w:w="36" w:type="dxa"/>
            </w:tcMar>
            <w:vAlign w:val="center"/>
            <w:hideMark/>
          </w:tcPr>
          <w:p w:rsidR="00D14928" w:rsidRPr="00D14928" w:rsidRDefault="00D14928" w:rsidP="00D14928">
            <w:pPr>
              <w:spacing w:before="60"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4"/>
                <w:szCs w:val="24"/>
                <w:lang w:eastAsia="en-GB"/>
              </w:rPr>
              <w:t>UK Retail and Business Banking</w:t>
            </w:r>
            <w:r w:rsidRPr="00D14928">
              <w:rPr>
                <w:rFonts w:ascii="Arial" w:eastAsia="Times New Roman" w:hAnsi="Arial" w:cs="Arial"/>
                <w:color w:val="000000"/>
                <w:sz w:val="16"/>
                <w:szCs w:val="16"/>
                <w:vertAlign w:val="superscript"/>
                <w:lang w:eastAsia="en-GB"/>
              </w:rPr>
              <w:t xml:space="preserve">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8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sz w:val="2"/>
                <w:szCs w:val="2"/>
                <w:lang w:eastAsia="en-GB"/>
              </w:rPr>
            </w:pPr>
          </w:p>
        </w:tc>
        <w:tc>
          <w:tcPr>
            <w:tcW w:w="2535" w:type="dxa"/>
            <w:gridSpan w:val="3"/>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Restatement Adjustments</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203"/>
        <w:gridCol w:w="828"/>
        <w:gridCol w:w="794"/>
        <w:gridCol w:w="846"/>
        <w:gridCol w:w="795"/>
        <w:gridCol w:w="795"/>
        <w:gridCol w:w="78"/>
        <w:gridCol w:w="795"/>
      </w:tblGrid>
      <w:tr w:rsidR="00D14928" w:rsidRPr="00D14928" w:rsidTr="00D14928">
        <w:trPr>
          <w:trHeight w:val="750"/>
        </w:trPr>
        <w:tc>
          <w:tcPr>
            <w:tcW w:w="421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Income Statement Information</w:t>
            </w:r>
            <w:r w:rsidRPr="00D14928">
              <w:rPr>
                <w:rFonts w:ascii="Arial" w:eastAsia="Times New Roman" w:hAnsi="Arial" w:cs="Arial"/>
                <w:color w:val="000000"/>
                <w:sz w:val="16"/>
                <w:szCs w:val="16"/>
                <w:vertAlign w:val="superscript"/>
                <w:lang w:eastAsia="en-GB"/>
              </w:rPr>
              <w:t xml:space="preserve"> </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published</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IFRS 10</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and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IAS 19</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Head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Office</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Allocation</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Group</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Structure</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2011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Restated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interest income </w:t>
            </w:r>
            <w:r w:rsidRPr="00D14928">
              <w:rPr>
                <w:rFonts w:ascii="Arial" w:eastAsia="Times New Roman" w:hAnsi="Arial" w:cs="Arial"/>
                <w:color w:val="000000"/>
                <w:sz w:val="13"/>
                <w:szCs w:val="13"/>
                <w:vertAlign w:val="superscript"/>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3,227 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(37)</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3,190 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3,378 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fee and commission income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1,154 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1,154 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1,157 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investment income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17 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premiums from insurance contracts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74 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92 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expense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Total income</w:t>
            </w:r>
            <w:r w:rsidRPr="00D14928">
              <w:rPr>
                <w:rFonts w:ascii="Arial" w:eastAsia="Times New Roman" w:hAnsi="Arial" w:cs="Arial"/>
                <w:color w:val="000000"/>
                <w:sz w:val="16"/>
                <w:szCs w:val="16"/>
                <w:vertAlign w:val="superscript"/>
                <w:lang w:eastAsia="en-GB"/>
              </w:rPr>
              <w:t xml:space="preserv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4,454 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(37)</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4,417 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4,643 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claims and benefits incurred under insurance contracts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(22)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Total income net of insurance claims</w:t>
            </w:r>
            <w:r w:rsidRPr="00D14928">
              <w:rPr>
                <w:rFonts w:ascii="Arial" w:eastAsia="Times New Roman" w:hAnsi="Arial" w:cs="Arial"/>
                <w:color w:val="000000"/>
                <w:sz w:val="16"/>
                <w:szCs w:val="16"/>
                <w:vertAlign w:val="superscript"/>
                <w:lang w:eastAsia="en-GB"/>
              </w:rPr>
              <w:t xml:space="preserv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4,421 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(37)</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4,384 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4,621 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charges and other provisions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(269)</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(269)</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(536)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Net operating income</w:t>
            </w:r>
            <w:r w:rsidRPr="00D14928">
              <w:rPr>
                <w:rFonts w:ascii="Arial" w:eastAsia="Times New Roman" w:hAnsi="Arial" w:cs="Arial"/>
                <w:color w:val="000000"/>
                <w:sz w:val="16"/>
                <w:szCs w:val="16"/>
                <w:vertAlign w:val="superscript"/>
                <w:lang w:eastAsia="en-GB"/>
              </w:rPr>
              <w:t xml:space="preserv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4,152 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(37)</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4,115 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4,085 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51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Operating expenses (excluding provision for PPI redress and bank levy)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(2,684)</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(166)</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(2,877)</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(2,844)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Provision for PPI redress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(1,180)</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(1,180)</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(400)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bank levy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(22)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xml:space="preserve">Operating expenses </w:t>
            </w:r>
            <w:r w:rsidRPr="00D14928">
              <w:rPr>
                <w:rFonts w:ascii="Arial" w:eastAsia="Times New Roman" w:hAnsi="Arial" w:cs="Arial"/>
                <w:color w:val="000000"/>
                <w:sz w:val="16"/>
                <w:szCs w:val="16"/>
                <w:vertAlign w:val="superscript"/>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(3,864)</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(27)</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(183)</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(4,074)</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(3,266)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net income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Profit before tax</w:t>
            </w:r>
            <w:r w:rsidRPr="00D14928">
              <w:rPr>
                <w:rFonts w:ascii="Arial" w:eastAsia="Times New Roman" w:hAnsi="Arial" w:cs="Arial"/>
                <w:color w:val="000000"/>
                <w:sz w:val="16"/>
                <w:szCs w:val="16"/>
                <w:vertAlign w:val="superscript"/>
                <w:lang w:eastAsia="en-GB"/>
              </w:rPr>
              <w:t xml:space="preserv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292 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(27)</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(220)</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822 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Adjusted profit before tax</w:t>
            </w:r>
            <w:r w:rsidRPr="00D14928">
              <w:rPr>
                <w:rFonts w:ascii="Arial" w:eastAsia="Times New Roman" w:hAnsi="Arial" w:cs="Arial"/>
                <w:b/>
                <w:bCs/>
                <w:color w:val="000000"/>
                <w:sz w:val="13"/>
                <w:szCs w:val="13"/>
                <w:vertAlign w:val="superscript"/>
                <w:lang w:eastAsia="en-GB"/>
              </w:rPr>
              <w:t>1 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1,472 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(27)</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(220)</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1,225 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1,222 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Balance Sheet Information</w:t>
            </w:r>
            <w:r w:rsidRPr="00D14928">
              <w:rPr>
                <w:rFonts w:ascii="Arial" w:eastAsia="Times New Roman" w:hAnsi="Arial" w:cs="Arial"/>
                <w:b/>
                <w:bCs/>
                <w:color w:val="000000"/>
                <w:sz w:val="16"/>
                <w:szCs w:val="16"/>
                <w:vertAlign w:val="superscript"/>
                <w:lang w:eastAsia="en-GB"/>
              </w:rPr>
              <w:t xml:space="preserv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b/>
                <w:bCs/>
                <w:color w:val="000000"/>
                <w:sz w:val="20"/>
                <w:szCs w:val="20"/>
                <w:vertAlign w:val="superscript"/>
                <w:lang w:eastAsia="en-GB"/>
              </w:rPr>
              <w:t xml:space="preserve">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Loans and advances to customers at amortised cost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128.2 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128.2 </w:t>
            </w:r>
          </w:p>
        </w:tc>
        <w:tc>
          <w:tcPr>
            <w:tcW w:w="7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121.2 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Customer deposits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116.0 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116.0 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111.8 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assets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136.7 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134.7 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127.1 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Risk weighted assets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38.8 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0.3 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34.0 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Performance Measures</w:t>
            </w:r>
            <w:r w:rsidRPr="00D14928">
              <w:rPr>
                <w:rFonts w:ascii="Arial" w:eastAsia="Times New Roman" w:hAnsi="Arial" w:cs="Arial"/>
                <w:color w:val="000000"/>
                <w:sz w:val="16"/>
                <w:szCs w:val="16"/>
                <w:vertAlign w:val="superscript"/>
                <w:lang w:eastAsia="en-GB"/>
              </w:rPr>
              <w:t xml:space="preserv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b/>
                <w:bCs/>
                <w:color w:val="000000"/>
                <w:sz w:val="16"/>
                <w:szCs w:val="16"/>
                <w:vertAlign w:val="superscript"/>
                <w:lang w:eastAsia="en-GB"/>
              </w:rPr>
              <w:t>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Adjusted return on average equity</w:t>
            </w:r>
            <w:r w:rsidRPr="00D14928">
              <w:rPr>
                <w:rFonts w:ascii="Arial" w:eastAsia="Times New Roman" w:hAnsi="Arial" w:cs="Arial"/>
                <w:color w:val="000000"/>
                <w:sz w:val="13"/>
                <w:szCs w:val="13"/>
                <w:vertAlign w:val="superscript"/>
                <w:lang w:eastAsia="en-GB"/>
              </w:rPr>
              <w:t>1 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16.0%</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12.3%</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12.0%</w:t>
            </w:r>
            <w:r w:rsidRPr="00D14928">
              <w:rPr>
                <w:rFonts w:ascii="Arial" w:eastAsia="Times New Roman" w:hAnsi="Arial" w:cs="Arial"/>
                <w:b/>
                <w:bCs/>
                <w:color w:val="000000"/>
                <w:sz w:val="20"/>
                <w:szCs w:val="20"/>
                <w:vertAlign w:val="superscript"/>
                <w:lang w:eastAsia="en-GB"/>
              </w:rPr>
              <w:t xml:space="preserve">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Adjusted return on average risk weighted assets</w:t>
            </w:r>
            <w:r w:rsidRPr="00D14928">
              <w:rPr>
                <w:rFonts w:ascii="Arial" w:eastAsia="Times New Roman" w:hAnsi="Arial" w:cs="Arial"/>
                <w:color w:val="000000"/>
                <w:sz w:val="13"/>
                <w:szCs w:val="13"/>
                <w:vertAlign w:val="superscript"/>
                <w:lang w:eastAsia="en-GB"/>
              </w:rPr>
              <w:t>1 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w:t>
            </w:r>
            <w:r w:rsidRPr="00D14928">
              <w:rPr>
                <w:rFonts w:ascii="Arial" w:eastAsia="Times New Roman" w:hAnsi="Arial" w:cs="Arial"/>
                <w:b/>
                <w:bCs/>
                <w:color w:val="000000"/>
                <w:sz w:val="20"/>
                <w:szCs w:val="20"/>
                <w:vertAlign w:val="superscript"/>
                <w:lang w:eastAsia="en-GB"/>
              </w:rPr>
              <w:t xml:space="preserve">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Adjusted cost: income ratio</w:t>
            </w:r>
            <w:r w:rsidRPr="00D14928">
              <w:rPr>
                <w:rFonts w:ascii="Arial" w:eastAsia="Times New Roman" w:hAnsi="Arial" w:cs="Arial"/>
                <w:color w:val="000000"/>
                <w:sz w:val="13"/>
                <w:szCs w:val="13"/>
                <w:vertAlign w:val="superscript"/>
                <w:lang w:eastAsia="en-GB"/>
              </w:rPr>
              <w:t>1 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61%</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66%</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62%</w:t>
            </w:r>
            <w:r w:rsidRPr="00D14928">
              <w:rPr>
                <w:rFonts w:ascii="Arial" w:eastAsia="Times New Roman" w:hAnsi="Arial" w:cs="Arial"/>
                <w:b/>
                <w:bCs/>
                <w:color w:val="000000"/>
                <w:sz w:val="20"/>
                <w:szCs w:val="20"/>
                <w:vertAlign w:val="superscript"/>
                <w:lang w:eastAsia="en-GB"/>
              </w:rPr>
              <w:t xml:space="preserve">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Return on average equity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(0.3%)</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7.8%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Return on average risk weighted assets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0.6%</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0.0%</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1.7%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Cost: income ratio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87%</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93%</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71%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 loss rate (bps)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44 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Number of employees (full time equivalent)</w:t>
            </w:r>
            <w:r w:rsidRPr="00D14928">
              <w:rPr>
                <w:rFonts w:ascii="Arial" w:eastAsia="Times New Roman" w:hAnsi="Arial" w:cs="Arial"/>
                <w:color w:val="000000"/>
                <w:sz w:val="13"/>
                <w:szCs w:val="13"/>
                <w:vertAlign w:val="superscript"/>
                <w:lang w:eastAsia="en-GB"/>
              </w:rPr>
              <w:t>2 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34,800 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100 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(1,900)</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33,000 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32,400  </w:t>
            </w:r>
          </w:p>
        </w:tc>
      </w:tr>
    </w:tbl>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p w:rsidR="00D14928" w:rsidRPr="00D14928" w:rsidRDefault="00D14928" w:rsidP="00D14928">
      <w:pPr>
        <w:spacing w:after="0" w:line="240" w:lineRule="auto"/>
        <w:jc w:val="both"/>
        <w:rPr>
          <w:rFonts w:ascii="Arial" w:eastAsia="Times New Roman" w:hAnsi="Arial" w:cs="Arial"/>
          <w:sz w:val="18"/>
          <w:szCs w:val="18"/>
          <w:lang w:eastAsia="en-GB"/>
        </w:rPr>
      </w:pPr>
      <w:r w:rsidRPr="00D14928">
        <w:rPr>
          <w:rFonts w:ascii="Arial" w:eastAsia="Times New Roman" w:hAnsi="Arial" w:cs="Arial"/>
          <w:sz w:val="14"/>
          <w:szCs w:val="14"/>
          <w:lang w:eastAsia="en-GB"/>
        </w:rPr>
        <w:t>  </w:t>
      </w:r>
    </w:p>
    <w:p w:rsidR="00D14928" w:rsidRPr="00D14928" w:rsidRDefault="00D14928" w:rsidP="00D14928">
      <w:pPr>
        <w:spacing w:after="0" w:line="240" w:lineRule="auto"/>
        <w:jc w:val="both"/>
        <w:rPr>
          <w:rFonts w:ascii="Arial" w:eastAsia="Times New Roman" w:hAnsi="Arial" w:cs="Arial"/>
          <w:sz w:val="18"/>
          <w:szCs w:val="18"/>
          <w:lang w:eastAsia="en-GB"/>
        </w:rPr>
      </w:pPr>
      <w:r w:rsidRPr="00D14928">
        <w:rPr>
          <w:rFonts w:ascii="Arial" w:eastAsia="Times New Roman" w:hAnsi="Arial" w:cs="Arial"/>
          <w:sz w:val="14"/>
          <w:szCs w:val="14"/>
          <w:lang w:eastAsia="en-GB"/>
        </w:rPr>
        <w:t> </w:t>
      </w:r>
    </w:p>
    <w:p w:rsidR="00D14928" w:rsidRPr="00D14928" w:rsidRDefault="00D14928" w:rsidP="00D14928">
      <w:pPr>
        <w:spacing w:after="0" w:line="240" w:lineRule="auto"/>
        <w:jc w:val="both"/>
        <w:rPr>
          <w:rFonts w:ascii="Arial" w:eastAsia="Times New Roman" w:hAnsi="Arial" w:cs="Arial"/>
          <w:sz w:val="18"/>
          <w:szCs w:val="18"/>
          <w:lang w:eastAsia="en-GB"/>
        </w:rPr>
      </w:pPr>
      <w:r w:rsidRPr="00D14928">
        <w:rPr>
          <w:rFonts w:ascii="Arial" w:eastAsia="Times New Roman" w:hAnsi="Arial" w:cs="Arial"/>
          <w:sz w:val="14"/>
          <w:szCs w:val="14"/>
          <w:lang w:eastAsia="en-GB"/>
        </w:rPr>
        <w:t>  </w:t>
      </w:r>
    </w:p>
    <w:p w:rsidR="00D14928" w:rsidRPr="00D14928" w:rsidRDefault="00D14928" w:rsidP="00D14928">
      <w:pPr>
        <w:spacing w:after="0" w:line="240" w:lineRule="auto"/>
        <w:ind w:hanging="142"/>
        <w:jc w:val="both"/>
        <w:rPr>
          <w:rFonts w:ascii="Arial" w:eastAsia="Times New Roman" w:hAnsi="Arial" w:cs="Arial"/>
          <w:b/>
          <w:bCs/>
          <w:color w:val="000000"/>
          <w:sz w:val="24"/>
          <w:szCs w:val="24"/>
          <w:lang w:eastAsia="en-GB"/>
        </w:rPr>
      </w:pPr>
      <w:r w:rsidRPr="00D14928">
        <w:rPr>
          <w:rFonts w:ascii="Arial" w:eastAsia="Times New Roman" w:hAnsi="Arial" w:cs="Arial"/>
          <w:i/>
          <w:iCs/>
          <w:color w:val="000000"/>
          <w:sz w:val="14"/>
          <w:szCs w:val="14"/>
          <w:lang w:eastAsia="en-GB"/>
        </w:rPr>
        <w:t>1        Adjusted profit before tax and adjusted performance measures exclude the impact of provision for PPI redress of £1,180m (2011: £400m).</w:t>
      </w:r>
    </w:p>
    <w:p w:rsidR="00D14928" w:rsidRPr="00D14928" w:rsidRDefault="00D14928" w:rsidP="00D14928">
      <w:pPr>
        <w:spacing w:after="20" w:line="240" w:lineRule="auto"/>
        <w:ind w:left="284" w:hanging="426"/>
        <w:jc w:val="both"/>
        <w:rPr>
          <w:rFonts w:ascii="Arial" w:eastAsia="Times New Roman" w:hAnsi="Arial" w:cs="Arial"/>
          <w:b/>
          <w:bCs/>
          <w:i/>
          <w:iCs/>
          <w:color w:val="000000"/>
          <w:sz w:val="24"/>
          <w:szCs w:val="24"/>
          <w:lang w:eastAsia="en-GB"/>
        </w:rPr>
      </w:pPr>
      <w:r w:rsidRPr="00D14928">
        <w:rPr>
          <w:rFonts w:ascii="Arial" w:eastAsia="Times New Roman" w:hAnsi="Arial" w:cs="Arial"/>
          <w:i/>
          <w:iCs/>
          <w:color w:val="000000"/>
          <w:sz w:val="14"/>
          <w:szCs w:val="14"/>
          <w:lang w:eastAsia="en-GB"/>
        </w:rPr>
        <w:t xml:space="preserve">2       Allocation of full time equivalent employees by business has changed as outlined in the Overview of Reporting Changes, the impact of which </w:t>
      </w:r>
      <w:r>
        <w:rPr>
          <w:rFonts w:ascii="Arial" w:eastAsia="Times New Roman" w:hAnsi="Arial" w:cs="Arial"/>
          <w:i/>
          <w:iCs/>
          <w:color w:val="000000"/>
          <w:sz w:val="14"/>
          <w:szCs w:val="14"/>
          <w:lang w:eastAsia="en-GB"/>
        </w:rPr>
        <w:t xml:space="preserve">   </w:t>
      </w:r>
      <w:r w:rsidRPr="00D14928">
        <w:rPr>
          <w:rFonts w:ascii="Arial" w:eastAsia="Times New Roman" w:hAnsi="Arial" w:cs="Arial"/>
          <w:i/>
          <w:iCs/>
          <w:color w:val="000000"/>
          <w:sz w:val="14"/>
          <w:szCs w:val="14"/>
          <w:lang w:eastAsia="en-GB"/>
        </w:rPr>
        <w:t>is reflected within Group Structure changes.</w:t>
      </w:r>
    </w:p>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color w:val="000000"/>
          <w:sz w:val="24"/>
          <w:szCs w:val="24"/>
          <w:lang w:eastAsia="en-GB"/>
        </w:rPr>
        <w:br w:type="page"/>
      </w:r>
      <w:r w:rsidRPr="00D14928">
        <w:rPr>
          <w:rFonts w:ascii="Arial" w:eastAsia="Times New Roman" w:hAnsi="Arial" w:cs="Arial"/>
          <w:b/>
          <w:bCs/>
          <w:color w:val="000000"/>
          <w:sz w:val="24"/>
          <w:szCs w:val="24"/>
          <w:lang w:eastAsia="en-GB"/>
        </w:rPr>
        <w:lastRenderedPageBreak/>
        <w:t>Results by Business</w:t>
      </w:r>
    </w:p>
    <w:tbl>
      <w:tblPr>
        <w:tblW w:w="0" w:type="auto"/>
        <w:tblInd w:w="-36" w:type="dxa"/>
        <w:tblCellMar>
          <w:left w:w="0" w:type="dxa"/>
          <w:right w:w="0" w:type="dxa"/>
        </w:tblCellMar>
        <w:tblLook w:val="04A0" w:firstRow="1" w:lastRow="0" w:firstColumn="1" w:lastColumn="0" w:noHBand="0" w:noVBand="1"/>
      </w:tblPr>
      <w:tblGrid>
        <w:gridCol w:w="3825"/>
        <w:gridCol w:w="630"/>
        <w:gridCol w:w="630"/>
        <w:gridCol w:w="630"/>
        <w:gridCol w:w="630"/>
        <w:gridCol w:w="78"/>
        <w:gridCol w:w="630"/>
        <w:gridCol w:w="630"/>
        <w:gridCol w:w="630"/>
        <w:gridCol w:w="630"/>
      </w:tblGrid>
      <w:tr w:rsidR="00D14928" w:rsidRPr="00D14928" w:rsidTr="00D14928">
        <w:trPr>
          <w:trHeight w:val="315"/>
        </w:trPr>
        <w:tc>
          <w:tcPr>
            <w:tcW w:w="3825" w:type="dxa"/>
            <w:tcMar>
              <w:top w:w="0" w:type="dxa"/>
              <w:left w:w="36" w:type="dxa"/>
              <w:bottom w:w="0" w:type="dxa"/>
              <w:right w:w="36" w:type="dxa"/>
            </w:tcMar>
            <w:vAlign w:val="center"/>
            <w:hideMark/>
          </w:tcPr>
          <w:p w:rsidR="00D14928" w:rsidRPr="00D14928" w:rsidRDefault="00D14928" w:rsidP="00D14928">
            <w:pPr>
              <w:spacing w:before="60"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xml:space="preserve">UK Retail and Business Banking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55"/>
        </w:trPr>
        <w:tc>
          <w:tcPr>
            <w:tcW w:w="382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Restated Income Statement Information </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Q412</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Q312</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Q212</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Q112</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Q411</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Q311</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Q211</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Q111 </w:t>
            </w:r>
          </w:p>
        </w:tc>
      </w:tr>
      <w:tr w:rsidR="00D14928" w:rsidRPr="00D14928" w:rsidTr="00D14928">
        <w:trPr>
          <w:trHeight w:val="240"/>
        </w:trPr>
        <w:tc>
          <w:tcPr>
            <w:tcW w:w="38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38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Adjusted Basis</w:t>
            </w:r>
            <w:r w:rsidRPr="00D14928">
              <w:rPr>
                <w:rFonts w:ascii="Arial" w:eastAsia="Times New Roman" w:hAnsi="Arial" w:cs="Arial"/>
                <w:color w:val="000000"/>
                <w:sz w:val="16"/>
                <w:szCs w:val="16"/>
                <w:vertAlign w:val="superscript"/>
                <w:lang w:eastAsia="en-GB"/>
              </w:rPr>
              <w:t xml:space="preserve">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income net of insurance claims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1,077 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1,123 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1,118 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1,066 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1,129 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1,244 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1,168 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1,080  </w:t>
            </w:r>
          </w:p>
        </w:tc>
      </w:tr>
      <w:tr w:rsidR="00D14928" w:rsidRPr="00D14928" w:rsidTr="00D14928">
        <w:trPr>
          <w:trHeight w:val="240"/>
        </w:trPr>
        <w:tc>
          <w:tcPr>
            <w:tcW w:w="38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charges and other provisions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(71)</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(76)</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(76)</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(156)</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(105)</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(131)</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(144) </w:t>
            </w:r>
          </w:p>
        </w:tc>
      </w:tr>
      <w:tr w:rsidR="00D14928" w:rsidRPr="00D14928" w:rsidTr="00D14928">
        <w:trPr>
          <w:trHeight w:val="240"/>
        </w:trPr>
        <w:tc>
          <w:tcPr>
            <w:tcW w:w="38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Net operating income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1,006 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1,047 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1,072 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990 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973 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1,139 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1,037 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936  </w:t>
            </w:r>
          </w:p>
        </w:tc>
      </w:tr>
      <w:tr w:rsidR="00D14928" w:rsidRPr="00D14928" w:rsidTr="00D14928">
        <w:trPr>
          <w:trHeight w:val="255"/>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Operating expenses (excluding bank levy)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(718)</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(689)</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(713)</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(757)</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(790)</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(711)</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(658)</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(685)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bank levy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38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net income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2  </w:t>
            </w:r>
          </w:p>
        </w:tc>
      </w:tr>
      <w:tr w:rsidR="00D14928" w:rsidRPr="00D14928" w:rsidTr="00D14928">
        <w:trPr>
          <w:trHeight w:val="240"/>
        </w:trPr>
        <w:tc>
          <w:tcPr>
            <w:tcW w:w="38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Adjusted profit before tax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275 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358 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360 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232 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162 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429 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378 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253  </w:t>
            </w:r>
          </w:p>
        </w:tc>
      </w:tr>
      <w:tr w:rsidR="00D14928" w:rsidRPr="00D14928" w:rsidTr="00D14928">
        <w:trPr>
          <w:trHeight w:val="255"/>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382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Adjusting Items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38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Provision for PPI redress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(330)</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(550)</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(300)</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(400)</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38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Statutory (loss)/profit before tax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(55)</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(192)</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360 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(68)</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162 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429 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(22)</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253 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382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Restated Balance Sheet Information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b/>
                <w:bCs/>
                <w:color w:val="000000"/>
                <w:sz w:val="20"/>
                <w:szCs w:val="20"/>
                <w:vertAlign w:val="superscript"/>
                <w:lang w:eastAsia="en-GB"/>
              </w:rPr>
              <w:t xml:space="preserve"> </w:t>
            </w:r>
          </w:p>
        </w:tc>
      </w:tr>
      <w:tr w:rsidR="00D14928" w:rsidRPr="00D14928" w:rsidTr="00D14928">
        <w:trPr>
          <w:trHeight w:val="255"/>
        </w:trPr>
        <w:tc>
          <w:tcPr>
            <w:tcW w:w="38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Loans and advances to customers at amortised cost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128.2 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126.0 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123.4 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122.0 </w:t>
            </w:r>
          </w:p>
        </w:tc>
        <w:tc>
          <w:tcPr>
            <w:tcW w:w="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121.2 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120.1 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117.9 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116.9 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Customer deposits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116.0 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114.5 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113.9 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113.1 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111.8 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109.6 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108.3 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108.6 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assets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134.7 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132.4 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129.7 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128.0 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127.1 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126.0 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123.7 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123.0 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Risk weighted assets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39.1 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37.3 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36.0 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34.5 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34.0 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34.1 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34.2 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34.4  </w:t>
            </w:r>
          </w:p>
        </w:tc>
      </w:tr>
    </w:tbl>
    <w:p w:rsidR="00D14928" w:rsidRDefault="00D14928" w:rsidP="00D14928">
      <w:pPr>
        <w:spacing w:before="100" w:beforeAutospacing="1" w:after="100" w:afterAutospacing="1" w:line="240" w:lineRule="auto"/>
        <w:rPr>
          <w:rFonts w:ascii="Arial" w:eastAsia="Times New Roman" w:hAnsi="Arial" w:cs="Arial"/>
          <w:b/>
          <w:bCs/>
          <w:color w:val="000000"/>
          <w:sz w:val="24"/>
          <w:szCs w:val="24"/>
          <w:lang w:eastAsia="en-GB"/>
        </w:rPr>
      </w:pPr>
    </w:p>
    <w:p w:rsidR="00D14928" w:rsidRPr="00D14928" w:rsidRDefault="00D14928" w:rsidP="00D14928">
      <w:pPr>
        <w:spacing w:before="100" w:beforeAutospacing="1" w:after="100" w:afterAutospacing="1" w:line="240" w:lineRule="auto"/>
        <w:rPr>
          <w:rFonts w:ascii="Times New Roman" w:eastAsia="Times New Roman" w:hAnsi="Times New Roman" w:cs="Times New Roman"/>
          <w:b/>
          <w:bCs/>
          <w:i/>
          <w:iCs/>
          <w:sz w:val="24"/>
          <w:szCs w:val="24"/>
          <w:lang w:eastAsia="en-GB"/>
        </w:rPr>
      </w:pPr>
      <w:r w:rsidRPr="00D14928">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4179"/>
        <w:gridCol w:w="787"/>
        <w:gridCol w:w="790"/>
        <w:gridCol w:w="789"/>
        <w:gridCol w:w="937"/>
        <w:gridCol w:w="786"/>
        <w:gridCol w:w="78"/>
        <w:gridCol w:w="788"/>
      </w:tblGrid>
      <w:tr w:rsidR="00D14928" w:rsidRPr="00D14928" w:rsidTr="00D14928">
        <w:trPr>
          <w:trHeight w:val="315"/>
        </w:trPr>
        <w:tc>
          <w:tcPr>
            <w:tcW w:w="4215" w:type="dxa"/>
            <w:tcMar>
              <w:top w:w="0" w:type="dxa"/>
              <w:left w:w="36" w:type="dxa"/>
              <w:bottom w:w="0" w:type="dxa"/>
              <w:right w:w="36" w:type="dxa"/>
            </w:tcMar>
            <w:vAlign w:val="center"/>
            <w:hideMark/>
          </w:tcPr>
          <w:p w:rsidR="00D14928" w:rsidRPr="00D14928" w:rsidRDefault="00D14928" w:rsidP="00D14928">
            <w:pPr>
              <w:spacing w:before="60"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4"/>
                <w:szCs w:val="24"/>
                <w:lang w:eastAsia="en-GB"/>
              </w:rPr>
              <w:t>Europe Retail and Business Banking</w:t>
            </w:r>
            <w:r w:rsidRPr="00D14928">
              <w:rPr>
                <w:rFonts w:ascii="Arial" w:eastAsia="Times New Roman" w:hAnsi="Arial" w:cs="Arial"/>
                <w:color w:val="000000"/>
                <w:sz w:val="16"/>
                <w:szCs w:val="16"/>
                <w:vertAlign w:val="superscript"/>
                <w:lang w:eastAsia="en-GB"/>
              </w:rPr>
              <w:t xml:space="preserve">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sz w:val="2"/>
                <w:szCs w:val="2"/>
                <w:lang w:eastAsia="en-GB"/>
              </w:rPr>
            </w:pPr>
          </w:p>
        </w:tc>
        <w:tc>
          <w:tcPr>
            <w:tcW w:w="2535" w:type="dxa"/>
            <w:gridSpan w:val="3"/>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Restatement Adjustments</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203"/>
        <w:gridCol w:w="828"/>
        <w:gridCol w:w="794"/>
        <w:gridCol w:w="846"/>
        <w:gridCol w:w="795"/>
        <w:gridCol w:w="795"/>
        <w:gridCol w:w="78"/>
        <w:gridCol w:w="795"/>
      </w:tblGrid>
      <w:tr w:rsidR="00D14928" w:rsidRPr="00D14928" w:rsidTr="00D14928">
        <w:trPr>
          <w:trHeight w:val="750"/>
        </w:trPr>
        <w:tc>
          <w:tcPr>
            <w:tcW w:w="421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Income Statement Information</w:t>
            </w:r>
            <w:r w:rsidRPr="00D14928">
              <w:rPr>
                <w:rFonts w:ascii="Arial" w:eastAsia="Times New Roman" w:hAnsi="Arial" w:cs="Arial"/>
                <w:color w:val="000000"/>
                <w:sz w:val="16"/>
                <w:szCs w:val="16"/>
                <w:vertAlign w:val="superscript"/>
                <w:lang w:eastAsia="en-GB"/>
              </w:rPr>
              <w:t xml:space="preserve"> </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published</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IFRS 10</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and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IAS 19</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Head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Office</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Allocation</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Group</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Structure</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2011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Restated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interest income </w:t>
            </w:r>
            <w:r w:rsidRPr="00D14928">
              <w:rPr>
                <w:rFonts w:ascii="Arial" w:eastAsia="Times New Roman" w:hAnsi="Arial" w:cs="Arial"/>
                <w:color w:val="000000"/>
                <w:sz w:val="13"/>
                <w:szCs w:val="13"/>
                <w:vertAlign w:val="superscript"/>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599 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(157)</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428 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610 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fee and commission income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284 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376 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trading income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9 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investment income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52 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91 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premiums from insurance contracts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331 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463 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income/(expense)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(42)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Total income</w:t>
            </w:r>
            <w:r w:rsidRPr="00D14928">
              <w:rPr>
                <w:rFonts w:ascii="Arial" w:eastAsia="Times New Roman" w:hAnsi="Arial" w:cs="Arial"/>
                <w:color w:val="000000"/>
                <w:sz w:val="16"/>
                <w:szCs w:val="16"/>
                <w:vertAlign w:val="superscript"/>
                <w:lang w:eastAsia="en-GB"/>
              </w:rPr>
              <w:t xml:space="preserv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1,274 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(193)</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1,067 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1,507 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claims and benefits incurred under insurance contracts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(359)</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(359)</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(503)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Total income net of insurance claims</w:t>
            </w:r>
            <w:r w:rsidRPr="00D14928">
              <w:rPr>
                <w:rFonts w:ascii="Arial" w:eastAsia="Times New Roman" w:hAnsi="Arial" w:cs="Arial"/>
                <w:color w:val="000000"/>
                <w:sz w:val="16"/>
                <w:szCs w:val="16"/>
                <w:vertAlign w:val="superscript"/>
                <w:lang w:eastAsia="en-GB"/>
              </w:rPr>
              <w:t xml:space="preserv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915 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(193)</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708 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1,004 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charges and other provisions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(328)</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71 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(257)</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(207)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Net operating income</w:t>
            </w:r>
            <w:r w:rsidRPr="00D14928">
              <w:rPr>
                <w:rFonts w:ascii="Arial" w:eastAsia="Times New Roman" w:hAnsi="Arial" w:cs="Arial"/>
                <w:color w:val="000000"/>
                <w:sz w:val="16"/>
                <w:szCs w:val="16"/>
                <w:vertAlign w:val="superscript"/>
                <w:lang w:eastAsia="en-GB"/>
              </w:rPr>
              <w:t xml:space="preserv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587 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(122)</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451 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797 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51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Operating expenses (excluding goodwill impairment and bank levy)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(839)</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(787)</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(1,128)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Goodwill impairment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(427)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lastRenderedPageBreak/>
              <w:t xml:space="preserve">UK bank levy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(21)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xml:space="preserve">Operating expenses </w:t>
            </w:r>
            <w:r w:rsidRPr="00D14928">
              <w:rPr>
                <w:rFonts w:ascii="Arial" w:eastAsia="Times New Roman" w:hAnsi="Arial" w:cs="Arial"/>
                <w:color w:val="000000"/>
                <w:sz w:val="16"/>
                <w:szCs w:val="16"/>
                <w:vertAlign w:val="superscript"/>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(839)</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(43)</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70 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(807)</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(1,576)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net income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12 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Loss before tax</w:t>
            </w:r>
            <w:r w:rsidRPr="00D14928">
              <w:rPr>
                <w:rFonts w:ascii="Arial" w:eastAsia="Times New Roman" w:hAnsi="Arial" w:cs="Arial"/>
                <w:color w:val="000000"/>
                <w:sz w:val="16"/>
                <w:szCs w:val="16"/>
                <w:vertAlign w:val="superscript"/>
                <w:lang w:eastAsia="en-GB"/>
              </w:rPr>
              <w:t xml:space="preserv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(239)</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(57)</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(52)</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(343)</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(767)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Adjusted loss before tax</w:t>
            </w:r>
            <w:r w:rsidRPr="00D14928">
              <w:rPr>
                <w:rFonts w:ascii="Arial" w:eastAsia="Times New Roman" w:hAnsi="Arial" w:cs="Arial"/>
                <w:b/>
                <w:bCs/>
                <w:color w:val="000000"/>
                <w:sz w:val="13"/>
                <w:szCs w:val="13"/>
                <w:vertAlign w:val="superscript"/>
                <w:lang w:eastAsia="en-GB"/>
              </w:rPr>
              <w:t>1 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(239)</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(57)</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(52)</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(343)</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(340)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 xml:space="preserve">Balance Sheet Information </w:t>
            </w:r>
            <w:r w:rsidRPr="00D14928">
              <w:rPr>
                <w:rFonts w:ascii="Arial" w:eastAsia="Times New Roman" w:hAnsi="Arial" w:cs="Arial"/>
                <w:b/>
                <w:bCs/>
                <w:color w:val="000000"/>
                <w:sz w:val="16"/>
                <w:szCs w:val="16"/>
                <w:vertAlign w:val="superscript"/>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b/>
                <w:bCs/>
                <w:color w:val="000000"/>
                <w:sz w:val="20"/>
                <w:szCs w:val="20"/>
                <w:vertAlign w:val="superscript"/>
                <w:lang w:eastAsia="en-GB"/>
              </w:rPr>
              <w:t xml:space="preserve">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Loans and advances to customers at amortised cost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40.0 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(0.8)</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39.2 </w:t>
            </w:r>
          </w:p>
        </w:tc>
        <w:tc>
          <w:tcPr>
            <w:tcW w:w="7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42.7 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Customer deposits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17.6 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16.4 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assets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47.1 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50.2 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Risk weighted assets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17.1 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16.4 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Performance Measures</w:t>
            </w:r>
            <w:r w:rsidRPr="00D14928">
              <w:rPr>
                <w:rFonts w:ascii="Arial" w:eastAsia="Times New Roman" w:hAnsi="Arial" w:cs="Arial"/>
                <w:color w:val="000000"/>
                <w:sz w:val="16"/>
                <w:szCs w:val="16"/>
                <w:vertAlign w:val="superscript"/>
                <w:lang w:eastAsia="en-GB"/>
              </w:rPr>
              <w:t xml:space="preserv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b/>
                <w:bCs/>
                <w:color w:val="000000"/>
                <w:sz w:val="16"/>
                <w:szCs w:val="16"/>
                <w:vertAlign w:val="superscript"/>
                <w:lang w:eastAsia="en-GB"/>
              </w:rPr>
              <w:t>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Adjusted return on average equity</w:t>
            </w:r>
            <w:r w:rsidRPr="00D14928">
              <w:rPr>
                <w:rFonts w:ascii="Arial" w:eastAsia="Times New Roman" w:hAnsi="Arial" w:cs="Arial"/>
                <w:color w:val="000000"/>
                <w:sz w:val="13"/>
                <w:szCs w:val="13"/>
                <w:vertAlign w:val="superscript"/>
                <w:lang w:eastAsia="en-GB"/>
              </w:rPr>
              <w:t>1 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(8.0%)</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(12.9%)</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(9.7%)</w:t>
            </w:r>
            <w:r w:rsidRPr="00D14928">
              <w:rPr>
                <w:rFonts w:ascii="Arial" w:eastAsia="Times New Roman" w:hAnsi="Arial" w:cs="Arial"/>
                <w:b/>
                <w:bCs/>
                <w:color w:val="000000"/>
                <w:sz w:val="20"/>
                <w:szCs w:val="20"/>
                <w:vertAlign w:val="superscript"/>
                <w:lang w:eastAsia="en-GB"/>
              </w:rPr>
              <w:t xml:space="preserve">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Adjusted return on average risk weighted assets</w:t>
            </w:r>
            <w:r w:rsidRPr="00D14928">
              <w:rPr>
                <w:rFonts w:ascii="Arial" w:eastAsia="Times New Roman" w:hAnsi="Arial" w:cs="Arial"/>
                <w:color w:val="000000"/>
                <w:sz w:val="13"/>
                <w:szCs w:val="13"/>
                <w:vertAlign w:val="superscript"/>
                <w:lang w:eastAsia="en-GB"/>
              </w:rPr>
              <w:t>1 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w:t>
            </w:r>
            <w:r w:rsidRPr="00D14928">
              <w:rPr>
                <w:rFonts w:ascii="Arial" w:eastAsia="Times New Roman" w:hAnsi="Arial" w:cs="Arial"/>
                <w:b/>
                <w:bCs/>
                <w:color w:val="000000"/>
                <w:sz w:val="20"/>
                <w:szCs w:val="20"/>
                <w:vertAlign w:val="superscript"/>
                <w:lang w:eastAsia="en-GB"/>
              </w:rPr>
              <w:t xml:space="preserve">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Adjusted cost: income ratio</w:t>
            </w:r>
            <w:r w:rsidRPr="00D14928">
              <w:rPr>
                <w:rFonts w:ascii="Arial" w:eastAsia="Times New Roman" w:hAnsi="Arial" w:cs="Arial"/>
                <w:color w:val="000000"/>
                <w:sz w:val="13"/>
                <w:szCs w:val="13"/>
                <w:vertAlign w:val="superscript"/>
                <w:lang w:eastAsia="en-GB"/>
              </w:rPr>
              <w:t>1 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92%</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114%</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114%</w:t>
            </w:r>
            <w:r w:rsidRPr="00D14928">
              <w:rPr>
                <w:rFonts w:ascii="Arial" w:eastAsia="Times New Roman" w:hAnsi="Arial" w:cs="Arial"/>
                <w:b/>
                <w:bCs/>
                <w:color w:val="000000"/>
                <w:sz w:val="20"/>
                <w:szCs w:val="20"/>
                <w:vertAlign w:val="superscript"/>
                <w:lang w:eastAsia="en-GB"/>
              </w:rPr>
              <w:t xml:space="preserve">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Return on average equity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(8.0%)</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(12.9%)</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(26.0%)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Return on average risk weighted assets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(4.0%)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Cost: income ratio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92%</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114%</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157%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 loss rate (bps)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80 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43 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Number of employees (full time equivalent)</w:t>
            </w:r>
            <w:r w:rsidRPr="00D14928">
              <w:rPr>
                <w:rFonts w:ascii="Arial" w:eastAsia="Times New Roman" w:hAnsi="Arial" w:cs="Arial"/>
                <w:color w:val="000000"/>
                <w:sz w:val="13"/>
                <w:szCs w:val="13"/>
                <w:vertAlign w:val="superscript"/>
                <w:lang w:eastAsia="en-GB"/>
              </w:rPr>
              <w:t>2 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7,900 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100 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(500)</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7,500 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8,100  </w:t>
            </w:r>
          </w:p>
        </w:tc>
      </w:tr>
    </w:tbl>
    <w:p w:rsidR="00D14928" w:rsidRPr="00D14928" w:rsidRDefault="00D14928" w:rsidP="00D14928">
      <w:pPr>
        <w:spacing w:after="0" w:line="240" w:lineRule="auto"/>
        <w:rPr>
          <w:rFonts w:ascii="Arial" w:eastAsia="Times New Roman" w:hAnsi="Arial" w:cs="Arial"/>
          <w:b/>
          <w:bCs/>
          <w:i/>
          <w:iCs/>
          <w:sz w:val="2"/>
          <w:szCs w:val="2"/>
          <w:lang w:eastAsia="en-GB"/>
        </w:rPr>
      </w:pPr>
      <w:r w:rsidRPr="00D14928">
        <w:rPr>
          <w:rFonts w:ascii="Arial" w:eastAsia="Times New Roman" w:hAnsi="Arial" w:cs="Arial"/>
          <w:b/>
          <w:bCs/>
          <w:i/>
          <w:iCs/>
          <w:sz w:val="14"/>
          <w:szCs w:val="14"/>
          <w:lang w:eastAsia="en-GB"/>
        </w:rPr>
        <w:t> </w:t>
      </w:r>
    </w:p>
    <w:p w:rsidR="00D14928" w:rsidRPr="00D14928" w:rsidRDefault="00D14928" w:rsidP="00D14928">
      <w:pPr>
        <w:spacing w:after="0" w:line="240" w:lineRule="auto"/>
        <w:jc w:val="both"/>
        <w:rPr>
          <w:rFonts w:ascii="Arial" w:eastAsia="Times New Roman" w:hAnsi="Arial" w:cs="Arial"/>
          <w:sz w:val="18"/>
          <w:szCs w:val="18"/>
          <w:lang w:eastAsia="en-GB"/>
        </w:rPr>
      </w:pPr>
      <w:r w:rsidRPr="00D14928">
        <w:rPr>
          <w:rFonts w:ascii="Arial" w:eastAsia="Times New Roman" w:hAnsi="Arial" w:cs="Arial"/>
          <w:sz w:val="10"/>
          <w:szCs w:val="10"/>
          <w:lang w:eastAsia="en-GB"/>
        </w:rPr>
        <w:t> </w:t>
      </w:r>
    </w:p>
    <w:p w:rsidR="00D14928" w:rsidRPr="00D14928" w:rsidRDefault="00D14928" w:rsidP="00D14928">
      <w:pPr>
        <w:spacing w:after="40" w:line="240" w:lineRule="auto"/>
        <w:jc w:val="both"/>
        <w:rPr>
          <w:rFonts w:ascii="Arial" w:eastAsia="Times New Roman" w:hAnsi="Arial" w:cs="Arial"/>
          <w:sz w:val="18"/>
          <w:szCs w:val="18"/>
          <w:lang w:eastAsia="en-GB"/>
        </w:rPr>
      </w:pPr>
      <w:r w:rsidRPr="00D14928">
        <w:rPr>
          <w:rFonts w:ascii="Arial" w:eastAsia="Times New Roman" w:hAnsi="Arial" w:cs="Arial"/>
          <w:sz w:val="8"/>
          <w:szCs w:val="8"/>
          <w:lang w:eastAsia="en-GB"/>
        </w:rPr>
        <w:t> </w:t>
      </w:r>
    </w:p>
    <w:p w:rsidR="00D14928" w:rsidRPr="00D14928" w:rsidRDefault="00D14928" w:rsidP="00D14928">
      <w:pPr>
        <w:spacing w:after="0" w:line="240" w:lineRule="auto"/>
        <w:ind w:hanging="142"/>
        <w:jc w:val="both"/>
        <w:rPr>
          <w:rFonts w:ascii="Arial" w:eastAsia="Times New Roman" w:hAnsi="Arial" w:cs="Arial"/>
          <w:b/>
          <w:bCs/>
          <w:color w:val="000000"/>
          <w:sz w:val="24"/>
          <w:szCs w:val="24"/>
          <w:lang w:eastAsia="en-GB"/>
        </w:rPr>
      </w:pPr>
      <w:r w:rsidRPr="00D14928">
        <w:rPr>
          <w:rFonts w:ascii="Arial" w:eastAsia="Times New Roman" w:hAnsi="Arial" w:cs="Arial"/>
          <w:i/>
          <w:iCs/>
          <w:color w:val="000000"/>
          <w:sz w:val="14"/>
          <w:szCs w:val="14"/>
          <w:lang w:eastAsia="en-GB"/>
        </w:rPr>
        <w:t>1        Adjusted loss before tax and adjusted performance measures exclude the impact of goodwill impairment £nil (2011: £427m).</w:t>
      </w:r>
    </w:p>
    <w:p w:rsidR="00D14928" w:rsidRPr="00D14928" w:rsidRDefault="00D14928" w:rsidP="00D14928">
      <w:pPr>
        <w:spacing w:after="20" w:line="240" w:lineRule="auto"/>
        <w:ind w:left="284" w:hanging="426"/>
        <w:jc w:val="both"/>
        <w:rPr>
          <w:rFonts w:ascii="Arial" w:eastAsia="Times New Roman" w:hAnsi="Arial" w:cs="Arial"/>
          <w:b/>
          <w:bCs/>
          <w:i/>
          <w:iCs/>
          <w:color w:val="000000"/>
          <w:sz w:val="24"/>
          <w:szCs w:val="24"/>
          <w:lang w:eastAsia="en-GB"/>
        </w:rPr>
      </w:pPr>
      <w:r w:rsidRPr="00D14928">
        <w:rPr>
          <w:rFonts w:ascii="Arial" w:eastAsia="Times New Roman" w:hAnsi="Arial" w:cs="Arial"/>
          <w:i/>
          <w:iCs/>
          <w:color w:val="000000"/>
          <w:sz w:val="14"/>
          <w:szCs w:val="14"/>
          <w:lang w:eastAsia="en-GB"/>
        </w:rPr>
        <w:t>2       Allocation of full time equivalent employees by business has changed as outlined in the Overview of Reporting Changes, the impact of which is reflected within Group Structure changes.</w:t>
      </w:r>
    </w:p>
    <w:p w:rsidR="00D14928" w:rsidRDefault="00D14928" w:rsidP="00D14928">
      <w:pPr>
        <w:spacing w:line="240" w:lineRule="auto"/>
        <w:jc w:val="both"/>
        <w:rPr>
          <w:rFonts w:ascii="Arial" w:eastAsia="Times New Roman" w:hAnsi="Arial" w:cs="Arial"/>
          <w:color w:val="000000"/>
          <w:sz w:val="24"/>
          <w:szCs w:val="24"/>
          <w:lang w:eastAsia="en-GB"/>
        </w:rPr>
      </w:pPr>
    </w:p>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3825"/>
        <w:gridCol w:w="630"/>
        <w:gridCol w:w="630"/>
        <w:gridCol w:w="630"/>
        <w:gridCol w:w="630"/>
        <w:gridCol w:w="78"/>
        <w:gridCol w:w="630"/>
        <w:gridCol w:w="630"/>
        <w:gridCol w:w="630"/>
        <w:gridCol w:w="630"/>
      </w:tblGrid>
      <w:tr w:rsidR="00D14928" w:rsidRPr="00D14928" w:rsidTr="00D14928">
        <w:trPr>
          <w:trHeight w:val="315"/>
        </w:trPr>
        <w:tc>
          <w:tcPr>
            <w:tcW w:w="3825" w:type="dxa"/>
            <w:tcMar>
              <w:top w:w="0" w:type="dxa"/>
              <w:left w:w="36" w:type="dxa"/>
              <w:bottom w:w="0" w:type="dxa"/>
              <w:right w:w="36" w:type="dxa"/>
            </w:tcMar>
            <w:vAlign w:val="center"/>
            <w:hideMark/>
          </w:tcPr>
          <w:p w:rsidR="00D14928" w:rsidRPr="00D14928" w:rsidRDefault="00D14928" w:rsidP="00D14928">
            <w:pPr>
              <w:spacing w:before="60"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xml:space="preserve">Europe Retail and Business Banking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55"/>
        </w:trPr>
        <w:tc>
          <w:tcPr>
            <w:tcW w:w="382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Restated Income Statement Information </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Q412</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Q312</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Q212</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Q112</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Q411</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Q311</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Q211</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Q111 </w:t>
            </w:r>
          </w:p>
        </w:tc>
      </w:tr>
      <w:tr w:rsidR="00D14928" w:rsidRPr="00D14928" w:rsidTr="00D14928">
        <w:trPr>
          <w:trHeight w:val="240"/>
        </w:trPr>
        <w:tc>
          <w:tcPr>
            <w:tcW w:w="38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38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Adjusted Basis</w:t>
            </w:r>
            <w:r w:rsidRPr="00D14928">
              <w:rPr>
                <w:rFonts w:ascii="Arial" w:eastAsia="Times New Roman" w:hAnsi="Arial" w:cs="Arial"/>
                <w:color w:val="000000"/>
                <w:sz w:val="16"/>
                <w:szCs w:val="16"/>
                <w:vertAlign w:val="superscript"/>
                <w:lang w:eastAsia="en-GB"/>
              </w:rPr>
              <w:t xml:space="preserve">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income net of insurance claims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161 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168 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191 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188 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198 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309 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254 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243  </w:t>
            </w:r>
          </w:p>
        </w:tc>
      </w:tr>
      <w:tr w:rsidR="00D14928" w:rsidRPr="00D14928" w:rsidTr="00D14928">
        <w:trPr>
          <w:trHeight w:val="240"/>
        </w:trPr>
        <w:tc>
          <w:tcPr>
            <w:tcW w:w="38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charges and other provisions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(74)</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(58)</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(71)</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(54)</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(65)</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(56) </w:t>
            </w:r>
          </w:p>
        </w:tc>
      </w:tr>
      <w:tr w:rsidR="00D14928" w:rsidRPr="00D14928" w:rsidTr="00D14928">
        <w:trPr>
          <w:trHeight w:val="240"/>
        </w:trPr>
        <w:tc>
          <w:tcPr>
            <w:tcW w:w="38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Net operating income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87 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110 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120 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134 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133 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263 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214 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187  </w:t>
            </w:r>
          </w:p>
        </w:tc>
      </w:tr>
      <w:tr w:rsidR="00D14928" w:rsidRPr="00D14928" w:rsidTr="00D14928">
        <w:trPr>
          <w:trHeight w:val="255"/>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Operating expenses (excluding bank levy)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(185)</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(193)</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(200)</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(209)</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(290)</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(244)</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(327)</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(267)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bank levy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38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net income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4  </w:t>
            </w:r>
          </w:p>
        </w:tc>
      </w:tr>
      <w:tr w:rsidR="00D14928" w:rsidRPr="00D14928" w:rsidTr="00D14928">
        <w:trPr>
          <w:trHeight w:val="240"/>
        </w:trPr>
        <w:tc>
          <w:tcPr>
            <w:tcW w:w="38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Adjusted (Loss)/profit before tax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(114)</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(81)</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(76)</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(72)</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(176)</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21 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(109)</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(76)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382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Adjusting Items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38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Goodwill impairment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(427)</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38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Statutory (loss)/profit before tax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(114)</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(81)</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(76)</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(72)</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(603)</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21 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(109)</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(76)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382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Restated Balance Sheet Information </w:t>
            </w:r>
            <w:r w:rsidRPr="00D14928">
              <w:rPr>
                <w:rFonts w:ascii="Arial" w:eastAsia="Times New Roman" w:hAnsi="Arial" w:cs="Arial"/>
                <w:b/>
                <w:bCs/>
                <w:color w:val="000000"/>
                <w:sz w:val="16"/>
                <w:szCs w:val="16"/>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b/>
                <w:bCs/>
                <w:color w:val="000000"/>
                <w:sz w:val="20"/>
                <w:szCs w:val="20"/>
                <w:vertAlign w:val="superscript"/>
                <w:lang w:eastAsia="en-GB"/>
              </w:rPr>
              <w:t xml:space="preserve"> </w:t>
            </w:r>
          </w:p>
        </w:tc>
      </w:tr>
      <w:tr w:rsidR="00D14928" w:rsidRPr="00D14928" w:rsidTr="00D14928">
        <w:trPr>
          <w:trHeight w:val="255"/>
        </w:trPr>
        <w:tc>
          <w:tcPr>
            <w:tcW w:w="38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Loans and advances to customers at amortised cost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39.2 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39.2 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40.4 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42.1 </w:t>
            </w:r>
          </w:p>
        </w:tc>
        <w:tc>
          <w:tcPr>
            <w:tcW w:w="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42.7 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43.3 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45.0 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43.5 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Customer deposits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17.6 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18.1 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18.3 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16.0 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16.4 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17.9 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19.1 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18.9 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assets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46.0 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46.1 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47.0 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49.1 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50.2 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51.6 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55.6 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53.8 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Risk weighted assets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15.8 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14.9 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15.4 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16.4 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16.4 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16.5 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16.7 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17.2  </w:t>
            </w:r>
          </w:p>
        </w:tc>
      </w:tr>
    </w:tbl>
    <w:p w:rsidR="00D14928" w:rsidRPr="00D14928" w:rsidRDefault="00D14928" w:rsidP="00D14928">
      <w:pPr>
        <w:spacing w:before="100" w:beforeAutospacing="1" w:after="100" w:afterAutospacing="1" w:line="240" w:lineRule="auto"/>
        <w:rPr>
          <w:rFonts w:ascii="Times New Roman" w:eastAsia="Times New Roman" w:hAnsi="Times New Roman" w:cs="Times New Roman"/>
          <w:b/>
          <w:bCs/>
          <w:i/>
          <w:iCs/>
          <w:sz w:val="24"/>
          <w:szCs w:val="24"/>
          <w:lang w:eastAsia="en-GB"/>
        </w:rPr>
      </w:pPr>
      <w:r w:rsidRPr="00D14928">
        <w:rPr>
          <w:rFonts w:ascii="Arial" w:eastAsia="Times New Roman" w:hAnsi="Arial" w:cs="Arial"/>
          <w:b/>
          <w:bCs/>
          <w:i/>
          <w:iCs/>
          <w:sz w:val="14"/>
          <w:szCs w:val="14"/>
          <w:lang w:eastAsia="en-GB"/>
        </w:rPr>
        <w:br w:type="page"/>
      </w:r>
      <w:r w:rsidRPr="00D14928">
        <w:rPr>
          <w:rFonts w:ascii="Arial" w:eastAsia="Times New Roman" w:hAnsi="Arial" w:cs="Arial"/>
          <w:b/>
          <w:bCs/>
          <w:color w:val="000000"/>
          <w:sz w:val="24"/>
          <w:szCs w:val="24"/>
          <w:lang w:eastAsia="en-GB"/>
        </w:rPr>
        <w:lastRenderedPageBreak/>
        <w:t>Results by Business</w:t>
      </w:r>
    </w:p>
    <w:tbl>
      <w:tblPr>
        <w:tblW w:w="0" w:type="auto"/>
        <w:tblInd w:w="-36" w:type="dxa"/>
        <w:tblCellMar>
          <w:left w:w="0" w:type="dxa"/>
          <w:right w:w="0" w:type="dxa"/>
        </w:tblCellMar>
        <w:tblLook w:val="04A0" w:firstRow="1" w:lastRow="0" w:firstColumn="1" w:lastColumn="0" w:noHBand="0" w:noVBand="1"/>
      </w:tblPr>
      <w:tblGrid>
        <w:gridCol w:w="4400"/>
        <w:gridCol w:w="745"/>
        <w:gridCol w:w="747"/>
        <w:gridCol w:w="777"/>
        <w:gridCol w:w="896"/>
        <w:gridCol w:w="745"/>
        <w:gridCol w:w="78"/>
        <w:gridCol w:w="746"/>
      </w:tblGrid>
      <w:tr w:rsidR="00D14928" w:rsidRPr="00D14928" w:rsidTr="00D14928">
        <w:trPr>
          <w:trHeight w:val="315"/>
        </w:trPr>
        <w:tc>
          <w:tcPr>
            <w:tcW w:w="4425" w:type="dxa"/>
            <w:tcMar>
              <w:top w:w="0" w:type="dxa"/>
              <w:left w:w="36" w:type="dxa"/>
              <w:bottom w:w="0" w:type="dxa"/>
              <w:right w:w="36" w:type="dxa"/>
            </w:tcMar>
            <w:vAlign w:val="center"/>
            <w:hideMark/>
          </w:tcPr>
          <w:p w:rsidR="00D14928" w:rsidRPr="00D14928" w:rsidRDefault="00D14928" w:rsidP="00D14928">
            <w:pPr>
              <w:spacing w:before="60"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4"/>
                <w:szCs w:val="24"/>
                <w:lang w:eastAsia="en-GB"/>
              </w:rPr>
              <w:t>Africa Retail and Business Banking</w:t>
            </w:r>
            <w:r w:rsidRPr="00D14928">
              <w:rPr>
                <w:rFonts w:ascii="Arial" w:eastAsia="Times New Roman" w:hAnsi="Arial" w:cs="Arial"/>
                <w:color w:val="000000"/>
                <w:sz w:val="24"/>
                <w:szCs w:val="24"/>
                <w:vertAlign w:val="superscript"/>
                <w:lang w:eastAsia="en-GB"/>
              </w:rPr>
              <w:t xml:space="preserve">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sz w:val="2"/>
                <w:szCs w:val="2"/>
                <w:lang w:eastAsia="en-GB"/>
              </w:rPr>
            </w:pPr>
          </w:p>
        </w:tc>
        <w:tc>
          <w:tcPr>
            <w:tcW w:w="2430" w:type="dxa"/>
            <w:gridSpan w:val="3"/>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Restatement Adjustments</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355"/>
        <w:gridCol w:w="828"/>
        <w:gridCol w:w="743"/>
        <w:gridCol w:w="846"/>
        <w:gridCol w:w="784"/>
        <w:gridCol w:w="750"/>
        <w:gridCol w:w="78"/>
        <w:gridCol w:w="750"/>
      </w:tblGrid>
      <w:tr w:rsidR="00D14928" w:rsidRPr="00D14928" w:rsidTr="00D14928">
        <w:trPr>
          <w:trHeight w:val="750"/>
        </w:trPr>
        <w:tc>
          <w:tcPr>
            <w:tcW w:w="442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Income Statement Information</w:t>
            </w:r>
            <w:r w:rsidRPr="00D14928">
              <w:rPr>
                <w:rFonts w:ascii="Arial" w:eastAsia="Times New Roman" w:hAnsi="Arial" w:cs="Arial"/>
                <w:color w:val="000000"/>
                <w:sz w:val="20"/>
                <w:szCs w:val="20"/>
                <w:vertAlign w:val="superscript"/>
                <w:lang w:eastAsia="en-GB"/>
              </w:rPr>
              <w:t xml:space="preserve"> </w:t>
            </w:r>
          </w:p>
        </w:tc>
        <w:tc>
          <w:tcPr>
            <w:tcW w:w="75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published</w:t>
            </w:r>
          </w:p>
        </w:tc>
        <w:tc>
          <w:tcPr>
            <w:tcW w:w="75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IFRS 10</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and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IAS 19</w:t>
            </w: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Head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Office</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Allocation</w:t>
            </w:r>
          </w:p>
        </w:tc>
        <w:tc>
          <w:tcPr>
            <w:tcW w:w="75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Group</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Structure</w:t>
            </w:r>
          </w:p>
        </w:tc>
        <w:tc>
          <w:tcPr>
            <w:tcW w:w="75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2011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Restated </w:t>
            </w:r>
          </w:p>
        </w:tc>
      </w:tr>
      <w:tr w:rsidR="00D14928" w:rsidRPr="00D14928" w:rsidTr="00D14928">
        <w:trPr>
          <w:trHeight w:val="240"/>
        </w:trPr>
        <w:tc>
          <w:tcPr>
            <w:tcW w:w="44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44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interest income </w:t>
            </w:r>
            <w:r w:rsidRPr="00D14928">
              <w:rPr>
                <w:rFonts w:ascii="Arial" w:eastAsia="Times New Roman" w:hAnsi="Arial" w:cs="Arial"/>
                <w:color w:val="000000"/>
                <w:sz w:val="13"/>
                <w:szCs w:val="13"/>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1,751 </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(66)</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1,654 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1,874 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fee and commission income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1,101 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1,065 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1,179 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trading income/(expense)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69 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(73)</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Investment income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56 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premiums from insurance contracts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417 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432  </w:t>
            </w:r>
          </w:p>
        </w:tc>
      </w:tr>
      <w:tr w:rsidR="00D14928" w:rsidRPr="00D14928" w:rsidTr="00D14928">
        <w:trPr>
          <w:trHeight w:val="240"/>
        </w:trPr>
        <w:tc>
          <w:tcPr>
            <w:tcW w:w="44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income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35  </w:t>
            </w:r>
          </w:p>
        </w:tc>
      </w:tr>
      <w:tr w:rsidR="00D14928" w:rsidRPr="00D14928" w:rsidTr="00D14928">
        <w:trPr>
          <w:trHeight w:val="240"/>
        </w:trPr>
        <w:tc>
          <w:tcPr>
            <w:tcW w:w="44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Total income</w:t>
            </w:r>
            <w:r w:rsidRPr="00D14928">
              <w:rPr>
                <w:rFonts w:ascii="Arial" w:eastAsia="Times New Roman" w:hAnsi="Arial" w:cs="Arial"/>
                <w:color w:val="000000"/>
                <w:sz w:val="16"/>
                <w:szCs w:val="16"/>
                <w:vertAlign w:val="superscript"/>
                <w:lang w:eastAsia="en-GB"/>
              </w:rPr>
              <w:t xml:space="preserve"> </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3,364 </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(198)</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3,135 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3,579  </w:t>
            </w:r>
          </w:p>
        </w:tc>
      </w:tr>
      <w:tr w:rsidR="00D14928" w:rsidRPr="00D14928" w:rsidTr="00D14928">
        <w:trPr>
          <w:trHeight w:val="255"/>
        </w:trPr>
        <w:tc>
          <w:tcPr>
            <w:tcW w:w="44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claims and benefits incurred under insurance contracts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(207)</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(207)</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(215) </w:t>
            </w:r>
          </w:p>
        </w:tc>
      </w:tr>
      <w:tr w:rsidR="00D14928" w:rsidRPr="00D14928" w:rsidTr="00D14928">
        <w:trPr>
          <w:trHeight w:val="240"/>
        </w:trPr>
        <w:tc>
          <w:tcPr>
            <w:tcW w:w="44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Total income net of insurance claims</w:t>
            </w:r>
            <w:r w:rsidRPr="00D14928">
              <w:rPr>
                <w:rFonts w:ascii="Arial" w:eastAsia="Times New Roman" w:hAnsi="Arial" w:cs="Arial"/>
                <w:color w:val="000000"/>
                <w:sz w:val="16"/>
                <w:szCs w:val="16"/>
                <w:vertAlign w:val="superscript"/>
                <w:lang w:eastAsia="en-GB"/>
              </w:rPr>
              <w:t xml:space="preserve"> </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3,157 </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(198)</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2,928 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3,364  </w:t>
            </w:r>
          </w:p>
        </w:tc>
      </w:tr>
      <w:tr w:rsidR="00D14928" w:rsidRPr="00D14928" w:rsidTr="00D14928">
        <w:trPr>
          <w:trHeight w:val="240"/>
        </w:trPr>
        <w:tc>
          <w:tcPr>
            <w:tcW w:w="44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charges and other provisions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(646)</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(632)</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(462) </w:t>
            </w:r>
          </w:p>
        </w:tc>
      </w:tr>
      <w:tr w:rsidR="00D14928" w:rsidRPr="00D14928" w:rsidTr="00D14928">
        <w:trPr>
          <w:trHeight w:val="240"/>
        </w:trPr>
        <w:tc>
          <w:tcPr>
            <w:tcW w:w="44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Net operating income</w:t>
            </w:r>
            <w:r w:rsidRPr="00D14928">
              <w:rPr>
                <w:rFonts w:ascii="Arial" w:eastAsia="Times New Roman" w:hAnsi="Arial" w:cs="Arial"/>
                <w:color w:val="000000"/>
                <w:sz w:val="16"/>
                <w:szCs w:val="16"/>
                <w:vertAlign w:val="superscript"/>
                <w:lang w:eastAsia="en-GB"/>
              </w:rPr>
              <w:t xml:space="preserve"> </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2,511 </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(184)</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2,296 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2,902 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Operating expenses (excluding bank levy)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(2,053)</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138 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(1,960)</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(2,154) </w:t>
            </w:r>
          </w:p>
        </w:tc>
      </w:tr>
      <w:tr w:rsidR="00D14928" w:rsidRPr="00D14928" w:rsidTr="00D14928">
        <w:trPr>
          <w:trHeight w:val="240"/>
        </w:trPr>
        <w:tc>
          <w:tcPr>
            <w:tcW w:w="44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bank levy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(23) </w:t>
            </w:r>
          </w:p>
        </w:tc>
      </w:tr>
      <w:tr w:rsidR="00D14928" w:rsidRPr="00D14928" w:rsidTr="00D14928">
        <w:trPr>
          <w:trHeight w:val="240"/>
        </w:trPr>
        <w:tc>
          <w:tcPr>
            <w:tcW w:w="44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xml:space="preserve">Operating expenses </w:t>
            </w:r>
            <w:r w:rsidRPr="00D14928">
              <w:rPr>
                <w:rFonts w:ascii="Arial" w:eastAsia="Times New Roman" w:hAnsi="Arial" w:cs="Arial"/>
                <w:color w:val="000000"/>
                <w:sz w:val="16"/>
                <w:szCs w:val="16"/>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(2,053)</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(67)</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138 </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(1,984)</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(2,177)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4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net income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5  </w:t>
            </w:r>
          </w:p>
        </w:tc>
      </w:tr>
      <w:tr w:rsidR="00D14928" w:rsidRPr="00D14928" w:rsidTr="00D14928">
        <w:trPr>
          <w:trHeight w:val="240"/>
        </w:trPr>
        <w:tc>
          <w:tcPr>
            <w:tcW w:w="44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Profit before tax</w:t>
            </w:r>
            <w:r w:rsidRPr="00D14928">
              <w:rPr>
                <w:rFonts w:ascii="Arial" w:eastAsia="Times New Roman" w:hAnsi="Arial" w:cs="Arial"/>
                <w:color w:val="000000"/>
                <w:sz w:val="16"/>
                <w:szCs w:val="16"/>
                <w:vertAlign w:val="superscript"/>
                <w:lang w:eastAsia="en-GB"/>
              </w:rPr>
              <w:t xml:space="preserve"> </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468 </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(98)</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(46)</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322 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730  </w:t>
            </w:r>
          </w:p>
        </w:tc>
      </w:tr>
      <w:tr w:rsidR="00D14928" w:rsidRPr="00D14928" w:rsidTr="00D14928">
        <w:trPr>
          <w:trHeight w:val="240"/>
        </w:trPr>
        <w:tc>
          <w:tcPr>
            <w:tcW w:w="44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4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Adjusted profit before tax</w:t>
            </w:r>
            <w:r w:rsidRPr="00D14928">
              <w:rPr>
                <w:rFonts w:ascii="Arial" w:eastAsia="Times New Roman" w:hAnsi="Arial" w:cs="Arial"/>
                <w:b/>
                <w:bCs/>
                <w:color w:val="000000"/>
                <w:sz w:val="13"/>
                <w:szCs w:val="13"/>
                <w:vertAlign w:val="superscript"/>
                <w:lang w:eastAsia="en-GB"/>
              </w:rPr>
              <w:t>1 </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468 </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(98)</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(46)</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322 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730 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42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Balance Sheet Information </w:t>
            </w:r>
            <w:r w:rsidRPr="00D14928">
              <w:rPr>
                <w:rFonts w:ascii="Arial" w:eastAsia="Times New Roman" w:hAnsi="Arial" w:cs="Arial"/>
                <w:b/>
                <w:bCs/>
                <w:color w:val="000000"/>
                <w:sz w:val="16"/>
                <w:szCs w:val="16"/>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b/>
                <w:bCs/>
                <w:color w:val="000000"/>
                <w:sz w:val="20"/>
                <w:szCs w:val="20"/>
                <w:vertAlign w:val="superscript"/>
                <w:lang w:eastAsia="en-GB"/>
              </w:rPr>
              <w:t xml:space="preserve"> </w:t>
            </w:r>
          </w:p>
        </w:tc>
      </w:tr>
      <w:tr w:rsidR="00D14928" w:rsidRPr="00D14928" w:rsidTr="00D14928">
        <w:trPr>
          <w:trHeight w:val="240"/>
        </w:trPr>
        <w:tc>
          <w:tcPr>
            <w:tcW w:w="44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Loans and advances to customers at amortised cost </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31.7 </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w:t>
            </w: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32.5 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Customer deposits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22.0 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20.3 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assets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44.8 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42.2 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45.9 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Risk weighted assets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27.0 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27.8 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42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Performance Measures</w:t>
            </w:r>
            <w:r w:rsidRPr="00D14928">
              <w:rPr>
                <w:rFonts w:ascii="Arial" w:eastAsia="Times New Roman" w:hAnsi="Arial" w:cs="Arial"/>
                <w:color w:val="000000"/>
                <w:sz w:val="20"/>
                <w:szCs w:val="20"/>
                <w:vertAlign w:val="superscript"/>
                <w:lang w:eastAsia="en-GB"/>
              </w:rPr>
              <w:t xml:space="preserve">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b/>
                <w:bCs/>
                <w:color w:val="000000"/>
                <w:sz w:val="16"/>
                <w:szCs w:val="16"/>
                <w:vertAlign w:val="superscript"/>
                <w:lang w:eastAsia="en-GB"/>
              </w:rPr>
              <w:t>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Adjusted return on average equity</w:t>
            </w:r>
            <w:r w:rsidRPr="00D14928">
              <w:rPr>
                <w:rFonts w:ascii="Arial" w:eastAsia="Times New Roman" w:hAnsi="Arial" w:cs="Arial"/>
                <w:color w:val="000000"/>
                <w:sz w:val="20"/>
                <w:szCs w:val="20"/>
                <w:vertAlign w:val="superscript"/>
                <w:lang w:eastAsia="en-GB"/>
              </w:rPr>
              <w:t xml:space="preserve">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(0.1%)</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7.4%</w:t>
            </w:r>
            <w:r w:rsidRPr="00D14928">
              <w:rPr>
                <w:rFonts w:ascii="Arial" w:eastAsia="Times New Roman" w:hAnsi="Arial" w:cs="Arial"/>
                <w:b/>
                <w:bCs/>
                <w:color w:val="000000"/>
                <w:sz w:val="20"/>
                <w:szCs w:val="20"/>
                <w:vertAlign w:val="superscript"/>
                <w:lang w:eastAsia="en-GB"/>
              </w:rPr>
              <w:t xml:space="preserve">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Adjusted return on average risk weighted assets</w:t>
            </w:r>
            <w:r w:rsidRPr="00D14928">
              <w:rPr>
                <w:rFonts w:ascii="Arial" w:eastAsia="Times New Roman" w:hAnsi="Arial" w:cs="Arial"/>
                <w:color w:val="000000"/>
                <w:sz w:val="20"/>
                <w:szCs w:val="20"/>
                <w:vertAlign w:val="superscript"/>
                <w:lang w:eastAsia="en-GB"/>
              </w:rPr>
              <w:t xml:space="preserve">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0.9%</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0.7%</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w:t>
            </w:r>
            <w:r w:rsidRPr="00D14928">
              <w:rPr>
                <w:rFonts w:ascii="Arial" w:eastAsia="Times New Roman" w:hAnsi="Arial" w:cs="Arial"/>
                <w:b/>
                <w:bCs/>
                <w:color w:val="000000"/>
                <w:sz w:val="20"/>
                <w:szCs w:val="20"/>
                <w:vertAlign w:val="superscript"/>
                <w:lang w:eastAsia="en-GB"/>
              </w:rPr>
              <w:t xml:space="preserve">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Return on average equity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(0.1%)</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7.5%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Return on average risk weighted assets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0.9%</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0.7%</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1.7%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Cost: income ratio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65%</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68%</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65%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 loss rate (bps)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194 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136  </w:t>
            </w:r>
          </w:p>
        </w:tc>
      </w:tr>
      <w:tr w:rsidR="00D14928" w:rsidRPr="00D14928" w:rsidTr="00D14928">
        <w:trPr>
          <w:trHeight w:val="240"/>
        </w:trPr>
        <w:tc>
          <w:tcPr>
            <w:tcW w:w="44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Number of employees (full time equivalent)</w:t>
            </w:r>
            <w:r w:rsidRPr="00D14928">
              <w:rPr>
                <w:rFonts w:ascii="Arial" w:eastAsia="Times New Roman" w:hAnsi="Arial" w:cs="Arial"/>
                <w:color w:val="000000"/>
                <w:sz w:val="13"/>
                <w:szCs w:val="13"/>
                <w:vertAlign w:val="superscript"/>
                <w:lang w:eastAsia="en-GB"/>
              </w:rPr>
              <w:t>2 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41,700 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200 </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(1,400)</w:t>
            </w: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40,500 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42,700  </w:t>
            </w:r>
          </w:p>
        </w:tc>
      </w:tr>
    </w:tbl>
    <w:p w:rsidR="00D14928" w:rsidRPr="00D14928" w:rsidRDefault="00D14928" w:rsidP="00D14928">
      <w:pPr>
        <w:spacing w:after="0" w:line="240" w:lineRule="auto"/>
        <w:rPr>
          <w:rFonts w:ascii="Arial" w:eastAsia="Times New Roman" w:hAnsi="Arial" w:cs="Arial"/>
          <w:b/>
          <w:bCs/>
          <w:i/>
          <w:iCs/>
          <w:sz w:val="2"/>
          <w:szCs w:val="2"/>
          <w:lang w:eastAsia="en-GB"/>
        </w:rPr>
      </w:pPr>
      <w:r w:rsidRPr="00D14928">
        <w:rPr>
          <w:rFonts w:ascii="Arial" w:eastAsia="Times New Roman" w:hAnsi="Arial" w:cs="Arial"/>
          <w:b/>
          <w:bCs/>
          <w:i/>
          <w:iCs/>
          <w:sz w:val="14"/>
          <w:szCs w:val="14"/>
          <w:lang w:eastAsia="en-GB"/>
        </w:rPr>
        <w:t> </w:t>
      </w:r>
      <w:r w:rsidRPr="00D14928">
        <w:rPr>
          <w:rFonts w:ascii="Arial" w:eastAsia="Times New Roman" w:hAnsi="Arial" w:cs="Arial"/>
          <w:b/>
          <w:bCs/>
          <w:i/>
          <w:iCs/>
          <w:sz w:val="10"/>
          <w:szCs w:val="10"/>
          <w:lang w:eastAsia="en-GB"/>
        </w:rPr>
        <w:t> </w:t>
      </w:r>
    </w:p>
    <w:p w:rsidR="00D14928" w:rsidRPr="00D14928" w:rsidRDefault="00D14928" w:rsidP="00D14928">
      <w:pPr>
        <w:spacing w:after="0" w:line="240" w:lineRule="auto"/>
        <w:jc w:val="both"/>
        <w:rPr>
          <w:rFonts w:ascii="Arial" w:eastAsia="Times New Roman" w:hAnsi="Arial" w:cs="Arial"/>
          <w:sz w:val="18"/>
          <w:szCs w:val="18"/>
          <w:lang w:eastAsia="en-GB"/>
        </w:rPr>
      </w:pPr>
      <w:r w:rsidRPr="00D14928">
        <w:rPr>
          <w:rFonts w:ascii="Arial" w:eastAsia="Times New Roman" w:hAnsi="Arial" w:cs="Arial"/>
          <w:sz w:val="10"/>
          <w:szCs w:val="10"/>
          <w:lang w:eastAsia="en-GB"/>
        </w:rPr>
        <w:t> </w:t>
      </w:r>
    </w:p>
    <w:p w:rsidR="00D14928" w:rsidRPr="00D14928" w:rsidRDefault="00D14928" w:rsidP="00D14928">
      <w:pPr>
        <w:spacing w:after="0" w:line="240" w:lineRule="auto"/>
        <w:jc w:val="both"/>
        <w:rPr>
          <w:rFonts w:ascii="Arial" w:eastAsia="Times New Roman" w:hAnsi="Arial" w:cs="Arial"/>
          <w:sz w:val="18"/>
          <w:szCs w:val="18"/>
          <w:lang w:eastAsia="en-GB"/>
        </w:rPr>
      </w:pPr>
      <w:r w:rsidRPr="00D14928">
        <w:rPr>
          <w:rFonts w:ascii="Arial" w:eastAsia="Times New Roman" w:hAnsi="Arial" w:cs="Arial"/>
          <w:sz w:val="14"/>
          <w:szCs w:val="14"/>
          <w:lang w:eastAsia="en-GB"/>
        </w:rPr>
        <w:t> </w:t>
      </w:r>
    </w:p>
    <w:p w:rsidR="00D14928" w:rsidRPr="00D14928" w:rsidRDefault="00D14928" w:rsidP="00D14928">
      <w:pPr>
        <w:spacing w:after="0" w:line="240" w:lineRule="auto"/>
        <w:ind w:left="567" w:hanging="567"/>
        <w:jc w:val="both"/>
        <w:rPr>
          <w:rFonts w:ascii="Arial" w:eastAsia="Times New Roman" w:hAnsi="Arial" w:cs="Arial"/>
          <w:b/>
          <w:bCs/>
          <w:color w:val="000000"/>
          <w:sz w:val="24"/>
          <w:szCs w:val="24"/>
          <w:lang w:eastAsia="en-GB"/>
        </w:rPr>
      </w:pPr>
      <w:r w:rsidRPr="00D14928">
        <w:rPr>
          <w:rFonts w:ascii="Arial" w:eastAsia="Times New Roman" w:hAnsi="Arial" w:cs="Arial"/>
          <w:i/>
          <w:iCs/>
          <w:color w:val="000000"/>
          <w:sz w:val="14"/>
          <w:szCs w:val="14"/>
          <w:lang w:eastAsia="en-GB"/>
        </w:rPr>
        <w:t>1        Adjusted profit before tax and adjusted performance measures excludes the impact of profit on disposals of subsidiaries, associates and joint ventures of £nil (2011: £2m).</w:t>
      </w:r>
    </w:p>
    <w:p w:rsidR="00D14928" w:rsidRPr="00D14928" w:rsidRDefault="00D14928" w:rsidP="00D14928">
      <w:pPr>
        <w:spacing w:after="20" w:line="240" w:lineRule="auto"/>
        <w:ind w:left="426" w:hanging="426"/>
        <w:jc w:val="both"/>
        <w:rPr>
          <w:rFonts w:ascii="Arial" w:eastAsia="Times New Roman" w:hAnsi="Arial" w:cs="Arial"/>
          <w:b/>
          <w:bCs/>
          <w:i/>
          <w:iCs/>
          <w:color w:val="000000"/>
          <w:sz w:val="24"/>
          <w:szCs w:val="24"/>
          <w:lang w:eastAsia="en-GB"/>
        </w:rPr>
      </w:pPr>
      <w:r w:rsidRPr="00D14928">
        <w:rPr>
          <w:rFonts w:ascii="Arial" w:eastAsia="Times New Roman" w:hAnsi="Arial" w:cs="Arial"/>
          <w:i/>
          <w:iCs/>
          <w:color w:val="000000"/>
          <w:sz w:val="14"/>
          <w:szCs w:val="14"/>
          <w:lang w:eastAsia="en-GB"/>
        </w:rPr>
        <w:t>2       Allocation of full time equivalent employees by business has changed as outlined in the Overview of Reporting Changes, the impact of which is reflected within Group Structure changes.</w:t>
      </w:r>
    </w:p>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color w:val="000000"/>
          <w:sz w:val="24"/>
          <w:szCs w:val="24"/>
          <w:lang w:eastAsia="en-GB"/>
        </w:rPr>
        <w:br w:type="page"/>
      </w:r>
      <w:r w:rsidRPr="00D14928">
        <w:rPr>
          <w:rFonts w:ascii="Arial" w:eastAsia="Times New Roman" w:hAnsi="Arial" w:cs="Arial"/>
          <w:b/>
          <w:bCs/>
          <w:color w:val="000000"/>
          <w:sz w:val="24"/>
          <w:szCs w:val="24"/>
          <w:lang w:eastAsia="en-GB"/>
        </w:rPr>
        <w:lastRenderedPageBreak/>
        <w:t>Results by Business</w:t>
      </w:r>
    </w:p>
    <w:tbl>
      <w:tblPr>
        <w:tblW w:w="0" w:type="auto"/>
        <w:tblInd w:w="-36" w:type="dxa"/>
        <w:tblCellMar>
          <w:left w:w="0" w:type="dxa"/>
          <w:right w:w="0" w:type="dxa"/>
        </w:tblCellMar>
        <w:tblLook w:val="04A0" w:firstRow="1" w:lastRow="0" w:firstColumn="1" w:lastColumn="0" w:noHBand="0" w:noVBand="1"/>
      </w:tblPr>
      <w:tblGrid>
        <w:gridCol w:w="3795"/>
        <w:gridCol w:w="630"/>
        <w:gridCol w:w="630"/>
        <w:gridCol w:w="630"/>
        <w:gridCol w:w="630"/>
        <w:gridCol w:w="78"/>
        <w:gridCol w:w="630"/>
        <w:gridCol w:w="630"/>
        <w:gridCol w:w="630"/>
        <w:gridCol w:w="630"/>
      </w:tblGrid>
      <w:tr w:rsidR="00D14928" w:rsidRPr="00D14928" w:rsidTr="00D14928">
        <w:trPr>
          <w:trHeight w:val="315"/>
        </w:trPr>
        <w:tc>
          <w:tcPr>
            <w:tcW w:w="3795" w:type="dxa"/>
            <w:tcMar>
              <w:top w:w="0" w:type="dxa"/>
              <w:left w:w="36" w:type="dxa"/>
              <w:bottom w:w="0" w:type="dxa"/>
              <w:right w:w="36" w:type="dxa"/>
            </w:tcMar>
            <w:vAlign w:val="center"/>
            <w:hideMark/>
          </w:tcPr>
          <w:p w:rsidR="00D14928" w:rsidRPr="00D14928" w:rsidRDefault="00D14928" w:rsidP="00D14928">
            <w:pPr>
              <w:spacing w:before="60"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xml:space="preserve">Africa Retail and Business Banking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r w:rsidR="00D14928" w:rsidRPr="00D14928" w:rsidTr="00D14928">
        <w:trPr>
          <w:trHeight w:val="240"/>
        </w:trPr>
        <w:tc>
          <w:tcPr>
            <w:tcW w:w="3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55"/>
        </w:trPr>
        <w:tc>
          <w:tcPr>
            <w:tcW w:w="379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Restated Income Statement Information </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Q412</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Q312</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Q212</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Q112</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Q411</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Q311</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Q211</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Q111 </w:t>
            </w:r>
          </w:p>
        </w:tc>
      </w:tr>
      <w:tr w:rsidR="00D14928" w:rsidRPr="00D14928" w:rsidTr="00D14928">
        <w:trPr>
          <w:trHeight w:val="240"/>
        </w:trPr>
        <w:tc>
          <w:tcPr>
            <w:tcW w:w="3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3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Adjusted Basis</w:t>
            </w:r>
            <w:r w:rsidRPr="00D14928">
              <w:rPr>
                <w:rFonts w:ascii="Arial" w:eastAsia="Times New Roman" w:hAnsi="Arial" w:cs="Arial"/>
                <w:color w:val="000000"/>
                <w:sz w:val="16"/>
                <w:szCs w:val="16"/>
                <w:vertAlign w:val="superscript"/>
                <w:lang w:eastAsia="en-GB"/>
              </w:rPr>
              <w:t xml:space="preserve">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3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income net of insurance claims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721 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714 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729 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764 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806 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883 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858 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817  </w:t>
            </w:r>
          </w:p>
        </w:tc>
      </w:tr>
      <w:tr w:rsidR="00D14928" w:rsidRPr="00D14928" w:rsidTr="00D14928">
        <w:trPr>
          <w:trHeight w:val="240"/>
        </w:trPr>
        <w:tc>
          <w:tcPr>
            <w:tcW w:w="3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charges and other provisions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(142)</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(176)</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(208)</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(106)</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(86)</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(108)</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(125)</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(143) </w:t>
            </w:r>
          </w:p>
        </w:tc>
      </w:tr>
      <w:tr w:rsidR="00D14928" w:rsidRPr="00D14928" w:rsidTr="00D14928">
        <w:trPr>
          <w:trHeight w:val="240"/>
        </w:trPr>
        <w:tc>
          <w:tcPr>
            <w:tcW w:w="3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Net operating income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579 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538 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521 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658 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720 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775 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733 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674  </w:t>
            </w:r>
          </w:p>
        </w:tc>
      </w:tr>
      <w:tr w:rsidR="00D14928" w:rsidRPr="00D14928" w:rsidTr="00D14928">
        <w:trPr>
          <w:trHeight w:val="240"/>
        </w:trPr>
        <w:tc>
          <w:tcPr>
            <w:tcW w:w="3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Operating expenses (excluding bank levy)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(455)</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(506)</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(471)</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(528)</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(468)</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(584)</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(556)</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(546) </w:t>
            </w:r>
          </w:p>
        </w:tc>
      </w:tr>
      <w:tr w:rsidR="00D14928" w:rsidRPr="00D14928" w:rsidTr="00D14928">
        <w:trPr>
          <w:trHeight w:val="240"/>
        </w:trPr>
        <w:tc>
          <w:tcPr>
            <w:tcW w:w="3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bank levy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3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net income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2  </w:t>
            </w:r>
          </w:p>
        </w:tc>
      </w:tr>
      <w:tr w:rsidR="00D14928" w:rsidRPr="00D14928" w:rsidTr="00D14928">
        <w:trPr>
          <w:trHeight w:val="240"/>
        </w:trPr>
        <w:tc>
          <w:tcPr>
            <w:tcW w:w="3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Adjusted profit before tax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105 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34</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51 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132 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231 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191 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178 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130  </w:t>
            </w:r>
          </w:p>
        </w:tc>
      </w:tr>
      <w:tr w:rsidR="00D14928" w:rsidRPr="00D14928" w:rsidTr="00D14928">
        <w:trPr>
          <w:trHeight w:val="240"/>
        </w:trPr>
        <w:tc>
          <w:tcPr>
            <w:tcW w:w="3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3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Adjusting Items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3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Gains on acquisitions and disposals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3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Statutory profit before tax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105 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34 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51 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132 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231 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193 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178 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130  </w:t>
            </w:r>
          </w:p>
        </w:tc>
      </w:tr>
      <w:tr w:rsidR="00D14928" w:rsidRPr="00D14928" w:rsidTr="00D14928">
        <w:trPr>
          <w:trHeight w:val="240"/>
        </w:trPr>
        <w:tc>
          <w:tcPr>
            <w:tcW w:w="3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3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Restated Balance Sheet Information </w:t>
            </w:r>
            <w:r w:rsidRPr="00D14928">
              <w:rPr>
                <w:rFonts w:ascii="Arial" w:eastAsia="Times New Roman" w:hAnsi="Arial" w:cs="Arial"/>
                <w:b/>
                <w:bCs/>
                <w:color w:val="000000"/>
                <w:sz w:val="16"/>
                <w:szCs w:val="16"/>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b/>
                <w:bCs/>
                <w:color w:val="000000"/>
                <w:sz w:val="20"/>
                <w:szCs w:val="20"/>
                <w:vertAlign w:val="superscript"/>
                <w:lang w:eastAsia="en-GB"/>
              </w:rPr>
              <w:t xml:space="preserve"> </w:t>
            </w:r>
          </w:p>
        </w:tc>
      </w:tr>
      <w:tr w:rsidR="00D14928" w:rsidRPr="00D14928" w:rsidTr="00D14928">
        <w:trPr>
          <w:trHeight w:val="255"/>
        </w:trPr>
        <w:tc>
          <w:tcPr>
            <w:tcW w:w="3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Loans and advances to customers at amortised cost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29.9 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30.7 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32.1 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33.5 </w:t>
            </w:r>
          </w:p>
        </w:tc>
        <w:tc>
          <w:tcPr>
            <w:tcW w:w="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32.5 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32.7 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37.9 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38.6  </w:t>
            </w:r>
          </w:p>
        </w:tc>
      </w:tr>
      <w:tr w:rsidR="00D14928" w:rsidRPr="00D14928" w:rsidTr="00D14928">
        <w:trPr>
          <w:trHeight w:val="240"/>
        </w:trPr>
        <w:tc>
          <w:tcPr>
            <w:tcW w:w="3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Customer deposits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19.5 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19.4 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19.9 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20.4 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20.3 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20.2 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21.9 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21.7  </w:t>
            </w:r>
          </w:p>
        </w:tc>
      </w:tr>
      <w:tr w:rsidR="00D14928" w:rsidRPr="00D14928" w:rsidTr="00D14928">
        <w:trPr>
          <w:trHeight w:val="240"/>
        </w:trPr>
        <w:tc>
          <w:tcPr>
            <w:tcW w:w="3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assets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42.2 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43.0 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44.4 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46.6 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45.9 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46.0 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51.9 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51.9  </w:t>
            </w:r>
          </w:p>
        </w:tc>
      </w:tr>
      <w:tr w:rsidR="00D14928" w:rsidRPr="00D14928" w:rsidTr="00D14928">
        <w:trPr>
          <w:trHeight w:val="240"/>
        </w:trPr>
        <w:tc>
          <w:tcPr>
            <w:tcW w:w="3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Risk weighted assets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24.5 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24.2 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25.1 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28.0 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27.8 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26.4 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30.1 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31.1  </w:t>
            </w:r>
          </w:p>
        </w:tc>
      </w:tr>
    </w:tbl>
    <w:p w:rsidR="00D14928" w:rsidRDefault="00D14928" w:rsidP="00D14928">
      <w:pPr>
        <w:spacing w:before="100" w:beforeAutospacing="1" w:after="100" w:afterAutospacing="1" w:line="240" w:lineRule="auto"/>
        <w:rPr>
          <w:rFonts w:ascii="Arial" w:eastAsia="Times New Roman" w:hAnsi="Arial" w:cs="Arial"/>
          <w:b/>
          <w:bCs/>
          <w:i/>
          <w:iCs/>
          <w:sz w:val="14"/>
          <w:szCs w:val="14"/>
          <w:lang w:eastAsia="en-GB"/>
        </w:rPr>
      </w:pPr>
    </w:p>
    <w:p w:rsidR="00D14928" w:rsidRPr="00D14928" w:rsidRDefault="00D14928" w:rsidP="00D14928">
      <w:pPr>
        <w:spacing w:before="100" w:beforeAutospacing="1" w:after="100" w:afterAutospacing="1" w:line="240" w:lineRule="auto"/>
        <w:rPr>
          <w:rFonts w:ascii="Times New Roman" w:eastAsia="Times New Roman" w:hAnsi="Times New Roman" w:cs="Times New Roman"/>
          <w:b/>
          <w:bCs/>
          <w:i/>
          <w:iCs/>
          <w:sz w:val="24"/>
          <w:szCs w:val="24"/>
          <w:lang w:eastAsia="en-GB"/>
        </w:rPr>
      </w:pPr>
      <w:r w:rsidRPr="00D14928">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4261"/>
        <w:gridCol w:w="773"/>
        <w:gridCol w:w="776"/>
        <w:gridCol w:w="775"/>
        <w:gridCol w:w="924"/>
        <w:gridCol w:w="773"/>
        <w:gridCol w:w="78"/>
        <w:gridCol w:w="774"/>
      </w:tblGrid>
      <w:tr w:rsidR="00D14928" w:rsidRPr="00D14928" w:rsidTr="00D14928">
        <w:trPr>
          <w:trHeight w:val="315"/>
        </w:trPr>
        <w:tc>
          <w:tcPr>
            <w:tcW w:w="4290" w:type="dxa"/>
            <w:tcMar>
              <w:top w:w="0" w:type="dxa"/>
              <w:left w:w="36" w:type="dxa"/>
              <w:bottom w:w="0" w:type="dxa"/>
              <w:right w:w="36" w:type="dxa"/>
            </w:tcMar>
            <w:vAlign w:val="center"/>
            <w:hideMark/>
          </w:tcPr>
          <w:p w:rsidR="00D14928" w:rsidRPr="00D14928" w:rsidRDefault="00D14928" w:rsidP="00D14928">
            <w:pPr>
              <w:spacing w:before="60"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4"/>
                <w:szCs w:val="24"/>
                <w:lang w:eastAsia="en-GB"/>
              </w:rPr>
              <w:t>Barclaycard</w:t>
            </w:r>
            <w:r w:rsidRPr="00D14928">
              <w:rPr>
                <w:rFonts w:ascii="Arial" w:eastAsia="Times New Roman" w:hAnsi="Arial" w:cs="Arial"/>
                <w:color w:val="000000"/>
                <w:sz w:val="16"/>
                <w:szCs w:val="16"/>
                <w:vertAlign w:val="superscript"/>
                <w:lang w:eastAsia="en-GB"/>
              </w:rPr>
              <w:t xml:space="preserve">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2490" w:type="dxa"/>
            <w:gridSpan w:val="3"/>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Restatement Adjustments</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253"/>
        <w:gridCol w:w="837"/>
        <w:gridCol w:w="776"/>
        <w:gridCol w:w="846"/>
        <w:gridCol w:w="784"/>
        <w:gridCol w:w="780"/>
        <w:gridCol w:w="78"/>
        <w:gridCol w:w="780"/>
      </w:tblGrid>
      <w:tr w:rsidR="00D14928" w:rsidRPr="00D14928" w:rsidTr="00D14928">
        <w:trPr>
          <w:trHeight w:val="750"/>
        </w:trPr>
        <w:tc>
          <w:tcPr>
            <w:tcW w:w="4290"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Income Statement Information</w:t>
            </w:r>
            <w:r w:rsidRPr="00D14928">
              <w:rPr>
                <w:rFonts w:ascii="Arial" w:eastAsia="Times New Roman" w:hAnsi="Arial" w:cs="Arial"/>
                <w:color w:val="000000"/>
                <w:sz w:val="16"/>
                <w:szCs w:val="16"/>
                <w:vertAlign w:val="superscript"/>
                <w:lang w:eastAsia="en-GB"/>
              </w:rPr>
              <w:t xml:space="preserve"> </w:t>
            </w: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Published</w:t>
            </w: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IFRS 10</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and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IAS 19</w:t>
            </w: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Head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Office</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Allocation</w:t>
            </w: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Group</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Structure</w:t>
            </w: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2011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Restated </w:t>
            </w:r>
          </w:p>
        </w:tc>
      </w:tr>
      <w:tr w:rsidR="00D14928" w:rsidRPr="00D14928" w:rsidTr="00D14928">
        <w:trPr>
          <w:trHeight w:val="240"/>
        </w:trPr>
        <w:tc>
          <w:tcPr>
            <w:tcW w:w="42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42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interest income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2,854 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156 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3,009 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3,047 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fee and commission income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1,271 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1,292 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1,201 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trading loss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investment income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10 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premiums from insurance contracts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42  </w:t>
            </w:r>
          </w:p>
        </w:tc>
      </w:tr>
      <w:tr w:rsidR="00D14928" w:rsidRPr="00D14928" w:rsidTr="00D14928">
        <w:trPr>
          <w:trHeight w:val="240"/>
        </w:trPr>
        <w:tc>
          <w:tcPr>
            <w:tcW w:w="42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income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13  </w:t>
            </w:r>
          </w:p>
        </w:tc>
      </w:tr>
      <w:tr w:rsidR="00D14928" w:rsidRPr="00D14928" w:rsidTr="00D14928">
        <w:trPr>
          <w:trHeight w:val="240"/>
        </w:trPr>
        <w:tc>
          <w:tcPr>
            <w:tcW w:w="42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Total income</w:t>
            </w:r>
            <w:r w:rsidRPr="00D14928">
              <w:rPr>
                <w:rFonts w:ascii="Arial" w:eastAsia="Times New Roman" w:hAnsi="Arial" w:cs="Arial"/>
                <w:color w:val="000000"/>
                <w:sz w:val="16"/>
                <w:szCs w:val="16"/>
                <w:vertAlign w:val="superscript"/>
                <w:lang w:eastAsia="en-GB"/>
              </w:rPr>
              <w:t xml:space="preserve">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4,171 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175 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4,345 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4,306  </w:t>
            </w:r>
          </w:p>
        </w:tc>
      </w:tr>
      <w:tr w:rsidR="00D14928" w:rsidRPr="00D14928" w:rsidTr="00D14928">
        <w:trPr>
          <w:trHeight w:val="240"/>
        </w:trPr>
        <w:tc>
          <w:tcPr>
            <w:tcW w:w="42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claims and benefits incurred under insurance contracts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 </w:t>
            </w:r>
          </w:p>
        </w:tc>
      </w:tr>
      <w:tr w:rsidR="00D14928" w:rsidRPr="00D14928" w:rsidTr="00D14928">
        <w:trPr>
          <w:trHeight w:val="240"/>
        </w:trPr>
        <w:tc>
          <w:tcPr>
            <w:tcW w:w="42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Total income net of insurance claims</w:t>
            </w:r>
            <w:r w:rsidRPr="00D14928">
              <w:rPr>
                <w:rFonts w:ascii="Arial" w:eastAsia="Times New Roman" w:hAnsi="Arial" w:cs="Arial"/>
                <w:color w:val="000000"/>
                <w:sz w:val="16"/>
                <w:szCs w:val="16"/>
                <w:vertAlign w:val="superscript"/>
                <w:lang w:eastAsia="en-GB"/>
              </w:rPr>
              <w:t xml:space="preserve">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4,170 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175 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4,344 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4,305  </w:t>
            </w:r>
          </w:p>
        </w:tc>
      </w:tr>
      <w:tr w:rsidR="00D14928" w:rsidRPr="00D14928" w:rsidTr="00D14928">
        <w:trPr>
          <w:trHeight w:val="240"/>
        </w:trPr>
        <w:tc>
          <w:tcPr>
            <w:tcW w:w="42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charges and other provisions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(979)</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(1,049)</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(1,312) </w:t>
            </w:r>
          </w:p>
        </w:tc>
      </w:tr>
      <w:tr w:rsidR="00D14928" w:rsidRPr="00D14928" w:rsidTr="00D14928">
        <w:trPr>
          <w:trHeight w:val="240"/>
        </w:trPr>
        <w:tc>
          <w:tcPr>
            <w:tcW w:w="42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Net operating income</w:t>
            </w:r>
            <w:r w:rsidRPr="00D14928">
              <w:rPr>
                <w:rFonts w:ascii="Arial" w:eastAsia="Times New Roman" w:hAnsi="Arial" w:cs="Arial"/>
                <w:color w:val="000000"/>
                <w:sz w:val="16"/>
                <w:szCs w:val="16"/>
                <w:vertAlign w:val="superscript"/>
                <w:lang w:eastAsia="en-GB"/>
              </w:rPr>
              <w:t xml:space="preserve">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3,191 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105 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3,295 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2,993 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51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Operating expenses (excluding provision for PPI redress and goodwill impairment) </w:t>
            </w:r>
            <w:r w:rsidRPr="00D14928">
              <w:rPr>
                <w:rFonts w:ascii="Arial" w:eastAsia="Times New Roman" w:hAnsi="Arial" w:cs="Arial"/>
                <w:color w:val="000000"/>
                <w:sz w:val="13"/>
                <w:szCs w:val="13"/>
                <w:vertAlign w:val="superscript"/>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(1,715)</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(42)</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(63)</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(1,826)</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(1,796)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Provision for PPI redress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(420)</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(420)</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(600)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Goodwill impairment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(47) </w:t>
            </w:r>
          </w:p>
        </w:tc>
      </w:tr>
      <w:tr w:rsidR="00D14928" w:rsidRPr="00D14928" w:rsidTr="00D14928">
        <w:trPr>
          <w:trHeight w:val="240"/>
        </w:trPr>
        <w:tc>
          <w:tcPr>
            <w:tcW w:w="42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lastRenderedPageBreak/>
              <w:t xml:space="preserve">UK bank levy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(16) </w:t>
            </w:r>
          </w:p>
        </w:tc>
      </w:tr>
      <w:tr w:rsidR="00D14928" w:rsidRPr="00D14928" w:rsidTr="00D14928">
        <w:trPr>
          <w:trHeight w:val="240"/>
        </w:trPr>
        <w:tc>
          <w:tcPr>
            <w:tcW w:w="42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Operating expenses</w:t>
            </w:r>
            <w:r w:rsidRPr="00D14928">
              <w:rPr>
                <w:rFonts w:ascii="Arial" w:eastAsia="Times New Roman" w:hAnsi="Arial" w:cs="Arial"/>
                <w:color w:val="000000"/>
                <w:sz w:val="16"/>
                <w:szCs w:val="16"/>
                <w:vertAlign w:val="superscript"/>
                <w:lang w:eastAsia="en-GB"/>
              </w:rPr>
              <w:t xml:space="preserve">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(2,135)</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(58)</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(63)</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(2,262)</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(2,459)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net income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31  </w:t>
            </w:r>
          </w:p>
        </w:tc>
      </w:tr>
      <w:tr w:rsidR="00D14928" w:rsidRPr="00D14928" w:rsidTr="00D14928">
        <w:trPr>
          <w:trHeight w:val="240"/>
        </w:trPr>
        <w:tc>
          <w:tcPr>
            <w:tcW w:w="42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Profit before tax</w:t>
            </w:r>
            <w:r w:rsidRPr="00D14928">
              <w:rPr>
                <w:rFonts w:ascii="Arial" w:eastAsia="Times New Roman" w:hAnsi="Arial" w:cs="Arial"/>
                <w:color w:val="000000"/>
                <w:sz w:val="16"/>
                <w:szCs w:val="16"/>
                <w:vertAlign w:val="superscript"/>
                <w:lang w:eastAsia="en-GB"/>
              </w:rPr>
              <w:t xml:space="preserve">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1,086 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(58)</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40 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1,062 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565  </w:t>
            </w:r>
          </w:p>
        </w:tc>
      </w:tr>
      <w:tr w:rsidR="00D14928" w:rsidRPr="00D14928" w:rsidTr="00D14928">
        <w:trPr>
          <w:trHeight w:val="240"/>
        </w:trPr>
        <w:tc>
          <w:tcPr>
            <w:tcW w:w="429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2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Adjusted profit before tax</w:t>
            </w:r>
            <w:r w:rsidRPr="00D14928">
              <w:rPr>
                <w:rFonts w:ascii="Arial" w:eastAsia="Times New Roman" w:hAnsi="Arial" w:cs="Arial"/>
                <w:b/>
                <w:bCs/>
                <w:color w:val="000000"/>
                <w:sz w:val="13"/>
                <w:szCs w:val="13"/>
                <w:vertAlign w:val="superscript"/>
                <w:lang w:eastAsia="en-GB"/>
              </w:rPr>
              <w:t>1 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1,506 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(58)</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40 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1,482 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1,212 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r>
      <w:tr w:rsidR="00D14928" w:rsidRPr="00D14928" w:rsidTr="00D14928">
        <w:trPr>
          <w:trHeight w:val="240"/>
        </w:trPr>
        <w:tc>
          <w:tcPr>
            <w:tcW w:w="429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 xml:space="preserve">Balance Sheet Information </w:t>
            </w:r>
            <w:r w:rsidRPr="00D14928">
              <w:rPr>
                <w:rFonts w:ascii="Arial" w:eastAsia="Times New Roman" w:hAnsi="Arial" w:cs="Arial"/>
                <w:b/>
                <w:bCs/>
                <w:color w:val="000000"/>
                <w:sz w:val="16"/>
                <w:szCs w:val="16"/>
                <w:vertAlign w:val="superscript"/>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color w:val="000000"/>
                <w:sz w:val="20"/>
                <w:szCs w:val="20"/>
                <w:vertAlign w:val="superscript"/>
                <w:lang w:eastAsia="en-GB"/>
              </w:rPr>
              <w:t xml:space="preserve"> </w:t>
            </w:r>
          </w:p>
        </w:tc>
      </w:tr>
      <w:tr w:rsidR="00D14928" w:rsidRPr="00D14928" w:rsidTr="00D14928">
        <w:trPr>
          <w:trHeight w:val="240"/>
        </w:trPr>
        <w:tc>
          <w:tcPr>
            <w:tcW w:w="42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Loans and advances to customers at amortised cost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32.9 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0.9 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33.8 </w:t>
            </w:r>
          </w:p>
        </w:tc>
        <w:tc>
          <w:tcPr>
            <w:tcW w:w="7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31.0 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Customer deposits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0.6 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assets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37.5 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(0.4)</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34.8 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Risk weighted assets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36.5 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0.1 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37.8 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35.2 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9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Performance Measures</w:t>
            </w:r>
            <w:r w:rsidRPr="00D14928">
              <w:rPr>
                <w:rFonts w:ascii="Arial" w:eastAsia="Times New Roman" w:hAnsi="Arial" w:cs="Arial"/>
                <w:color w:val="000000"/>
                <w:sz w:val="16"/>
                <w:szCs w:val="16"/>
                <w:vertAlign w:val="superscript"/>
                <w:lang w:eastAsia="en-GB"/>
              </w:rPr>
              <w:t xml:space="preserve">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b/>
                <w:bCs/>
                <w:color w:val="000000"/>
                <w:sz w:val="16"/>
                <w:szCs w:val="16"/>
                <w:vertAlign w:val="superscript"/>
                <w:lang w:eastAsia="en-GB"/>
              </w:rPr>
              <w:t> </w:t>
            </w:r>
          </w:p>
        </w:tc>
      </w:tr>
      <w:tr w:rsidR="00D14928" w:rsidRPr="00D14928" w:rsidTr="00D14928">
        <w:trPr>
          <w:trHeight w:val="240"/>
        </w:trPr>
        <w:tc>
          <w:tcPr>
            <w:tcW w:w="429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Adjusted return on average equity</w:t>
            </w:r>
            <w:r w:rsidRPr="00D14928">
              <w:rPr>
                <w:rFonts w:ascii="Arial" w:eastAsia="Times New Roman" w:hAnsi="Arial" w:cs="Arial"/>
                <w:color w:val="000000"/>
                <w:sz w:val="13"/>
                <w:szCs w:val="13"/>
                <w:vertAlign w:val="superscript"/>
                <w:lang w:eastAsia="en-GB"/>
              </w:rPr>
              <w:t>1 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22.1%</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19.8%</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16.1%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Adjusted return on average risk weighted assets</w:t>
            </w:r>
            <w:r w:rsidRPr="00D14928">
              <w:rPr>
                <w:rFonts w:ascii="Arial" w:eastAsia="Times New Roman" w:hAnsi="Arial" w:cs="Arial"/>
                <w:color w:val="000000"/>
                <w:sz w:val="13"/>
                <w:szCs w:val="13"/>
                <w:vertAlign w:val="superscript"/>
                <w:lang w:eastAsia="en-GB"/>
              </w:rPr>
              <w:t>1 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2.5%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Adjusted cost: income ratio</w:t>
            </w:r>
            <w:r w:rsidRPr="00D14928">
              <w:rPr>
                <w:rFonts w:ascii="Arial" w:eastAsia="Times New Roman" w:hAnsi="Arial" w:cs="Arial"/>
                <w:color w:val="000000"/>
                <w:sz w:val="13"/>
                <w:szCs w:val="13"/>
                <w:vertAlign w:val="superscript"/>
                <w:lang w:eastAsia="en-GB"/>
              </w:rPr>
              <w:t>1 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42%</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42%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Return on average equity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15.2%</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13.3%</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6.0%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Return on average risk weighted assets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1.1%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Cost: income ratio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52%</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57%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 loss rate (bps)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394  </w:t>
            </w:r>
          </w:p>
        </w:tc>
      </w:tr>
      <w:tr w:rsidR="00D14928" w:rsidRPr="00D14928" w:rsidTr="00D14928">
        <w:trPr>
          <w:trHeight w:val="240"/>
        </w:trPr>
        <w:tc>
          <w:tcPr>
            <w:tcW w:w="429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Number of employees (full time equivalent)</w:t>
            </w:r>
            <w:r w:rsidRPr="00D14928">
              <w:rPr>
                <w:rFonts w:ascii="Arial" w:eastAsia="Times New Roman" w:hAnsi="Arial" w:cs="Arial"/>
                <w:color w:val="000000"/>
                <w:sz w:val="13"/>
                <w:szCs w:val="13"/>
                <w:vertAlign w:val="superscript"/>
                <w:lang w:eastAsia="en-GB"/>
              </w:rPr>
              <w:t>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11,000 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200 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(100)</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11,100 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10,900  </w:t>
            </w:r>
          </w:p>
        </w:tc>
      </w:tr>
    </w:tbl>
    <w:p w:rsidR="00D14928" w:rsidRPr="00D14928" w:rsidRDefault="00D14928" w:rsidP="00D14928">
      <w:pPr>
        <w:spacing w:after="0" w:line="240" w:lineRule="auto"/>
        <w:rPr>
          <w:rFonts w:ascii="Arial" w:eastAsia="Times New Roman" w:hAnsi="Arial" w:cs="Arial"/>
          <w:b/>
          <w:bCs/>
          <w:i/>
          <w:iCs/>
          <w:sz w:val="2"/>
          <w:szCs w:val="2"/>
          <w:lang w:eastAsia="en-GB"/>
        </w:rPr>
      </w:pPr>
      <w:r w:rsidRPr="00D14928">
        <w:rPr>
          <w:rFonts w:ascii="Arial" w:eastAsia="Times New Roman" w:hAnsi="Arial" w:cs="Arial"/>
          <w:b/>
          <w:bCs/>
          <w:i/>
          <w:iCs/>
          <w:sz w:val="14"/>
          <w:szCs w:val="14"/>
          <w:lang w:eastAsia="en-GB"/>
        </w:rPr>
        <w:t>  </w:t>
      </w:r>
    </w:p>
    <w:p w:rsidR="00D14928" w:rsidRPr="00D14928" w:rsidRDefault="00D14928" w:rsidP="00D14928">
      <w:pPr>
        <w:spacing w:after="40" w:line="240" w:lineRule="auto"/>
        <w:jc w:val="both"/>
        <w:rPr>
          <w:rFonts w:ascii="Arial" w:eastAsia="Times New Roman" w:hAnsi="Arial" w:cs="Arial"/>
          <w:sz w:val="18"/>
          <w:szCs w:val="18"/>
          <w:lang w:eastAsia="en-GB"/>
        </w:rPr>
      </w:pPr>
      <w:r w:rsidRPr="00D14928">
        <w:rPr>
          <w:rFonts w:ascii="Arial" w:eastAsia="Times New Roman" w:hAnsi="Arial" w:cs="Arial"/>
          <w:sz w:val="14"/>
          <w:szCs w:val="14"/>
          <w:lang w:eastAsia="en-GB"/>
        </w:rPr>
        <w:t>  </w:t>
      </w:r>
    </w:p>
    <w:p w:rsidR="00D14928" w:rsidRPr="00D14928" w:rsidRDefault="00D14928" w:rsidP="00D14928">
      <w:pPr>
        <w:spacing w:after="0" w:line="240" w:lineRule="auto"/>
        <w:ind w:left="426" w:hanging="426"/>
        <w:jc w:val="both"/>
        <w:rPr>
          <w:rFonts w:ascii="Arial" w:eastAsia="Times New Roman" w:hAnsi="Arial" w:cs="Arial"/>
          <w:b/>
          <w:bCs/>
          <w:color w:val="000000"/>
          <w:sz w:val="24"/>
          <w:szCs w:val="24"/>
          <w:lang w:eastAsia="en-GB"/>
        </w:rPr>
      </w:pPr>
      <w:r w:rsidRPr="00D14928">
        <w:rPr>
          <w:rFonts w:ascii="Arial" w:eastAsia="Times New Roman" w:hAnsi="Arial" w:cs="Arial"/>
          <w:i/>
          <w:iCs/>
          <w:color w:val="000000"/>
          <w:sz w:val="14"/>
          <w:szCs w:val="14"/>
          <w:lang w:eastAsia="en-GB"/>
        </w:rPr>
        <w:t>1        Adjusted profit before tax and adjusted performance measures excludes the impact of the provision for PPI redress of £420m (2011: £600m) and goodwill impairment of £nil (2011: £47m).</w:t>
      </w:r>
    </w:p>
    <w:p w:rsidR="00D14928" w:rsidRPr="00D14928" w:rsidRDefault="00D14928" w:rsidP="00D14928">
      <w:pPr>
        <w:spacing w:after="20" w:line="240" w:lineRule="auto"/>
        <w:ind w:left="284" w:hanging="284"/>
        <w:jc w:val="both"/>
        <w:rPr>
          <w:rFonts w:ascii="Arial" w:eastAsia="Times New Roman" w:hAnsi="Arial" w:cs="Arial"/>
          <w:b/>
          <w:bCs/>
          <w:i/>
          <w:iCs/>
          <w:color w:val="000000"/>
          <w:sz w:val="24"/>
          <w:szCs w:val="24"/>
          <w:lang w:eastAsia="en-GB"/>
        </w:rPr>
      </w:pPr>
      <w:r w:rsidRPr="00D14928">
        <w:rPr>
          <w:rFonts w:ascii="Arial" w:eastAsia="Times New Roman" w:hAnsi="Arial" w:cs="Arial"/>
          <w:i/>
          <w:iCs/>
          <w:color w:val="000000"/>
          <w:sz w:val="14"/>
          <w:szCs w:val="14"/>
          <w:lang w:eastAsia="en-GB"/>
        </w:rPr>
        <w:t>2       Allocation of full time equivalent employees by business has changed as outlined in the Overview of Reporting Changes, the impact of which is reflected within Group Structure changes.</w:t>
      </w:r>
    </w:p>
    <w:p w:rsidR="00D14928" w:rsidRDefault="00D14928" w:rsidP="00D14928">
      <w:pPr>
        <w:spacing w:line="240" w:lineRule="auto"/>
        <w:jc w:val="both"/>
        <w:rPr>
          <w:rFonts w:ascii="Arial" w:eastAsia="Times New Roman" w:hAnsi="Arial" w:cs="Arial"/>
          <w:color w:val="000000"/>
          <w:sz w:val="24"/>
          <w:szCs w:val="24"/>
          <w:lang w:eastAsia="en-GB"/>
        </w:rPr>
      </w:pPr>
    </w:p>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4275"/>
        <w:gridCol w:w="570"/>
        <w:gridCol w:w="570"/>
        <w:gridCol w:w="570"/>
        <w:gridCol w:w="570"/>
        <w:gridCol w:w="78"/>
        <w:gridCol w:w="570"/>
        <w:gridCol w:w="570"/>
        <w:gridCol w:w="570"/>
        <w:gridCol w:w="570"/>
      </w:tblGrid>
      <w:tr w:rsidR="00D14928" w:rsidRPr="00D14928" w:rsidTr="00D14928">
        <w:trPr>
          <w:trHeight w:val="315"/>
        </w:trPr>
        <w:tc>
          <w:tcPr>
            <w:tcW w:w="4275" w:type="dxa"/>
            <w:tcMar>
              <w:top w:w="0" w:type="dxa"/>
              <w:left w:w="36" w:type="dxa"/>
              <w:bottom w:w="0" w:type="dxa"/>
              <w:right w:w="36" w:type="dxa"/>
            </w:tcMar>
            <w:vAlign w:val="center"/>
            <w:hideMark/>
          </w:tcPr>
          <w:p w:rsidR="00D14928" w:rsidRPr="00D14928" w:rsidRDefault="00D14928" w:rsidP="00D14928">
            <w:pPr>
              <w:spacing w:before="60"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xml:space="preserve">Barclaycard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r w:rsidR="00D14928" w:rsidRPr="00D14928" w:rsidTr="00D14928">
        <w:trPr>
          <w:trHeight w:val="240"/>
        </w:trPr>
        <w:tc>
          <w:tcPr>
            <w:tcW w:w="42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7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Restated Income Statement Information </w:t>
            </w:r>
          </w:p>
        </w:tc>
        <w:tc>
          <w:tcPr>
            <w:tcW w:w="57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Q412</w:t>
            </w:r>
          </w:p>
        </w:tc>
        <w:tc>
          <w:tcPr>
            <w:tcW w:w="57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Q312</w:t>
            </w:r>
          </w:p>
        </w:tc>
        <w:tc>
          <w:tcPr>
            <w:tcW w:w="57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Q212</w:t>
            </w:r>
          </w:p>
        </w:tc>
        <w:tc>
          <w:tcPr>
            <w:tcW w:w="57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Q112</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Q411</w:t>
            </w:r>
          </w:p>
        </w:tc>
        <w:tc>
          <w:tcPr>
            <w:tcW w:w="57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Q311</w:t>
            </w:r>
          </w:p>
        </w:tc>
        <w:tc>
          <w:tcPr>
            <w:tcW w:w="57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Q211</w:t>
            </w:r>
          </w:p>
        </w:tc>
        <w:tc>
          <w:tcPr>
            <w:tcW w:w="57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Q111 </w:t>
            </w:r>
          </w:p>
        </w:tc>
      </w:tr>
      <w:tr w:rsidR="00D14928" w:rsidRPr="00D14928" w:rsidTr="00D14928">
        <w:trPr>
          <w:trHeight w:val="240"/>
        </w:trPr>
        <w:tc>
          <w:tcPr>
            <w:tcW w:w="427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427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Adjusted Basis</w:t>
            </w:r>
            <w:r w:rsidRPr="00D14928">
              <w:rPr>
                <w:rFonts w:ascii="Arial" w:eastAsia="Times New Roman" w:hAnsi="Arial" w:cs="Arial"/>
                <w:color w:val="000000"/>
                <w:sz w:val="16"/>
                <w:szCs w:val="16"/>
                <w:vertAlign w:val="superscript"/>
                <w:lang w:eastAsia="en-GB"/>
              </w:rPr>
              <w:t xml:space="preserve">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2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income net of insurance claims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1,140 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1,092 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1,079 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1,033 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1,037 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1,177 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1,072 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1,019  </w:t>
            </w:r>
          </w:p>
        </w:tc>
      </w:tr>
      <w:tr w:rsidR="00D14928" w:rsidRPr="00D14928" w:rsidTr="00D14928">
        <w:trPr>
          <w:trHeight w:val="240"/>
        </w:trPr>
        <w:tc>
          <w:tcPr>
            <w:tcW w:w="427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charges and other provisions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(286)</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(271)</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(242)</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(250)</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(287)</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(356)</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(351)</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(318) </w:t>
            </w:r>
          </w:p>
        </w:tc>
      </w:tr>
      <w:tr w:rsidR="00D14928" w:rsidRPr="00D14928" w:rsidTr="00D14928">
        <w:trPr>
          <w:trHeight w:val="240"/>
        </w:trPr>
        <w:tc>
          <w:tcPr>
            <w:tcW w:w="427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Net operating income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854 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821 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837 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783 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750 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821 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721 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701  </w:t>
            </w:r>
          </w:p>
        </w:tc>
      </w:tr>
      <w:tr w:rsidR="00D14928" w:rsidRPr="00D14928" w:rsidTr="00D14928">
        <w:trPr>
          <w:trHeight w:val="255"/>
        </w:trPr>
        <w:tc>
          <w:tcPr>
            <w:tcW w:w="42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Operating expenses (excluding bank levy)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(508)</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(432)</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(441)</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(445)</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(478)</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(462)</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(455)</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(401) </w:t>
            </w:r>
          </w:p>
        </w:tc>
      </w:tr>
      <w:tr w:rsidR="00D14928" w:rsidRPr="00D14928" w:rsidTr="00D14928">
        <w:trPr>
          <w:trHeight w:val="240"/>
        </w:trPr>
        <w:tc>
          <w:tcPr>
            <w:tcW w:w="42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bank levy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427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net income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11  </w:t>
            </w:r>
          </w:p>
        </w:tc>
      </w:tr>
      <w:tr w:rsidR="00D14928" w:rsidRPr="00D14928" w:rsidTr="00D14928">
        <w:trPr>
          <w:trHeight w:val="240"/>
        </w:trPr>
        <w:tc>
          <w:tcPr>
            <w:tcW w:w="427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Adjusted profit before tax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335 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396 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404 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347 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261 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367 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273 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311  </w:t>
            </w:r>
          </w:p>
        </w:tc>
      </w:tr>
      <w:tr w:rsidR="00D14928" w:rsidRPr="00D14928" w:rsidTr="00D14928">
        <w:trPr>
          <w:trHeight w:val="240"/>
        </w:trPr>
        <w:tc>
          <w:tcPr>
            <w:tcW w:w="42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7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Adjusting Items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7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Provision for PPI redress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(270)</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(150)</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(600)</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427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Goodwill impairment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(47)</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427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Statutory profit/(loss) before tax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65 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246 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404 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347 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261 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367 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(374)</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311  </w:t>
            </w:r>
          </w:p>
        </w:tc>
      </w:tr>
      <w:tr w:rsidR="00D14928" w:rsidRPr="00D14928" w:rsidTr="00D14928">
        <w:trPr>
          <w:trHeight w:val="240"/>
        </w:trPr>
        <w:tc>
          <w:tcPr>
            <w:tcW w:w="42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r>
      <w:tr w:rsidR="00D14928" w:rsidRPr="00D14928" w:rsidTr="00D14928">
        <w:trPr>
          <w:trHeight w:val="240"/>
        </w:trPr>
        <w:tc>
          <w:tcPr>
            <w:tcW w:w="427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Restated Balance Sheet Information </w:t>
            </w:r>
            <w:r w:rsidRPr="00D14928">
              <w:rPr>
                <w:rFonts w:ascii="Arial" w:eastAsia="Times New Roman" w:hAnsi="Arial" w:cs="Arial"/>
                <w:b/>
                <w:bCs/>
                <w:color w:val="000000"/>
                <w:sz w:val="16"/>
                <w:szCs w:val="16"/>
                <w:vertAlign w:val="superscript"/>
                <w:lang w:eastAsia="en-GB"/>
              </w:rPr>
              <w:t> </w:t>
            </w: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color w:val="000000"/>
                <w:sz w:val="20"/>
                <w:szCs w:val="20"/>
                <w:vertAlign w:val="superscript"/>
                <w:lang w:eastAsia="en-GB"/>
              </w:rPr>
              <w:t xml:space="preserve"> </w:t>
            </w:r>
          </w:p>
        </w:tc>
      </w:tr>
      <w:tr w:rsidR="00D14928" w:rsidRPr="00D14928" w:rsidTr="00D14928">
        <w:trPr>
          <w:trHeight w:val="240"/>
        </w:trPr>
        <w:tc>
          <w:tcPr>
            <w:tcW w:w="427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Loans and advances to customers at amortised cost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33.8 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31.8 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31.5 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30.4 </w:t>
            </w:r>
          </w:p>
        </w:tc>
        <w:tc>
          <w:tcPr>
            <w:tcW w:w="7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31.0 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29.5 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29.3 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27.0  </w:t>
            </w:r>
          </w:p>
        </w:tc>
      </w:tr>
      <w:tr w:rsidR="00D14928" w:rsidRPr="00D14928" w:rsidTr="00D14928">
        <w:trPr>
          <w:trHeight w:val="240"/>
        </w:trPr>
        <w:tc>
          <w:tcPr>
            <w:tcW w:w="42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Customer deposits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0.6 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0.6 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0.6 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0.6  </w:t>
            </w:r>
          </w:p>
        </w:tc>
      </w:tr>
      <w:tr w:rsidR="00D14928" w:rsidRPr="00D14928" w:rsidTr="00D14928">
        <w:trPr>
          <w:trHeight w:val="240"/>
        </w:trPr>
        <w:tc>
          <w:tcPr>
            <w:tcW w:w="42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assets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38.2 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36.9 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35.4 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34.8 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33.4 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33.5 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31.4  </w:t>
            </w:r>
          </w:p>
        </w:tc>
      </w:tr>
      <w:tr w:rsidR="00D14928" w:rsidRPr="00D14928" w:rsidTr="00D14928">
        <w:trPr>
          <w:trHeight w:val="240"/>
        </w:trPr>
        <w:tc>
          <w:tcPr>
            <w:tcW w:w="42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Risk weighted assets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37.8 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34.6 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34.2 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35.2 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35.2 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35.2 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33.3  </w:t>
            </w:r>
          </w:p>
        </w:tc>
      </w:tr>
    </w:tbl>
    <w:p w:rsidR="00D14928" w:rsidRPr="00D14928" w:rsidRDefault="00D14928" w:rsidP="00D14928">
      <w:pPr>
        <w:spacing w:before="100" w:beforeAutospacing="1" w:after="100" w:afterAutospacing="1" w:line="240" w:lineRule="auto"/>
        <w:rPr>
          <w:rFonts w:ascii="Times New Roman" w:eastAsia="Times New Roman" w:hAnsi="Times New Roman" w:cs="Times New Roman"/>
          <w:b/>
          <w:bCs/>
          <w:i/>
          <w:iCs/>
          <w:sz w:val="24"/>
          <w:szCs w:val="24"/>
          <w:lang w:eastAsia="en-GB"/>
        </w:rPr>
      </w:pPr>
      <w:r w:rsidRPr="00D14928">
        <w:rPr>
          <w:rFonts w:ascii="Arial" w:eastAsia="Times New Roman" w:hAnsi="Arial" w:cs="Arial"/>
          <w:b/>
          <w:bCs/>
          <w:i/>
          <w:iCs/>
          <w:sz w:val="14"/>
          <w:szCs w:val="14"/>
          <w:lang w:eastAsia="en-GB"/>
        </w:rPr>
        <w:br w:type="page"/>
      </w:r>
    </w:p>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color w:val="000000"/>
          <w:sz w:val="24"/>
          <w:szCs w:val="24"/>
          <w:lang w:eastAsia="en-GB"/>
        </w:rPr>
        <w:lastRenderedPageBreak/>
        <w:t>Results by Business</w:t>
      </w:r>
    </w:p>
    <w:tbl>
      <w:tblPr>
        <w:tblW w:w="0" w:type="auto"/>
        <w:tblInd w:w="-36" w:type="dxa"/>
        <w:tblCellMar>
          <w:left w:w="0" w:type="dxa"/>
          <w:right w:w="0" w:type="dxa"/>
        </w:tblCellMar>
        <w:tblLook w:val="04A0" w:firstRow="1" w:lastRow="0" w:firstColumn="1" w:lastColumn="0" w:noHBand="0" w:noVBand="1"/>
      </w:tblPr>
      <w:tblGrid>
        <w:gridCol w:w="4081"/>
        <w:gridCol w:w="803"/>
        <w:gridCol w:w="806"/>
        <w:gridCol w:w="806"/>
        <w:gridCol w:w="953"/>
        <w:gridCol w:w="803"/>
        <w:gridCol w:w="78"/>
        <w:gridCol w:w="804"/>
      </w:tblGrid>
      <w:tr w:rsidR="00D14928" w:rsidRPr="00D14928" w:rsidTr="00D14928">
        <w:trPr>
          <w:trHeight w:val="315"/>
        </w:trPr>
        <w:tc>
          <w:tcPr>
            <w:tcW w:w="4110" w:type="dxa"/>
            <w:tcMar>
              <w:top w:w="0" w:type="dxa"/>
              <w:left w:w="36" w:type="dxa"/>
              <w:bottom w:w="0" w:type="dxa"/>
              <w:right w:w="36" w:type="dxa"/>
            </w:tcMar>
            <w:vAlign w:val="center"/>
            <w:hideMark/>
          </w:tcPr>
          <w:p w:rsidR="00D14928" w:rsidRPr="00D14928" w:rsidRDefault="00D14928" w:rsidP="00D14928">
            <w:pPr>
              <w:spacing w:before="60"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4"/>
                <w:szCs w:val="24"/>
                <w:lang w:eastAsia="en-GB"/>
              </w:rPr>
              <w:t>Investment Bank</w:t>
            </w:r>
            <w:r w:rsidRPr="00D14928">
              <w:rPr>
                <w:rFonts w:ascii="Arial" w:eastAsia="Times New Roman" w:hAnsi="Arial" w:cs="Arial"/>
                <w:color w:val="000000"/>
                <w:sz w:val="24"/>
                <w:szCs w:val="24"/>
                <w:vertAlign w:val="superscript"/>
                <w:lang w:eastAsia="en-GB"/>
              </w:rPr>
              <w:t xml:space="preserve">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w:t>
            </w:r>
            <w:r w:rsidRPr="00D14928">
              <w:rPr>
                <w:rFonts w:ascii="Arial" w:eastAsia="Times New Roman" w:hAnsi="Arial" w:cs="Arial"/>
                <w:b/>
                <w:bCs/>
                <w:color w:val="000000"/>
                <w:sz w:val="19"/>
                <w:szCs w:val="19"/>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sz w:val="2"/>
                <w:szCs w:val="2"/>
                <w:lang w:eastAsia="en-GB"/>
              </w:rPr>
            </w:pPr>
          </w:p>
        </w:tc>
        <w:tc>
          <w:tcPr>
            <w:tcW w:w="2580" w:type="dxa"/>
            <w:gridSpan w:val="3"/>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Restatement Adjustments</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081"/>
        <w:gridCol w:w="828"/>
        <w:gridCol w:w="806"/>
        <w:gridCol w:w="913"/>
        <w:gridCol w:w="810"/>
        <w:gridCol w:w="809"/>
        <w:gridCol w:w="78"/>
        <w:gridCol w:w="809"/>
      </w:tblGrid>
      <w:tr w:rsidR="00D14928" w:rsidRPr="00D14928" w:rsidTr="00D14928">
        <w:trPr>
          <w:trHeight w:val="750"/>
        </w:trPr>
        <w:tc>
          <w:tcPr>
            <w:tcW w:w="4110"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Income Statement Information</w:t>
            </w:r>
            <w:r w:rsidRPr="00D14928">
              <w:rPr>
                <w:rFonts w:ascii="Arial" w:eastAsia="Times New Roman" w:hAnsi="Arial" w:cs="Arial"/>
                <w:color w:val="000000"/>
                <w:sz w:val="20"/>
                <w:szCs w:val="20"/>
                <w:vertAlign w:val="superscript"/>
                <w:lang w:eastAsia="en-GB"/>
              </w:rPr>
              <w:t xml:space="preserve"> </w:t>
            </w:r>
          </w:p>
        </w:tc>
        <w:tc>
          <w:tcPr>
            <w:tcW w:w="81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published</w:t>
            </w:r>
          </w:p>
        </w:tc>
        <w:tc>
          <w:tcPr>
            <w:tcW w:w="81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IFRS 10</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and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IAS 19</w:t>
            </w:r>
          </w:p>
        </w:tc>
        <w:tc>
          <w:tcPr>
            <w:tcW w:w="81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Head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Office</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Allocation</w:t>
            </w:r>
            <w:r w:rsidRPr="00D14928">
              <w:rPr>
                <w:rFonts w:ascii="Arial" w:eastAsia="Times New Roman" w:hAnsi="Arial" w:cs="Arial"/>
                <w:b/>
                <w:bCs/>
                <w:color w:val="000000"/>
                <w:sz w:val="13"/>
                <w:szCs w:val="13"/>
                <w:vertAlign w:val="superscript"/>
                <w:lang w:eastAsia="en-GB"/>
              </w:rPr>
              <w:t>3 </w:t>
            </w:r>
          </w:p>
        </w:tc>
        <w:tc>
          <w:tcPr>
            <w:tcW w:w="81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Group</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Structure</w:t>
            </w:r>
          </w:p>
        </w:tc>
        <w:tc>
          <w:tcPr>
            <w:tcW w:w="81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2011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Restated </w:t>
            </w:r>
          </w:p>
        </w:tc>
      </w:tr>
      <w:tr w:rsidR="00D14928" w:rsidRPr="00D14928" w:rsidTr="00D14928">
        <w:trPr>
          <w:trHeight w:val="240"/>
        </w:trPr>
        <w:tc>
          <w:tcPr>
            <w:tcW w:w="41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8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8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8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c>
          <w:tcPr>
            <w:tcW w:w="8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8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41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interest income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619 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(91)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530 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1,227 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fee and commission income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3,262 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(239)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3,029 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2,805 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trading income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7,315 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321 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52 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7,688 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5,322  </w:t>
            </w:r>
          </w:p>
        </w:tc>
      </w:tr>
      <w:tr w:rsidR="00D14928" w:rsidRPr="00D14928" w:rsidTr="00D14928">
        <w:trPr>
          <w:trHeight w:val="240"/>
        </w:trPr>
        <w:tc>
          <w:tcPr>
            <w:tcW w:w="41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investment income and other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526 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528 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868  </w:t>
            </w:r>
          </w:p>
        </w:tc>
      </w:tr>
      <w:tr w:rsidR="00D14928" w:rsidRPr="00D14928" w:rsidTr="00D14928">
        <w:trPr>
          <w:trHeight w:val="240"/>
        </w:trPr>
        <w:tc>
          <w:tcPr>
            <w:tcW w:w="41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income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11,722 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318 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(331)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66 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11,775 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10,222 </w:t>
            </w:r>
            <w:r w:rsidRPr="00D14928">
              <w:rPr>
                <w:rFonts w:ascii="Arial" w:eastAsia="Times New Roman" w:hAnsi="Arial" w:cs="Arial"/>
                <w:color w:val="000000"/>
                <w:sz w:val="16"/>
                <w:szCs w:val="16"/>
                <w:vertAlign w:val="superscript"/>
                <w:lang w:eastAsia="en-GB"/>
              </w:rPr>
              <w:t xml:space="preserve"> </w:t>
            </w:r>
          </w:p>
        </w:tc>
      </w:tr>
      <w:tr w:rsidR="00D14928" w:rsidRPr="00D14928" w:rsidTr="00D14928">
        <w:trPr>
          <w:trHeight w:val="240"/>
        </w:trPr>
        <w:tc>
          <w:tcPr>
            <w:tcW w:w="41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charges and other provisions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(460)</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256 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(204)</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(93) </w:t>
            </w:r>
          </w:p>
        </w:tc>
      </w:tr>
      <w:tr w:rsidR="00D14928" w:rsidRPr="00D14928" w:rsidTr="00D14928">
        <w:trPr>
          <w:trHeight w:val="240"/>
        </w:trPr>
        <w:tc>
          <w:tcPr>
            <w:tcW w:w="41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Net operating income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11,262 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574 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(331)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66 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11,571 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10,129 </w:t>
            </w:r>
            <w:r w:rsidRPr="00D14928">
              <w:rPr>
                <w:rFonts w:ascii="Arial" w:eastAsia="Times New Roman" w:hAnsi="Arial" w:cs="Arial"/>
                <w:color w:val="000000"/>
                <w:sz w:val="16"/>
                <w:szCs w:val="16"/>
                <w:vertAlign w:val="superscript"/>
                <w:lang w:eastAsia="en-GB"/>
              </w:rPr>
              <w:t xml:space="preserve">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Operating expenses (excluding bank levy)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(7,249)</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(165)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(7,425)</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(7,527) </w:t>
            </w:r>
          </w:p>
        </w:tc>
      </w:tr>
      <w:tr w:rsidR="00D14928" w:rsidRPr="00D14928" w:rsidTr="00D14928">
        <w:trPr>
          <w:trHeight w:val="240"/>
        </w:trPr>
        <w:tc>
          <w:tcPr>
            <w:tcW w:w="41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bank levy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(206)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(206)</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(199) </w:t>
            </w:r>
          </w:p>
        </w:tc>
      </w:tr>
      <w:tr w:rsidR="00D14928" w:rsidRPr="00D14928" w:rsidTr="00D14928">
        <w:trPr>
          <w:trHeight w:val="240"/>
        </w:trPr>
        <w:tc>
          <w:tcPr>
            <w:tcW w:w="41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Operating expenses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(7,249)</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29 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(371)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(40)</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(7,631)</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(7,726)</w:t>
            </w:r>
            <w:r w:rsidRPr="00D14928">
              <w:rPr>
                <w:rFonts w:ascii="Arial" w:eastAsia="Times New Roman" w:hAnsi="Arial" w:cs="Arial"/>
                <w:color w:val="000000"/>
                <w:sz w:val="16"/>
                <w:szCs w:val="16"/>
                <w:vertAlign w:val="superscript"/>
                <w:lang w:eastAsia="en-GB"/>
              </w:rPr>
              <w:t xml:space="preserve">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1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net income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50 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12  </w:t>
            </w:r>
          </w:p>
        </w:tc>
      </w:tr>
      <w:tr w:rsidR="00D14928" w:rsidRPr="00D14928" w:rsidTr="00D14928">
        <w:trPr>
          <w:trHeight w:val="255"/>
        </w:trPr>
        <w:tc>
          <w:tcPr>
            <w:tcW w:w="41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Profit before tax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4,063 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603 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(701)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25 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3,990 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2,415 </w:t>
            </w:r>
            <w:r w:rsidRPr="00D14928">
              <w:rPr>
                <w:rFonts w:ascii="Arial" w:eastAsia="Times New Roman" w:hAnsi="Arial" w:cs="Arial"/>
                <w:color w:val="000000"/>
                <w:sz w:val="16"/>
                <w:szCs w:val="16"/>
                <w:vertAlign w:val="superscript"/>
                <w:lang w:eastAsia="en-GB"/>
              </w:rPr>
              <w:t xml:space="preserve"> </w:t>
            </w:r>
          </w:p>
        </w:tc>
      </w:tr>
      <w:tr w:rsidR="00D14928" w:rsidRPr="00D14928" w:rsidTr="00D14928">
        <w:trPr>
          <w:trHeight w:val="240"/>
        </w:trPr>
        <w:tc>
          <w:tcPr>
            <w:tcW w:w="41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1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Adjusted profit before tax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4,063 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603 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(701)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25 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3,990 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2,415 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1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Balance Sheet Information </w:t>
            </w:r>
          </w:p>
        </w:tc>
        <w:tc>
          <w:tcPr>
            <w:tcW w:w="8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8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8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color w:val="000000"/>
                <w:sz w:val="16"/>
                <w:szCs w:val="16"/>
                <w:lang w:eastAsia="en-GB"/>
              </w:rPr>
              <w:t xml:space="preserve"> </w:t>
            </w:r>
          </w:p>
        </w:tc>
        <w:tc>
          <w:tcPr>
            <w:tcW w:w="8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8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color w:val="000000"/>
                <w:sz w:val="16"/>
                <w:szCs w:val="16"/>
                <w:lang w:eastAsia="en-GB"/>
              </w:rPr>
              <w:t xml:space="preserve"> </w:t>
            </w:r>
          </w:p>
        </w:tc>
      </w:tr>
      <w:tr w:rsidR="00D14928" w:rsidRPr="00D14928" w:rsidTr="00D14928">
        <w:trPr>
          <w:trHeight w:val="510"/>
        </w:trPr>
        <w:tc>
          <w:tcPr>
            <w:tcW w:w="41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Loans and advances to banks and customers at </w:t>
            </w:r>
          </w:p>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amortised cost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145.0 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0.4 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143.5 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159.1 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Customer deposits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76.2 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(0.3)</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83.1 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assets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1,074.8 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0.2 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1,073.7 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1158.7 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Assets contributing to adjusted gross leverage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567.9 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0.4 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567.0 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604.5 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Risk weighted assets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178.0 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(0.1)</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177.9 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186.6 </w:t>
            </w:r>
            <w:r w:rsidRPr="00D14928">
              <w:rPr>
                <w:rFonts w:ascii="Arial" w:eastAsia="Times New Roman" w:hAnsi="Arial" w:cs="Arial"/>
                <w:b/>
                <w:bCs/>
                <w:color w:val="000000"/>
                <w:sz w:val="20"/>
                <w:szCs w:val="20"/>
                <w:vertAlign w:val="superscript"/>
                <w:lang w:eastAsia="en-GB"/>
              </w:rPr>
              <w:t xml:space="preserve">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Average </w:t>
            </w:r>
            <w:proofErr w:type="spellStart"/>
            <w:r w:rsidRPr="00D14928">
              <w:rPr>
                <w:rFonts w:ascii="Arial" w:eastAsia="Times New Roman" w:hAnsi="Arial" w:cs="Arial"/>
                <w:color w:val="000000"/>
                <w:sz w:val="16"/>
                <w:szCs w:val="16"/>
                <w:lang w:eastAsia="en-GB"/>
              </w:rPr>
              <w:t>DVaR</w:t>
            </w:r>
            <w:proofErr w:type="spellEnd"/>
            <w:r w:rsidRPr="00D14928">
              <w:rPr>
                <w:rFonts w:ascii="Arial" w:eastAsia="Times New Roman" w:hAnsi="Arial" w:cs="Arial"/>
                <w:color w:val="000000"/>
                <w:sz w:val="16"/>
                <w:szCs w:val="16"/>
                <w:lang w:eastAsia="en-GB"/>
              </w:rPr>
              <w:t xml:space="preserve"> (95%)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£38m</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£38m</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£57m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1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Performance Measures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b/>
                <w:bCs/>
                <w:color w:val="000000"/>
                <w:sz w:val="16"/>
                <w:szCs w:val="16"/>
                <w:vertAlign w:val="superscript"/>
                <w:lang w:eastAsia="en-GB"/>
              </w:rPr>
              <w:t>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color w:val="000000"/>
                <w:sz w:val="16"/>
                <w:szCs w:val="16"/>
                <w:vertAlign w:val="superscript"/>
                <w:lang w:eastAsia="en-GB"/>
              </w:rPr>
              <w:t>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Return on average equity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13.7%</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12.7%</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7.7%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Return on average risk weighted assets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1.0%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Cost: income ratio </w:t>
            </w:r>
            <w:r w:rsidRPr="00D14928">
              <w:rPr>
                <w:rFonts w:ascii="Arial" w:eastAsia="Times New Roman" w:hAnsi="Arial" w:cs="Arial"/>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62%</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65%</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76%</w:t>
            </w:r>
            <w:r w:rsidRPr="00D14928">
              <w:rPr>
                <w:rFonts w:ascii="Arial" w:eastAsia="Times New Roman" w:hAnsi="Arial" w:cs="Arial"/>
                <w:b/>
                <w:bCs/>
                <w:color w:val="000000"/>
                <w:sz w:val="20"/>
                <w:szCs w:val="20"/>
                <w:vertAlign w:val="superscript"/>
                <w:lang w:eastAsia="en-GB"/>
              </w:rPr>
              <w:t xml:space="preserve">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Cost: net operating income ratio </w:t>
            </w:r>
            <w:r w:rsidRPr="00D14928">
              <w:rPr>
                <w:rFonts w:ascii="Arial" w:eastAsia="Times New Roman" w:hAnsi="Arial" w:cs="Arial"/>
                <w:color w:val="000000"/>
                <w:sz w:val="13"/>
                <w:szCs w:val="13"/>
                <w:vertAlign w:val="superscript"/>
                <w:lang w:eastAsia="en-GB"/>
              </w:rPr>
              <w:t>1 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64%</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66%</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76%</w:t>
            </w:r>
            <w:r w:rsidRPr="00D14928">
              <w:rPr>
                <w:rFonts w:ascii="Arial" w:eastAsia="Times New Roman" w:hAnsi="Arial" w:cs="Arial"/>
                <w:b/>
                <w:bCs/>
                <w:color w:val="000000"/>
                <w:sz w:val="20"/>
                <w:szCs w:val="20"/>
                <w:vertAlign w:val="superscript"/>
                <w:lang w:eastAsia="en-GB"/>
              </w:rPr>
              <w:t xml:space="preserve">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Compensation: income ratio</w:t>
            </w:r>
            <w:r w:rsidRPr="00D14928">
              <w:rPr>
                <w:rFonts w:ascii="Arial" w:eastAsia="Times New Roman" w:hAnsi="Arial" w:cs="Arial"/>
                <w:color w:val="000000"/>
                <w:sz w:val="13"/>
                <w:szCs w:val="13"/>
                <w:vertAlign w:val="superscript"/>
                <w:lang w:eastAsia="en-GB"/>
              </w:rPr>
              <w:t>1 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48%</w:t>
            </w:r>
            <w:r w:rsidRPr="00D14928">
              <w:rPr>
                <w:rFonts w:ascii="Arial" w:eastAsia="Times New Roman" w:hAnsi="Arial" w:cs="Arial"/>
                <w:b/>
                <w:bCs/>
                <w:color w:val="000000"/>
                <w:sz w:val="20"/>
                <w:szCs w:val="20"/>
                <w:vertAlign w:val="superscript"/>
                <w:lang w:eastAsia="en-GB"/>
              </w:rPr>
              <w:t xml:space="preserve">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 loss rate (bps)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Number of employees (full time equivalent)</w:t>
            </w:r>
            <w:r w:rsidRPr="00D14928">
              <w:rPr>
                <w:rFonts w:ascii="Arial" w:eastAsia="Times New Roman" w:hAnsi="Arial" w:cs="Arial"/>
                <w:color w:val="000000"/>
                <w:sz w:val="13"/>
                <w:szCs w:val="13"/>
                <w:vertAlign w:val="superscript"/>
                <w:lang w:eastAsia="en-GB"/>
              </w:rPr>
              <w:t>2 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24,000 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700 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900 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25,600 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24,400 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1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Analysis of Total Income </w:t>
            </w:r>
          </w:p>
        </w:tc>
        <w:tc>
          <w:tcPr>
            <w:tcW w:w="8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8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8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c>
          <w:tcPr>
            <w:tcW w:w="8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8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41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Fixed Income, Currency and Commodities</w:t>
            </w:r>
            <w:r w:rsidRPr="00D14928">
              <w:rPr>
                <w:rFonts w:ascii="Arial" w:eastAsia="Times New Roman" w:hAnsi="Arial" w:cs="Arial"/>
                <w:color w:val="000000"/>
                <w:sz w:val="13"/>
                <w:szCs w:val="13"/>
                <w:vertAlign w:val="superscript"/>
                <w:lang w:eastAsia="en-GB"/>
              </w:rPr>
              <w:t>3 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7,403 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317 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(537)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66 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7,249 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6,066 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Equities and Prime Services</w:t>
            </w:r>
            <w:r w:rsidRPr="00D14928">
              <w:rPr>
                <w:rFonts w:ascii="Arial" w:eastAsia="Times New Roman" w:hAnsi="Arial" w:cs="Arial"/>
                <w:color w:val="000000"/>
                <w:sz w:val="13"/>
                <w:szCs w:val="13"/>
                <w:vertAlign w:val="superscript"/>
                <w:lang w:eastAsia="en-GB"/>
              </w:rPr>
              <w:t>3 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1,991 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192 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2,183 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1,807  </w:t>
            </w:r>
          </w:p>
        </w:tc>
      </w:tr>
      <w:tr w:rsidR="00D14928" w:rsidRPr="00D14928" w:rsidTr="00D14928">
        <w:trPr>
          <w:trHeight w:val="240"/>
        </w:trPr>
        <w:tc>
          <w:tcPr>
            <w:tcW w:w="41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Investment Banking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2,123 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14 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2,137 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2,117  </w:t>
            </w:r>
          </w:p>
        </w:tc>
      </w:tr>
      <w:tr w:rsidR="00D14928" w:rsidRPr="00D14928" w:rsidTr="00D14928">
        <w:trPr>
          <w:trHeight w:val="240"/>
        </w:trPr>
        <w:tc>
          <w:tcPr>
            <w:tcW w:w="41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Principal Investments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205 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206 </w:t>
            </w:r>
          </w:p>
        </w:tc>
        <w:tc>
          <w:tcPr>
            <w:tcW w:w="7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1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232  </w:t>
            </w:r>
          </w:p>
        </w:tc>
      </w:tr>
      <w:tr w:rsidR="00D14928" w:rsidRPr="00D14928" w:rsidTr="00D14928">
        <w:trPr>
          <w:trHeight w:val="240"/>
        </w:trPr>
        <w:tc>
          <w:tcPr>
            <w:tcW w:w="41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Income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11,722 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318 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(331)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66 </w:t>
            </w: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11,775 </w:t>
            </w:r>
          </w:p>
        </w:tc>
        <w:tc>
          <w:tcPr>
            <w:tcW w:w="7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1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10,222 </w:t>
            </w:r>
            <w:r w:rsidRPr="00D14928">
              <w:rPr>
                <w:rFonts w:ascii="Arial" w:eastAsia="Times New Roman" w:hAnsi="Arial" w:cs="Arial"/>
                <w:color w:val="000000"/>
                <w:sz w:val="16"/>
                <w:szCs w:val="16"/>
                <w:vertAlign w:val="superscript"/>
                <w:lang w:eastAsia="en-GB"/>
              </w:rPr>
              <w:t xml:space="preserve"> </w:t>
            </w:r>
          </w:p>
        </w:tc>
      </w:tr>
    </w:tbl>
    <w:p w:rsidR="00D14928" w:rsidRPr="00D14928" w:rsidRDefault="00D14928" w:rsidP="00D14928">
      <w:pPr>
        <w:spacing w:after="0" w:line="240" w:lineRule="auto"/>
        <w:rPr>
          <w:rFonts w:ascii="Arial" w:eastAsia="Times New Roman" w:hAnsi="Arial" w:cs="Arial"/>
          <w:b/>
          <w:bCs/>
          <w:i/>
          <w:iCs/>
          <w:sz w:val="2"/>
          <w:szCs w:val="2"/>
          <w:lang w:eastAsia="en-GB"/>
        </w:rPr>
      </w:pPr>
      <w:r w:rsidRPr="00D14928">
        <w:rPr>
          <w:rFonts w:ascii="Arial" w:eastAsia="Times New Roman" w:hAnsi="Arial" w:cs="Arial"/>
          <w:b/>
          <w:bCs/>
          <w:i/>
          <w:iCs/>
          <w:sz w:val="20"/>
          <w:szCs w:val="20"/>
          <w:lang w:eastAsia="en-GB"/>
        </w:rPr>
        <w:t> </w:t>
      </w:r>
    </w:p>
    <w:p w:rsidR="00D14928" w:rsidRPr="00D14928" w:rsidRDefault="00D14928" w:rsidP="00D14928">
      <w:pPr>
        <w:spacing w:after="0" w:line="240" w:lineRule="auto"/>
        <w:ind w:left="142"/>
        <w:jc w:val="both"/>
        <w:rPr>
          <w:rFonts w:ascii="Arial" w:eastAsia="Times New Roman" w:hAnsi="Arial" w:cs="Arial"/>
          <w:b/>
          <w:bCs/>
          <w:color w:val="000000"/>
          <w:sz w:val="24"/>
          <w:szCs w:val="24"/>
          <w:lang w:eastAsia="en-GB"/>
        </w:rPr>
      </w:pPr>
      <w:r w:rsidRPr="00D14928">
        <w:rPr>
          <w:rFonts w:ascii="Arial" w:eastAsia="Times New Roman" w:hAnsi="Arial" w:cs="Arial"/>
          <w:i/>
          <w:iCs/>
          <w:color w:val="000000"/>
          <w:sz w:val="14"/>
          <w:szCs w:val="14"/>
          <w:lang w:eastAsia="en-GB"/>
        </w:rPr>
        <w:t xml:space="preserve">1        IFRS 10 adoption </w:t>
      </w:r>
      <w:r w:rsidRPr="00D14928">
        <w:rPr>
          <w:rFonts w:ascii="Arial" w:eastAsia="Times New Roman" w:hAnsi="Arial" w:cs="Arial"/>
          <w:i/>
          <w:iCs/>
          <w:sz w:val="14"/>
          <w:szCs w:val="14"/>
          <w:lang w:eastAsia="en-GB"/>
        </w:rPr>
        <w:t>reduces the Investment Bank's reported compensation: income ratio by 1% on a restated basis in 2012; reduces the Investment Bank's cost: net operating income by 3%; and increases the Investment Bank's return on equity by 2.1%.  Excluding the positive impact of IFRS 10, the restated Investment Bank 2012 compensation: income ratio and cost: net operating income ratio and return on equity would have been 41%, 69% and 10.6% respectively</w:t>
      </w:r>
      <w:r w:rsidRPr="00D14928">
        <w:rPr>
          <w:rFonts w:ascii="Arial" w:eastAsia="Times New Roman" w:hAnsi="Arial" w:cs="Arial"/>
          <w:i/>
          <w:iCs/>
          <w:color w:val="000000"/>
          <w:sz w:val="14"/>
          <w:szCs w:val="14"/>
          <w:lang w:eastAsia="en-GB"/>
        </w:rPr>
        <w:t>.</w:t>
      </w:r>
    </w:p>
    <w:p w:rsidR="00D14928" w:rsidRPr="00D14928" w:rsidRDefault="00D14928" w:rsidP="00D14928">
      <w:pPr>
        <w:spacing w:after="0" w:line="240" w:lineRule="auto"/>
        <w:ind w:left="426" w:hanging="284"/>
        <w:jc w:val="both"/>
        <w:rPr>
          <w:rFonts w:ascii="Arial" w:eastAsia="Times New Roman" w:hAnsi="Arial" w:cs="Arial"/>
          <w:b/>
          <w:bCs/>
          <w:i/>
          <w:iCs/>
          <w:color w:val="000000"/>
          <w:sz w:val="24"/>
          <w:szCs w:val="24"/>
          <w:lang w:eastAsia="en-GB"/>
        </w:rPr>
      </w:pPr>
      <w:r w:rsidRPr="00D14928">
        <w:rPr>
          <w:rFonts w:ascii="Arial" w:eastAsia="Times New Roman" w:hAnsi="Arial" w:cs="Arial"/>
          <w:i/>
          <w:iCs/>
          <w:color w:val="000000"/>
          <w:sz w:val="14"/>
          <w:szCs w:val="14"/>
          <w:lang w:eastAsia="en-GB"/>
        </w:rPr>
        <w:t>2       Allocation of full time equivalent employees by business has changed as outlined in the Overview of Reporting Changes, the impact of which is reflected within Group Structure changes.</w:t>
      </w:r>
    </w:p>
    <w:p w:rsidR="00D14928" w:rsidRPr="00D14928" w:rsidRDefault="00D14928" w:rsidP="00D14928">
      <w:pPr>
        <w:spacing w:after="20" w:line="240" w:lineRule="auto"/>
        <w:ind w:left="284" w:hanging="284"/>
        <w:jc w:val="both"/>
        <w:rPr>
          <w:rFonts w:ascii="Arial" w:eastAsia="Times New Roman" w:hAnsi="Arial" w:cs="Arial"/>
          <w:b/>
          <w:bCs/>
          <w:i/>
          <w:iCs/>
          <w:color w:val="000000"/>
          <w:sz w:val="24"/>
          <w:szCs w:val="24"/>
          <w:lang w:eastAsia="en-GB"/>
        </w:rPr>
      </w:pPr>
      <w:r w:rsidRPr="00D14928">
        <w:rPr>
          <w:rFonts w:ascii="Arial" w:eastAsia="Times New Roman" w:hAnsi="Arial" w:cs="Arial"/>
          <w:i/>
          <w:iCs/>
          <w:color w:val="000000"/>
          <w:sz w:val="14"/>
          <w:szCs w:val="14"/>
          <w:lang w:eastAsia="en-GB"/>
        </w:rPr>
        <w:lastRenderedPageBreak/>
        <w:t>3        Fees in respect of Structured Capital Markets activities were payable and receivable between business lines within the Investment Bank, with a net £239m received by the Investment Bank from the Head Office. These internal fee arrangements have been eliminated as part of the Head Office allocation exercise. This has been the major factor contributing to a reduction in the restated income reported in the FICC businesses and an increase in the restated income reported in the Equities and Prime Services businesses. The fees have been discontinued from 1 January 2013.</w:t>
      </w:r>
    </w:p>
    <w:p w:rsidR="00D14928" w:rsidRDefault="00D14928" w:rsidP="00D14928">
      <w:pPr>
        <w:spacing w:line="240" w:lineRule="auto"/>
        <w:jc w:val="both"/>
        <w:rPr>
          <w:rFonts w:ascii="Arial" w:eastAsia="Times New Roman" w:hAnsi="Arial" w:cs="Arial"/>
          <w:color w:val="000000"/>
          <w:sz w:val="24"/>
          <w:szCs w:val="24"/>
          <w:lang w:eastAsia="en-GB"/>
        </w:rPr>
      </w:pPr>
    </w:p>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3750"/>
        <w:gridCol w:w="651"/>
        <w:gridCol w:w="651"/>
        <w:gridCol w:w="651"/>
        <w:gridCol w:w="651"/>
        <w:gridCol w:w="78"/>
        <w:gridCol w:w="651"/>
        <w:gridCol w:w="651"/>
        <w:gridCol w:w="651"/>
        <w:gridCol w:w="651"/>
      </w:tblGrid>
      <w:tr w:rsidR="00D14928" w:rsidRPr="00D14928" w:rsidTr="00D14928">
        <w:trPr>
          <w:trHeight w:val="315"/>
        </w:trPr>
        <w:tc>
          <w:tcPr>
            <w:tcW w:w="3750" w:type="dxa"/>
            <w:tcMar>
              <w:top w:w="0" w:type="dxa"/>
              <w:left w:w="36" w:type="dxa"/>
              <w:bottom w:w="0" w:type="dxa"/>
              <w:right w:w="36" w:type="dxa"/>
            </w:tcMar>
            <w:vAlign w:val="center"/>
            <w:hideMark/>
          </w:tcPr>
          <w:p w:rsidR="00D14928" w:rsidRPr="00D14928" w:rsidRDefault="00D14928" w:rsidP="00D14928">
            <w:pPr>
              <w:spacing w:before="60"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xml:space="preserve">Investment Bank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r w:rsidR="00D14928" w:rsidRPr="00D14928" w:rsidTr="00D14928">
        <w:trPr>
          <w:trHeight w:val="240"/>
        </w:trPr>
        <w:tc>
          <w:tcPr>
            <w:tcW w:w="375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w:t>
            </w:r>
            <w:r w:rsidRPr="00D14928">
              <w:rPr>
                <w:rFonts w:ascii="Arial" w:eastAsia="Times New Roman" w:hAnsi="Arial" w:cs="Arial"/>
                <w:b/>
                <w:bCs/>
                <w:color w:val="000000"/>
                <w:sz w:val="19"/>
                <w:szCs w:val="19"/>
                <w:vertAlign w:val="superscript"/>
                <w:lang w:eastAsia="en-GB"/>
              </w:rPr>
              <w:t>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r w:rsidR="00D14928" w:rsidRPr="00D14928" w:rsidTr="00D14928">
        <w:trPr>
          <w:trHeight w:val="240"/>
        </w:trPr>
        <w:tc>
          <w:tcPr>
            <w:tcW w:w="3750"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Restated Income Statement Information</w:t>
            </w:r>
          </w:p>
        </w:tc>
        <w:tc>
          <w:tcPr>
            <w:tcW w:w="6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Q412</w:t>
            </w:r>
          </w:p>
        </w:tc>
        <w:tc>
          <w:tcPr>
            <w:tcW w:w="6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Q312</w:t>
            </w:r>
          </w:p>
        </w:tc>
        <w:tc>
          <w:tcPr>
            <w:tcW w:w="6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Q212</w:t>
            </w:r>
          </w:p>
        </w:tc>
        <w:tc>
          <w:tcPr>
            <w:tcW w:w="6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Q112</w:t>
            </w:r>
          </w:p>
        </w:tc>
        <w:tc>
          <w:tcPr>
            <w:tcW w:w="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Q411</w:t>
            </w:r>
          </w:p>
        </w:tc>
        <w:tc>
          <w:tcPr>
            <w:tcW w:w="6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Q311</w:t>
            </w:r>
          </w:p>
        </w:tc>
        <w:tc>
          <w:tcPr>
            <w:tcW w:w="6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Q211</w:t>
            </w:r>
          </w:p>
        </w:tc>
        <w:tc>
          <w:tcPr>
            <w:tcW w:w="6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Q111</w:t>
            </w:r>
          </w:p>
        </w:tc>
      </w:tr>
      <w:tr w:rsidR="00D14928" w:rsidRPr="00D14928" w:rsidTr="00D14928">
        <w:trPr>
          <w:trHeight w:val="240"/>
        </w:trPr>
        <w:tc>
          <w:tcPr>
            <w:tcW w:w="375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vertAlign w:val="superscript"/>
                <w:lang w:eastAsia="en-GB"/>
              </w:rPr>
              <w:t> </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r>
      <w:tr w:rsidR="00D14928" w:rsidRPr="00D14928" w:rsidTr="00D14928">
        <w:trPr>
          <w:trHeight w:val="240"/>
        </w:trPr>
        <w:tc>
          <w:tcPr>
            <w:tcW w:w="3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Adjusted and statutory basis</w:t>
            </w:r>
            <w:r w:rsidRPr="00D14928">
              <w:rPr>
                <w:rFonts w:ascii="Arial" w:eastAsia="Times New Roman" w:hAnsi="Arial" w:cs="Arial"/>
                <w:color w:val="000000"/>
                <w:sz w:val="16"/>
                <w:szCs w:val="16"/>
                <w:vertAlign w:val="superscript"/>
                <w:lang w:eastAsia="en-GB"/>
              </w:rPr>
              <w:t xml:space="preserve">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375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Fixed Income, Currency and Commodities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1,494 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1,675 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1,761 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2,319 </w:t>
            </w: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933 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1,299 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1,623 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2,211  </w:t>
            </w:r>
          </w:p>
        </w:tc>
      </w:tr>
      <w:tr w:rsidR="00D14928" w:rsidRPr="00D14928" w:rsidTr="00D14928">
        <w:trPr>
          <w:trHeight w:val="240"/>
        </w:trPr>
        <w:tc>
          <w:tcPr>
            <w:tcW w:w="375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Equities and Prime Services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454 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523 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615 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591 </w:t>
            </w: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300 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346 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615 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546  </w:t>
            </w:r>
          </w:p>
        </w:tc>
      </w:tr>
      <w:tr w:rsidR="00D14928" w:rsidRPr="00D14928" w:rsidTr="00D14928">
        <w:trPr>
          <w:trHeight w:val="240"/>
        </w:trPr>
        <w:tc>
          <w:tcPr>
            <w:tcW w:w="375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Investment Banking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620 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493 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509 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515 </w:t>
            </w: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518 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402 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533 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664  </w:t>
            </w:r>
          </w:p>
        </w:tc>
      </w:tr>
      <w:tr w:rsidR="00D14928" w:rsidRPr="00D14928" w:rsidTr="00D14928">
        <w:trPr>
          <w:trHeight w:val="240"/>
        </w:trPr>
        <w:tc>
          <w:tcPr>
            <w:tcW w:w="3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Principal Investments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139 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11 </w:t>
            </w: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89 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99 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8  </w:t>
            </w:r>
          </w:p>
        </w:tc>
      </w:tr>
      <w:tr w:rsidR="00D14928" w:rsidRPr="00D14928" w:rsidTr="00D14928">
        <w:trPr>
          <w:trHeight w:val="240"/>
        </w:trPr>
        <w:tc>
          <w:tcPr>
            <w:tcW w:w="3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income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2,594 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2,721 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3,024 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3,436 </w:t>
            </w: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1,787 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2,136 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2,870 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3,429  </w:t>
            </w:r>
          </w:p>
        </w:tc>
      </w:tr>
      <w:tr w:rsidR="00D14928" w:rsidRPr="00D14928" w:rsidTr="00D14928">
        <w:trPr>
          <w:trHeight w:val="480"/>
        </w:trPr>
        <w:tc>
          <w:tcPr>
            <w:tcW w:w="3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(charges)/releases and other provisions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(121)</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(81)</w:t>
            </w: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(89)</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(114)</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79 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31  </w:t>
            </w:r>
          </w:p>
        </w:tc>
      </w:tr>
      <w:tr w:rsidR="00D14928" w:rsidRPr="00D14928" w:rsidTr="00D14928">
        <w:trPr>
          <w:trHeight w:val="240"/>
        </w:trPr>
        <w:tc>
          <w:tcPr>
            <w:tcW w:w="3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Net operating income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2,595 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2,718 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2,903 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3,355 </w:t>
            </w: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1,698 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2,022 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2,949 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3,460  </w:t>
            </w:r>
          </w:p>
        </w:tc>
      </w:tr>
      <w:tr w:rsidR="00D14928" w:rsidRPr="00D14928" w:rsidTr="00D14928">
        <w:trPr>
          <w:trHeight w:val="240"/>
        </w:trPr>
        <w:tc>
          <w:tcPr>
            <w:tcW w:w="375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Operating expenses (excluding bank levy)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(1,644)</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(1,737)</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(1,849)</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(2,195)</w:t>
            </w: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(1,527)</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(1,818)</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(2,068)</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(2,114) </w:t>
            </w:r>
          </w:p>
        </w:tc>
      </w:tr>
      <w:tr w:rsidR="00D14928" w:rsidRPr="00D14928" w:rsidTr="00D14928">
        <w:trPr>
          <w:trHeight w:val="240"/>
        </w:trPr>
        <w:tc>
          <w:tcPr>
            <w:tcW w:w="375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bank levy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(206)</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(199)</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375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net income/(expense)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22 </w:t>
            </w: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3  </w:t>
            </w:r>
          </w:p>
        </w:tc>
      </w:tr>
      <w:tr w:rsidR="00D14928" w:rsidRPr="00D14928" w:rsidTr="00D14928">
        <w:trPr>
          <w:trHeight w:val="240"/>
        </w:trPr>
        <w:tc>
          <w:tcPr>
            <w:tcW w:w="3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Adjusted and statutory profit/(loss) before tax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760 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988 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1,060 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1,182 </w:t>
            </w: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(32)</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210 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888 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1,349  </w:t>
            </w:r>
          </w:p>
        </w:tc>
      </w:tr>
      <w:tr w:rsidR="00D14928" w:rsidRPr="00D14928" w:rsidTr="00D14928">
        <w:trPr>
          <w:trHeight w:val="240"/>
        </w:trPr>
        <w:tc>
          <w:tcPr>
            <w:tcW w:w="375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85"/>
        </w:trPr>
        <w:tc>
          <w:tcPr>
            <w:tcW w:w="375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 xml:space="preserve">Restated Balance Sheet Information </w:t>
            </w:r>
            <w:r w:rsidRPr="00D14928">
              <w:rPr>
                <w:rFonts w:ascii="Arial" w:eastAsia="Times New Roman" w:hAnsi="Arial" w:cs="Arial"/>
                <w:color w:val="000000"/>
                <w:sz w:val="20"/>
                <w:szCs w:val="20"/>
                <w:vertAlign w:val="superscript"/>
                <w:lang w:eastAsia="en-GB"/>
              </w:rPr>
              <w:t>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color w:val="000000"/>
                <w:sz w:val="20"/>
                <w:szCs w:val="20"/>
                <w:vertAlign w:val="superscript"/>
                <w:lang w:eastAsia="en-GB"/>
              </w:rPr>
              <w:t xml:space="preserve"> </w:t>
            </w:r>
          </w:p>
        </w:tc>
      </w:tr>
      <w:tr w:rsidR="00D14928" w:rsidRPr="00D14928" w:rsidTr="00D14928">
        <w:trPr>
          <w:trHeight w:val="510"/>
        </w:trPr>
        <w:tc>
          <w:tcPr>
            <w:tcW w:w="375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Loans and advances to banks and customers at amortised cost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143.5 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184.7 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184.3 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168.3 </w:t>
            </w: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159.1 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193.7 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181.3 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174.2  </w:t>
            </w:r>
          </w:p>
        </w:tc>
      </w:tr>
      <w:tr w:rsidR="00D14928" w:rsidRPr="00D14928" w:rsidTr="00D14928">
        <w:trPr>
          <w:trHeight w:val="240"/>
        </w:trPr>
        <w:tc>
          <w:tcPr>
            <w:tcW w:w="375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Customer deposits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75.9 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105.6 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114.3 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94.1 </w:t>
            </w: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83.1 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112.1 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92.0 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97.1  </w:t>
            </w:r>
          </w:p>
        </w:tc>
      </w:tr>
      <w:tr w:rsidR="00D14928" w:rsidRPr="00D14928" w:rsidTr="00D14928">
        <w:trPr>
          <w:trHeight w:val="240"/>
        </w:trPr>
        <w:tc>
          <w:tcPr>
            <w:tcW w:w="375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assets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1,073.7 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1,187.1 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1,224.0 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1,178.9 </w:t>
            </w: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1,158.7 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1,314.5 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1,076.3 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1,084.8  </w:t>
            </w:r>
          </w:p>
        </w:tc>
      </w:tr>
      <w:tr w:rsidR="00D14928" w:rsidRPr="00D14928" w:rsidTr="00D14928">
        <w:trPr>
          <w:trHeight w:val="240"/>
        </w:trPr>
        <w:tc>
          <w:tcPr>
            <w:tcW w:w="375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Assets contributing to adjusted gross leverage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567.0 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627.0 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649.2 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666.3 </w:t>
            </w: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604.5 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705.5 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654.2 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680.3  </w:t>
            </w:r>
          </w:p>
        </w:tc>
      </w:tr>
      <w:tr w:rsidR="00D14928" w:rsidRPr="00D14928" w:rsidTr="00D14928">
        <w:trPr>
          <w:trHeight w:val="240"/>
        </w:trPr>
        <w:tc>
          <w:tcPr>
            <w:tcW w:w="375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Risk weighted assets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177.9 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180.3 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190.5 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191.1 </w:t>
            </w:r>
          </w:p>
        </w:tc>
        <w:tc>
          <w:tcPr>
            <w:tcW w:w="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186.6 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188.8 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190.0 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189.1  </w:t>
            </w:r>
          </w:p>
        </w:tc>
      </w:tr>
    </w:tbl>
    <w:p w:rsidR="00D14928" w:rsidRDefault="00D14928" w:rsidP="00D14928">
      <w:pPr>
        <w:spacing w:before="100" w:beforeAutospacing="1" w:after="100" w:afterAutospacing="1" w:line="240" w:lineRule="auto"/>
        <w:rPr>
          <w:rFonts w:ascii="Arial" w:eastAsia="Times New Roman" w:hAnsi="Arial" w:cs="Arial"/>
          <w:b/>
          <w:bCs/>
          <w:i/>
          <w:iCs/>
          <w:sz w:val="14"/>
          <w:szCs w:val="14"/>
          <w:lang w:eastAsia="en-GB"/>
        </w:rPr>
      </w:pPr>
    </w:p>
    <w:p w:rsidR="00D14928" w:rsidRDefault="00D14928" w:rsidP="00D14928">
      <w:pPr>
        <w:spacing w:before="100" w:beforeAutospacing="1" w:after="100" w:afterAutospacing="1" w:line="240" w:lineRule="auto"/>
        <w:rPr>
          <w:rFonts w:ascii="Arial" w:eastAsia="Times New Roman" w:hAnsi="Arial" w:cs="Arial"/>
          <w:b/>
          <w:bCs/>
          <w:i/>
          <w:iCs/>
          <w:sz w:val="14"/>
          <w:szCs w:val="14"/>
          <w:lang w:eastAsia="en-GB"/>
        </w:rPr>
      </w:pPr>
    </w:p>
    <w:p w:rsidR="00D14928" w:rsidRDefault="00D14928" w:rsidP="00D14928">
      <w:pPr>
        <w:spacing w:before="100" w:beforeAutospacing="1" w:after="100" w:afterAutospacing="1" w:line="240" w:lineRule="auto"/>
        <w:rPr>
          <w:rFonts w:ascii="Arial" w:eastAsia="Times New Roman" w:hAnsi="Arial" w:cs="Arial"/>
          <w:b/>
          <w:bCs/>
          <w:i/>
          <w:iCs/>
          <w:sz w:val="14"/>
          <w:szCs w:val="14"/>
          <w:lang w:eastAsia="en-GB"/>
        </w:rPr>
      </w:pPr>
    </w:p>
    <w:p w:rsidR="00D14928" w:rsidRDefault="00D14928" w:rsidP="00D14928">
      <w:pPr>
        <w:spacing w:before="100" w:beforeAutospacing="1" w:after="100" w:afterAutospacing="1" w:line="240" w:lineRule="auto"/>
        <w:rPr>
          <w:rFonts w:ascii="Arial" w:eastAsia="Times New Roman" w:hAnsi="Arial" w:cs="Arial"/>
          <w:b/>
          <w:bCs/>
          <w:i/>
          <w:iCs/>
          <w:sz w:val="14"/>
          <w:szCs w:val="14"/>
          <w:lang w:eastAsia="en-GB"/>
        </w:rPr>
      </w:pPr>
    </w:p>
    <w:p w:rsidR="00D14928" w:rsidRDefault="00D14928" w:rsidP="00D14928">
      <w:pPr>
        <w:spacing w:before="100" w:beforeAutospacing="1" w:after="100" w:afterAutospacing="1" w:line="240" w:lineRule="auto"/>
        <w:rPr>
          <w:rFonts w:ascii="Arial" w:eastAsia="Times New Roman" w:hAnsi="Arial" w:cs="Arial"/>
          <w:b/>
          <w:bCs/>
          <w:i/>
          <w:iCs/>
          <w:sz w:val="14"/>
          <w:szCs w:val="14"/>
          <w:lang w:eastAsia="en-GB"/>
        </w:rPr>
      </w:pPr>
    </w:p>
    <w:p w:rsidR="00D14928" w:rsidRDefault="00D14928" w:rsidP="00D14928">
      <w:pPr>
        <w:spacing w:before="100" w:beforeAutospacing="1" w:after="100" w:afterAutospacing="1" w:line="240" w:lineRule="auto"/>
        <w:rPr>
          <w:rFonts w:ascii="Arial" w:eastAsia="Times New Roman" w:hAnsi="Arial" w:cs="Arial"/>
          <w:b/>
          <w:bCs/>
          <w:i/>
          <w:iCs/>
          <w:sz w:val="14"/>
          <w:szCs w:val="14"/>
          <w:lang w:eastAsia="en-GB"/>
        </w:rPr>
      </w:pPr>
    </w:p>
    <w:p w:rsidR="00D14928" w:rsidRDefault="00D14928" w:rsidP="00D14928">
      <w:pPr>
        <w:spacing w:before="100" w:beforeAutospacing="1" w:after="100" w:afterAutospacing="1" w:line="240" w:lineRule="auto"/>
        <w:rPr>
          <w:rFonts w:ascii="Arial" w:eastAsia="Times New Roman" w:hAnsi="Arial" w:cs="Arial"/>
          <w:b/>
          <w:bCs/>
          <w:i/>
          <w:iCs/>
          <w:sz w:val="14"/>
          <w:szCs w:val="14"/>
          <w:lang w:eastAsia="en-GB"/>
        </w:rPr>
      </w:pPr>
    </w:p>
    <w:p w:rsidR="00D14928" w:rsidRDefault="00D14928" w:rsidP="00D14928">
      <w:pPr>
        <w:spacing w:before="100" w:beforeAutospacing="1" w:after="100" w:afterAutospacing="1" w:line="240" w:lineRule="auto"/>
        <w:rPr>
          <w:rFonts w:ascii="Arial" w:eastAsia="Times New Roman" w:hAnsi="Arial" w:cs="Arial"/>
          <w:b/>
          <w:bCs/>
          <w:i/>
          <w:iCs/>
          <w:sz w:val="14"/>
          <w:szCs w:val="14"/>
          <w:lang w:eastAsia="en-GB"/>
        </w:rPr>
      </w:pPr>
    </w:p>
    <w:p w:rsidR="00D14928" w:rsidRDefault="00D14928" w:rsidP="00D14928">
      <w:pPr>
        <w:spacing w:before="100" w:beforeAutospacing="1" w:after="100" w:afterAutospacing="1" w:line="240" w:lineRule="auto"/>
        <w:rPr>
          <w:rFonts w:ascii="Arial" w:eastAsia="Times New Roman" w:hAnsi="Arial" w:cs="Arial"/>
          <w:b/>
          <w:bCs/>
          <w:i/>
          <w:iCs/>
          <w:sz w:val="14"/>
          <w:szCs w:val="14"/>
          <w:lang w:eastAsia="en-GB"/>
        </w:rPr>
      </w:pPr>
    </w:p>
    <w:p w:rsidR="00D14928" w:rsidRDefault="00D14928" w:rsidP="00D14928">
      <w:pPr>
        <w:spacing w:before="100" w:beforeAutospacing="1" w:after="100" w:afterAutospacing="1" w:line="240" w:lineRule="auto"/>
        <w:rPr>
          <w:rFonts w:ascii="Arial" w:eastAsia="Times New Roman" w:hAnsi="Arial" w:cs="Arial"/>
          <w:b/>
          <w:bCs/>
          <w:i/>
          <w:iCs/>
          <w:sz w:val="14"/>
          <w:szCs w:val="14"/>
          <w:lang w:eastAsia="en-GB"/>
        </w:rPr>
      </w:pPr>
    </w:p>
    <w:p w:rsidR="00D14928" w:rsidRDefault="00D14928" w:rsidP="00D14928">
      <w:pPr>
        <w:spacing w:before="100" w:beforeAutospacing="1" w:after="100" w:afterAutospacing="1" w:line="240" w:lineRule="auto"/>
        <w:rPr>
          <w:rFonts w:ascii="Arial" w:eastAsia="Times New Roman" w:hAnsi="Arial" w:cs="Arial"/>
          <w:b/>
          <w:bCs/>
          <w:i/>
          <w:iCs/>
          <w:sz w:val="14"/>
          <w:szCs w:val="14"/>
          <w:lang w:eastAsia="en-GB"/>
        </w:rPr>
      </w:pPr>
    </w:p>
    <w:p w:rsidR="00D14928" w:rsidRDefault="00D14928" w:rsidP="00D14928">
      <w:pPr>
        <w:spacing w:before="100" w:beforeAutospacing="1" w:after="100" w:afterAutospacing="1" w:line="240" w:lineRule="auto"/>
        <w:rPr>
          <w:rFonts w:ascii="Arial" w:eastAsia="Times New Roman" w:hAnsi="Arial" w:cs="Arial"/>
          <w:b/>
          <w:bCs/>
          <w:i/>
          <w:iCs/>
          <w:sz w:val="14"/>
          <w:szCs w:val="14"/>
          <w:lang w:eastAsia="en-GB"/>
        </w:rPr>
      </w:pPr>
    </w:p>
    <w:p w:rsidR="00D14928" w:rsidRPr="00D14928" w:rsidRDefault="00D14928" w:rsidP="00D14928">
      <w:pPr>
        <w:spacing w:before="100" w:beforeAutospacing="1" w:after="100" w:afterAutospacing="1" w:line="240" w:lineRule="auto"/>
        <w:rPr>
          <w:rFonts w:ascii="Times New Roman" w:eastAsia="Times New Roman" w:hAnsi="Times New Roman" w:cs="Times New Roman"/>
          <w:b/>
          <w:bCs/>
          <w:i/>
          <w:iCs/>
          <w:sz w:val="24"/>
          <w:szCs w:val="24"/>
          <w:lang w:eastAsia="en-GB"/>
        </w:rPr>
      </w:pPr>
      <w:r w:rsidRPr="00D14928">
        <w:rPr>
          <w:rFonts w:ascii="Arial" w:eastAsia="Times New Roman" w:hAnsi="Arial" w:cs="Arial"/>
          <w:b/>
          <w:bCs/>
          <w:color w:val="000000"/>
          <w:sz w:val="24"/>
          <w:szCs w:val="24"/>
          <w:lang w:eastAsia="en-GB"/>
        </w:rPr>
        <w:lastRenderedPageBreak/>
        <w:t>Results by Business</w:t>
      </w:r>
    </w:p>
    <w:tbl>
      <w:tblPr>
        <w:tblW w:w="0" w:type="auto"/>
        <w:tblInd w:w="-36" w:type="dxa"/>
        <w:tblCellMar>
          <w:left w:w="0" w:type="dxa"/>
          <w:right w:w="0" w:type="dxa"/>
        </w:tblCellMar>
        <w:tblLook w:val="04A0" w:firstRow="1" w:lastRow="0" w:firstColumn="1" w:lastColumn="0" w:noHBand="0" w:noVBand="1"/>
      </w:tblPr>
      <w:tblGrid>
        <w:gridCol w:w="4180"/>
        <w:gridCol w:w="787"/>
        <w:gridCol w:w="790"/>
        <w:gridCol w:w="789"/>
        <w:gridCol w:w="937"/>
        <w:gridCol w:w="786"/>
        <w:gridCol w:w="78"/>
        <w:gridCol w:w="787"/>
      </w:tblGrid>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before="60"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xml:space="preserve">Corporate Banking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w:t>
            </w:r>
            <w:r w:rsidRPr="00D14928">
              <w:rPr>
                <w:rFonts w:ascii="Arial" w:eastAsia="Times New Roman" w:hAnsi="Arial" w:cs="Arial"/>
                <w:b/>
                <w:bCs/>
                <w:color w:val="000000"/>
                <w:sz w:val="19"/>
                <w:szCs w:val="19"/>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2535" w:type="dxa"/>
            <w:gridSpan w:val="3"/>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Restatement Adjustments</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195"/>
        <w:gridCol w:w="837"/>
        <w:gridCol w:w="793"/>
        <w:gridCol w:w="846"/>
        <w:gridCol w:w="795"/>
        <w:gridCol w:w="795"/>
        <w:gridCol w:w="78"/>
        <w:gridCol w:w="795"/>
      </w:tblGrid>
      <w:tr w:rsidR="00D14928" w:rsidRPr="00D14928" w:rsidTr="00D14928">
        <w:trPr>
          <w:trHeight w:val="750"/>
        </w:trPr>
        <w:tc>
          <w:tcPr>
            <w:tcW w:w="421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Income Statement Information </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Published</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IFRS 10</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and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IAS 19</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Head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Office</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Allocation</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Group</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Structure</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2011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Restated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interest income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1,870 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67 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1,911 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2,298 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fee and commission income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955 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998 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1,041 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trading income/(expense)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65 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(90)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investment income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29 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income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37 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income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2,918 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(26)</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154 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3,046 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3,315 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charges and other provisions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(872)</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(885)</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(1,150)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Net operating income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2,046 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(26)</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141 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2,161 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2,165 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51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Operating expenses (excluding goodwill impairment and provision for interest rate hedging products redress)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(1,505)</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(111)</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(1,672)</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(1,933)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Goodwill impairment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(123)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Provision for interest rate hedging products redress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(850)</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(850)</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bank levy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(43)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Operating expenses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(2,355)</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(85)</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(111)</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(2,561)</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(2,099)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net income/(expense)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(71)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(Loss) before tax</w:t>
            </w:r>
            <w:r w:rsidRPr="00D14928">
              <w:rPr>
                <w:rFonts w:ascii="Arial" w:eastAsia="Times New Roman" w:hAnsi="Arial" w:cs="Arial"/>
                <w:color w:val="000000"/>
                <w:sz w:val="16"/>
                <w:szCs w:val="16"/>
                <w:vertAlign w:val="superscript"/>
                <w:lang w:eastAsia="en-GB"/>
              </w:rPr>
              <w:t xml:space="preserv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(299)</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(111)</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30 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(390)</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(5)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color w:val="000000"/>
                <w:sz w:val="20"/>
                <w:szCs w:val="20"/>
                <w:vertAlign w:val="superscript"/>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Adjusted profit before tax</w:t>
            </w:r>
            <w:r w:rsidRPr="00D14928">
              <w:rPr>
                <w:rFonts w:ascii="Arial" w:eastAsia="Times New Roman" w:hAnsi="Arial" w:cs="Arial"/>
                <w:b/>
                <w:bCs/>
                <w:color w:val="000000"/>
                <w:sz w:val="13"/>
                <w:szCs w:val="13"/>
                <w:vertAlign w:val="superscript"/>
                <w:lang w:eastAsia="en-GB"/>
              </w:rPr>
              <w:t>1 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551 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(111)</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30 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460 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191 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b/>
                <w:bCs/>
                <w:color w:val="000000"/>
                <w:sz w:val="16"/>
                <w:szCs w:val="16"/>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Adjusted profit/(loss) before tax by geographic segment</w:t>
            </w:r>
            <w:r w:rsidRPr="00D14928">
              <w:rPr>
                <w:rFonts w:ascii="Arial" w:eastAsia="Times New Roman" w:hAnsi="Arial" w:cs="Arial"/>
                <w:b/>
                <w:bCs/>
                <w:color w:val="000000"/>
                <w:sz w:val="13"/>
                <w:szCs w:val="13"/>
                <w:vertAlign w:val="superscript"/>
                <w:lang w:eastAsia="en-GB"/>
              </w:rPr>
              <w:t>1 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910 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(69)</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831 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719 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Europe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(381)</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(404)</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(529)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Rest of the World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Corporate Banking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551 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(111)</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30 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460 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191 </w:t>
            </w:r>
            <w:r w:rsidRPr="00D14928">
              <w:rPr>
                <w:rFonts w:ascii="Arial" w:eastAsia="Times New Roman" w:hAnsi="Arial" w:cs="Arial"/>
                <w:color w:val="000000"/>
                <w:sz w:val="16"/>
                <w:szCs w:val="16"/>
                <w:vertAlign w:val="superscript"/>
                <w:lang w:eastAsia="en-GB"/>
              </w:rPr>
              <w:t xml:space="preserve">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b/>
                <w:bCs/>
                <w:color w:val="000000"/>
                <w:sz w:val="16"/>
                <w:szCs w:val="16"/>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Balance Sheet Information </w:t>
            </w:r>
            <w:r w:rsidRPr="00D14928">
              <w:rPr>
                <w:rFonts w:ascii="Arial" w:eastAsia="Times New Roman" w:hAnsi="Arial" w:cs="Arial"/>
                <w:b/>
                <w:bCs/>
                <w:color w:val="000000"/>
                <w:sz w:val="16"/>
                <w:szCs w:val="16"/>
                <w:vertAlign w:val="superscript"/>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Loans and advances to customers at amortised cost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62.9 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64.3 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68.3 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Loans and advances to customers at fair value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17.6 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17.2 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Customer deposits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97.1 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99.6 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87.5 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assets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86.3 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(0.9)</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87.8 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92.9 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Risk weighted assets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68.0 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0.2 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75.4 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b/>
                <w:bCs/>
                <w:color w:val="000000"/>
                <w:sz w:val="16"/>
                <w:szCs w:val="16"/>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Performance Measures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Adjusted return on average equity</w:t>
            </w:r>
            <w:r w:rsidRPr="00D14928">
              <w:rPr>
                <w:rFonts w:ascii="Arial" w:eastAsia="Times New Roman" w:hAnsi="Arial" w:cs="Arial"/>
                <w:color w:val="000000"/>
                <w:sz w:val="13"/>
                <w:szCs w:val="13"/>
                <w:vertAlign w:val="superscript"/>
                <w:lang w:eastAsia="en-GB"/>
              </w:rPr>
              <w:t>1 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5.5%</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0.4%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Adjusted return on average risk weighted assets</w:t>
            </w:r>
            <w:r w:rsidRPr="00D14928">
              <w:rPr>
                <w:rFonts w:ascii="Arial" w:eastAsia="Times New Roman" w:hAnsi="Arial" w:cs="Arial"/>
                <w:color w:val="000000"/>
                <w:sz w:val="13"/>
                <w:szCs w:val="13"/>
                <w:vertAlign w:val="superscript"/>
                <w:lang w:eastAsia="en-GB"/>
              </w:rPr>
              <w:t>1 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0.6%</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0.5%</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0.2%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Adjusted cost: income ratio</w:t>
            </w:r>
            <w:r w:rsidRPr="00D14928">
              <w:rPr>
                <w:rFonts w:ascii="Arial" w:eastAsia="Times New Roman" w:hAnsi="Arial" w:cs="Arial"/>
                <w:color w:val="000000"/>
                <w:sz w:val="13"/>
                <w:szCs w:val="13"/>
                <w:vertAlign w:val="superscript"/>
                <w:lang w:eastAsia="en-GB"/>
              </w:rPr>
              <w:t>1 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52%</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56%</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60%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Return on average equity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(3.7%)</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(5.4%)</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(2.0%)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Return on average risk weighted assets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(0.3%)</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(0.4%)</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(0.1%)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Cost: income ratio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81%</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84%</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63%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 loss rate (bps)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128 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153 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Number of employees (full time equivalent)</w:t>
            </w:r>
            <w:r w:rsidRPr="00D14928">
              <w:rPr>
                <w:rFonts w:ascii="Arial" w:eastAsia="Times New Roman" w:hAnsi="Arial" w:cs="Arial"/>
                <w:color w:val="000000"/>
                <w:sz w:val="13"/>
                <w:szCs w:val="13"/>
                <w:vertAlign w:val="superscript"/>
                <w:lang w:eastAsia="en-GB"/>
              </w:rPr>
              <w:t>2 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10,300 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200 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2,500 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13,000 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14,000  </w:t>
            </w:r>
          </w:p>
        </w:tc>
      </w:tr>
    </w:tbl>
    <w:p w:rsidR="00D14928" w:rsidRPr="00D14928" w:rsidRDefault="00D14928" w:rsidP="00D14928">
      <w:pPr>
        <w:spacing w:after="0" w:line="240" w:lineRule="auto"/>
        <w:rPr>
          <w:rFonts w:ascii="Arial" w:eastAsia="Times New Roman" w:hAnsi="Arial" w:cs="Arial"/>
          <w:b/>
          <w:bCs/>
          <w:i/>
          <w:iCs/>
          <w:sz w:val="2"/>
          <w:szCs w:val="2"/>
          <w:lang w:eastAsia="en-GB"/>
        </w:rPr>
      </w:pPr>
      <w:r w:rsidRPr="00D14928">
        <w:rPr>
          <w:rFonts w:ascii="Arial" w:eastAsia="Times New Roman" w:hAnsi="Arial" w:cs="Arial"/>
          <w:b/>
          <w:bCs/>
          <w:i/>
          <w:iCs/>
          <w:sz w:val="14"/>
          <w:szCs w:val="14"/>
          <w:lang w:eastAsia="en-GB"/>
        </w:rPr>
        <w:t> </w:t>
      </w:r>
    </w:p>
    <w:p w:rsidR="00D14928" w:rsidRPr="00D14928" w:rsidRDefault="00D14928" w:rsidP="00D14928">
      <w:pPr>
        <w:spacing w:after="0" w:line="240" w:lineRule="auto"/>
        <w:rPr>
          <w:rFonts w:ascii="Times New Roman" w:eastAsia="Times New Roman" w:hAnsi="Times New Roman" w:cs="Times New Roman"/>
          <w:b/>
          <w:bCs/>
          <w:i/>
          <w:iCs/>
          <w:sz w:val="24"/>
          <w:szCs w:val="24"/>
          <w:lang w:eastAsia="en-GB"/>
        </w:rPr>
      </w:pPr>
      <w:r w:rsidRPr="00D14928">
        <w:rPr>
          <w:rFonts w:ascii="Times New Roman" w:eastAsia="Times New Roman" w:hAnsi="Times New Roman" w:cs="Times New Roman"/>
          <w:b/>
          <w:bCs/>
          <w:i/>
          <w:iCs/>
          <w:sz w:val="14"/>
          <w:szCs w:val="14"/>
          <w:lang w:eastAsia="en-GB"/>
        </w:rPr>
        <w:t> </w:t>
      </w:r>
    </w:p>
    <w:p w:rsidR="00D14928" w:rsidRPr="00D14928" w:rsidRDefault="00D14928" w:rsidP="00D14928">
      <w:pPr>
        <w:spacing w:after="0" w:line="240" w:lineRule="auto"/>
        <w:ind w:left="1418"/>
        <w:jc w:val="both"/>
        <w:rPr>
          <w:rFonts w:ascii="Arial" w:eastAsia="Times New Roman" w:hAnsi="Arial" w:cs="Arial"/>
          <w:b/>
          <w:bCs/>
          <w:i/>
          <w:iCs/>
          <w:color w:val="000000"/>
          <w:sz w:val="24"/>
          <w:szCs w:val="24"/>
          <w:lang w:eastAsia="en-GB"/>
        </w:rPr>
      </w:pPr>
      <w:r w:rsidRPr="00D14928">
        <w:rPr>
          <w:rFonts w:ascii="Arial" w:eastAsia="Times New Roman" w:hAnsi="Arial" w:cs="Arial"/>
          <w:i/>
          <w:iCs/>
          <w:color w:val="000000"/>
          <w:sz w:val="14"/>
          <w:szCs w:val="14"/>
          <w:lang w:eastAsia="en-GB"/>
        </w:rPr>
        <w:t> </w:t>
      </w:r>
    </w:p>
    <w:p w:rsidR="00D14928" w:rsidRPr="00D14928" w:rsidRDefault="00D14928" w:rsidP="00D14928">
      <w:pPr>
        <w:spacing w:after="0" w:line="240" w:lineRule="auto"/>
        <w:ind w:left="142" w:hanging="284"/>
        <w:jc w:val="both"/>
        <w:rPr>
          <w:rFonts w:ascii="Arial" w:eastAsia="Times New Roman" w:hAnsi="Arial" w:cs="Arial"/>
          <w:b/>
          <w:bCs/>
          <w:color w:val="000000"/>
          <w:sz w:val="24"/>
          <w:szCs w:val="24"/>
          <w:lang w:eastAsia="en-GB"/>
        </w:rPr>
      </w:pPr>
      <w:r w:rsidRPr="00D14928">
        <w:rPr>
          <w:rFonts w:ascii="Arial" w:eastAsia="Times New Roman" w:hAnsi="Arial" w:cs="Arial"/>
          <w:i/>
          <w:iCs/>
          <w:color w:val="000000"/>
          <w:sz w:val="14"/>
          <w:szCs w:val="14"/>
          <w:lang w:eastAsia="en-GB"/>
        </w:rPr>
        <w:lastRenderedPageBreak/>
        <w:t>1        Adjusted profit before tax and adjusted performance measures exclude the impact of goodwill impairment of £nil (2011: £123m), provision for interest rate hedging products redress of £850m (2011: £nil) and loss on disposal of £nil (2011: £73m).</w:t>
      </w:r>
    </w:p>
    <w:p w:rsidR="00D14928" w:rsidRPr="00D14928" w:rsidRDefault="00D14928" w:rsidP="00D14928">
      <w:pPr>
        <w:spacing w:after="20" w:line="240" w:lineRule="auto"/>
        <w:ind w:left="142" w:hanging="284"/>
        <w:jc w:val="both"/>
        <w:rPr>
          <w:rFonts w:ascii="Arial" w:eastAsia="Times New Roman" w:hAnsi="Arial" w:cs="Arial"/>
          <w:b/>
          <w:bCs/>
          <w:i/>
          <w:iCs/>
          <w:color w:val="000000"/>
          <w:sz w:val="24"/>
          <w:szCs w:val="24"/>
          <w:lang w:eastAsia="en-GB"/>
        </w:rPr>
      </w:pPr>
      <w:r w:rsidRPr="00D14928">
        <w:rPr>
          <w:rFonts w:ascii="Arial" w:eastAsia="Times New Roman" w:hAnsi="Arial" w:cs="Arial"/>
          <w:i/>
          <w:iCs/>
          <w:color w:val="000000"/>
          <w:sz w:val="14"/>
          <w:szCs w:val="14"/>
          <w:lang w:eastAsia="en-GB"/>
        </w:rPr>
        <w:t>2       Allocation of full time equivalent employees by business has changed as outlined in the Overview of Reporting Changes, the impact of which is reflected within Group Structure changes.</w:t>
      </w:r>
    </w:p>
    <w:p w:rsidR="00D14928" w:rsidRDefault="00D14928" w:rsidP="00D14928">
      <w:pPr>
        <w:spacing w:line="240" w:lineRule="auto"/>
        <w:jc w:val="both"/>
        <w:rPr>
          <w:rFonts w:ascii="Arial" w:eastAsia="Times New Roman" w:hAnsi="Arial" w:cs="Arial"/>
          <w:color w:val="000000"/>
          <w:sz w:val="24"/>
          <w:szCs w:val="24"/>
          <w:lang w:eastAsia="en-GB"/>
        </w:rPr>
      </w:pPr>
    </w:p>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4245"/>
        <w:gridCol w:w="570"/>
        <w:gridCol w:w="570"/>
        <w:gridCol w:w="570"/>
        <w:gridCol w:w="570"/>
        <w:gridCol w:w="78"/>
        <w:gridCol w:w="570"/>
        <w:gridCol w:w="570"/>
        <w:gridCol w:w="570"/>
        <w:gridCol w:w="570"/>
      </w:tblGrid>
      <w:tr w:rsidR="00D14928" w:rsidRPr="00D14928" w:rsidTr="00D14928">
        <w:trPr>
          <w:trHeight w:val="240"/>
        </w:trPr>
        <w:tc>
          <w:tcPr>
            <w:tcW w:w="4245" w:type="dxa"/>
            <w:tcMar>
              <w:top w:w="0" w:type="dxa"/>
              <w:left w:w="36" w:type="dxa"/>
              <w:bottom w:w="0" w:type="dxa"/>
              <w:right w:w="36" w:type="dxa"/>
            </w:tcMar>
            <w:vAlign w:val="center"/>
            <w:hideMark/>
          </w:tcPr>
          <w:p w:rsidR="00D14928" w:rsidRPr="00D14928" w:rsidRDefault="00D14928" w:rsidP="00D14928">
            <w:pPr>
              <w:spacing w:before="60"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xml:space="preserve">Corporate Banking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r w:rsidR="00D14928" w:rsidRPr="00D14928" w:rsidTr="00D14928">
        <w:trPr>
          <w:trHeight w:val="240"/>
        </w:trPr>
        <w:tc>
          <w:tcPr>
            <w:tcW w:w="42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w:t>
            </w:r>
            <w:r w:rsidRPr="00D14928">
              <w:rPr>
                <w:rFonts w:ascii="Arial" w:eastAsia="Times New Roman" w:hAnsi="Arial" w:cs="Arial"/>
                <w:b/>
                <w:bCs/>
                <w:color w:val="000000"/>
                <w:sz w:val="19"/>
                <w:szCs w:val="19"/>
                <w:vertAlign w:val="superscript"/>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r w:rsidR="00D14928" w:rsidRPr="00D14928" w:rsidTr="00D14928">
        <w:trPr>
          <w:trHeight w:val="240"/>
        </w:trPr>
        <w:tc>
          <w:tcPr>
            <w:tcW w:w="424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Restated Income Statement Information </w:t>
            </w:r>
          </w:p>
        </w:tc>
        <w:tc>
          <w:tcPr>
            <w:tcW w:w="57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Q412</w:t>
            </w:r>
          </w:p>
        </w:tc>
        <w:tc>
          <w:tcPr>
            <w:tcW w:w="57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Q312</w:t>
            </w:r>
          </w:p>
        </w:tc>
        <w:tc>
          <w:tcPr>
            <w:tcW w:w="57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Q212</w:t>
            </w:r>
          </w:p>
        </w:tc>
        <w:tc>
          <w:tcPr>
            <w:tcW w:w="57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Q112</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Q411</w:t>
            </w:r>
          </w:p>
        </w:tc>
        <w:tc>
          <w:tcPr>
            <w:tcW w:w="57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Q311</w:t>
            </w:r>
          </w:p>
        </w:tc>
        <w:tc>
          <w:tcPr>
            <w:tcW w:w="57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Q211</w:t>
            </w:r>
          </w:p>
        </w:tc>
        <w:tc>
          <w:tcPr>
            <w:tcW w:w="57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Q111 </w:t>
            </w:r>
          </w:p>
        </w:tc>
      </w:tr>
      <w:tr w:rsidR="00D14928" w:rsidRPr="00D14928" w:rsidTr="00D14928">
        <w:trPr>
          <w:trHeight w:val="240"/>
        </w:trPr>
        <w:tc>
          <w:tcPr>
            <w:tcW w:w="4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4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Adjusted Basis</w:t>
            </w:r>
            <w:r w:rsidRPr="00D14928">
              <w:rPr>
                <w:rFonts w:ascii="Arial" w:eastAsia="Times New Roman" w:hAnsi="Arial" w:cs="Arial"/>
                <w:color w:val="000000"/>
                <w:sz w:val="16"/>
                <w:szCs w:val="16"/>
                <w:vertAlign w:val="superscript"/>
                <w:lang w:eastAsia="en-GB"/>
              </w:rPr>
              <w:t xml:space="preserve">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2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income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746 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717 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734 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849 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753 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902 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866 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794  </w:t>
            </w:r>
          </w:p>
        </w:tc>
      </w:tr>
      <w:tr w:rsidR="00D14928" w:rsidRPr="00D14928" w:rsidTr="00D14928">
        <w:trPr>
          <w:trHeight w:val="240"/>
        </w:trPr>
        <w:tc>
          <w:tcPr>
            <w:tcW w:w="4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charges and other provisions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(240)</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(214)</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(223)</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(208)</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(252)</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(284)</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(328)</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(286) </w:t>
            </w:r>
          </w:p>
        </w:tc>
      </w:tr>
      <w:tr w:rsidR="00D14928" w:rsidRPr="00D14928" w:rsidTr="00D14928">
        <w:trPr>
          <w:trHeight w:val="240"/>
        </w:trPr>
        <w:tc>
          <w:tcPr>
            <w:tcW w:w="4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Net operating income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506 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503 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511 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641 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501 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618 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538 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508  </w:t>
            </w:r>
          </w:p>
        </w:tc>
      </w:tr>
      <w:tr w:rsidR="00D14928" w:rsidRPr="00D14928" w:rsidTr="00D14928">
        <w:trPr>
          <w:trHeight w:val="255"/>
        </w:trPr>
        <w:tc>
          <w:tcPr>
            <w:tcW w:w="42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Operating expenses (excluding bank levy)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(412)</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(421)</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(402)</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(437)</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(469)</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(480)</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(503)</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(481) </w:t>
            </w:r>
          </w:p>
        </w:tc>
      </w:tr>
      <w:tr w:rsidR="00D14928" w:rsidRPr="00D14928" w:rsidTr="00D14928">
        <w:trPr>
          <w:trHeight w:val="255"/>
        </w:trPr>
        <w:tc>
          <w:tcPr>
            <w:tcW w:w="42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bank levy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4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net income/(expense)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 </w:t>
            </w:r>
          </w:p>
        </w:tc>
      </w:tr>
      <w:tr w:rsidR="00D14928" w:rsidRPr="00D14928" w:rsidTr="00D14928">
        <w:trPr>
          <w:trHeight w:val="240"/>
        </w:trPr>
        <w:tc>
          <w:tcPr>
            <w:tcW w:w="4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Profit/(loss) before tax</w:t>
            </w:r>
            <w:r w:rsidRPr="00D14928">
              <w:rPr>
                <w:rFonts w:ascii="Arial" w:eastAsia="Times New Roman" w:hAnsi="Arial" w:cs="Arial"/>
                <w:color w:val="000000"/>
                <w:sz w:val="16"/>
                <w:szCs w:val="16"/>
                <w:vertAlign w:val="superscript"/>
                <w:lang w:eastAsia="en-GB"/>
              </w:rPr>
              <w:t xml:space="preserve">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61 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88 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108 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140 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37 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24  </w:t>
            </w:r>
          </w:p>
        </w:tc>
      </w:tr>
      <w:tr w:rsidR="00D14928" w:rsidRPr="00D14928" w:rsidTr="00D14928">
        <w:trPr>
          <w:trHeight w:val="240"/>
        </w:trPr>
        <w:tc>
          <w:tcPr>
            <w:tcW w:w="42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b/>
                <w:bCs/>
                <w:color w:val="000000"/>
                <w:sz w:val="16"/>
                <w:szCs w:val="16"/>
                <w:vertAlign w:val="superscript"/>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2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Adjusted profit/(loss) before tax by geographic segment</w:t>
            </w:r>
            <w:r w:rsidRPr="00D14928">
              <w:rPr>
                <w:rFonts w:ascii="Arial" w:eastAsia="Times New Roman" w:hAnsi="Arial" w:cs="Arial"/>
                <w:b/>
                <w:bCs/>
                <w:color w:val="000000"/>
                <w:sz w:val="20"/>
                <w:szCs w:val="20"/>
                <w:vertAlign w:val="superscript"/>
                <w:lang w:eastAsia="en-GB"/>
              </w:rPr>
              <w:t xml:space="preserve">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198 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182 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201 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125 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190 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201 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203  </w:t>
            </w:r>
          </w:p>
        </w:tc>
      </w:tr>
      <w:tr w:rsidR="00D14928" w:rsidRPr="00D14928" w:rsidTr="00D14928">
        <w:trPr>
          <w:trHeight w:val="240"/>
        </w:trPr>
        <w:tc>
          <w:tcPr>
            <w:tcW w:w="42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Europe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(107)</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(111)</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(107)</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(79)</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(103)</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(69)</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(166)</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(191) </w:t>
            </w:r>
          </w:p>
        </w:tc>
      </w:tr>
      <w:tr w:rsidR="00D14928" w:rsidRPr="00D14928" w:rsidTr="00D14928">
        <w:trPr>
          <w:trHeight w:val="240"/>
        </w:trPr>
        <w:tc>
          <w:tcPr>
            <w:tcW w:w="4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Rest of the World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12  </w:t>
            </w:r>
          </w:p>
        </w:tc>
      </w:tr>
      <w:tr w:rsidR="00D14928" w:rsidRPr="00D14928" w:rsidTr="00D14928">
        <w:trPr>
          <w:trHeight w:val="240"/>
        </w:trPr>
        <w:tc>
          <w:tcPr>
            <w:tcW w:w="4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Corporate Banking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61 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88 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108 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140 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37 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24 </w:t>
            </w:r>
            <w:r w:rsidRPr="00D14928">
              <w:rPr>
                <w:rFonts w:ascii="Arial" w:eastAsia="Times New Roman" w:hAnsi="Arial" w:cs="Arial"/>
                <w:color w:val="000000"/>
                <w:sz w:val="16"/>
                <w:szCs w:val="16"/>
                <w:vertAlign w:val="superscript"/>
                <w:lang w:eastAsia="en-GB"/>
              </w:rPr>
              <w:t xml:space="preserve"> </w:t>
            </w:r>
          </w:p>
        </w:tc>
      </w:tr>
      <w:tr w:rsidR="00D14928" w:rsidRPr="00D14928" w:rsidTr="00D14928">
        <w:trPr>
          <w:trHeight w:val="240"/>
        </w:trPr>
        <w:tc>
          <w:tcPr>
            <w:tcW w:w="42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r>
      <w:tr w:rsidR="00D14928" w:rsidRPr="00D14928" w:rsidTr="00D14928">
        <w:trPr>
          <w:trHeight w:val="240"/>
        </w:trPr>
        <w:tc>
          <w:tcPr>
            <w:tcW w:w="42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Adjusting Items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r>
      <w:tr w:rsidR="00D14928" w:rsidRPr="00D14928" w:rsidTr="00D14928">
        <w:trPr>
          <w:trHeight w:val="240"/>
        </w:trPr>
        <w:tc>
          <w:tcPr>
            <w:tcW w:w="4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Goodwill impairment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(123)</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42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Provision for interest rate hedging products redress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(400)</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(450)</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4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Losses on disposal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(64)</w:t>
            </w:r>
          </w:p>
        </w:tc>
        <w:tc>
          <w:tcPr>
            <w:tcW w:w="57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4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Statutory (loss)/profit before tax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(339)</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88 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(342)</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(142)</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140 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(27)</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24 </w:t>
            </w:r>
            <w:r w:rsidRPr="00D14928">
              <w:rPr>
                <w:rFonts w:ascii="Arial" w:eastAsia="Times New Roman" w:hAnsi="Arial" w:cs="Arial"/>
                <w:color w:val="000000"/>
                <w:sz w:val="16"/>
                <w:szCs w:val="16"/>
                <w:vertAlign w:val="superscript"/>
                <w:lang w:eastAsia="en-GB"/>
              </w:rPr>
              <w:t xml:space="preserve"> </w:t>
            </w:r>
          </w:p>
        </w:tc>
      </w:tr>
      <w:tr w:rsidR="00D14928" w:rsidRPr="00D14928" w:rsidTr="00D14928">
        <w:trPr>
          <w:trHeight w:val="240"/>
        </w:trPr>
        <w:tc>
          <w:tcPr>
            <w:tcW w:w="42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55"/>
        </w:trPr>
        <w:tc>
          <w:tcPr>
            <w:tcW w:w="42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Restated Balance Sheet Information </w:t>
            </w:r>
            <w:r w:rsidRPr="00D14928">
              <w:rPr>
                <w:rFonts w:ascii="Arial" w:eastAsia="Times New Roman" w:hAnsi="Arial" w:cs="Arial"/>
                <w:b/>
                <w:bCs/>
                <w:color w:val="000000"/>
                <w:sz w:val="16"/>
                <w:szCs w:val="16"/>
                <w:vertAlign w:val="superscript"/>
                <w:lang w:eastAsia="en-GB"/>
              </w:rPr>
              <w:t> </w:t>
            </w: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57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4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Loans and advances to customers at amortised cost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64.3 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63.6 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65.6 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67.5 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68.3 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68.1 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67.6 </w:t>
            </w:r>
          </w:p>
        </w:tc>
        <w:tc>
          <w:tcPr>
            <w:tcW w:w="57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69.2  </w:t>
            </w:r>
          </w:p>
        </w:tc>
      </w:tr>
      <w:tr w:rsidR="00D14928" w:rsidRPr="00D14928" w:rsidTr="00D14928">
        <w:trPr>
          <w:trHeight w:val="240"/>
        </w:trPr>
        <w:tc>
          <w:tcPr>
            <w:tcW w:w="42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Loans and advances to customers at fair value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17.6 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17.5 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17.3 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17.2 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17.3 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14.4 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14.4  </w:t>
            </w:r>
          </w:p>
        </w:tc>
      </w:tr>
      <w:tr w:rsidR="00D14928" w:rsidRPr="00D14928" w:rsidTr="00D14928">
        <w:trPr>
          <w:trHeight w:val="240"/>
        </w:trPr>
        <w:tc>
          <w:tcPr>
            <w:tcW w:w="42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Customer deposits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99.6 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93.9 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90.9 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86.2 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87.5 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84.7 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86.9 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82.5  </w:t>
            </w:r>
          </w:p>
        </w:tc>
      </w:tr>
      <w:tr w:rsidR="00D14928" w:rsidRPr="00D14928" w:rsidTr="00D14928">
        <w:trPr>
          <w:trHeight w:val="240"/>
        </w:trPr>
        <w:tc>
          <w:tcPr>
            <w:tcW w:w="42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assets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87.8 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87.7 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89.9 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91.9 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92.9 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92.6 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89.3 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89.9  </w:t>
            </w:r>
          </w:p>
        </w:tc>
      </w:tr>
      <w:tr w:rsidR="00D14928" w:rsidRPr="00D14928" w:rsidTr="00D14928">
        <w:trPr>
          <w:trHeight w:val="240"/>
        </w:trPr>
        <w:tc>
          <w:tcPr>
            <w:tcW w:w="42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Risk weighted assets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70.9 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67.2 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72.3 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75.4 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74.4 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74.6 </w:t>
            </w:r>
          </w:p>
        </w:tc>
        <w:tc>
          <w:tcPr>
            <w:tcW w:w="57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73.2  </w:t>
            </w:r>
          </w:p>
        </w:tc>
      </w:tr>
    </w:tbl>
    <w:p w:rsidR="00D14928" w:rsidRPr="00D14928" w:rsidRDefault="00D14928" w:rsidP="00D14928">
      <w:pPr>
        <w:spacing w:before="100" w:beforeAutospacing="1" w:after="100" w:afterAutospacing="1" w:line="240" w:lineRule="auto"/>
        <w:rPr>
          <w:rFonts w:ascii="Times New Roman" w:eastAsia="Times New Roman" w:hAnsi="Times New Roman" w:cs="Times New Roman"/>
          <w:b/>
          <w:bCs/>
          <w:i/>
          <w:iCs/>
          <w:sz w:val="24"/>
          <w:szCs w:val="24"/>
          <w:lang w:eastAsia="en-GB"/>
        </w:rPr>
      </w:pPr>
      <w:r w:rsidRPr="00D14928">
        <w:rPr>
          <w:rFonts w:ascii="Arial" w:eastAsia="Times New Roman" w:hAnsi="Arial" w:cs="Arial"/>
          <w:b/>
          <w:bCs/>
          <w:i/>
          <w:iCs/>
          <w:sz w:val="14"/>
          <w:szCs w:val="14"/>
          <w:lang w:eastAsia="en-GB"/>
        </w:rPr>
        <w:br w:type="page"/>
      </w:r>
    </w:p>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color w:val="000000"/>
          <w:sz w:val="24"/>
          <w:szCs w:val="24"/>
          <w:lang w:eastAsia="en-GB"/>
        </w:rPr>
        <w:lastRenderedPageBreak/>
        <w:t>Results by Business</w:t>
      </w:r>
    </w:p>
    <w:tbl>
      <w:tblPr>
        <w:tblW w:w="0" w:type="auto"/>
        <w:tblInd w:w="-36" w:type="dxa"/>
        <w:tblCellMar>
          <w:left w:w="0" w:type="dxa"/>
          <w:right w:w="0" w:type="dxa"/>
        </w:tblCellMar>
        <w:tblLook w:val="04A0" w:firstRow="1" w:lastRow="0" w:firstColumn="1" w:lastColumn="0" w:noHBand="0" w:noVBand="1"/>
      </w:tblPr>
      <w:tblGrid>
        <w:gridCol w:w="4181"/>
        <w:gridCol w:w="786"/>
        <w:gridCol w:w="790"/>
        <w:gridCol w:w="789"/>
        <w:gridCol w:w="937"/>
        <w:gridCol w:w="786"/>
        <w:gridCol w:w="78"/>
        <w:gridCol w:w="787"/>
      </w:tblGrid>
      <w:tr w:rsidR="00D14928" w:rsidRPr="00D14928" w:rsidTr="00D14928">
        <w:trPr>
          <w:trHeight w:val="315"/>
        </w:trPr>
        <w:tc>
          <w:tcPr>
            <w:tcW w:w="4215" w:type="dxa"/>
            <w:tcMar>
              <w:top w:w="0" w:type="dxa"/>
              <w:left w:w="36" w:type="dxa"/>
              <w:bottom w:w="0" w:type="dxa"/>
              <w:right w:w="36" w:type="dxa"/>
            </w:tcMar>
            <w:vAlign w:val="center"/>
            <w:hideMark/>
          </w:tcPr>
          <w:p w:rsidR="00D14928" w:rsidRPr="00D14928" w:rsidRDefault="00D14928" w:rsidP="00D14928">
            <w:pPr>
              <w:spacing w:before="60"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xml:space="preserve">Wealth and Investment Management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r w:rsidR="00D14928" w:rsidRPr="00D14928" w:rsidTr="00D14928">
        <w:trPr>
          <w:trHeight w:val="315"/>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w:t>
            </w:r>
            <w:r w:rsidRPr="00D14928">
              <w:rPr>
                <w:rFonts w:ascii="Arial" w:eastAsia="Times New Roman" w:hAnsi="Arial" w:cs="Arial"/>
                <w:b/>
                <w:bCs/>
                <w:color w:val="000000"/>
                <w:sz w:val="19"/>
                <w:szCs w:val="19"/>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r w:rsidR="00D14928" w:rsidRPr="00D14928" w:rsidTr="00D14928">
        <w:trPr>
          <w:trHeight w:val="27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2535" w:type="dxa"/>
            <w:gridSpan w:val="3"/>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Restatement Adjustments</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195"/>
        <w:gridCol w:w="837"/>
        <w:gridCol w:w="793"/>
        <w:gridCol w:w="846"/>
        <w:gridCol w:w="795"/>
        <w:gridCol w:w="795"/>
        <w:gridCol w:w="78"/>
        <w:gridCol w:w="795"/>
      </w:tblGrid>
      <w:tr w:rsidR="00D14928" w:rsidRPr="00D14928" w:rsidTr="00D14928">
        <w:trPr>
          <w:trHeight w:val="765"/>
        </w:trPr>
        <w:tc>
          <w:tcPr>
            <w:tcW w:w="421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Income Statement Information </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Published</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IFRS 10</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and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IAS 19</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Head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Office</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Allocation</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Group</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Structure</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2011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Restated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interest income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853 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856 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823 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fee and commission income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946 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948 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944 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Net trading income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expense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income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1,815 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1,820 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1,770 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charges and other provisions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(41)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Net operating income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1,777 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1,782 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1,729 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Operating expenses (excluding bank levy)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(1,463)</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(1,505)</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(1,537)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bank levy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Operating expenses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(1,463)</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(39)</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(1,509)</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(1,538)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net income/(expense)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Profit before tax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315 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(36)</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274 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188 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Adjusted profit before tax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315 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(36)</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274 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188 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Balance Sheet Information </w:t>
            </w:r>
            <w:r w:rsidRPr="00D14928">
              <w:rPr>
                <w:rFonts w:ascii="Arial" w:eastAsia="Times New Roman" w:hAnsi="Arial" w:cs="Arial"/>
                <w:b/>
                <w:bCs/>
                <w:color w:val="000000"/>
                <w:sz w:val="16"/>
                <w:szCs w:val="16"/>
                <w:vertAlign w:val="superscript"/>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color w:val="000000"/>
                <w:sz w:val="20"/>
                <w:szCs w:val="20"/>
                <w:vertAlign w:val="superscript"/>
                <w:lang w:eastAsia="en-GB"/>
              </w:rPr>
              <w:t xml:space="preserve">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Loans and advances to customers at amortised cost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21.2 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21.2 </w:t>
            </w:r>
          </w:p>
        </w:tc>
        <w:tc>
          <w:tcPr>
            <w:tcW w:w="7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18.8 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Customer deposits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53.8 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53.8 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46.5 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assets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23.7 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0.7 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20.8 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Risk weighted assets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15.8 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0.2 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0.1 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13.1 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Client assets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186.0 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186.0 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164.2 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Performance Measures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Return on average equity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13.9%</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11.2%</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9.5%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Return on average risk weighted assets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1.4%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Cost: income ratio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81%</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83%</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87%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 loss rate (bps)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21 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Number of employees (full time equivalent)</w:t>
            </w:r>
            <w:r w:rsidRPr="00D14928">
              <w:rPr>
                <w:rFonts w:ascii="Arial" w:eastAsia="Times New Roman" w:hAnsi="Arial" w:cs="Arial"/>
                <w:color w:val="000000"/>
                <w:sz w:val="13"/>
                <w:szCs w:val="13"/>
                <w:vertAlign w:val="superscript"/>
                <w:lang w:eastAsia="en-GB"/>
              </w:rPr>
              <w:t>1 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7,900 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200 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200 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8,300 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8,500  </w:t>
            </w:r>
          </w:p>
        </w:tc>
      </w:tr>
    </w:tbl>
    <w:p w:rsidR="00D14928" w:rsidRPr="00D14928" w:rsidRDefault="00D14928" w:rsidP="00D14928">
      <w:pPr>
        <w:spacing w:after="0" w:line="240" w:lineRule="auto"/>
        <w:rPr>
          <w:rFonts w:ascii="Arial" w:eastAsia="Times New Roman" w:hAnsi="Arial" w:cs="Arial"/>
          <w:b/>
          <w:bCs/>
          <w:i/>
          <w:iCs/>
          <w:sz w:val="2"/>
          <w:szCs w:val="2"/>
          <w:lang w:eastAsia="en-GB"/>
        </w:rPr>
      </w:pPr>
      <w:r w:rsidRPr="00D14928">
        <w:rPr>
          <w:rFonts w:ascii="Arial" w:eastAsia="Times New Roman" w:hAnsi="Arial" w:cs="Arial"/>
          <w:b/>
          <w:bCs/>
          <w:i/>
          <w:iCs/>
          <w:sz w:val="14"/>
          <w:szCs w:val="14"/>
          <w:lang w:eastAsia="en-GB"/>
        </w:rPr>
        <w:t>  </w:t>
      </w:r>
    </w:p>
    <w:p w:rsidR="00D14928" w:rsidRPr="00D14928" w:rsidRDefault="00D14928" w:rsidP="00D14928">
      <w:pPr>
        <w:spacing w:after="0" w:line="240" w:lineRule="auto"/>
        <w:jc w:val="both"/>
        <w:rPr>
          <w:rFonts w:ascii="Arial" w:eastAsia="Times New Roman" w:hAnsi="Arial" w:cs="Arial"/>
          <w:sz w:val="18"/>
          <w:szCs w:val="18"/>
          <w:lang w:eastAsia="en-GB"/>
        </w:rPr>
      </w:pPr>
      <w:r w:rsidRPr="00D14928">
        <w:rPr>
          <w:rFonts w:ascii="Arial" w:eastAsia="Times New Roman" w:hAnsi="Arial" w:cs="Arial"/>
          <w:sz w:val="14"/>
          <w:szCs w:val="14"/>
          <w:lang w:eastAsia="en-GB"/>
        </w:rPr>
        <w:t> </w:t>
      </w:r>
    </w:p>
    <w:p w:rsidR="00D14928" w:rsidRPr="00D14928" w:rsidRDefault="00D14928" w:rsidP="00D14928">
      <w:pPr>
        <w:spacing w:after="20" w:line="240" w:lineRule="auto"/>
        <w:ind w:left="284" w:hanging="284"/>
        <w:jc w:val="both"/>
        <w:rPr>
          <w:rFonts w:ascii="Arial" w:eastAsia="Times New Roman" w:hAnsi="Arial" w:cs="Arial"/>
          <w:b/>
          <w:bCs/>
          <w:i/>
          <w:iCs/>
          <w:color w:val="000000"/>
          <w:sz w:val="24"/>
          <w:szCs w:val="24"/>
          <w:lang w:eastAsia="en-GB"/>
        </w:rPr>
      </w:pPr>
      <w:r w:rsidRPr="00D14928">
        <w:rPr>
          <w:rFonts w:ascii="Arial" w:eastAsia="Times New Roman" w:hAnsi="Arial" w:cs="Arial"/>
          <w:i/>
          <w:iCs/>
          <w:color w:val="000000"/>
          <w:sz w:val="14"/>
          <w:szCs w:val="14"/>
          <w:lang w:eastAsia="en-GB"/>
        </w:rPr>
        <w:t>1        Allocation of full time equivalent employees by business has changed as outlined in the Overview of Reporting Changes, the impact of which is reflected within Group Structure changes.</w:t>
      </w:r>
    </w:p>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color w:val="000000"/>
          <w:sz w:val="24"/>
          <w:szCs w:val="24"/>
          <w:lang w:eastAsia="en-GB"/>
        </w:rPr>
        <w:br w:type="page"/>
      </w:r>
      <w:r w:rsidRPr="00D14928">
        <w:rPr>
          <w:rFonts w:ascii="Arial" w:eastAsia="Times New Roman" w:hAnsi="Arial" w:cs="Arial"/>
          <w:b/>
          <w:bCs/>
          <w:color w:val="000000"/>
          <w:sz w:val="24"/>
          <w:szCs w:val="24"/>
          <w:lang w:eastAsia="en-GB"/>
        </w:rPr>
        <w:lastRenderedPageBreak/>
        <w:t>Results by Business</w:t>
      </w:r>
    </w:p>
    <w:tbl>
      <w:tblPr>
        <w:tblW w:w="0" w:type="auto"/>
        <w:tblInd w:w="-36" w:type="dxa"/>
        <w:tblCellMar>
          <w:left w:w="0" w:type="dxa"/>
          <w:right w:w="0" w:type="dxa"/>
        </w:tblCellMar>
        <w:tblLook w:val="04A0" w:firstRow="1" w:lastRow="0" w:firstColumn="1" w:lastColumn="0" w:noHBand="0" w:noVBand="1"/>
      </w:tblPr>
      <w:tblGrid>
        <w:gridCol w:w="4365"/>
        <w:gridCol w:w="210"/>
        <w:gridCol w:w="615"/>
        <w:gridCol w:w="615"/>
        <w:gridCol w:w="615"/>
        <w:gridCol w:w="78"/>
        <w:gridCol w:w="615"/>
        <w:gridCol w:w="615"/>
        <w:gridCol w:w="615"/>
        <w:gridCol w:w="615"/>
      </w:tblGrid>
      <w:tr w:rsidR="00D14928" w:rsidRPr="00D14928" w:rsidTr="00D14928">
        <w:trPr>
          <w:trHeight w:val="315"/>
        </w:trPr>
        <w:tc>
          <w:tcPr>
            <w:tcW w:w="4365" w:type="dxa"/>
            <w:tcMar>
              <w:top w:w="0" w:type="dxa"/>
              <w:left w:w="36" w:type="dxa"/>
              <w:bottom w:w="0" w:type="dxa"/>
              <w:right w:w="36" w:type="dxa"/>
            </w:tcMar>
            <w:vAlign w:val="center"/>
            <w:hideMark/>
          </w:tcPr>
          <w:p w:rsidR="00D14928" w:rsidRPr="00D14928" w:rsidRDefault="00D14928" w:rsidP="00D14928">
            <w:pPr>
              <w:spacing w:before="60"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xml:space="preserve">Wealth and Investment Management </w:t>
            </w:r>
          </w:p>
        </w:tc>
        <w:tc>
          <w:tcPr>
            <w:tcW w:w="21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945"/>
        <w:gridCol w:w="615"/>
        <w:gridCol w:w="615"/>
        <w:gridCol w:w="615"/>
        <w:gridCol w:w="615"/>
        <w:gridCol w:w="78"/>
        <w:gridCol w:w="615"/>
        <w:gridCol w:w="615"/>
        <w:gridCol w:w="615"/>
        <w:gridCol w:w="615"/>
      </w:tblGrid>
      <w:tr w:rsidR="00D14928" w:rsidRPr="00D14928" w:rsidTr="00D14928">
        <w:trPr>
          <w:trHeight w:val="240"/>
        </w:trPr>
        <w:tc>
          <w:tcPr>
            <w:tcW w:w="39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w:t>
            </w:r>
            <w:r w:rsidRPr="00D14928">
              <w:rPr>
                <w:rFonts w:ascii="Arial" w:eastAsia="Times New Roman" w:hAnsi="Arial" w:cs="Arial"/>
                <w:b/>
                <w:bCs/>
                <w:color w:val="000000"/>
                <w:sz w:val="19"/>
                <w:szCs w:val="19"/>
                <w:vertAlign w:val="superscript"/>
                <w:lang w:eastAsia="en-GB"/>
              </w:rPr>
              <w:t>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r>
      <w:tr w:rsidR="00D14928" w:rsidRPr="00D14928" w:rsidTr="00D14928">
        <w:trPr>
          <w:trHeight w:val="240"/>
        </w:trPr>
        <w:tc>
          <w:tcPr>
            <w:tcW w:w="394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Restated Income Statement Information </w:t>
            </w:r>
          </w:p>
        </w:tc>
        <w:tc>
          <w:tcPr>
            <w:tcW w:w="6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Q412</w:t>
            </w:r>
          </w:p>
        </w:tc>
        <w:tc>
          <w:tcPr>
            <w:tcW w:w="6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Q312</w:t>
            </w:r>
          </w:p>
        </w:tc>
        <w:tc>
          <w:tcPr>
            <w:tcW w:w="6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Q212</w:t>
            </w:r>
          </w:p>
        </w:tc>
        <w:tc>
          <w:tcPr>
            <w:tcW w:w="6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Q112</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Q411</w:t>
            </w:r>
          </w:p>
        </w:tc>
        <w:tc>
          <w:tcPr>
            <w:tcW w:w="6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Q311</w:t>
            </w:r>
          </w:p>
        </w:tc>
        <w:tc>
          <w:tcPr>
            <w:tcW w:w="6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Q211</w:t>
            </w:r>
          </w:p>
        </w:tc>
        <w:tc>
          <w:tcPr>
            <w:tcW w:w="6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Q111 </w:t>
            </w:r>
          </w:p>
        </w:tc>
      </w:tr>
      <w:tr w:rsidR="00D14928" w:rsidRPr="00D14928" w:rsidTr="00D14928">
        <w:trPr>
          <w:trHeight w:val="24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6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39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Adjusted and statutory basis</w:t>
            </w:r>
            <w:r w:rsidRPr="00D14928">
              <w:rPr>
                <w:rFonts w:ascii="Arial" w:eastAsia="Times New Roman" w:hAnsi="Arial" w:cs="Arial"/>
                <w:color w:val="000000"/>
                <w:sz w:val="16"/>
                <w:szCs w:val="16"/>
                <w:vertAlign w:val="superscript"/>
                <w:lang w:eastAsia="en-GB"/>
              </w:rPr>
              <w:t xml:space="preserve">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39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income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483 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443 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442 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452 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453 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462 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429 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426  </w:t>
            </w:r>
          </w:p>
        </w:tc>
      </w:tr>
      <w:tr w:rsidR="00D14928" w:rsidRPr="00D14928" w:rsidTr="00D14928">
        <w:trPr>
          <w:trHeight w:val="24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charges and other provisions </w:t>
            </w: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w:t>
            </w: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w:t>
            </w: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w:t>
            </w: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w:t>
            </w: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w:t>
            </w: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w:t>
            </w: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(10) </w:t>
            </w:r>
          </w:p>
        </w:tc>
      </w:tr>
      <w:tr w:rsidR="00D14928" w:rsidRPr="00D14928" w:rsidTr="00D14928">
        <w:trPr>
          <w:trHeight w:val="240"/>
        </w:trPr>
        <w:tc>
          <w:tcPr>
            <w:tcW w:w="39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Net operating income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470 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437 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430 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445 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443 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450 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420 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416  </w:t>
            </w:r>
          </w:p>
        </w:tc>
      </w:tr>
      <w:tr w:rsidR="00D14928" w:rsidRPr="00D14928" w:rsidTr="00D14928">
        <w:trPr>
          <w:trHeight w:val="240"/>
        </w:trPr>
        <w:tc>
          <w:tcPr>
            <w:tcW w:w="39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Operating expenses (excluding bank levy)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(361)</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(369)</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(380)</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(395)</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(398)</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(380)</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(386)</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(373) </w:t>
            </w:r>
          </w:p>
        </w:tc>
      </w:tr>
      <w:tr w:rsidR="00D14928" w:rsidRPr="00D14928" w:rsidTr="00D14928">
        <w:trPr>
          <w:trHeight w:val="240"/>
        </w:trPr>
        <w:tc>
          <w:tcPr>
            <w:tcW w:w="39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bank levy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net income/(expense) </w:t>
            </w: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 </w:t>
            </w:r>
          </w:p>
        </w:tc>
      </w:tr>
      <w:tr w:rsidR="00D14928" w:rsidRPr="00D14928" w:rsidTr="00D14928">
        <w:trPr>
          <w:trHeight w:val="240"/>
        </w:trPr>
        <w:tc>
          <w:tcPr>
            <w:tcW w:w="39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Adjusted and statutory profit before tax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105 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70 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49 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50 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43 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70 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34 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41  </w:t>
            </w:r>
          </w:p>
        </w:tc>
      </w:tr>
      <w:tr w:rsidR="00D14928" w:rsidRPr="00D14928" w:rsidTr="00D14928">
        <w:trPr>
          <w:trHeight w:val="240"/>
        </w:trPr>
        <w:tc>
          <w:tcPr>
            <w:tcW w:w="39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39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Restated Balance Sheet Information </w:t>
            </w:r>
            <w:r w:rsidRPr="00D14928">
              <w:rPr>
                <w:rFonts w:ascii="Arial" w:eastAsia="Times New Roman" w:hAnsi="Arial" w:cs="Arial"/>
                <w:b/>
                <w:bCs/>
                <w:color w:val="000000"/>
                <w:sz w:val="16"/>
                <w:szCs w:val="16"/>
                <w:vertAlign w:val="superscript"/>
                <w:lang w:eastAsia="en-GB"/>
              </w:rPr>
              <w:t> </w:t>
            </w:r>
          </w:p>
        </w:tc>
        <w:tc>
          <w:tcPr>
            <w:tcW w:w="6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color w:val="000000"/>
                <w:sz w:val="20"/>
                <w:szCs w:val="20"/>
                <w:vertAlign w:val="superscript"/>
                <w:lang w:eastAsia="en-GB"/>
              </w:rPr>
              <w:t xml:space="preserve"> </w:t>
            </w:r>
          </w:p>
        </w:tc>
      </w:tr>
      <w:tr w:rsidR="00D14928" w:rsidRPr="00D14928" w:rsidTr="00D14928">
        <w:trPr>
          <w:trHeight w:val="240"/>
        </w:trPr>
        <w:tc>
          <w:tcPr>
            <w:tcW w:w="39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Loans and advances to customers at amortised cost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21.2 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19.9 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19.8 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18.9 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18.8 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17.9 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17.6 </w:t>
            </w:r>
          </w:p>
        </w:tc>
        <w:tc>
          <w:tcPr>
            <w:tcW w:w="6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17.0  </w:t>
            </w:r>
          </w:p>
        </w:tc>
      </w:tr>
      <w:tr w:rsidR="00D14928" w:rsidRPr="00D14928" w:rsidTr="00D14928">
        <w:trPr>
          <w:trHeight w:val="240"/>
        </w:trPr>
        <w:tc>
          <w:tcPr>
            <w:tcW w:w="39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Customer deposits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53.8 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52.2 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50.0 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49.1 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46.5 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43.9 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44.4 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44.2  </w:t>
            </w:r>
          </w:p>
        </w:tc>
      </w:tr>
      <w:tr w:rsidR="00D14928" w:rsidRPr="00D14928" w:rsidTr="00D14928">
        <w:trPr>
          <w:trHeight w:val="240"/>
        </w:trPr>
        <w:tc>
          <w:tcPr>
            <w:tcW w:w="39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assets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24.4 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23.5 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23.4 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23.5 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20.8 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20.3 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19.8 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19.0  </w:t>
            </w:r>
          </w:p>
        </w:tc>
      </w:tr>
      <w:tr w:rsidR="00D14928" w:rsidRPr="00D14928" w:rsidTr="00D14928">
        <w:trPr>
          <w:trHeight w:val="240"/>
        </w:trPr>
        <w:tc>
          <w:tcPr>
            <w:tcW w:w="39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Risk weighted assets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16.1 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14.1 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14.0 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13.2 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13.1 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12.7 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12.7 </w:t>
            </w:r>
          </w:p>
        </w:tc>
        <w:tc>
          <w:tcPr>
            <w:tcW w:w="6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12.3  </w:t>
            </w:r>
          </w:p>
        </w:tc>
      </w:tr>
    </w:tbl>
    <w:p w:rsidR="00D14928" w:rsidRPr="00D14928" w:rsidRDefault="00D14928" w:rsidP="00D14928">
      <w:pPr>
        <w:spacing w:before="100" w:beforeAutospacing="1" w:after="100" w:afterAutospacing="1" w:line="240" w:lineRule="auto"/>
        <w:rPr>
          <w:rFonts w:ascii="Times New Roman" w:eastAsia="Times New Roman" w:hAnsi="Times New Roman" w:cs="Times New Roman"/>
          <w:b/>
          <w:bCs/>
          <w:i/>
          <w:iCs/>
          <w:sz w:val="24"/>
          <w:szCs w:val="24"/>
          <w:lang w:eastAsia="en-GB"/>
        </w:rPr>
      </w:pPr>
      <w:r w:rsidRPr="00D14928">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4059"/>
        <w:gridCol w:w="768"/>
        <w:gridCol w:w="777"/>
        <w:gridCol w:w="779"/>
        <w:gridCol w:w="917"/>
        <w:gridCol w:w="987"/>
        <w:gridCol w:w="78"/>
        <w:gridCol w:w="769"/>
      </w:tblGrid>
      <w:tr w:rsidR="00D14928" w:rsidRPr="00D14928" w:rsidTr="00D14928">
        <w:trPr>
          <w:trHeight w:val="315"/>
        </w:trPr>
        <w:tc>
          <w:tcPr>
            <w:tcW w:w="8565" w:type="dxa"/>
            <w:gridSpan w:val="6"/>
            <w:tcMar>
              <w:top w:w="0" w:type="dxa"/>
              <w:left w:w="36" w:type="dxa"/>
              <w:bottom w:w="0" w:type="dxa"/>
              <w:right w:w="36" w:type="dxa"/>
            </w:tcMar>
            <w:vAlign w:val="center"/>
            <w:hideMark/>
          </w:tcPr>
          <w:p w:rsidR="00D14928" w:rsidRPr="00D14928" w:rsidRDefault="00D14928" w:rsidP="00D14928">
            <w:pPr>
              <w:spacing w:before="60"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xml:space="preserve">Head Office and Other Operations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w:t>
            </w:r>
            <w:r w:rsidRPr="00D14928">
              <w:rPr>
                <w:rFonts w:ascii="Arial" w:eastAsia="Times New Roman" w:hAnsi="Arial" w:cs="Arial"/>
                <w:b/>
                <w:bCs/>
                <w:color w:val="000000"/>
                <w:sz w:val="19"/>
                <w:szCs w:val="19"/>
                <w:vertAlign w:val="superscript"/>
                <w:lang w:eastAsia="en-GB"/>
              </w:rPr>
              <w:t> </w:t>
            </w:r>
          </w:p>
        </w:tc>
      </w:tr>
      <w:tr w:rsidR="00D14928" w:rsidRPr="00D14928" w:rsidTr="00D14928">
        <w:trPr>
          <w:trHeight w:val="315"/>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24"/>
                <w:szCs w:val="24"/>
                <w:lang w:eastAsia="en-GB"/>
              </w:rPr>
              <w:t> </w:t>
            </w:r>
            <w:r w:rsidRPr="00D14928">
              <w:rPr>
                <w:rFonts w:ascii="Arial" w:eastAsia="Times New Roman" w:hAnsi="Arial" w:cs="Arial"/>
                <w:color w:val="000000"/>
                <w:sz w:val="19"/>
                <w:szCs w:val="19"/>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w:t>
            </w:r>
            <w:r w:rsidRPr="00D14928">
              <w:rPr>
                <w:rFonts w:ascii="Arial" w:eastAsia="Times New Roman" w:hAnsi="Arial" w:cs="Arial"/>
                <w:b/>
                <w:bCs/>
                <w:color w:val="000000"/>
                <w:sz w:val="19"/>
                <w:szCs w:val="19"/>
                <w:vertAlign w:val="superscript"/>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w:t>
            </w:r>
            <w:r w:rsidRPr="00D14928">
              <w:rPr>
                <w:rFonts w:ascii="Arial" w:eastAsia="Times New Roman" w:hAnsi="Arial" w:cs="Arial"/>
                <w:b/>
                <w:bCs/>
                <w:color w:val="000000"/>
                <w:sz w:val="19"/>
                <w:szCs w:val="19"/>
                <w:vertAlign w:val="superscript"/>
                <w:lang w:eastAsia="en-GB"/>
              </w:rPr>
              <w:t> </w:t>
            </w:r>
          </w:p>
        </w:tc>
      </w:tr>
      <w:tr w:rsidR="00D14928" w:rsidRPr="00D14928" w:rsidTr="00D14928">
        <w:trPr>
          <w:trHeight w:val="8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2535" w:type="dxa"/>
            <w:gridSpan w:val="3"/>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Restatement Adjustments</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120"/>
        <w:gridCol w:w="837"/>
        <w:gridCol w:w="783"/>
        <w:gridCol w:w="913"/>
        <w:gridCol w:w="795"/>
        <w:gridCol w:w="815"/>
        <w:gridCol w:w="78"/>
        <w:gridCol w:w="793"/>
      </w:tblGrid>
      <w:tr w:rsidR="00D14928" w:rsidRPr="00D14928" w:rsidTr="00D14928">
        <w:trPr>
          <w:trHeight w:val="750"/>
        </w:trPr>
        <w:tc>
          <w:tcPr>
            <w:tcW w:w="421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Income Statement Information</w:t>
            </w:r>
            <w:r w:rsidRPr="00D14928">
              <w:rPr>
                <w:rFonts w:ascii="Arial" w:eastAsia="Times New Roman" w:hAnsi="Arial" w:cs="Arial"/>
                <w:color w:val="000000"/>
                <w:sz w:val="16"/>
                <w:szCs w:val="16"/>
                <w:vertAlign w:val="superscript"/>
                <w:lang w:eastAsia="en-GB"/>
              </w:rPr>
              <w:t xml:space="preserve"> </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Published</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IFRS 10</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and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IAS 19</w:t>
            </w:r>
          </w:p>
        </w:tc>
        <w:tc>
          <w:tcPr>
            <w:tcW w:w="84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Head</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Office</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Allocation</w:t>
            </w:r>
            <w:r w:rsidRPr="00D14928">
              <w:rPr>
                <w:rFonts w:ascii="Arial" w:eastAsia="Times New Roman" w:hAnsi="Arial" w:cs="Arial"/>
                <w:b/>
                <w:bCs/>
                <w:color w:val="000000"/>
                <w:sz w:val="13"/>
                <w:szCs w:val="13"/>
                <w:vertAlign w:val="superscript"/>
                <w:lang w:eastAsia="en-GB"/>
              </w:rPr>
              <w:t>3 </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Group</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Structure</w:t>
            </w: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Restated</w:t>
            </w:r>
            <w:r w:rsidRPr="00D14928">
              <w:rPr>
                <w:rFonts w:ascii="Arial" w:eastAsia="Times New Roman" w:hAnsi="Arial" w:cs="Arial"/>
                <w:b/>
                <w:bCs/>
                <w:color w:val="000000"/>
                <w:sz w:val="13"/>
                <w:szCs w:val="13"/>
                <w:vertAlign w:val="superscript"/>
                <w:lang w:eastAsia="en-GB"/>
              </w:rPr>
              <w:t>4 </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2011 as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Restated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84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c>
          <w:tcPr>
            <w:tcW w:w="7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Adjusted total (expense)/ income net of insurance claims</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4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437 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356 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(88)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Own credit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(4,579)</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4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(4,579)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2,708 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Gains on debt buy-backs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4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1,130 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Gain/(loss) on disposal of investment in </w:t>
            </w:r>
            <w:proofErr w:type="spellStart"/>
            <w:r w:rsidRPr="00D14928">
              <w:rPr>
                <w:rFonts w:ascii="Arial" w:eastAsia="Times New Roman" w:hAnsi="Arial" w:cs="Arial"/>
                <w:color w:val="000000"/>
                <w:sz w:val="16"/>
                <w:szCs w:val="16"/>
                <w:lang w:eastAsia="en-GB"/>
              </w:rPr>
              <w:t>BlackRock</w:t>
            </w:r>
            <w:proofErr w:type="spellEnd"/>
            <w:r w:rsidRPr="00D14928">
              <w:rPr>
                <w:rFonts w:ascii="Arial" w:eastAsia="Times New Roman" w:hAnsi="Arial" w:cs="Arial"/>
                <w:color w:val="000000"/>
                <w:sz w:val="16"/>
                <w:szCs w:val="16"/>
                <w:lang w:eastAsia="en-GB"/>
              </w:rPr>
              <w:t xml:space="preserve">, Inc.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227 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227 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(58)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Total (expense)/income net of insurance claims</w:t>
            </w:r>
            <w:r w:rsidRPr="00D14928">
              <w:rPr>
                <w:rFonts w:ascii="Arial" w:eastAsia="Times New Roman" w:hAnsi="Arial" w:cs="Arial"/>
                <w:color w:val="000000"/>
                <w:sz w:val="16"/>
                <w:szCs w:val="16"/>
                <w:vertAlign w:val="superscript"/>
                <w:lang w:eastAsia="en-GB"/>
              </w:rPr>
              <w:t xml:space="preserv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(4,427)</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84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437 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(3,996)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3,691 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(charges)/release and other provisions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4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Impairment of investment in </w:t>
            </w:r>
            <w:proofErr w:type="spellStart"/>
            <w:r w:rsidRPr="00D14928">
              <w:rPr>
                <w:rFonts w:ascii="Arial" w:eastAsia="Times New Roman" w:hAnsi="Arial" w:cs="Arial"/>
                <w:color w:val="000000"/>
                <w:sz w:val="16"/>
                <w:szCs w:val="16"/>
                <w:lang w:eastAsia="en-GB"/>
              </w:rPr>
              <w:t>BlackRock</w:t>
            </w:r>
            <w:proofErr w:type="spellEnd"/>
            <w:r w:rsidRPr="00D14928">
              <w:rPr>
                <w:rFonts w:ascii="Arial" w:eastAsia="Times New Roman" w:hAnsi="Arial" w:cs="Arial"/>
                <w:color w:val="000000"/>
                <w:sz w:val="16"/>
                <w:szCs w:val="16"/>
                <w:lang w:eastAsia="en-GB"/>
              </w:rPr>
              <w:t xml:space="preserve">, Inc.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(1,800)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Net operating (expense)/income</w:t>
            </w:r>
            <w:r w:rsidRPr="00D14928">
              <w:rPr>
                <w:rFonts w:ascii="Arial" w:eastAsia="Times New Roman" w:hAnsi="Arial" w:cs="Arial"/>
                <w:color w:val="000000"/>
                <w:sz w:val="16"/>
                <w:szCs w:val="16"/>
                <w:vertAlign w:val="superscript"/>
                <w:lang w:eastAsia="en-GB"/>
              </w:rPr>
              <w:t xml:space="preserv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(4,431)</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84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437 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(4,000)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1,892 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Operating expenses (excluding bank levy)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(686)</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w:t>
            </w:r>
          </w:p>
        </w:tc>
        <w:tc>
          <w:tcPr>
            <w:tcW w:w="84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516 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(166)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(47)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bank levy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(345)</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327 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(18)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Operating expenses</w:t>
            </w:r>
            <w:r w:rsidRPr="00D14928">
              <w:rPr>
                <w:rFonts w:ascii="Arial" w:eastAsia="Times New Roman" w:hAnsi="Arial" w:cs="Arial"/>
                <w:color w:val="000000"/>
                <w:sz w:val="16"/>
                <w:szCs w:val="16"/>
                <w:vertAlign w:val="superscript"/>
                <w:lang w:eastAsia="en-GB"/>
              </w:rPr>
              <w:t xml:space="preserv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(1,031)</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w:t>
            </w:r>
          </w:p>
        </w:tc>
        <w:tc>
          <w:tcPr>
            <w:tcW w:w="84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843 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9 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(184)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(47)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net income/(expense)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21 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(23)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(Loss)/profit before tax</w:t>
            </w:r>
            <w:r w:rsidRPr="00D14928">
              <w:rPr>
                <w:rFonts w:ascii="Arial" w:eastAsia="Times New Roman" w:hAnsi="Arial" w:cs="Arial"/>
                <w:color w:val="000000"/>
                <w:sz w:val="16"/>
                <w:szCs w:val="16"/>
                <w:vertAlign w:val="superscript"/>
                <w:lang w:eastAsia="en-GB"/>
              </w:rPr>
              <w:t xml:space="preserv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(5,440)</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w:t>
            </w:r>
          </w:p>
        </w:tc>
        <w:tc>
          <w:tcPr>
            <w:tcW w:w="84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1,281 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(4,163)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1,822 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Adjusted (loss)/ profit before tax</w:t>
            </w:r>
            <w:r w:rsidRPr="00D14928">
              <w:rPr>
                <w:rFonts w:ascii="Arial" w:eastAsia="Times New Roman" w:hAnsi="Arial" w:cs="Arial"/>
                <w:b/>
                <w:bCs/>
                <w:color w:val="000000"/>
                <w:sz w:val="13"/>
                <w:szCs w:val="13"/>
                <w:vertAlign w:val="superscript"/>
                <w:lang w:eastAsia="en-GB"/>
              </w:rPr>
              <w:t>1 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(1,088)</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w:t>
            </w:r>
          </w:p>
        </w:tc>
        <w:tc>
          <w:tcPr>
            <w:tcW w:w="84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1,281 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189 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(136)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4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 xml:space="preserve">Balance Sheet Information </w:t>
            </w:r>
            <w:r w:rsidRPr="00D14928">
              <w:rPr>
                <w:rFonts w:ascii="Arial" w:eastAsia="Times New Roman" w:hAnsi="Arial" w:cs="Arial"/>
                <w:color w:val="000000"/>
                <w:sz w:val="16"/>
                <w:szCs w:val="16"/>
                <w:vertAlign w:val="superscript"/>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84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color w:val="000000"/>
                <w:sz w:val="16"/>
                <w:szCs w:val="16"/>
                <w:lang w:eastAsia="en-GB"/>
              </w:rPr>
              <w:t xml:space="preserve"> </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color w:val="000000"/>
                <w:sz w:val="16"/>
                <w:szCs w:val="16"/>
                <w:lang w:eastAsia="en-GB"/>
              </w:rPr>
              <w:t xml:space="preserve"> </w:t>
            </w:r>
          </w:p>
        </w:tc>
        <w:tc>
          <w:tcPr>
            <w:tcW w:w="7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color w:val="000000"/>
                <w:sz w:val="20"/>
                <w:szCs w:val="20"/>
                <w:vertAlign w:val="superscript"/>
                <w:lang w:eastAsia="en-GB"/>
              </w:rPr>
              <w:t xml:space="preserve"> </w:t>
            </w:r>
          </w:p>
        </w:tc>
      </w:tr>
      <w:tr w:rsidR="00D14928" w:rsidRPr="00D14928" w:rsidTr="00D14928">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assets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39.4 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1.9 </w:t>
            </w:r>
          </w:p>
        </w:tc>
        <w:tc>
          <w:tcPr>
            <w:tcW w:w="84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41.3  </w:t>
            </w:r>
          </w:p>
        </w:tc>
        <w:tc>
          <w:tcPr>
            <w:tcW w:w="7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31.7 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Risk weighted assets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5.7 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(0.3)</w:t>
            </w:r>
          </w:p>
        </w:tc>
        <w:tc>
          <w:tcPr>
            <w:tcW w:w="84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(0.1)</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5.3 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2.5 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Number of employees (full time equivalent)</w:t>
            </w:r>
            <w:r w:rsidRPr="00D14928">
              <w:rPr>
                <w:rFonts w:ascii="Arial" w:eastAsia="Times New Roman" w:hAnsi="Arial" w:cs="Arial"/>
                <w:color w:val="000000"/>
                <w:sz w:val="13"/>
                <w:szCs w:val="13"/>
                <w:vertAlign w:val="superscript"/>
                <w:lang w:eastAsia="en-GB"/>
              </w:rPr>
              <w:t>2 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1,600 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84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(1,700)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300 </w:t>
            </w: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200  </w:t>
            </w:r>
          </w:p>
        </w:tc>
        <w:tc>
          <w:tcPr>
            <w:tcW w:w="7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100  </w:t>
            </w:r>
          </w:p>
        </w:tc>
      </w:tr>
    </w:tbl>
    <w:p w:rsidR="00D14928" w:rsidRPr="00D14928" w:rsidRDefault="00D14928" w:rsidP="00D14928">
      <w:pPr>
        <w:spacing w:after="0" w:line="240" w:lineRule="auto"/>
        <w:rPr>
          <w:rFonts w:ascii="Arial" w:eastAsia="Times New Roman" w:hAnsi="Arial" w:cs="Arial"/>
          <w:b/>
          <w:bCs/>
          <w:i/>
          <w:iCs/>
          <w:sz w:val="2"/>
          <w:szCs w:val="2"/>
          <w:lang w:eastAsia="en-GB"/>
        </w:rPr>
      </w:pPr>
      <w:r w:rsidRPr="00D14928">
        <w:rPr>
          <w:rFonts w:ascii="Arial" w:eastAsia="Times New Roman" w:hAnsi="Arial" w:cs="Arial"/>
          <w:b/>
          <w:bCs/>
          <w:i/>
          <w:iCs/>
          <w:sz w:val="14"/>
          <w:szCs w:val="14"/>
          <w:lang w:eastAsia="en-GB"/>
        </w:rPr>
        <w:t>  </w:t>
      </w:r>
    </w:p>
    <w:p w:rsidR="00D14928" w:rsidRPr="00D14928" w:rsidRDefault="00D14928" w:rsidP="000D3D3A">
      <w:pPr>
        <w:spacing w:after="0" w:line="240" w:lineRule="auto"/>
        <w:ind w:left="284" w:hanging="284"/>
        <w:jc w:val="both"/>
        <w:rPr>
          <w:rFonts w:ascii="Arial" w:eastAsia="Times New Roman" w:hAnsi="Arial" w:cs="Arial"/>
          <w:b/>
          <w:bCs/>
          <w:i/>
          <w:iCs/>
          <w:color w:val="000000"/>
          <w:sz w:val="24"/>
          <w:szCs w:val="24"/>
          <w:lang w:eastAsia="en-GB"/>
        </w:rPr>
      </w:pPr>
      <w:r w:rsidRPr="00D14928">
        <w:rPr>
          <w:rFonts w:ascii="Arial" w:eastAsia="Times New Roman" w:hAnsi="Arial" w:cs="Arial"/>
          <w:i/>
          <w:iCs/>
          <w:color w:val="000000"/>
          <w:sz w:val="14"/>
          <w:szCs w:val="14"/>
          <w:lang w:eastAsia="en-GB"/>
        </w:rPr>
        <w:lastRenderedPageBreak/>
        <w:t xml:space="preserve">1        Adjusted performance measures and profit before tax exclude the impact of an own credit charge of £4,579m (2011: gain of £2,708m), gains on debt buy-backs (retirement of non-qualifying Tier 1 Capital under Basel 3) of £nil (2011: £1,130m), gain on disposal of strategic investment in </w:t>
      </w:r>
      <w:proofErr w:type="spellStart"/>
      <w:r w:rsidRPr="00D14928">
        <w:rPr>
          <w:rFonts w:ascii="Arial" w:eastAsia="Times New Roman" w:hAnsi="Arial" w:cs="Arial"/>
          <w:i/>
          <w:iCs/>
          <w:color w:val="000000"/>
          <w:sz w:val="14"/>
          <w:szCs w:val="14"/>
          <w:lang w:eastAsia="en-GB"/>
        </w:rPr>
        <w:t>BlackRock</w:t>
      </w:r>
      <w:proofErr w:type="spellEnd"/>
      <w:r w:rsidRPr="00D14928">
        <w:rPr>
          <w:rFonts w:ascii="Arial" w:eastAsia="Times New Roman" w:hAnsi="Arial" w:cs="Arial"/>
          <w:i/>
          <w:iCs/>
          <w:color w:val="000000"/>
          <w:sz w:val="14"/>
          <w:szCs w:val="14"/>
          <w:lang w:eastAsia="en-GB"/>
        </w:rPr>
        <w:t xml:space="preserve">  Inc. of £227m (2011: loss of £58m), impairment of investment in </w:t>
      </w:r>
      <w:proofErr w:type="spellStart"/>
      <w:r w:rsidRPr="00D14928">
        <w:rPr>
          <w:rFonts w:ascii="Arial" w:eastAsia="Times New Roman" w:hAnsi="Arial" w:cs="Arial"/>
          <w:i/>
          <w:iCs/>
          <w:color w:val="000000"/>
          <w:sz w:val="14"/>
          <w:szCs w:val="14"/>
          <w:lang w:eastAsia="en-GB"/>
        </w:rPr>
        <w:t>BlackRock</w:t>
      </w:r>
      <w:proofErr w:type="spellEnd"/>
      <w:r w:rsidRPr="00D14928">
        <w:rPr>
          <w:rFonts w:ascii="Arial" w:eastAsia="Times New Roman" w:hAnsi="Arial" w:cs="Arial"/>
          <w:i/>
          <w:iCs/>
          <w:color w:val="000000"/>
          <w:sz w:val="14"/>
          <w:szCs w:val="14"/>
          <w:lang w:eastAsia="en-GB"/>
        </w:rPr>
        <w:t xml:space="preserve"> Inc. of £nil (2011: £1,800m) and loss on disposals of £nil (2011: £23m). </w:t>
      </w:r>
    </w:p>
    <w:p w:rsidR="00D14928" w:rsidRPr="00D14928" w:rsidRDefault="00D14928" w:rsidP="000D3D3A">
      <w:pPr>
        <w:spacing w:after="0" w:line="240" w:lineRule="auto"/>
        <w:ind w:left="284" w:hanging="284"/>
        <w:jc w:val="both"/>
        <w:rPr>
          <w:rFonts w:ascii="Arial" w:eastAsia="Times New Roman" w:hAnsi="Arial" w:cs="Arial"/>
          <w:b/>
          <w:bCs/>
          <w:i/>
          <w:iCs/>
          <w:color w:val="000000"/>
          <w:sz w:val="24"/>
          <w:szCs w:val="24"/>
          <w:lang w:eastAsia="en-GB"/>
        </w:rPr>
      </w:pPr>
      <w:r w:rsidRPr="00D14928">
        <w:rPr>
          <w:rFonts w:ascii="Arial" w:eastAsia="Times New Roman" w:hAnsi="Arial" w:cs="Arial"/>
          <w:i/>
          <w:iCs/>
          <w:color w:val="000000"/>
          <w:sz w:val="14"/>
          <w:szCs w:val="14"/>
          <w:lang w:eastAsia="en-GB"/>
        </w:rPr>
        <w:t>2       Allocation of full time equivalent employees by business has changed as outlined in the Overview of Reporting Changes, the impact of which is reflected within Group Structure changes.</w:t>
      </w:r>
    </w:p>
    <w:p w:rsidR="00D14928" w:rsidRPr="00D14928" w:rsidRDefault="00D14928" w:rsidP="000D3D3A">
      <w:pPr>
        <w:spacing w:after="0" w:line="240" w:lineRule="auto"/>
        <w:ind w:left="284" w:hanging="284"/>
        <w:jc w:val="both"/>
        <w:rPr>
          <w:rFonts w:ascii="Arial" w:eastAsia="Times New Roman" w:hAnsi="Arial" w:cs="Arial"/>
          <w:i/>
          <w:iCs/>
          <w:sz w:val="18"/>
          <w:szCs w:val="18"/>
          <w:lang w:eastAsia="en-GB"/>
        </w:rPr>
      </w:pPr>
      <w:r w:rsidRPr="00D14928">
        <w:rPr>
          <w:rFonts w:ascii="Arial" w:eastAsia="Times New Roman" w:hAnsi="Arial" w:cs="Arial"/>
          <w:i/>
          <w:iCs/>
          <w:color w:val="000000"/>
          <w:sz w:val="14"/>
          <w:szCs w:val="14"/>
          <w:lang w:eastAsia="en-GB"/>
        </w:rPr>
        <w:t xml:space="preserve">3        Methodology for the intra-group allocation of funding costs and other income items has been changed and now includes charging out the majority of the costs of subordinated debt instruments and preference shares and allocation of liquidity costs; increased allocation of intra-group interest and the elimination of fees to the Investment Bank for structured capital market activities.  The net effect of this is to increase Head Office profit before tax by £1,280m and reduce non-controlling interests by £388m. </w:t>
      </w:r>
    </w:p>
    <w:p w:rsidR="00D14928" w:rsidRPr="00D14928" w:rsidRDefault="00D14928" w:rsidP="000D3D3A">
      <w:pPr>
        <w:spacing w:after="20" w:line="240" w:lineRule="auto"/>
        <w:ind w:left="284" w:hanging="284"/>
        <w:jc w:val="both"/>
        <w:rPr>
          <w:rFonts w:ascii="Arial" w:eastAsia="Times New Roman" w:hAnsi="Arial" w:cs="Arial"/>
          <w:i/>
          <w:iCs/>
          <w:sz w:val="18"/>
          <w:szCs w:val="18"/>
          <w:lang w:eastAsia="en-GB"/>
        </w:rPr>
      </w:pPr>
      <w:r w:rsidRPr="00D14928">
        <w:rPr>
          <w:rFonts w:ascii="Arial" w:eastAsia="Times New Roman" w:hAnsi="Arial" w:cs="Arial"/>
          <w:i/>
          <w:iCs/>
          <w:color w:val="000000"/>
          <w:sz w:val="14"/>
          <w:szCs w:val="14"/>
          <w:lang w:eastAsia="en-GB"/>
        </w:rPr>
        <w:t>4       The restated 2012 Head Office profit before tax of £189m principally reflects a one-time change in the value of hedges relating to employee share awards closed out in Q1 12, which has not been allocated to the businesses, plus earnings on surplus capital held in Head Office (in excess of the 10.5% capital ratio used for allocation to the businesses), less residual Head Office costs.</w:t>
      </w:r>
    </w:p>
    <w:p w:rsidR="000D3D3A" w:rsidRDefault="000D3D3A" w:rsidP="00D14928">
      <w:pPr>
        <w:spacing w:line="240" w:lineRule="auto"/>
        <w:jc w:val="both"/>
        <w:rPr>
          <w:rFonts w:ascii="Arial" w:eastAsia="Times New Roman" w:hAnsi="Arial" w:cs="Arial"/>
          <w:color w:val="000000"/>
          <w:sz w:val="24"/>
          <w:szCs w:val="24"/>
          <w:lang w:eastAsia="en-GB"/>
        </w:rPr>
      </w:pPr>
    </w:p>
    <w:p w:rsidR="000D3D3A" w:rsidRDefault="000D3D3A" w:rsidP="00D14928">
      <w:pPr>
        <w:spacing w:line="240" w:lineRule="auto"/>
        <w:jc w:val="both"/>
        <w:rPr>
          <w:rFonts w:ascii="Arial" w:eastAsia="Times New Roman" w:hAnsi="Arial" w:cs="Arial"/>
          <w:color w:val="000000"/>
          <w:sz w:val="24"/>
          <w:szCs w:val="24"/>
          <w:lang w:eastAsia="en-GB"/>
        </w:rPr>
      </w:pPr>
    </w:p>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3715"/>
        <w:gridCol w:w="637"/>
        <w:gridCol w:w="642"/>
        <w:gridCol w:w="637"/>
        <w:gridCol w:w="928"/>
        <w:gridCol w:w="78"/>
        <w:gridCol w:w="625"/>
        <w:gridCol w:w="628"/>
        <w:gridCol w:w="622"/>
        <w:gridCol w:w="622"/>
      </w:tblGrid>
      <w:tr w:rsidR="00D14928" w:rsidRPr="00D14928" w:rsidTr="00D14928">
        <w:trPr>
          <w:trHeight w:val="315"/>
        </w:trPr>
        <w:tc>
          <w:tcPr>
            <w:tcW w:w="6705" w:type="dxa"/>
            <w:gridSpan w:val="5"/>
            <w:tcMar>
              <w:top w:w="0" w:type="dxa"/>
              <w:left w:w="36" w:type="dxa"/>
              <w:bottom w:w="0" w:type="dxa"/>
              <w:right w:w="36" w:type="dxa"/>
            </w:tcMar>
            <w:vAlign w:val="center"/>
            <w:hideMark/>
          </w:tcPr>
          <w:p w:rsidR="00D14928" w:rsidRPr="00D14928" w:rsidRDefault="00D14928" w:rsidP="00D14928">
            <w:pPr>
              <w:spacing w:before="60"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Head Office and Other Operations</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w:t>
            </w:r>
            <w:r w:rsidRPr="00D14928">
              <w:rPr>
                <w:rFonts w:ascii="Arial" w:eastAsia="Times New Roman" w:hAnsi="Arial" w:cs="Arial"/>
                <w:b/>
                <w:bCs/>
                <w:color w:val="000000"/>
                <w:sz w:val="19"/>
                <w:szCs w:val="19"/>
                <w:vertAlign w:val="superscript"/>
                <w:lang w:eastAsia="en-GB"/>
              </w:rPr>
              <w:t> </w:t>
            </w:r>
          </w:p>
        </w:tc>
      </w:tr>
      <w:tr w:rsidR="00D14928" w:rsidRPr="00D14928" w:rsidTr="00D14928">
        <w:trPr>
          <w:trHeight w:val="315"/>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w:t>
            </w:r>
            <w:r w:rsidRPr="00D14928">
              <w:rPr>
                <w:rFonts w:ascii="Arial" w:eastAsia="Times New Roman" w:hAnsi="Arial" w:cs="Arial"/>
                <w:b/>
                <w:bCs/>
                <w:color w:val="000000"/>
                <w:sz w:val="19"/>
                <w:szCs w:val="19"/>
                <w:vertAlign w:val="superscript"/>
                <w:lang w:eastAsia="en-GB"/>
              </w:rPr>
              <w:t>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w:t>
            </w:r>
            <w:r w:rsidRPr="00D14928">
              <w:rPr>
                <w:rFonts w:ascii="Arial" w:eastAsia="Times New Roman" w:hAnsi="Arial" w:cs="Arial"/>
                <w:b/>
                <w:bCs/>
                <w:color w:val="000000"/>
                <w:sz w:val="19"/>
                <w:szCs w:val="19"/>
                <w:vertAlign w:val="superscript"/>
                <w:lang w:eastAsia="en-GB"/>
              </w:rPr>
              <w:t> </w:t>
            </w:r>
          </w:p>
        </w:tc>
      </w:tr>
      <w:tr w:rsidR="00D14928" w:rsidRPr="00D14928" w:rsidTr="00D14928">
        <w:trPr>
          <w:trHeight w:val="240"/>
        </w:trPr>
        <w:tc>
          <w:tcPr>
            <w:tcW w:w="382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Restated Income Statement Information </w:t>
            </w:r>
          </w:p>
        </w:tc>
        <w:tc>
          <w:tcPr>
            <w:tcW w:w="6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Q412</w:t>
            </w:r>
          </w:p>
        </w:tc>
        <w:tc>
          <w:tcPr>
            <w:tcW w:w="6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Q312</w:t>
            </w:r>
          </w:p>
        </w:tc>
        <w:tc>
          <w:tcPr>
            <w:tcW w:w="6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Q212</w:t>
            </w:r>
          </w:p>
        </w:tc>
        <w:tc>
          <w:tcPr>
            <w:tcW w:w="6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Q112</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Q411</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Q311</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Q211</w:t>
            </w:r>
          </w:p>
        </w:tc>
        <w:tc>
          <w:tcPr>
            <w:tcW w:w="630"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Q111 </w:t>
            </w:r>
          </w:p>
        </w:tc>
      </w:tr>
      <w:tr w:rsidR="00D14928" w:rsidRPr="00D14928" w:rsidTr="00D14928">
        <w:trPr>
          <w:trHeight w:val="240"/>
        </w:trPr>
        <w:tc>
          <w:tcPr>
            <w:tcW w:w="38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38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Adjusted basis</w:t>
            </w:r>
            <w:r w:rsidRPr="00D14928">
              <w:rPr>
                <w:rFonts w:ascii="Arial" w:eastAsia="Times New Roman" w:hAnsi="Arial" w:cs="Arial"/>
                <w:color w:val="000000"/>
                <w:sz w:val="16"/>
                <w:szCs w:val="16"/>
                <w:vertAlign w:val="superscript"/>
                <w:lang w:eastAsia="en-GB"/>
              </w:rPr>
              <w:t xml:space="preserve">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(expense)/income net of insurance claims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(53)</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317 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49 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(112)</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(58) </w:t>
            </w:r>
          </w:p>
        </w:tc>
      </w:tr>
      <w:tr w:rsidR="00D14928" w:rsidRPr="00D14928" w:rsidTr="00D14928">
        <w:trPr>
          <w:trHeight w:val="48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Credit impairment releases/(charges) and other provisions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4  </w:t>
            </w:r>
          </w:p>
        </w:tc>
      </w:tr>
      <w:tr w:rsidR="00D14928" w:rsidRPr="00D14928" w:rsidTr="00D14928">
        <w:trPr>
          <w:trHeight w:val="240"/>
        </w:trPr>
        <w:tc>
          <w:tcPr>
            <w:tcW w:w="3825"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Net operating (expense)/income </w:t>
            </w:r>
          </w:p>
        </w:tc>
        <w:tc>
          <w:tcPr>
            <w:tcW w:w="645"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(52)</w:t>
            </w:r>
          </w:p>
        </w:tc>
        <w:tc>
          <w:tcPr>
            <w:tcW w:w="645"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22 </w:t>
            </w:r>
          </w:p>
        </w:tc>
        <w:tc>
          <w:tcPr>
            <w:tcW w:w="645"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67 </w:t>
            </w:r>
          </w:p>
        </w:tc>
        <w:tc>
          <w:tcPr>
            <w:tcW w:w="645"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315 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48 </w:t>
            </w:r>
          </w:p>
        </w:tc>
        <w:tc>
          <w:tcPr>
            <w:tcW w:w="630"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(111)</w:t>
            </w:r>
          </w:p>
        </w:tc>
        <w:tc>
          <w:tcPr>
            <w:tcW w:w="630"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30 </w:t>
            </w:r>
          </w:p>
        </w:tc>
        <w:tc>
          <w:tcPr>
            <w:tcW w:w="630" w:type="dxa"/>
            <w:tcBorders>
              <w:top w:val="single" w:sz="8" w:space="0" w:color="969696"/>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(54)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Operating expenses (excluding bank levy)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(59)</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(101)</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bank levy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38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net income/(expense)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38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Adjusted (loss)/profit before tax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(132)</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12 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(12)</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321 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22 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(118)</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15 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(55)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382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Adjusting Items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r w:rsidR="00D14928" w:rsidRPr="00D14928" w:rsidTr="00D14928">
        <w:trPr>
          <w:trHeight w:val="240"/>
        </w:trPr>
        <w:tc>
          <w:tcPr>
            <w:tcW w:w="38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Own credit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(560)</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(1,074)</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(325)</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(2,620)</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(263)</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2,882 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440 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(351)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Gain/(loss) on disposal and impairment of investment in </w:t>
            </w:r>
            <w:proofErr w:type="spellStart"/>
            <w:r w:rsidRPr="00D14928">
              <w:rPr>
                <w:rFonts w:ascii="Arial" w:eastAsia="Times New Roman" w:hAnsi="Arial" w:cs="Arial"/>
                <w:color w:val="000000"/>
                <w:sz w:val="16"/>
                <w:szCs w:val="16"/>
                <w:lang w:eastAsia="en-GB"/>
              </w:rPr>
              <w:t>BlackRock</w:t>
            </w:r>
            <w:proofErr w:type="spellEnd"/>
            <w:r w:rsidRPr="00D14928">
              <w:rPr>
                <w:rFonts w:ascii="Arial" w:eastAsia="Times New Roman" w:hAnsi="Arial" w:cs="Arial"/>
                <w:color w:val="000000"/>
                <w:sz w:val="16"/>
                <w:szCs w:val="16"/>
                <w:lang w:eastAsia="en-GB"/>
              </w:rPr>
              <w:t xml:space="preserve">, Inc.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227 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(1,800)</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(58)</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Gains on debt buy-backs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1,130 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38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(Losses)/gains on acquisitions and disposals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2  </w:t>
            </w:r>
          </w:p>
        </w:tc>
      </w:tr>
      <w:tr w:rsidR="00D14928" w:rsidRPr="00D14928" w:rsidTr="00D14928">
        <w:trPr>
          <w:trHeight w:val="240"/>
        </w:trPr>
        <w:tc>
          <w:tcPr>
            <w:tcW w:w="38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Statutory (loss)/profit before tax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(692)</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(1,062)</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(110)</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(2,299)</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866 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965 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394 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(404)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b/>
                <w:bCs/>
                <w:color w:val="000000"/>
                <w:sz w:val="16"/>
                <w:szCs w:val="16"/>
                <w:vertAlign w:val="superscript"/>
                <w:lang w:eastAsia="en-GB"/>
              </w:rPr>
              <w:t>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20"/>
                <w:szCs w:val="20"/>
                <w:lang w:eastAsia="en-GB"/>
              </w:rPr>
              <w:t> </w:t>
            </w:r>
            <w:r w:rsidRPr="00D14928">
              <w:rPr>
                <w:rFonts w:ascii="Arial" w:eastAsia="Times New Roman" w:hAnsi="Arial" w:cs="Arial"/>
                <w:color w:val="000000"/>
                <w:sz w:val="16"/>
                <w:szCs w:val="16"/>
                <w:vertAlign w:val="superscript"/>
                <w:lang w:eastAsia="en-GB"/>
              </w:rPr>
              <w:t> </w:t>
            </w:r>
          </w:p>
        </w:tc>
      </w:tr>
      <w:tr w:rsidR="00D14928" w:rsidRPr="00D14928" w:rsidTr="00D14928">
        <w:trPr>
          <w:trHeight w:val="240"/>
        </w:trPr>
        <w:tc>
          <w:tcPr>
            <w:tcW w:w="382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xml:space="preserve">Restated Balance Sheet Information </w:t>
            </w:r>
            <w:r w:rsidRPr="00D14928">
              <w:rPr>
                <w:rFonts w:ascii="Arial" w:eastAsia="Times New Roman" w:hAnsi="Arial" w:cs="Arial"/>
                <w:b/>
                <w:bCs/>
                <w:color w:val="000000"/>
                <w:sz w:val="16"/>
                <w:szCs w:val="16"/>
                <w:vertAlign w:val="superscript"/>
                <w:lang w:eastAsia="en-GB"/>
              </w:rPr>
              <w:t> </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roofErr w:type="spellStart"/>
            <w:r w:rsidRPr="00D14928">
              <w:rPr>
                <w:rFonts w:ascii="Arial" w:eastAsia="Times New Roman" w:hAnsi="Arial" w:cs="Arial"/>
                <w:color w:val="000000"/>
                <w:sz w:val="16"/>
                <w:szCs w:val="16"/>
                <w:lang w:eastAsia="en-GB"/>
              </w:rPr>
              <w:t>bn</w:t>
            </w:r>
            <w:proofErr w:type="spellEnd"/>
            <w:r w:rsidRPr="00D14928">
              <w:rPr>
                <w:rFonts w:ascii="Arial" w:eastAsia="Times New Roman" w:hAnsi="Arial" w:cs="Arial"/>
                <w:color w:val="000000"/>
                <w:sz w:val="20"/>
                <w:szCs w:val="20"/>
                <w:vertAlign w:val="superscript"/>
                <w:lang w:eastAsia="en-GB"/>
              </w:rPr>
              <w:t xml:space="preserve"> </w:t>
            </w:r>
          </w:p>
        </w:tc>
      </w:tr>
      <w:tr w:rsidR="00D14928" w:rsidRPr="00D14928" w:rsidTr="00D14928">
        <w:trPr>
          <w:trHeight w:val="240"/>
        </w:trPr>
        <w:tc>
          <w:tcPr>
            <w:tcW w:w="38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assets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41.3 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40.2 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35.3 </w:t>
            </w:r>
          </w:p>
        </w:tc>
        <w:tc>
          <w:tcPr>
            <w:tcW w:w="6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33.7 </w:t>
            </w:r>
          </w:p>
        </w:tc>
        <w:tc>
          <w:tcPr>
            <w:tcW w:w="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31.7 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34.4 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43.4 </w:t>
            </w:r>
          </w:p>
        </w:tc>
        <w:tc>
          <w:tcPr>
            <w:tcW w:w="6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38.1  </w:t>
            </w:r>
          </w:p>
        </w:tc>
      </w:tr>
      <w:tr w:rsidR="00D14928" w:rsidRPr="00D14928" w:rsidTr="00D14928">
        <w:trPr>
          <w:trHeight w:val="240"/>
        </w:trPr>
        <w:tc>
          <w:tcPr>
            <w:tcW w:w="382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Risk weighted assets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5.3 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6.0 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2.7 </w:t>
            </w:r>
          </w:p>
        </w:tc>
        <w:tc>
          <w:tcPr>
            <w:tcW w:w="6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1.7 </w:t>
            </w:r>
          </w:p>
        </w:tc>
        <w:tc>
          <w:tcPr>
            <w:tcW w:w="63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1.2  </w:t>
            </w:r>
          </w:p>
        </w:tc>
      </w:tr>
    </w:tbl>
    <w:p w:rsidR="00D14928" w:rsidRPr="00D14928" w:rsidRDefault="00D14928" w:rsidP="00D14928">
      <w:pPr>
        <w:spacing w:before="100" w:beforeAutospacing="1" w:after="100" w:afterAutospacing="1" w:line="240" w:lineRule="auto"/>
        <w:rPr>
          <w:rFonts w:ascii="Times New Roman" w:eastAsia="Times New Roman" w:hAnsi="Times New Roman" w:cs="Times New Roman"/>
          <w:i/>
          <w:iCs/>
          <w:sz w:val="24"/>
          <w:szCs w:val="24"/>
          <w:lang w:eastAsia="en-GB"/>
        </w:rPr>
      </w:pPr>
      <w:r w:rsidRPr="00D14928">
        <w:rPr>
          <w:rFonts w:ascii="Arial" w:eastAsia="Times New Roman" w:hAnsi="Arial" w:cs="Arial"/>
          <w:i/>
          <w:iCs/>
          <w:color w:val="000000"/>
          <w:sz w:val="14"/>
          <w:szCs w:val="14"/>
          <w:lang w:eastAsia="en-GB"/>
        </w:rPr>
        <w:br w:type="page"/>
      </w:r>
    </w:p>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color w:val="000000"/>
          <w:sz w:val="24"/>
          <w:szCs w:val="24"/>
          <w:lang w:eastAsia="en-GB"/>
        </w:rPr>
        <w:lastRenderedPageBreak/>
        <w:t>Appendix I - Performance Management</w:t>
      </w:r>
    </w:p>
    <w:tbl>
      <w:tblPr>
        <w:tblW w:w="9735" w:type="dxa"/>
        <w:tblInd w:w="-36" w:type="dxa"/>
        <w:tblCellMar>
          <w:left w:w="0" w:type="dxa"/>
          <w:right w:w="0" w:type="dxa"/>
        </w:tblCellMar>
        <w:tblLook w:val="04A0" w:firstRow="1" w:lastRow="0" w:firstColumn="1" w:lastColumn="0" w:noHBand="0" w:noVBand="1"/>
      </w:tblPr>
      <w:tblGrid>
        <w:gridCol w:w="4388"/>
        <w:gridCol w:w="1218"/>
        <w:gridCol w:w="1293"/>
        <w:gridCol w:w="100"/>
        <w:gridCol w:w="1218"/>
        <w:gridCol w:w="1518"/>
      </w:tblGrid>
      <w:tr w:rsidR="00D14928" w:rsidRPr="00D14928" w:rsidTr="00D14928">
        <w:trPr>
          <w:trHeight w:val="315"/>
        </w:trPr>
        <w:tc>
          <w:tcPr>
            <w:tcW w:w="9660" w:type="dxa"/>
            <w:gridSpan w:val="6"/>
            <w:tcMar>
              <w:top w:w="0" w:type="dxa"/>
              <w:left w:w="36" w:type="dxa"/>
              <w:bottom w:w="0" w:type="dxa"/>
              <w:right w:w="36" w:type="dxa"/>
            </w:tcMar>
            <w:vAlign w:val="center"/>
            <w:hideMark/>
          </w:tcPr>
          <w:p w:rsidR="00D14928" w:rsidRPr="00D14928" w:rsidRDefault="00D14928" w:rsidP="00D14928">
            <w:pPr>
              <w:spacing w:before="60"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xml:space="preserve">Restated Returns and Equity by Business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4"/>
                <w:szCs w:val="24"/>
                <w:lang w:eastAsia="en-GB"/>
              </w:rPr>
              <w:t> </w:t>
            </w:r>
            <w:r w:rsidRPr="00D14928">
              <w:rPr>
                <w:rFonts w:ascii="Arial" w:eastAsia="Times New Roman" w:hAnsi="Arial" w:cs="Arial"/>
                <w:color w:val="000000"/>
                <w:sz w:val="16"/>
                <w:szCs w:val="16"/>
                <w:vertAlign w:val="superscript"/>
                <w:lang w:eastAsia="en-GB"/>
              </w:rPr>
              <w:t>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2505" w:type="dxa"/>
            <w:gridSpan w:val="2"/>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Adjusted</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vertAlign w:val="superscript"/>
                <w:lang w:eastAsia="en-GB"/>
              </w:rPr>
              <w:t> </w:t>
            </w:r>
          </w:p>
        </w:tc>
        <w:tc>
          <w:tcPr>
            <w:tcW w:w="2505" w:type="dxa"/>
            <w:gridSpan w:val="2"/>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Statutory</w:t>
            </w: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9735" w:type="dxa"/>
        <w:tblInd w:w="-36" w:type="dxa"/>
        <w:tblCellMar>
          <w:left w:w="0" w:type="dxa"/>
          <w:right w:w="0" w:type="dxa"/>
        </w:tblCellMar>
        <w:tblLook w:val="04A0" w:firstRow="1" w:lastRow="0" w:firstColumn="1" w:lastColumn="0" w:noHBand="0" w:noVBand="1"/>
      </w:tblPr>
      <w:tblGrid>
        <w:gridCol w:w="4577"/>
        <w:gridCol w:w="1270"/>
        <w:gridCol w:w="1269"/>
        <w:gridCol w:w="81"/>
        <w:gridCol w:w="1269"/>
        <w:gridCol w:w="1269"/>
      </w:tblGrid>
      <w:tr w:rsidR="00D14928" w:rsidRPr="00D14928" w:rsidTr="00D14928">
        <w:trPr>
          <w:trHeight w:val="255"/>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12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Year Ended</w:t>
            </w:r>
          </w:p>
        </w:tc>
        <w:tc>
          <w:tcPr>
            <w:tcW w:w="12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Year Ended </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Year Ended</w:t>
            </w:r>
          </w:p>
        </w:tc>
        <w:tc>
          <w:tcPr>
            <w:tcW w:w="12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Year Ended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12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31.12.12</w:t>
            </w:r>
          </w:p>
        </w:tc>
        <w:tc>
          <w:tcPr>
            <w:tcW w:w="12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31.12.11 </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31.12.12</w:t>
            </w:r>
          </w:p>
        </w:tc>
        <w:tc>
          <w:tcPr>
            <w:tcW w:w="12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31.12.11 </w:t>
            </w:r>
          </w:p>
        </w:tc>
      </w:tr>
      <w:tr w:rsidR="00D14928" w:rsidRPr="00D14928" w:rsidTr="00D14928">
        <w:trPr>
          <w:trHeight w:val="240"/>
        </w:trPr>
        <w:tc>
          <w:tcPr>
            <w:tcW w:w="43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Return on Average Equity</w:t>
            </w:r>
            <w:r w:rsidRPr="00D14928">
              <w:rPr>
                <w:rFonts w:ascii="Arial" w:eastAsia="Times New Roman" w:hAnsi="Arial" w:cs="Arial"/>
                <w:color w:val="000000"/>
                <w:sz w:val="16"/>
                <w:szCs w:val="16"/>
                <w:vertAlign w:val="superscript"/>
                <w:lang w:eastAsia="en-GB"/>
              </w:rPr>
              <w:t xml:space="preserve"> </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RBB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12.3 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12.0 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(0.3)</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7.8 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Europe RBB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(12.9)</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(9.7)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(12.9)</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(26.0)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Africa RBB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(0.1)</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7.4 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(0.1)</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7.5 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Barclaycard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19.8 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16.1 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13.3 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6.0 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Investment Bank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12.7 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7.7 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12.7 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7.7 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Corporate Banking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0.4 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(5.4)</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(2.0) </w:t>
            </w:r>
          </w:p>
        </w:tc>
      </w:tr>
      <w:tr w:rsidR="00D14928" w:rsidRPr="00D14928" w:rsidTr="00D14928">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Wealth and Investment Management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11.2 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9.5 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11.2 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9.5  </w:t>
            </w:r>
          </w:p>
        </w:tc>
      </w:tr>
      <w:tr w:rsidR="00D14928" w:rsidRPr="00D14928" w:rsidTr="00D14928">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Group excluding Head Office and Other Operations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9.8 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7.0 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5.9 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4.1 </w:t>
            </w:r>
            <w:r w:rsidRPr="00D14928">
              <w:rPr>
                <w:rFonts w:ascii="Arial" w:eastAsia="Times New Roman" w:hAnsi="Arial" w:cs="Arial"/>
                <w:color w:val="000000"/>
                <w:sz w:val="16"/>
                <w:szCs w:val="16"/>
                <w:vertAlign w:val="superscript"/>
                <w:lang w:eastAsia="en-GB"/>
              </w:rPr>
              <w:t xml:space="preserve"> </w:t>
            </w:r>
          </w:p>
        </w:tc>
      </w:tr>
      <w:tr w:rsidR="00D14928" w:rsidRPr="00D14928" w:rsidTr="00D14928">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Head Office and Other Operations impact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(0.8)</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(0.3)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(7.1)</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1.8  </w:t>
            </w:r>
          </w:p>
        </w:tc>
      </w:tr>
      <w:tr w:rsidR="00D14928" w:rsidRPr="00D14928" w:rsidTr="00D14928">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9.0 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6.7 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(1.2)</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5.9  </w:t>
            </w:r>
          </w:p>
        </w:tc>
      </w:tr>
      <w:tr w:rsidR="00D14928" w:rsidRPr="00D14928" w:rsidTr="00D14928">
        <w:trPr>
          <w:trHeight w:val="255"/>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9735" w:type="dxa"/>
        <w:tblInd w:w="-36" w:type="dxa"/>
        <w:tblCellMar>
          <w:left w:w="0" w:type="dxa"/>
          <w:right w:w="0" w:type="dxa"/>
        </w:tblCellMar>
        <w:tblLook w:val="04A0" w:firstRow="1" w:lastRow="0" w:firstColumn="1" w:lastColumn="0" w:noHBand="0" w:noVBand="1"/>
      </w:tblPr>
      <w:tblGrid>
        <w:gridCol w:w="4492"/>
        <w:gridCol w:w="2570"/>
        <w:gridCol w:w="103"/>
        <w:gridCol w:w="2570"/>
      </w:tblGrid>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250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Adjusted</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vertAlign w:val="superscript"/>
                <w:lang w:eastAsia="en-GB"/>
              </w:rPr>
              <w:t> </w:t>
            </w:r>
          </w:p>
        </w:tc>
        <w:tc>
          <w:tcPr>
            <w:tcW w:w="250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Statutory</w:t>
            </w: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9735" w:type="dxa"/>
        <w:tblInd w:w="-36" w:type="dxa"/>
        <w:tblCellMar>
          <w:left w:w="0" w:type="dxa"/>
          <w:right w:w="0" w:type="dxa"/>
        </w:tblCellMar>
        <w:tblLook w:val="04A0" w:firstRow="1" w:lastRow="0" w:firstColumn="1" w:lastColumn="0" w:noHBand="0" w:noVBand="1"/>
      </w:tblPr>
      <w:tblGrid>
        <w:gridCol w:w="4577"/>
        <w:gridCol w:w="1270"/>
        <w:gridCol w:w="1269"/>
        <w:gridCol w:w="81"/>
        <w:gridCol w:w="1269"/>
        <w:gridCol w:w="1269"/>
      </w:tblGrid>
      <w:tr w:rsidR="00D14928" w:rsidRPr="00D14928" w:rsidTr="00D14928">
        <w:trPr>
          <w:trHeight w:val="240"/>
        </w:trPr>
        <w:tc>
          <w:tcPr>
            <w:tcW w:w="43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Return on Average Tangible Equity </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c>
          <w:tcPr>
            <w:tcW w:w="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w:t>
            </w:r>
          </w:p>
        </w:tc>
      </w:tr>
      <w:tr w:rsidR="00D14928" w:rsidRPr="00D14928" w:rsidTr="00D14928">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RBB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22.9 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22.5  </w:t>
            </w:r>
          </w:p>
        </w:tc>
        <w:tc>
          <w:tcPr>
            <w:tcW w:w="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(0.6)</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14.7 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Europe RBB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(14.2)</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(12.6)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(14.2)</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(33.7)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Africa RBB</w:t>
            </w:r>
            <w:r w:rsidRPr="00D14928">
              <w:rPr>
                <w:rFonts w:ascii="Arial" w:eastAsia="Times New Roman" w:hAnsi="Arial" w:cs="Arial"/>
                <w:color w:val="000000"/>
                <w:sz w:val="13"/>
                <w:szCs w:val="13"/>
                <w:vertAlign w:val="superscript"/>
                <w:lang w:eastAsia="en-GB"/>
              </w:rPr>
              <w:t>1 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4.9 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15.7 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4.9 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15.8 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Barclaycard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26.9 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21.4 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18.0 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8.0 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Investment Bank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13.1 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8.0 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13.1 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8.0 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Corporate Banking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3.1 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0.4 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(5.7)</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(2.1) </w:t>
            </w:r>
          </w:p>
        </w:tc>
      </w:tr>
      <w:tr w:rsidR="00D14928" w:rsidRPr="00D14928" w:rsidTr="00D14928">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Wealth and Investment Management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15.5 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13.0 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15.5 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13.0  </w:t>
            </w:r>
          </w:p>
        </w:tc>
      </w:tr>
      <w:tr w:rsidR="00D14928" w:rsidRPr="00D14928" w:rsidTr="00D14928">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Group excluding Head Office and Other Operations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11.7 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8.8 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7.2 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5.4 </w:t>
            </w:r>
            <w:r w:rsidRPr="00D14928">
              <w:rPr>
                <w:rFonts w:ascii="Arial" w:eastAsia="Times New Roman" w:hAnsi="Arial" w:cs="Arial"/>
                <w:color w:val="000000"/>
                <w:sz w:val="16"/>
                <w:szCs w:val="16"/>
                <w:vertAlign w:val="superscript"/>
                <w:lang w:eastAsia="en-GB"/>
              </w:rPr>
              <w:t xml:space="preserve"> </w:t>
            </w:r>
          </w:p>
        </w:tc>
      </w:tr>
      <w:tr w:rsidR="00D14928" w:rsidRPr="00D14928" w:rsidTr="00D14928">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Head Office and Other Operations impact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(0.7)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(8.6)</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1.7  </w:t>
            </w:r>
          </w:p>
        </w:tc>
      </w:tr>
      <w:tr w:rsidR="00D14928" w:rsidRPr="00D14928" w:rsidTr="00D14928">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10.6 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8.1 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7.1  </w:t>
            </w:r>
          </w:p>
        </w:tc>
      </w:tr>
    </w:tbl>
    <w:p w:rsidR="00D14928" w:rsidRPr="00D14928" w:rsidRDefault="00D14928" w:rsidP="00D14928">
      <w:pPr>
        <w:spacing w:after="0" w:line="240" w:lineRule="auto"/>
        <w:rPr>
          <w:rFonts w:ascii="Arial" w:eastAsia="Times New Roman" w:hAnsi="Arial" w:cs="Arial"/>
          <w:i/>
          <w:iCs/>
          <w:sz w:val="2"/>
          <w:szCs w:val="2"/>
          <w:lang w:eastAsia="en-GB"/>
        </w:rPr>
      </w:pPr>
      <w:r w:rsidRPr="00D14928">
        <w:rPr>
          <w:rFonts w:ascii="Arial" w:eastAsia="Times New Roman" w:hAnsi="Arial" w:cs="Arial"/>
          <w:i/>
          <w:iCs/>
          <w:color w:val="000000"/>
          <w:sz w:val="14"/>
          <w:szCs w:val="14"/>
          <w:lang w:eastAsia="en-GB"/>
        </w:rPr>
        <w:t> </w:t>
      </w:r>
      <w:r w:rsidRPr="00D14928">
        <w:rPr>
          <w:rFonts w:ascii="Arial" w:eastAsia="Times New Roman" w:hAnsi="Arial" w:cs="Arial"/>
          <w:i/>
          <w:iCs/>
          <w:sz w:val="6"/>
          <w:szCs w:val="6"/>
          <w:lang w:eastAsia="en-GB"/>
        </w:rPr>
        <w:t> </w:t>
      </w:r>
    </w:p>
    <w:p w:rsidR="00D14928" w:rsidRPr="00D14928" w:rsidRDefault="00D14928" w:rsidP="00D14928">
      <w:pPr>
        <w:spacing w:after="40" w:line="240" w:lineRule="auto"/>
        <w:jc w:val="both"/>
        <w:rPr>
          <w:rFonts w:ascii="Arial" w:eastAsia="Times New Roman" w:hAnsi="Arial" w:cs="Arial"/>
          <w:sz w:val="18"/>
          <w:szCs w:val="18"/>
          <w:lang w:eastAsia="en-GB"/>
        </w:rPr>
      </w:pPr>
      <w:r w:rsidRPr="00D14928">
        <w:rPr>
          <w:rFonts w:ascii="Arial" w:eastAsia="Times New Roman" w:hAnsi="Arial" w:cs="Arial"/>
          <w:sz w:val="14"/>
          <w:szCs w:val="14"/>
          <w:lang w:eastAsia="en-GB"/>
        </w:rPr>
        <w:t> </w:t>
      </w:r>
    </w:p>
    <w:p w:rsidR="00D14928" w:rsidRPr="00D14928" w:rsidRDefault="00D14928" w:rsidP="000D3D3A">
      <w:pPr>
        <w:spacing w:after="20" w:line="240" w:lineRule="auto"/>
        <w:ind w:left="142" w:hanging="284"/>
        <w:jc w:val="both"/>
        <w:rPr>
          <w:rFonts w:ascii="Arial" w:eastAsia="Times New Roman" w:hAnsi="Arial" w:cs="Arial"/>
          <w:i/>
          <w:iCs/>
          <w:sz w:val="14"/>
          <w:szCs w:val="14"/>
          <w:lang w:eastAsia="en-GB"/>
        </w:rPr>
      </w:pPr>
      <w:r w:rsidRPr="00D14928">
        <w:rPr>
          <w:rFonts w:ascii="Arial" w:eastAsia="Times New Roman" w:hAnsi="Arial" w:cs="Arial"/>
          <w:i/>
          <w:iCs/>
          <w:sz w:val="14"/>
          <w:szCs w:val="14"/>
          <w:lang w:eastAsia="en-GB"/>
        </w:rPr>
        <w:t>1        The return on average tangible equity for Africa RBB has been calculated including amounts relating to Absa Group's non-controlling interests.</w:t>
      </w:r>
    </w:p>
    <w:p w:rsidR="000D3D3A" w:rsidRDefault="000D3D3A" w:rsidP="00D14928">
      <w:pPr>
        <w:spacing w:line="240" w:lineRule="auto"/>
        <w:jc w:val="both"/>
        <w:rPr>
          <w:rFonts w:ascii="Arial" w:eastAsia="Times New Roman" w:hAnsi="Arial" w:cs="Arial"/>
          <w:color w:val="000000"/>
          <w:sz w:val="24"/>
          <w:szCs w:val="24"/>
          <w:lang w:eastAsia="en-GB"/>
        </w:rPr>
      </w:pPr>
    </w:p>
    <w:p w:rsidR="000D3D3A" w:rsidRDefault="000D3D3A" w:rsidP="00D14928">
      <w:pPr>
        <w:spacing w:line="240" w:lineRule="auto"/>
        <w:jc w:val="both"/>
        <w:rPr>
          <w:rFonts w:ascii="Arial" w:eastAsia="Times New Roman" w:hAnsi="Arial" w:cs="Arial"/>
          <w:color w:val="000000"/>
          <w:sz w:val="24"/>
          <w:szCs w:val="24"/>
          <w:lang w:eastAsia="en-GB"/>
        </w:rPr>
      </w:pPr>
    </w:p>
    <w:p w:rsidR="000D3D3A" w:rsidRDefault="000D3D3A" w:rsidP="00D14928">
      <w:pPr>
        <w:spacing w:line="240" w:lineRule="auto"/>
        <w:jc w:val="both"/>
        <w:rPr>
          <w:rFonts w:ascii="Arial" w:eastAsia="Times New Roman" w:hAnsi="Arial" w:cs="Arial"/>
          <w:color w:val="000000"/>
          <w:sz w:val="24"/>
          <w:szCs w:val="24"/>
          <w:lang w:eastAsia="en-GB"/>
        </w:rPr>
      </w:pPr>
    </w:p>
    <w:p w:rsidR="000D3D3A" w:rsidRDefault="000D3D3A" w:rsidP="00D14928">
      <w:pPr>
        <w:spacing w:line="240" w:lineRule="auto"/>
        <w:jc w:val="both"/>
        <w:rPr>
          <w:rFonts w:ascii="Arial" w:eastAsia="Times New Roman" w:hAnsi="Arial" w:cs="Arial"/>
          <w:color w:val="000000"/>
          <w:sz w:val="24"/>
          <w:szCs w:val="24"/>
          <w:lang w:eastAsia="en-GB"/>
        </w:rPr>
      </w:pPr>
    </w:p>
    <w:p w:rsidR="000D3D3A" w:rsidRDefault="000D3D3A" w:rsidP="00D14928">
      <w:pPr>
        <w:spacing w:line="240" w:lineRule="auto"/>
        <w:jc w:val="both"/>
        <w:rPr>
          <w:rFonts w:ascii="Arial" w:eastAsia="Times New Roman" w:hAnsi="Arial" w:cs="Arial"/>
          <w:color w:val="000000"/>
          <w:sz w:val="24"/>
          <w:szCs w:val="24"/>
          <w:lang w:eastAsia="en-GB"/>
        </w:rPr>
      </w:pPr>
    </w:p>
    <w:p w:rsidR="000D3D3A" w:rsidRDefault="000D3D3A" w:rsidP="00D14928">
      <w:pPr>
        <w:spacing w:line="240" w:lineRule="auto"/>
        <w:jc w:val="both"/>
        <w:rPr>
          <w:rFonts w:ascii="Arial" w:eastAsia="Times New Roman" w:hAnsi="Arial" w:cs="Arial"/>
          <w:color w:val="000000"/>
          <w:sz w:val="24"/>
          <w:szCs w:val="24"/>
          <w:lang w:eastAsia="en-GB"/>
        </w:rPr>
      </w:pPr>
    </w:p>
    <w:p w:rsidR="000D3D3A" w:rsidRDefault="000D3D3A" w:rsidP="00D14928">
      <w:pPr>
        <w:spacing w:line="240" w:lineRule="auto"/>
        <w:jc w:val="both"/>
        <w:rPr>
          <w:rFonts w:ascii="Arial" w:eastAsia="Times New Roman" w:hAnsi="Arial" w:cs="Arial"/>
          <w:color w:val="000000"/>
          <w:sz w:val="24"/>
          <w:szCs w:val="24"/>
          <w:lang w:eastAsia="en-GB"/>
        </w:rPr>
      </w:pPr>
    </w:p>
    <w:p w:rsidR="000D3D3A" w:rsidRDefault="000D3D3A" w:rsidP="00D14928">
      <w:pPr>
        <w:spacing w:line="240" w:lineRule="auto"/>
        <w:jc w:val="both"/>
        <w:rPr>
          <w:rFonts w:ascii="Arial" w:eastAsia="Times New Roman" w:hAnsi="Arial" w:cs="Arial"/>
          <w:color w:val="000000"/>
          <w:sz w:val="24"/>
          <w:szCs w:val="24"/>
          <w:lang w:eastAsia="en-GB"/>
        </w:rPr>
      </w:pPr>
    </w:p>
    <w:p w:rsidR="000D3D3A" w:rsidRDefault="000D3D3A" w:rsidP="00D14928">
      <w:pPr>
        <w:spacing w:line="240" w:lineRule="auto"/>
        <w:jc w:val="both"/>
        <w:rPr>
          <w:rFonts w:ascii="Arial" w:eastAsia="Times New Roman" w:hAnsi="Arial" w:cs="Arial"/>
          <w:color w:val="000000"/>
          <w:sz w:val="24"/>
          <w:szCs w:val="24"/>
          <w:lang w:eastAsia="en-GB"/>
        </w:rPr>
      </w:pPr>
    </w:p>
    <w:p w:rsidR="000D3D3A" w:rsidRDefault="000D3D3A" w:rsidP="00D14928">
      <w:pPr>
        <w:spacing w:line="240" w:lineRule="auto"/>
        <w:jc w:val="both"/>
        <w:rPr>
          <w:rFonts w:ascii="Arial" w:eastAsia="Times New Roman" w:hAnsi="Arial" w:cs="Arial"/>
          <w:color w:val="000000"/>
          <w:sz w:val="24"/>
          <w:szCs w:val="24"/>
          <w:lang w:eastAsia="en-GB"/>
        </w:rPr>
      </w:pPr>
    </w:p>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color w:val="000000"/>
          <w:sz w:val="24"/>
          <w:szCs w:val="24"/>
          <w:lang w:eastAsia="en-GB"/>
        </w:rPr>
        <w:lastRenderedPageBreak/>
        <w:t>Appendix I - Performance Management</w:t>
      </w:r>
    </w:p>
    <w:tbl>
      <w:tblPr>
        <w:tblW w:w="9735" w:type="dxa"/>
        <w:tblInd w:w="-36" w:type="dxa"/>
        <w:tblCellMar>
          <w:left w:w="0" w:type="dxa"/>
          <w:right w:w="0" w:type="dxa"/>
        </w:tblCellMar>
        <w:tblLook w:val="04A0" w:firstRow="1" w:lastRow="0" w:firstColumn="1" w:lastColumn="0" w:noHBand="0" w:noVBand="1"/>
      </w:tblPr>
      <w:tblGrid>
        <w:gridCol w:w="4388"/>
        <w:gridCol w:w="1218"/>
        <w:gridCol w:w="1293"/>
        <w:gridCol w:w="100"/>
        <w:gridCol w:w="1218"/>
        <w:gridCol w:w="1518"/>
      </w:tblGrid>
      <w:tr w:rsidR="00D14928" w:rsidRPr="00D14928" w:rsidTr="00D14928">
        <w:trPr>
          <w:trHeight w:val="315"/>
        </w:trPr>
        <w:tc>
          <w:tcPr>
            <w:tcW w:w="9660" w:type="dxa"/>
            <w:gridSpan w:val="6"/>
            <w:tcMar>
              <w:top w:w="0" w:type="dxa"/>
              <w:left w:w="36" w:type="dxa"/>
              <w:bottom w:w="0" w:type="dxa"/>
              <w:right w:w="36" w:type="dxa"/>
            </w:tcMar>
            <w:vAlign w:val="center"/>
            <w:hideMark/>
          </w:tcPr>
          <w:p w:rsidR="00D14928" w:rsidRPr="00D14928" w:rsidRDefault="00D14928" w:rsidP="00D14928">
            <w:pPr>
              <w:spacing w:before="60"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4"/>
                <w:szCs w:val="24"/>
                <w:lang w:eastAsia="en-GB"/>
              </w:rPr>
              <w:t xml:space="preserve">Restated Returns and Equity by Business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4"/>
                <w:szCs w:val="24"/>
                <w:lang w:eastAsia="en-GB"/>
              </w:rPr>
              <w:t> </w:t>
            </w:r>
            <w:r w:rsidRPr="00D14928">
              <w:rPr>
                <w:rFonts w:ascii="Arial" w:eastAsia="Times New Roman" w:hAnsi="Arial" w:cs="Arial"/>
                <w:color w:val="000000"/>
                <w:sz w:val="16"/>
                <w:szCs w:val="16"/>
                <w:vertAlign w:val="superscript"/>
                <w:lang w:eastAsia="en-GB"/>
              </w:rPr>
              <w:t>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2505" w:type="dxa"/>
            <w:gridSpan w:val="2"/>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Adjusted</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vertAlign w:val="superscript"/>
                <w:lang w:eastAsia="en-GB"/>
              </w:rPr>
              <w:t> </w:t>
            </w:r>
          </w:p>
        </w:tc>
        <w:tc>
          <w:tcPr>
            <w:tcW w:w="2505" w:type="dxa"/>
            <w:gridSpan w:val="2"/>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Statutory</w:t>
            </w: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9735" w:type="dxa"/>
        <w:tblInd w:w="-36" w:type="dxa"/>
        <w:tblCellMar>
          <w:left w:w="0" w:type="dxa"/>
          <w:right w:w="0" w:type="dxa"/>
        </w:tblCellMar>
        <w:tblLook w:val="04A0" w:firstRow="1" w:lastRow="0" w:firstColumn="1" w:lastColumn="0" w:noHBand="0" w:noVBand="1"/>
      </w:tblPr>
      <w:tblGrid>
        <w:gridCol w:w="4577"/>
        <w:gridCol w:w="1270"/>
        <w:gridCol w:w="1269"/>
        <w:gridCol w:w="81"/>
        <w:gridCol w:w="1269"/>
        <w:gridCol w:w="1269"/>
      </w:tblGrid>
      <w:tr w:rsidR="00D14928" w:rsidRPr="00D14928" w:rsidTr="00D14928">
        <w:trPr>
          <w:trHeight w:val="255"/>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12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Year Ended</w:t>
            </w:r>
          </w:p>
        </w:tc>
        <w:tc>
          <w:tcPr>
            <w:tcW w:w="12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Year Ended </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Year Ended</w:t>
            </w:r>
          </w:p>
        </w:tc>
        <w:tc>
          <w:tcPr>
            <w:tcW w:w="12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Year Ended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12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31.12.12</w:t>
            </w:r>
          </w:p>
        </w:tc>
        <w:tc>
          <w:tcPr>
            <w:tcW w:w="12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31.12.11 </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31.12.12</w:t>
            </w:r>
          </w:p>
        </w:tc>
        <w:tc>
          <w:tcPr>
            <w:tcW w:w="12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31.12.11 </w:t>
            </w:r>
          </w:p>
        </w:tc>
      </w:tr>
      <w:tr w:rsidR="00D14928" w:rsidRPr="00D14928" w:rsidTr="00D14928">
        <w:trPr>
          <w:trHeight w:val="240"/>
        </w:trPr>
        <w:tc>
          <w:tcPr>
            <w:tcW w:w="43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Profit attributable to equity holders of the parent </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RBB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875 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841 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547 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Europe RBB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(277)</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(257)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(277)</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(684)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Africa RBB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207 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209 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Barclaycard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975 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780 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653 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292 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Investment Bank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2,680 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1,636 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2,680 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1,636 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Corporate Banking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228 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32 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(419)</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(164)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Wealth and Investment Management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222 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166 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222 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166  </w:t>
            </w:r>
          </w:p>
        </w:tc>
      </w:tr>
      <w:tr w:rsidR="00D14928" w:rsidRPr="00D14928" w:rsidTr="00D14928">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Head Office and Other Operations </w:t>
            </w:r>
            <w:r w:rsidRPr="00D14928">
              <w:rPr>
                <w:rFonts w:ascii="Arial" w:eastAsia="Times New Roman" w:hAnsi="Arial" w:cs="Arial"/>
                <w:color w:val="000000"/>
                <w:sz w:val="13"/>
                <w:szCs w:val="13"/>
                <w:vertAlign w:val="superscript"/>
                <w:lang w:eastAsia="en-GB"/>
              </w:rPr>
              <w:t>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(64)</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(166)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(3,458)</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922  </w:t>
            </w:r>
          </w:p>
        </w:tc>
      </w:tr>
      <w:tr w:rsidR="00D14928" w:rsidRPr="00D14928" w:rsidTr="00D14928">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4,635 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3,239 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(624)</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2,924  </w:t>
            </w:r>
          </w:p>
        </w:tc>
      </w:tr>
      <w:tr w:rsidR="00D14928" w:rsidRPr="00D14928" w:rsidTr="00D14928">
        <w:trPr>
          <w:trHeight w:val="195"/>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9735" w:type="dxa"/>
        <w:tblInd w:w="-36" w:type="dxa"/>
        <w:tblCellMar>
          <w:left w:w="0" w:type="dxa"/>
          <w:right w:w="0" w:type="dxa"/>
        </w:tblCellMar>
        <w:tblLook w:val="04A0" w:firstRow="1" w:lastRow="0" w:firstColumn="1" w:lastColumn="0" w:noHBand="0" w:noVBand="1"/>
      </w:tblPr>
      <w:tblGrid>
        <w:gridCol w:w="4492"/>
        <w:gridCol w:w="2570"/>
        <w:gridCol w:w="103"/>
        <w:gridCol w:w="2570"/>
      </w:tblGrid>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250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Average Equity</w:t>
            </w:r>
          </w:p>
        </w:tc>
        <w:tc>
          <w:tcPr>
            <w:tcW w:w="45" w:type="dxa"/>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vertAlign w:val="superscript"/>
                <w:lang w:eastAsia="en-GB"/>
              </w:rPr>
              <w:t> </w:t>
            </w:r>
          </w:p>
        </w:tc>
        <w:tc>
          <w:tcPr>
            <w:tcW w:w="250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Average Tangible Equity</w:t>
            </w: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9735" w:type="dxa"/>
        <w:tblInd w:w="-36" w:type="dxa"/>
        <w:tblCellMar>
          <w:left w:w="0" w:type="dxa"/>
          <w:right w:w="0" w:type="dxa"/>
        </w:tblCellMar>
        <w:tblLook w:val="04A0" w:firstRow="1" w:lastRow="0" w:firstColumn="1" w:lastColumn="0" w:noHBand="0" w:noVBand="1"/>
      </w:tblPr>
      <w:tblGrid>
        <w:gridCol w:w="4577"/>
        <w:gridCol w:w="1270"/>
        <w:gridCol w:w="1269"/>
        <w:gridCol w:w="81"/>
        <w:gridCol w:w="1269"/>
        <w:gridCol w:w="1269"/>
      </w:tblGrid>
      <w:tr w:rsidR="00D14928" w:rsidRPr="00D14928" w:rsidTr="00D14928">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c>
          <w:tcPr>
            <w:tcW w:w="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UK RBB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7,121 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6,992  </w:t>
            </w:r>
          </w:p>
        </w:tc>
        <w:tc>
          <w:tcPr>
            <w:tcW w:w="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3,815 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3,733 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Europe RBB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2,143 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2,634 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1,957 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2,028 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Africa RBB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2,658 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2,801 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1,234 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1,222 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Barclaycard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4,924 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4,844 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3,623 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3,648 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Investment Bank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21,173 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21,254 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20,468 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20,503 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Corporate Banking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7,739 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8,124 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7,369 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7,621  </w:t>
            </w:r>
          </w:p>
        </w:tc>
      </w:tr>
      <w:tr w:rsidR="00D14928" w:rsidRPr="00D14928" w:rsidTr="00D14928">
        <w:trPr>
          <w:trHeight w:val="240"/>
        </w:trPr>
        <w:tc>
          <w:tcPr>
            <w:tcW w:w="438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Wealth and Investment Management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1,981 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1,738 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1,436 </w:t>
            </w:r>
          </w:p>
        </w:tc>
        <w:tc>
          <w:tcPr>
            <w:tcW w:w="12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1,273  </w:t>
            </w:r>
          </w:p>
        </w:tc>
      </w:tr>
      <w:tr w:rsidR="00D14928" w:rsidRPr="00D14928" w:rsidTr="00D14928">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Head Office and Other Operations </w:t>
            </w:r>
            <w:r w:rsidRPr="00D14928">
              <w:rPr>
                <w:rFonts w:ascii="Arial" w:eastAsia="Times New Roman" w:hAnsi="Arial" w:cs="Arial"/>
                <w:color w:val="000000"/>
                <w:sz w:val="13"/>
                <w:szCs w:val="13"/>
                <w:vertAlign w:val="superscript"/>
                <w:lang w:eastAsia="en-GB"/>
              </w:rPr>
              <w:t>1 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4,313 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1,404 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4,311 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1,401  </w:t>
            </w:r>
          </w:p>
        </w:tc>
      </w:tr>
      <w:tr w:rsidR="00D14928" w:rsidRPr="00D14928" w:rsidTr="00D14928">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52,052 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49,791  </w:t>
            </w:r>
          </w:p>
        </w:tc>
        <w:tc>
          <w:tcPr>
            <w:tcW w:w="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44,213 </w:t>
            </w:r>
          </w:p>
        </w:tc>
        <w:tc>
          <w:tcPr>
            <w:tcW w:w="121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41,429  </w:t>
            </w:r>
          </w:p>
        </w:tc>
      </w:tr>
    </w:tbl>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p w:rsidR="00D14928" w:rsidRPr="00D14928" w:rsidRDefault="00D14928" w:rsidP="00D14928">
      <w:pPr>
        <w:spacing w:after="0" w:line="240" w:lineRule="auto"/>
        <w:jc w:val="both"/>
        <w:rPr>
          <w:rFonts w:ascii="Arial" w:eastAsia="Times New Roman" w:hAnsi="Arial" w:cs="Arial"/>
          <w:sz w:val="18"/>
          <w:szCs w:val="18"/>
          <w:lang w:eastAsia="en-GB"/>
        </w:rPr>
      </w:pPr>
      <w:r w:rsidRPr="00D14928">
        <w:rPr>
          <w:rFonts w:ascii="Arial" w:eastAsia="Times New Roman" w:hAnsi="Arial" w:cs="Arial"/>
          <w:sz w:val="14"/>
          <w:szCs w:val="14"/>
          <w:lang w:eastAsia="en-GB"/>
        </w:rPr>
        <w:t> </w:t>
      </w:r>
    </w:p>
    <w:p w:rsidR="00D14928" w:rsidRPr="00D14928" w:rsidRDefault="00D14928" w:rsidP="00D14928">
      <w:pPr>
        <w:spacing w:after="0" w:line="240" w:lineRule="auto"/>
        <w:jc w:val="both"/>
        <w:rPr>
          <w:rFonts w:ascii="Arial" w:eastAsia="Times New Roman" w:hAnsi="Arial" w:cs="Arial"/>
          <w:sz w:val="18"/>
          <w:szCs w:val="18"/>
          <w:lang w:eastAsia="en-GB"/>
        </w:rPr>
      </w:pPr>
      <w:r w:rsidRPr="00D14928">
        <w:rPr>
          <w:rFonts w:ascii="Arial" w:eastAsia="Times New Roman" w:hAnsi="Arial" w:cs="Arial"/>
          <w:sz w:val="14"/>
          <w:szCs w:val="14"/>
          <w:lang w:eastAsia="en-GB"/>
        </w:rPr>
        <w:t>  </w:t>
      </w:r>
    </w:p>
    <w:p w:rsidR="00D14928" w:rsidRPr="00D14928" w:rsidRDefault="00D14928" w:rsidP="000D3D3A">
      <w:pPr>
        <w:spacing w:line="240" w:lineRule="auto"/>
        <w:ind w:hanging="284"/>
        <w:jc w:val="both"/>
        <w:rPr>
          <w:rFonts w:ascii="Arial" w:eastAsia="Times New Roman" w:hAnsi="Arial" w:cs="Arial"/>
          <w:b/>
          <w:bCs/>
          <w:i/>
          <w:iCs/>
          <w:color w:val="000000"/>
          <w:sz w:val="24"/>
          <w:szCs w:val="24"/>
          <w:lang w:eastAsia="en-GB"/>
        </w:rPr>
      </w:pPr>
      <w:r w:rsidRPr="00D14928">
        <w:rPr>
          <w:rFonts w:ascii="Arial" w:eastAsia="Times New Roman" w:hAnsi="Arial" w:cs="Arial"/>
          <w:i/>
          <w:iCs/>
          <w:color w:val="000000"/>
          <w:sz w:val="14"/>
          <w:szCs w:val="14"/>
          <w:lang w:eastAsia="en-GB"/>
        </w:rPr>
        <w:t>1        Group average shareholders' equity and average shareholders' tangible equity excludes the cumulative impact of own credit on retained earnings for the calculation of adjusted performance measures.</w:t>
      </w:r>
    </w:p>
    <w:p w:rsidR="00D14928" w:rsidRPr="00D14928" w:rsidRDefault="00D14928" w:rsidP="00D14928">
      <w:pPr>
        <w:spacing w:before="100" w:beforeAutospacing="1" w:after="100" w:afterAutospacing="1" w:line="240" w:lineRule="auto"/>
        <w:rPr>
          <w:rFonts w:ascii="Times New Roman" w:eastAsia="Times New Roman" w:hAnsi="Times New Roman" w:cs="Times New Roman"/>
          <w:b/>
          <w:bCs/>
          <w:i/>
          <w:iCs/>
          <w:sz w:val="24"/>
          <w:szCs w:val="24"/>
          <w:lang w:eastAsia="en-GB"/>
        </w:rPr>
      </w:pPr>
      <w:r w:rsidRPr="00D14928">
        <w:rPr>
          <w:rFonts w:ascii="Arial" w:eastAsia="Times New Roman" w:hAnsi="Arial" w:cs="Arial"/>
          <w:b/>
          <w:bCs/>
          <w:i/>
          <w:iCs/>
          <w:sz w:val="14"/>
          <w:szCs w:val="14"/>
          <w:lang w:eastAsia="en-GB"/>
        </w:rPr>
        <w:br w:type="page"/>
      </w:r>
    </w:p>
    <w:p w:rsidR="00D14928" w:rsidRPr="00D14928" w:rsidRDefault="00D14928" w:rsidP="00D14928">
      <w:pPr>
        <w:spacing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color w:val="000000"/>
          <w:sz w:val="24"/>
          <w:szCs w:val="24"/>
          <w:lang w:eastAsia="en-GB"/>
        </w:rPr>
        <w:lastRenderedPageBreak/>
        <w:t>Appendix II - Balance Sheet and Capital</w:t>
      </w:r>
    </w:p>
    <w:tbl>
      <w:tblPr>
        <w:tblW w:w="10170" w:type="dxa"/>
        <w:tblInd w:w="-36" w:type="dxa"/>
        <w:tblCellMar>
          <w:left w:w="0" w:type="dxa"/>
          <w:right w:w="0" w:type="dxa"/>
        </w:tblCellMar>
        <w:tblLook w:val="04A0" w:firstRow="1" w:lastRow="0" w:firstColumn="1" w:lastColumn="0" w:noHBand="0" w:noVBand="1"/>
      </w:tblPr>
      <w:tblGrid>
        <w:gridCol w:w="5497"/>
        <w:gridCol w:w="919"/>
        <w:gridCol w:w="1916"/>
        <w:gridCol w:w="919"/>
        <w:gridCol w:w="919"/>
      </w:tblGrid>
      <w:tr w:rsidR="00D14928" w:rsidRPr="00D14928" w:rsidTr="00D14928">
        <w:trPr>
          <w:trHeight w:val="255"/>
        </w:trPr>
        <w:tc>
          <w:tcPr>
            <w:tcW w:w="529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b/>
                <w:bCs/>
                <w:color w:val="000000"/>
                <w:sz w:val="16"/>
                <w:szCs w:val="16"/>
                <w:vertAlign w:val="superscript"/>
                <w:lang w:eastAsia="en-GB"/>
              </w:rPr>
              <w:t> </w:t>
            </w:r>
          </w:p>
        </w:tc>
        <w:tc>
          <w:tcPr>
            <w:tcW w:w="88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845" w:type="dxa"/>
            <w:tcMar>
              <w:top w:w="0" w:type="dxa"/>
              <w:left w:w="36" w:type="dxa"/>
              <w:bottom w:w="0" w:type="dxa"/>
              <w:right w:w="36" w:type="dxa"/>
            </w:tcMar>
            <w:vAlign w:val="bottom"/>
            <w:hideMark/>
          </w:tcPr>
          <w:p w:rsidR="00D14928" w:rsidRPr="00D14928" w:rsidRDefault="00D14928" w:rsidP="00D14928">
            <w:pPr>
              <w:spacing w:before="60"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Restatement Adjustments</w:t>
            </w:r>
          </w:p>
        </w:tc>
        <w:tc>
          <w:tcPr>
            <w:tcW w:w="885" w:type="dxa"/>
            <w:tcMar>
              <w:top w:w="0" w:type="dxa"/>
              <w:left w:w="36" w:type="dxa"/>
              <w:bottom w:w="0" w:type="dxa"/>
              <w:right w:w="36" w:type="dxa"/>
            </w:tcMar>
            <w:vAlign w:val="center"/>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9675" w:type="dxa"/>
        <w:tblInd w:w="-36" w:type="dxa"/>
        <w:tblCellMar>
          <w:left w:w="0" w:type="dxa"/>
          <w:right w:w="0" w:type="dxa"/>
        </w:tblCellMar>
        <w:tblLook w:val="04A0" w:firstRow="1" w:lastRow="0" w:firstColumn="1" w:lastColumn="0" w:noHBand="0" w:noVBand="1"/>
      </w:tblPr>
      <w:tblGrid>
        <w:gridCol w:w="5752"/>
        <w:gridCol w:w="837"/>
        <w:gridCol w:w="761"/>
        <w:gridCol w:w="769"/>
        <w:gridCol w:w="778"/>
        <w:gridCol w:w="778"/>
      </w:tblGrid>
      <w:tr w:rsidR="00D14928" w:rsidRPr="00D14928" w:rsidTr="00D14928">
        <w:trPr>
          <w:trHeight w:val="510"/>
        </w:trPr>
        <w:tc>
          <w:tcPr>
            <w:tcW w:w="60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Key Capital Ratios</w:t>
            </w:r>
            <w:r w:rsidRPr="00D14928">
              <w:rPr>
                <w:rFonts w:ascii="Arial" w:eastAsia="Times New Roman" w:hAnsi="Arial" w:cs="Arial"/>
                <w:color w:val="000000"/>
                <w:sz w:val="16"/>
                <w:szCs w:val="16"/>
                <w:vertAlign w:val="superscript"/>
                <w:lang w:eastAsia="en-GB"/>
              </w:rPr>
              <w:t xml:space="preserve"> </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 Published</w:t>
            </w:r>
          </w:p>
        </w:tc>
        <w:tc>
          <w:tcPr>
            <w:tcW w:w="780"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IFRS 10</w:t>
            </w:r>
          </w:p>
        </w:tc>
        <w:tc>
          <w:tcPr>
            <w:tcW w:w="780"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IAS 19</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2012 as Restated</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2011 as Restated</w:t>
            </w:r>
          </w:p>
        </w:tc>
      </w:tr>
      <w:tr w:rsidR="00D14928" w:rsidRPr="00D14928" w:rsidTr="00D14928">
        <w:trPr>
          <w:trHeight w:val="240"/>
        </w:trPr>
        <w:tc>
          <w:tcPr>
            <w:tcW w:w="60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Core Tier 1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10.9%</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10.8%</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11.0%</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Tier 1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13.3%</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13.2%</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12.9%</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Total capital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17.0%</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16.4%</w:t>
            </w:r>
          </w:p>
        </w:tc>
      </w:tr>
      <w:tr w:rsidR="00D14928" w:rsidRPr="00D14928" w:rsidTr="00D14928">
        <w:trPr>
          <w:trHeight w:val="12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603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20"/>
                <w:szCs w:val="20"/>
                <w:lang w:eastAsia="en-GB"/>
              </w:rPr>
              <w:t>Capital Resources</w:t>
            </w:r>
            <w:r w:rsidRPr="00D14928">
              <w:rPr>
                <w:rFonts w:ascii="Arial" w:eastAsia="Times New Roman" w:hAnsi="Arial" w:cs="Arial"/>
                <w:color w:val="000000"/>
                <w:sz w:val="16"/>
                <w:szCs w:val="16"/>
                <w:vertAlign w:val="superscript"/>
                <w:lang w:eastAsia="en-GB"/>
              </w:rPr>
              <w:t xml:space="preserve"> </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r>
      <w:tr w:rsidR="00D14928" w:rsidRPr="00D14928" w:rsidTr="00D14928">
        <w:trPr>
          <w:trHeight w:val="510"/>
        </w:trPr>
        <w:tc>
          <w:tcPr>
            <w:tcW w:w="60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Shareholders' equity (excluding non-controlling interests) per balance sheet:</w:t>
            </w:r>
            <w:r w:rsidRPr="00D14928">
              <w:rPr>
                <w:rFonts w:ascii="Arial" w:eastAsia="Times New Roman" w:hAnsi="Arial" w:cs="Arial"/>
                <w:color w:val="000000"/>
                <w:sz w:val="16"/>
                <w:szCs w:val="16"/>
                <w:vertAlign w:val="superscript"/>
                <w:lang w:eastAsia="en-GB"/>
              </w:rPr>
              <w:t>1 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53,586 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(477)</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(2,494)</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50,615 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54,352 </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Own credit cumulative loss/(gain)</w:t>
            </w:r>
            <w:r w:rsidRPr="00D14928">
              <w:rPr>
                <w:rFonts w:ascii="Arial" w:eastAsia="Times New Roman" w:hAnsi="Arial" w:cs="Arial"/>
                <w:color w:val="000000"/>
                <w:sz w:val="13"/>
                <w:szCs w:val="13"/>
                <w:vertAlign w:val="superscript"/>
                <w:lang w:eastAsia="en-GB"/>
              </w:rPr>
              <w:t>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804 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804 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(2,680)</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Unrealised (gains)/losses on available for sale debt securities</w:t>
            </w:r>
            <w:r w:rsidRPr="00D14928">
              <w:rPr>
                <w:rFonts w:ascii="Arial" w:eastAsia="Times New Roman" w:hAnsi="Arial" w:cs="Arial"/>
                <w:color w:val="000000"/>
                <w:sz w:val="13"/>
                <w:szCs w:val="13"/>
                <w:vertAlign w:val="superscript"/>
                <w:lang w:eastAsia="en-GB"/>
              </w:rPr>
              <w:t>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(417)</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(417)</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803 </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Unrealised gains on available for sale equity (recognised as Tier 2 capital)</w:t>
            </w:r>
            <w:r w:rsidRPr="00D14928">
              <w:rPr>
                <w:rFonts w:ascii="Arial" w:eastAsia="Times New Roman" w:hAnsi="Arial" w:cs="Arial"/>
                <w:color w:val="000000"/>
                <w:sz w:val="13"/>
                <w:szCs w:val="13"/>
                <w:vertAlign w:val="superscript"/>
                <w:lang w:eastAsia="en-GB"/>
              </w:rPr>
              <w:t>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(110)</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(110)</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(828)</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Cash flow hedging reserve</w:t>
            </w:r>
            <w:r w:rsidRPr="00D14928">
              <w:rPr>
                <w:rFonts w:ascii="Arial" w:eastAsia="Times New Roman" w:hAnsi="Arial" w:cs="Arial"/>
                <w:color w:val="000000"/>
                <w:sz w:val="13"/>
                <w:szCs w:val="13"/>
                <w:vertAlign w:val="superscript"/>
                <w:lang w:eastAsia="en-GB"/>
              </w:rPr>
              <w:t>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(2,099)</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(2,099)</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(1,442)</w:t>
            </w:r>
          </w:p>
        </w:tc>
      </w:tr>
      <w:tr w:rsidR="00D14928" w:rsidRPr="00D14928" w:rsidTr="00D14928">
        <w:trPr>
          <w:trHeight w:val="12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Non-controlling interests per balance sheet</w:t>
            </w:r>
            <w:r w:rsidRPr="00D14928">
              <w:rPr>
                <w:rFonts w:ascii="Arial" w:eastAsia="Times New Roman" w:hAnsi="Arial" w:cs="Arial"/>
                <w:color w:val="000000"/>
                <w:sz w:val="16"/>
                <w:szCs w:val="16"/>
                <w:vertAlign w:val="superscript"/>
                <w:lang w:eastAsia="en-GB"/>
              </w:rPr>
              <w:t xml:space="preserve">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9,371 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9,371 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9,607 </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Less: Other Tier 1 capital - preference shares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(6,203)</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(6,203)</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(6,235)</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 Less: Non-controlling Tier 2 capital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(547)</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(547)</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(573)</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regulatory adjustments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(138)</w:t>
            </w:r>
          </w:p>
        </w:tc>
      </w:tr>
      <w:tr w:rsidR="00D14928" w:rsidRPr="00D14928" w:rsidTr="00D14928">
        <w:trPr>
          <w:trHeight w:val="12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Regulatory adjustments and deductions:</w:t>
            </w:r>
            <w:r w:rsidRPr="00D14928">
              <w:rPr>
                <w:rFonts w:ascii="Arial" w:eastAsia="Times New Roman" w:hAnsi="Arial" w:cs="Arial"/>
                <w:color w:val="000000"/>
                <w:sz w:val="16"/>
                <w:szCs w:val="16"/>
                <w:vertAlign w:val="superscript"/>
                <w:lang w:eastAsia="en-GB"/>
              </w:rPr>
              <w:t xml:space="preserve">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Defined benefit pension adjustment</w:t>
            </w:r>
            <w:r w:rsidRPr="00D14928">
              <w:rPr>
                <w:rFonts w:ascii="Arial" w:eastAsia="Times New Roman" w:hAnsi="Arial" w:cs="Arial"/>
                <w:color w:val="000000"/>
                <w:sz w:val="13"/>
                <w:szCs w:val="13"/>
                <w:vertAlign w:val="superscript"/>
                <w:lang w:eastAsia="en-GB"/>
              </w:rPr>
              <w:t>1,2</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(2,445)</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2,494 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49 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Goodwill and intangible assets</w:t>
            </w:r>
            <w:r w:rsidRPr="00D14928">
              <w:rPr>
                <w:rFonts w:ascii="Arial" w:eastAsia="Times New Roman" w:hAnsi="Arial" w:cs="Arial"/>
                <w:color w:val="000000"/>
                <w:sz w:val="13"/>
                <w:szCs w:val="13"/>
                <w:vertAlign w:val="superscript"/>
                <w:lang w:eastAsia="en-GB"/>
              </w:rPr>
              <w:t>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(7,622)</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(7,622)</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(7,560)</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50% excess of expected losses over impairment</w:t>
            </w:r>
            <w:r w:rsidRPr="00D14928">
              <w:rPr>
                <w:rFonts w:ascii="Arial" w:eastAsia="Times New Roman" w:hAnsi="Arial" w:cs="Arial"/>
                <w:color w:val="000000"/>
                <w:sz w:val="13"/>
                <w:szCs w:val="13"/>
                <w:vertAlign w:val="superscript"/>
                <w:lang w:eastAsia="en-GB"/>
              </w:rPr>
              <w:t>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(648)</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(648)</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(506)</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50% of securitisation positions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(1,206)</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209 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(997)</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(1,577)</w:t>
            </w:r>
          </w:p>
        </w:tc>
      </w:tr>
      <w:tr w:rsidR="00D14928" w:rsidRPr="00D14928" w:rsidTr="00D14928">
        <w:trPr>
          <w:trHeight w:val="240"/>
        </w:trPr>
        <w:tc>
          <w:tcPr>
            <w:tcW w:w="60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regulatory adjustments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(172)</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(131)</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(303)</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(153)</w:t>
            </w:r>
          </w:p>
        </w:tc>
      </w:tr>
      <w:tr w:rsidR="00D14928" w:rsidRPr="00D14928" w:rsidTr="00D14928">
        <w:trPr>
          <w:trHeight w:val="240"/>
        </w:trPr>
        <w:tc>
          <w:tcPr>
            <w:tcW w:w="60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Core Tier 1 capital</w:t>
            </w:r>
            <w:r w:rsidRPr="00D14928">
              <w:rPr>
                <w:rFonts w:ascii="Arial" w:eastAsia="Times New Roman" w:hAnsi="Arial" w:cs="Arial"/>
                <w:color w:val="000000"/>
                <w:sz w:val="16"/>
                <w:szCs w:val="16"/>
                <w:vertAlign w:val="superscript"/>
                <w:lang w:eastAsia="en-GB"/>
              </w:rPr>
              <w:t xml:space="preserve">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42,121 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(399)</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41,722 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43,066 </w:t>
            </w:r>
          </w:p>
        </w:tc>
      </w:tr>
      <w:tr w:rsidR="00D14928" w:rsidRPr="00D14928" w:rsidTr="00D14928">
        <w:trPr>
          <w:trHeight w:val="12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Other Tier 1 capital:</w:t>
            </w:r>
            <w:r w:rsidRPr="00D14928">
              <w:rPr>
                <w:rFonts w:ascii="Arial" w:eastAsia="Times New Roman" w:hAnsi="Arial" w:cs="Arial"/>
                <w:color w:val="000000"/>
                <w:sz w:val="16"/>
                <w:szCs w:val="16"/>
                <w:vertAlign w:val="superscript"/>
                <w:lang w:eastAsia="en-GB"/>
              </w:rPr>
              <w:t xml:space="preserve">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Preference shares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6,203 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6,203 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6,235 </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Tier 1 notes</w:t>
            </w:r>
            <w:r w:rsidRPr="00D14928">
              <w:rPr>
                <w:rFonts w:ascii="Arial" w:eastAsia="Times New Roman" w:hAnsi="Arial" w:cs="Arial"/>
                <w:color w:val="000000"/>
                <w:sz w:val="13"/>
                <w:szCs w:val="13"/>
                <w:vertAlign w:val="superscript"/>
                <w:lang w:eastAsia="en-GB"/>
              </w:rPr>
              <w:t>3 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509 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509 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530 </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Reserve Capital Instruments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2,866 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2,866 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2,895 </w:t>
            </w:r>
          </w:p>
        </w:tc>
      </w:tr>
      <w:tr w:rsidR="00D14928" w:rsidRPr="00D14928" w:rsidTr="00D14928">
        <w:trPr>
          <w:trHeight w:val="12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Regulatory adjustments and deductions:</w:t>
            </w:r>
            <w:r w:rsidRPr="00D14928">
              <w:rPr>
                <w:rFonts w:ascii="Arial" w:eastAsia="Times New Roman" w:hAnsi="Arial" w:cs="Arial"/>
                <w:color w:val="000000"/>
                <w:sz w:val="16"/>
                <w:szCs w:val="16"/>
                <w:vertAlign w:val="superscript"/>
                <w:lang w:eastAsia="en-GB"/>
              </w:rPr>
              <w:t xml:space="preserve">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50% of material holdings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(2,382)</w:t>
            </w:r>
          </w:p>
        </w:tc>
      </w:tr>
      <w:tr w:rsidR="00D14928" w:rsidRPr="00D14928" w:rsidTr="00D14928">
        <w:trPr>
          <w:trHeight w:val="240"/>
        </w:trPr>
        <w:tc>
          <w:tcPr>
            <w:tcW w:w="60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50% of the tax on excess of expected losses over impairment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176 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176 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129 </w:t>
            </w:r>
          </w:p>
        </w:tc>
      </w:tr>
      <w:tr w:rsidR="00D14928" w:rsidRPr="00D14928" w:rsidTr="00D14928">
        <w:trPr>
          <w:trHeight w:val="240"/>
        </w:trPr>
        <w:tc>
          <w:tcPr>
            <w:tcW w:w="60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Total Tier 1 capital</w:t>
            </w:r>
            <w:r w:rsidRPr="00D14928">
              <w:rPr>
                <w:rFonts w:ascii="Arial" w:eastAsia="Times New Roman" w:hAnsi="Arial" w:cs="Arial"/>
                <w:color w:val="000000"/>
                <w:sz w:val="16"/>
                <w:szCs w:val="16"/>
                <w:vertAlign w:val="superscript"/>
                <w:lang w:eastAsia="en-GB"/>
              </w:rPr>
              <w:t xml:space="preserve">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51,634 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(399)</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51,235 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50,473 </w:t>
            </w:r>
          </w:p>
        </w:tc>
      </w:tr>
      <w:tr w:rsidR="00D14928" w:rsidRPr="00D14928" w:rsidTr="00D14928">
        <w:trPr>
          <w:trHeight w:val="12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Tier 2 capital:</w:t>
            </w:r>
            <w:r w:rsidRPr="00D14928">
              <w:rPr>
                <w:rFonts w:ascii="Arial" w:eastAsia="Times New Roman" w:hAnsi="Arial" w:cs="Arial"/>
                <w:color w:val="000000"/>
                <w:sz w:val="16"/>
                <w:szCs w:val="16"/>
                <w:vertAlign w:val="superscript"/>
                <w:lang w:eastAsia="en-GB"/>
              </w:rPr>
              <w:t xml:space="preserve">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Undated subordinated liabilities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1,625 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1,625 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1,657 </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Dated subordinated liabilities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14,066 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14,066 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15,189 </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Non-controlling Tier 2 capital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547 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547 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573 </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Reserves arising on revaluation of property</w:t>
            </w:r>
            <w:r w:rsidRPr="00D14928">
              <w:rPr>
                <w:rFonts w:ascii="Arial" w:eastAsia="Times New Roman" w:hAnsi="Arial" w:cs="Arial"/>
                <w:color w:val="000000"/>
                <w:sz w:val="13"/>
                <w:szCs w:val="13"/>
                <w:vertAlign w:val="superscript"/>
                <w:lang w:eastAsia="en-GB"/>
              </w:rPr>
              <w:t>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39 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25 </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Unrealised gains on available for sale equity</w:t>
            </w:r>
            <w:r w:rsidRPr="00D14928">
              <w:rPr>
                <w:rFonts w:ascii="Arial" w:eastAsia="Times New Roman" w:hAnsi="Arial" w:cs="Arial"/>
                <w:color w:val="000000"/>
                <w:sz w:val="13"/>
                <w:szCs w:val="13"/>
                <w:vertAlign w:val="superscript"/>
                <w:lang w:eastAsia="en-GB"/>
              </w:rPr>
              <w:t>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110 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110 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828 </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Collectively assessed impairment allowances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2,002 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2,002 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2,385 </w:t>
            </w:r>
          </w:p>
        </w:tc>
      </w:tr>
      <w:tr w:rsidR="00D14928" w:rsidRPr="00D14928" w:rsidTr="00D14928">
        <w:trPr>
          <w:trHeight w:val="12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Tier 2 deductions:</w:t>
            </w:r>
            <w:r w:rsidRPr="00D14928">
              <w:rPr>
                <w:rFonts w:ascii="Arial" w:eastAsia="Times New Roman" w:hAnsi="Arial" w:cs="Arial"/>
                <w:color w:val="000000"/>
                <w:sz w:val="16"/>
                <w:szCs w:val="16"/>
                <w:vertAlign w:val="superscript"/>
                <w:lang w:eastAsia="en-GB"/>
              </w:rPr>
              <w:t xml:space="preserve">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50% of material holdings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(241)</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(2,382)</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50% excess of expected losses over impairment (gross of tax)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(824)</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(824)</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(635)</w:t>
            </w: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50% of securitisation positions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(1,206)</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209 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(997)</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(1,577)</w:t>
            </w:r>
          </w:p>
        </w:tc>
      </w:tr>
      <w:tr w:rsidR="00D14928" w:rsidRPr="00D14928" w:rsidTr="00D14928">
        <w:trPr>
          <w:trHeight w:val="12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Total capital regulatory adjustments and deductions:</w:t>
            </w:r>
            <w:r w:rsidRPr="00D14928">
              <w:rPr>
                <w:rFonts w:ascii="Arial" w:eastAsia="Times New Roman" w:hAnsi="Arial" w:cs="Arial"/>
                <w:color w:val="000000"/>
                <w:sz w:val="16"/>
                <w:szCs w:val="16"/>
                <w:vertAlign w:val="superscript"/>
                <w:lang w:eastAsia="en-GB"/>
              </w:rPr>
              <w:t xml:space="preserve">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603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Investments that are not material holdings or qualifying holdings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(1,139)</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(1,139)</w:t>
            </w:r>
          </w:p>
        </w:tc>
        <w:tc>
          <w:tcPr>
            <w:tcW w:w="780"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(1,991)</w:t>
            </w:r>
          </w:p>
        </w:tc>
      </w:tr>
      <w:tr w:rsidR="00D14928" w:rsidRPr="00D14928" w:rsidTr="00D14928">
        <w:trPr>
          <w:trHeight w:val="240"/>
        </w:trPr>
        <w:tc>
          <w:tcPr>
            <w:tcW w:w="603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Other deductions from total capital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(550)</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(550)</w:t>
            </w: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(597)</w:t>
            </w:r>
          </w:p>
        </w:tc>
      </w:tr>
      <w:tr w:rsidR="00D14928" w:rsidRPr="00D14928" w:rsidTr="00D14928">
        <w:trPr>
          <w:trHeight w:val="240"/>
        </w:trPr>
        <w:tc>
          <w:tcPr>
            <w:tcW w:w="603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xml:space="preserve">Total regulatory capital </w:t>
            </w:r>
            <w:r w:rsidRPr="00D14928">
              <w:rPr>
                <w:rFonts w:ascii="Arial" w:eastAsia="Times New Roman" w:hAnsi="Arial" w:cs="Arial"/>
                <w:color w:val="000000"/>
                <w:sz w:val="16"/>
                <w:szCs w:val="16"/>
                <w:vertAlign w:val="superscript"/>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66,063 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(190)</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65,873 </w:t>
            </w:r>
          </w:p>
        </w:tc>
        <w:tc>
          <w:tcPr>
            <w:tcW w:w="78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63,948 </w:t>
            </w:r>
          </w:p>
        </w:tc>
      </w:tr>
    </w:tbl>
    <w:p w:rsidR="00D14928" w:rsidRPr="00D14928" w:rsidRDefault="00D14928" w:rsidP="00D14928">
      <w:pPr>
        <w:spacing w:after="0" w:line="240" w:lineRule="auto"/>
        <w:rPr>
          <w:rFonts w:ascii="Arial" w:eastAsia="Times New Roman" w:hAnsi="Arial" w:cs="Arial"/>
          <w:b/>
          <w:bCs/>
          <w:i/>
          <w:iCs/>
          <w:sz w:val="2"/>
          <w:szCs w:val="2"/>
          <w:lang w:eastAsia="en-GB"/>
        </w:rPr>
      </w:pPr>
      <w:r w:rsidRPr="00D14928">
        <w:rPr>
          <w:rFonts w:ascii="Arial" w:eastAsia="Times New Roman" w:hAnsi="Arial" w:cs="Arial"/>
          <w:b/>
          <w:bCs/>
          <w:i/>
          <w:iCs/>
          <w:sz w:val="14"/>
          <w:szCs w:val="14"/>
          <w:lang w:eastAsia="en-GB"/>
        </w:rPr>
        <w:lastRenderedPageBreak/>
        <w:t> </w:t>
      </w:r>
    </w:p>
    <w:p w:rsidR="00D14928" w:rsidRPr="00D14928" w:rsidRDefault="00D14928" w:rsidP="00D14928">
      <w:pPr>
        <w:spacing w:before="20" w:after="20" w:line="240" w:lineRule="auto"/>
        <w:ind w:left="1854"/>
        <w:jc w:val="both"/>
        <w:rPr>
          <w:rFonts w:ascii="Arial" w:eastAsia="Times New Roman" w:hAnsi="Arial" w:cs="Arial"/>
          <w:i/>
          <w:iCs/>
          <w:sz w:val="14"/>
          <w:szCs w:val="14"/>
          <w:lang w:eastAsia="en-GB"/>
        </w:rPr>
      </w:pPr>
      <w:r w:rsidRPr="00D14928">
        <w:rPr>
          <w:rFonts w:ascii="Arial" w:eastAsia="Times New Roman" w:hAnsi="Arial" w:cs="Arial"/>
          <w:i/>
          <w:iCs/>
          <w:sz w:val="4"/>
          <w:szCs w:val="4"/>
          <w:lang w:eastAsia="en-GB"/>
        </w:rPr>
        <w:t> </w:t>
      </w:r>
    </w:p>
    <w:p w:rsidR="00D14928" w:rsidRPr="00D14928" w:rsidRDefault="00D14928" w:rsidP="00D14928">
      <w:pPr>
        <w:spacing w:before="20" w:after="20" w:line="240" w:lineRule="auto"/>
        <w:ind w:left="1854"/>
        <w:jc w:val="both"/>
        <w:rPr>
          <w:rFonts w:ascii="Arial" w:eastAsia="Times New Roman" w:hAnsi="Arial" w:cs="Arial"/>
          <w:i/>
          <w:iCs/>
          <w:sz w:val="14"/>
          <w:szCs w:val="14"/>
          <w:lang w:eastAsia="en-GB"/>
        </w:rPr>
      </w:pPr>
      <w:r w:rsidRPr="00D14928">
        <w:rPr>
          <w:rFonts w:ascii="Arial" w:eastAsia="Times New Roman" w:hAnsi="Arial" w:cs="Arial"/>
          <w:i/>
          <w:iCs/>
          <w:sz w:val="10"/>
          <w:szCs w:val="10"/>
          <w:lang w:eastAsia="en-GB"/>
        </w:rPr>
        <w:t> </w:t>
      </w:r>
    </w:p>
    <w:p w:rsidR="00D14928" w:rsidRPr="00D14928" w:rsidRDefault="00D14928" w:rsidP="000D3D3A">
      <w:pPr>
        <w:spacing w:before="20" w:after="20" w:line="240" w:lineRule="auto"/>
        <w:ind w:left="426" w:hanging="426"/>
        <w:jc w:val="both"/>
        <w:rPr>
          <w:rFonts w:ascii="Arial" w:eastAsia="Times New Roman" w:hAnsi="Arial" w:cs="Arial"/>
          <w:i/>
          <w:iCs/>
          <w:sz w:val="14"/>
          <w:szCs w:val="14"/>
          <w:lang w:eastAsia="en-GB"/>
        </w:rPr>
      </w:pPr>
      <w:r w:rsidRPr="00D14928">
        <w:rPr>
          <w:rFonts w:ascii="Arial" w:eastAsia="Times New Roman" w:hAnsi="Arial" w:cs="Arial"/>
          <w:i/>
          <w:iCs/>
          <w:sz w:val="14"/>
          <w:szCs w:val="14"/>
          <w:lang w:eastAsia="en-GB"/>
        </w:rPr>
        <w:t>1        IAS 19 requirements have no overall impact on Core Tier 1 capital base as existing own funds rules mandate banks to derecognise any defined benefit pension asset from its capital base. This means that Core Tier 1 capital base already captures the effect that the removal of the "corridor" under IAS 19 has on shareholders' equity.</w:t>
      </w:r>
    </w:p>
    <w:p w:rsidR="00D14928" w:rsidRPr="00D14928" w:rsidRDefault="00D14928" w:rsidP="000D3D3A">
      <w:pPr>
        <w:spacing w:after="0" w:line="240" w:lineRule="auto"/>
        <w:ind w:left="709" w:hanging="720"/>
        <w:jc w:val="both"/>
        <w:rPr>
          <w:rFonts w:ascii="Arial" w:eastAsia="Times New Roman" w:hAnsi="Arial" w:cs="Arial"/>
          <w:i/>
          <w:iCs/>
          <w:sz w:val="14"/>
          <w:szCs w:val="14"/>
          <w:lang w:eastAsia="en-GB"/>
        </w:rPr>
      </w:pPr>
      <w:r w:rsidRPr="00D14928">
        <w:rPr>
          <w:rFonts w:ascii="Arial" w:eastAsia="Times New Roman" w:hAnsi="Arial" w:cs="Arial"/>
          <w:i/>
          <w:iCs/>
          <w:sz w:val="14"/>
          <w:szCs w:val="14"/>
          <w:lang w:eastAsia="en-GB"/>
        </w:rPr>
        <w:t>2       The capital impacts of these items are net of tax.</w:t>
      </w:r>
    </w:p>
    <w:p w:rsidR="00D14928" w:rsidRPr="00D14928" w:rsidRDefault="00D14928" w:rsidP="000D3D3A">
      <w:pPr>
        <w:spacing w:line="240" w:lineRule="auto"/>
        <w:jc w:val="both"/>
        <w:rPr>
          <w:rFonts w:ascii="Arial" w:eastAsia="Times New Roman" w:hAnsi="Arial" w:cs="Arial"/>
          <w:i/>
          <w:iCs/>
          <w:sz w:val="14"/>
          <w:szCs w:val="14"/>
          <w:lang w:eastAsia="en-GB"/>
        </w:rPr>
      </w:pPr>
      <w:r w:rsidRPr="00D14928">
        <w:rPr>
          <w:rFonts w:ascii="Arial" w:eastAsia="Times New Roman" w:hAnsi="Arial" w:cs="Arial"/>
          <w:i/>
          <w:iCs/>
          <w:sz w:val="14"/>
          <w:szCs w:val="14"/>
          <w:lang w:eastAsia="en-GB"/>
        </w:rPr>
        <w:t>3        Tier 1 notes are included in subordinated liabilities in the consolidated balance sheet.</w:t>
      </w:r>
    </w:p>
    <w:p w:rsidR="000D3D3A" w:rsidRDefault="000D3D3A" w:rsidP="000D3D3A">
      <w:pPr>
        <w:spacing w:before="100" w:beforeAutospacing="1" w:after="100" w:afterAutospacing="1" w:line="240" w:lineRule="auto"/>
        <w:rPr>
          <w:rFonts w:ascii="Arial" w:eastAsia="Times New Roman" w:hAnsi="Arial" w:cs="Arial"/>
          <w:sz w:val="2"/>
          <w:szCs w:val="2"/>
          <w:lang w:eastAsia="en-GB"/>
        </w:rPr>
      </w:pPr>
    </w:p>
    <w:p w:rsidR="00D14928" w:rsidRPr="000D3D3A" w:rsidRDefault="00D14928" w:rsidP="000D3D3A">
      <w:pPr>
        <w:spacing w:before="100" w:beforeAutospacing="1" w:after="100" w:afterAutospacing="1" w:line="240" w:lineRule="auto"/>
        <w:rPr>
          <w:rFonts w:ascii="Times New Roman" w:eastAsia="Times New Roman" w:hAnsi="Times New Roman" w:cs="Times New Roman"/>
          <w:sz w:val="24"/>
          <w:szCs w:val="24"/>
          <w:lang w:eastAsia="en-GB"/>
        </w:rPr>
      </w:pPr>
      <w:r w:rsidRPr="00D14928">
        <w:rPr>
          <w:rFonts w:ascii="Arial" w:eastAsia="Times New Roman" w:hAnsi="Arial" w:cs="Arial"/>
          <w:b/>
          <w:bCs/>
          <w:color w:val="000000"/>
          <w:sz w:val="24"/>
          <w:szCs w:val="24"/>
          <w:lang w:eastAsia="en-GB"/>
        </w:rPr>
        <w:t>Appendix III - Credit Market Exposures</w:t>
      </w:r>
    </w:p>
    <w:p w:rsidR="00D14928" w:rsidRPr="00D14928" w:rsidRDefault="00D14928" w:rsidP="00D14928">
      <w:pPr>
        <w:spacing w:before="60" w:after="0" w:line="240" w:lineRule="auto"/>
        <w:jc w:val="both"/>
        <w:rPr>
          <w:rFonts w:ascii="Arial" w:eastAsia="Times New Roman" w:hAnsi="Arial" w:cs="Arial"/>
          <w:b/>
          <w:bCs/>
          <w:color w:val="000000"/>
          <w:sz w:val="24"/>
          <w:szCs w:val="24"/>
          <w:lang w:eastAsia="en-GB"/>
        </w:rPr>
      </w:pPr>
      <w:r w:rsidRPr="00D14928">
        <w:rPr>
          <w:rFonts w:ascii="Arial" w:eastAsia="Times New Roman" w:hAnsi="Arial" w:cs="Arial"/>
          <w:b/>
          <w:bCs/>
          <w:sz w:val="24"/>
          <w:szCs w:val="24"/>
          <w:lang w:eastAsia="en-GB"/>
        </w:rPr>
        <w:t>Restated Barclays Credit Market Exposures</w:t>
      </w:r>
      <w:r w:rsidRPr="00D14928">
        <w:rPr>
          <w:rFonts w:ascii="Arial" w:eastAsia="Times New Roman" w:hAnsi="Arial" w:cs="Arial"/>
          <w:b/>
          <w:bCs/>
          <w:sz w:val="19"/>
          <w:szCs w:val="19"/>
          <w:vertAlign w:val="superscript"/>
          <w:lang w:eastAsia="en-GB"/>
        </w:rPr>
        <w:t>1,2</w:t>
      </w:r>
    </w:p>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9675" w:type="dxa"/>
        <w:tblInd w:w="-36" w:type="dxa"/>
        <w:tblCellMar>
          <w:left w:w="0" w:type="dxa"/>
          <w:right w:w="0" w:type="dxa"/>
        </w:tblCellMar>
        <w:tblLook w:val="04A0" w:firstRow="1" w:lastRow="0" w:firstColumn="1" w:lastColumn="0" w:noHBand="0" w:noVBand="1"/>
      </w:tblPr>
      <w:tblGrid>
        <w:gridCol w:w="3414"/>
        <w:gridCol w:w="1102"/>
        <w:gridCol w:w="81"/>
        <w:gridCol w:w="1102"/>
        <w:gridCol w:w="81"/>
        <w:gridCol w:w="3895"/>
      </w:tblGrid>
      <w:tr w:rsidR="00D14928" w:rsidRPr="00D14928" w:rsidTr="00D14928">
        <w:trPr>
          <w:trHeight w:val="240"/>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color w:val="000000"/>
                <w:sz w:val="16"/>
                <w:szCs w:val="16"/>
                <w:vertAlign w:val="superscript"/>
                <w:lang w:eastAsia="en-GB"/>
              </w:rPr>
              <w:t>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376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center"/>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Year Ended 31.12.2012</w:t>
            </w:r>
          </w:p>
        </w:tc>
      </w:tr>
    </w:tbl>
    <w:p w:rsidR="00D14928" w:rsidRPr="00D14928" w:rsidRDefault="00D14928" w:rsidP="00D14928">
      <w:pPr>
        <w:spacing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tbl>
      <w:tblPr>
        <w:tblW w:w="9675" w:type="dxa"/>
        <w:tblInd w:w="-36" w:type="dxa"/>
        <w:tblCellMar>
          <w:left w:w="0" w:type="dxa"/>
          <w:right w:w="0" w:type="dxa"/>
        </w:tblCellMar>
        <w:tblLook w:val="04A0" w:firstRow="1" w:lastRow="0" w:firstColumn="1" w:lastColumn="0" w:noHBand="0" w:noVBand="1"/>
      </w:tblPr>
      <w:tblGrid>
        <w:gridCol w:w="3470"/>
        <w:gridCol w:w="1120"/>
        <w:gridCol w:w="82"/>
        <w:gridCol w:w="1120"/>
        <w:gridCol w:w="82"/>
        <w:gridCol w:w="1309"/>
        <w:gridCol w:w="1309"/>
        <w:gridCol w:w="1183"/>
      </w:tblGrid>
      <w:tr w:rsidR="00D14928" w:rsidRPr="00D14928" w:rsidTr="00D14928">
        <w:trPr>
          <w:trHeight w:val="765"/>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2012 as published</w:t>
            </w:r>
            <w:r w:rsidRPr="00D14928">
              <w:rPr>
                <w:rFonts w:ascii="Arial" w:eastAsia="Times New Roman" w:hAnsi="Arial" w:cs="Arial"/>
                <w:b/>
                <w:bCs/>
                <w:color w:val="000000"/>
                <w:sz w:val="20"/>
                <w:szCs w:val="20"/>
                <w:vertAlign w:val="superscript"/>
                <w:lang w:eastAsia="en-GB"/>
              </w:rPr>
              <w:t xml:space="preserve"> </w:t>
            </w:r>
          </w:p>
        </w:tc>
        <w:tc>
          <w:tcPr>
            <w:tcW w:w="106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As at </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31.12.12</w:t>
            </w:r>
          </w:p>
        </w:tc>
        <w:tc>
          <w:tcPr>
            <w:tcW w:w="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As at </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31.12.12</w:t>
            </w:r>
          </w:p>
        </w:tc>
        <w:tc>
          <w:tcPr>
            <w:tcW w:w="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Fair Value (Losses)/Gains and Net Funding</w:t>
            </w:r>
          </w:p>
        </w:tc>
        <w:tc>
          <w:tcPr>
            <w:tcW w:w="12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Impairment (Charge)/</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Release</w:t>
            </w:r>
          </w:p>
        </w:tc>
        <w:tc>
          <w:tcPr>
            <w:tcW w:w="112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Total (Losses)/</w:t>
            </w:r>
          </w:p>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Gains</w:t>
            </w:r>
          </w:p>
        </w:tc>
      </w:tr>
      <w:tr w:rsidR="00D14928" w:rsidRPr="00D14928" w:rsidTr="00D14928">
        <w:trPr>
          <w:trHeight w:val="240"/>
        </w:trPr>
        <w:tc>
          <w:tcPr>
            <w:tcW w:w="330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US Residential Mortgages</w:t>
            </w:r>
            <w:r w:rsidRPr="00D14928">
              <w:rPr>
                <w:rFonts w:ascii="Arial" w:eastAsia="Times New Roman" w:hAnsi="Arial" w:cs="Arial"/>
                <w:color w:val="000000"/>
                <w:sz w:val="16"/>
                <w:szCs w:val="16"/>
                <w:vertAlign w:val="superscript"/>
                <w:lang w:eastAsia="en-GB"/>
              </w:rPr>
              <w:t xml:space="preserve"> </w:t>
            </w:r>
          </w:p>
        </w:tc>
        <w:tc>
          <w:tcPr>
            <w:tcW w:w="106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$m</w:t>
            </w:r>
          </w:p>
        </w:tc>
        <w:tc>
          <w:tcPr>
            <w:tcW w:w="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c>
          <w:tcPr>
            <w:tcW w:w="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c>
          <w:tcPr>
            <w:tcW w:w="124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£m </w:t>
            </w:r>
          </w:p>
        </w:tc>
      </w:tr>
      <w:tr w:rsidR="00D14928" w:rsidRPr="00D14928" w:rsidTr="00D14928">
        <w:trPr>
          <w:trHeight w:val="240"/>
        </w:trPr>
        <w:tc>
          <w:tcPr>
            <w:tcW w:w="330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ABS CDO Super Senior </w:t>
            </w: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2,243 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1,387 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(33)</w:t>
            </w: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(232)</w:t>
            </w:r>
          </w:p>
        </w:tc>
        <w:tc>
          <w:tcPr>
            <w:tcW w:w="11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(265)</w:t>
            </w:r>
          </w:p>
        </w:tc>
      </w:tr>
      <w:tr w:rsidR="00D14928" w:rsidRPr="00D14928" w:rsidTr="00D14928">
        <w:trPr>
          <w:trHeight w:val="255"/>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US sub-prime and Alt-A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1,129 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698 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83 </w:t>
            </w: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(22)</w:t>
            </w: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61 </w:t>
            </w:r>
          </w:p>
        </w:tc>
      </w:tr>
      <w:tr w:rsidR="00D14928" w:rsidRPr="00D14928" w:rsidTr="00D14928">
        <w:trPr>
          <w:trHeight w:val="105"/>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55"/>
        </w:trPr>
        <w:tc>
          <w:tcPr>
            <w:tcW w:w="330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Commercial Mortgages</w:t>
            </w:r>
            <w:r w:rsidRPr="00D14928">
              <w:rPr>
                <w:rFonts w:ascii="Arial" w:eastAsia="Times New Roman" w:hAnsi="Arial" w:cs="Arial"/>
                <w:color w:val="000000"/>
                <w:sz w:val="16"/>
                <w:szCs w:val="16"/>
                <w:vertAlign w:val="superscript"/>
                <w:lang w:eastAsia="en-GB"/>
              </w:rPr>
              <w:t xml:space="preserve">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55"/>
        </w:trPr>
        <w:tc>
          <w:tcPr>
            <w:tcW w:w="330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Commercial real estate loans and properties </w:t>
            </w: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4,411 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2,727 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115 </w:t>
            </w: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11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115 </w:t>
            </w:r>
          </w:p>
        </w:tc>
      </w:tr>
      <w:tr w:rsidR="00D14928" w:rsidRPr="00D14928" w:rsidTr="00D14928">
        <w:trPr>
          <w:trHeight w:val="255"/>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Commercial mortgage-backed securities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411 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254 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154 </w:t>
            </w: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154 </w:t>
            </w:r>
          </w:p>
        </w:tc>
      </w:tr>
      <w:tr w:rsidR="00D14928" w:rsidRPr="00D14928" w:rsidTr="00D14928">
        <w:trPr>
          <w:trHeight w:val="105"/>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55"/>
        </w:trPr>
        <w:tc>
          <w:tcPr>
            <w:tcW w:w="330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Other Credit Market</w:t>
            </w:r>
            <w:r w:rsidRPr="00D14928">
              <w:rPr>
                <w:rFonts w:ascii="Arial" w:eastAsia="Times New Roman" w:hAnsi="Arial" w:cs="Arial"/>
                <w:color w:val="000000"/>
                <w:sz w:val="16"/>
                <w:szCs w:val="16"/>
                <w:vertAlign w:val="superscript"/>
                <w:lang w:eastAsia="en-GB"/>
              </w:rPr>
              <w:t xml:space="preserve">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55"/>
        </w:trPr>
        <w:tc>
          <w:tcPr>
            <w:tcW w:w="330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Leveraged Finance</w:t>
            </w:r>
            <w:r w:rsidRPr="00D14928">
              <w:rPr>
                <w:rFonts w:ascii="Arial" w:eastAsia="Times New Roman" w:hAnsi="Arial" w:cs="Arial"/>
                <w:color w:val="000000"/>
                <w:sz w:val="13"/>
                <w:szCs w:val="13"/>
                <w:vertAlign w:val="superscript"/>
                <w:lang w:eastAsia="en-GB"/>
              </w:rPr>
              <w:t>3 </w:t>
            </w: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5,732 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3,544 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(54)</w:t>
            </w: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11 </w:t>
            </w:r>
          </w:p>
        </w:tc>
        <w:tc>
          <w:tcPr>
            <w:tcW w:w="11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w:t>
            </w:r>
          </w:p>
        </w:tc>
      </w:tr>
      <w:tr w:rsidR="00D14928" w:rsidRPr="00D14928" w:rsidTr="00D14928">
        <w:trPr>
          <w:trHeight w:val="255"/>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SIVs, SIV -</w:t>
            </w:r>
            <w:proofErr w:type="spellStart"/>
            <w:r w:rsidRPr="00D14928">
              <w:rPr>
                <w:rFonts w:ascii="Arial" w:eastAsia="Times New Roman" w:hAnsi="Arial" w:cs="Arial"/>
                <w:color w:val="000000"/>
                <w:sz w:val="16"/>
                <w:szCs w:val="16"/>
                <w:lang w:eastAsia="en-GB"/>
              </w:rPr>
              <w:t>Lite</w:t>
            </w:r>
            <w:proofErr w:type="spellEnd"/>
            <w:r w:rsidRPr="00D14928">
              <w:rPr>
                <w:rFonts w:ascii="Arial" w:eastAsia="Times New Roman" w:hAnsi="Arial" w:cs="Arial"/>
                <w:color w:val="000000"/>
                <w:sz w:val="16"/>
                <w:szCs w:val="16"/>
                <w:lang w:eastAsia="en-GB"/>
              </w:rPr>
              <w:t xml:space="preserve"> and CDPCs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r>
      <w:tr w:rsidR="00D14928" w:rsidRPr="00D14928" w:rsidTr="00D14928">
        <w:trPr>
          <w:trHeight w:val="255"/>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roofErr w:type="spellStart"/>
            <w:r w:rsidRPr="00D14928">
              <w:rPr>
                <w:rFonts w:ascii="Arial" w:eastAsia="Times New Roman" w:hAnsi="Arial" w:cs="Arial"/>
                <w:color w:val="000000"/>
                <w:sz w:val="16"/>
                <w:szCs w:val="16"/>
                <w:lang w:eastAsia="en-GB"/>
              </w:rPr>
              <w:t>Monoline</w:t>
            </w:r>
            <w:proofErr w:type="spellEnd"/>
            <w:r w:rsidRPr="00D14928">
              <w:rPr>
                <w:rFonts w:ascii="Arial" w:eastAsia="Times New Roman" w:hAnsi="Arial" w:cs="Arial"/>
                <w:color w:val="000000"/>
                <w:sz w:val="16"/>
                <w:szCs w:val="16"/>
                <w:lang w:eastAsia="en-GB"/>
              </w:rPr>
              <w:t xml:space="preserve"> protection on CLO and other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956 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591 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w:t>
            </w: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w:t>
            </w:r>
          </w:p>
        </w:tc>
      </w:tr>
      <w:tr w:rsidR="00D14928" w:rsidRPr="00D14928" w:rsidTr="00D14928">
        <w:trPr>
          <w:trHeight w:val="255"/>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CLO and Other assets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176 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109 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52 </w:t>
            </w: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52 </w:t>
            </w:r>
          </w:p>
        </w:tc>
      </w:tr>
      <w:tr w:rsidR="00D14928" w:rsidRPr="00D14928" w:rsidTr="00D14928">
        <w:trPr>
          <w:trHeight w:val="105"/>
        </w:trPr>
        <w:tc>
          <w:tcPr>
            <w:tcW w:w="330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r w:rsidR="00D14928" w:rsidRPr="00D14928" w:rsidTr="00D14928">
        <w:trPr>
          <w:trHeight w:val="255"/>
        </w:trPr>
        <w:tc>
          <w:tcPr>
            <w:tcW w:w="330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w:t>
            </w: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15,058 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9,310 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287 </w:t>
            </w: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(243)</w:t>
            </w:r>
          </w:p>
        </w:tc>
        <w:tc>
          <w:tcPr>
            <w:tcW w:w="11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44 </w:t>
            </w:r>
          </w:p>
        </w:tc>
      </w:tr>
      <w:tr w:rsidR="00D14928" w:rsidRPr="00D14928" w:rsidTr="00D14928">
        <w:trPr>
          <w:trHeight w:val="240"/>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3300"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IFRS 10 restatement adjustments</w:t>
            </w:r>
            <w:r w:rsidRPr="00D14928">
              <w:rPr>
                <w:rFonts w:ascii="Arial" w:eastAsia="Times New Roman" w:hAnsi="Arial" w:cs="Arial"/>
                <w:color w:val="000000"/>
                <w:sz w:val="16"/>
                <w:szCs w:val="16"/>
                <w:vertAlign w:val="superscript"/>
                <w:lang w:eastAsia="en-GB"/>
              </w:rPr>
              <w:t xml:space="preserve">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124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124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112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p>
        </w:tc>
      </w:tr>
      <w:tr w:rsidR="00D14928" w:rsidRPr="00D14928" w:rsidTr="00D14928">
        <w:trPr>
          <w:trHeight w:val="240"/>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b/>
                <w:bCs/>
                <w:color w:val="000000"/>
                <w:sz w:val="16"/>
                <w:szCs w:val="16"/>
                <w:vertAlign w:val="superscript"/>
                <w:lang w:eastAsia="en-GB"/>
              </w:rPr>
              <w:t> </w:t>
            </w:r>
          </w:p>
        </w:tc>
        <w:tc>
          <w:tcPr>
            <w:tcW w:w="106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5"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p>
        </w:tc>
        <w:tc>
          <w:tcPr>
            <w:tcW w:w="106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4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125" w:type="dxa"/>
            <w:tcMar>
              <w:top w:w="0" w:type="dxa"/>
              <w:left w:w="36" w:type="dxa"/>
              <w:bottom w:w="0" w:type="dxa"/>
              <w:right w:w="36" w:type="dxa"/>
            </w:tcMar>
            <w:vAlign w:val="bottom"/>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r w:rsidR="00D14928" w:rsidRPr="00D14928" w:rsidTr="00D14928">
        <w:trPr>
          <w:trHeight w:val="240"/>
        </w:trPr>
        <w:tc>
          <w:tcPr>
            <w:tcW w:w="330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US Residential Mortgages</w:t>
            </w:r>
            <w:r w:rsidRPr="00D14928">
              <w:rPr>
                <w:rFonts w:ascii="Arial" w:eastAsia="Times New Roman" w:hAnsi="Arial" w:cs="Arial"/>
                <w:color w:val="000000"/>
                <w:sz w:val="16"/>
                <w:szCs w:val="16"/>
                <w:vertAlign w:val="superscript"/>
                <w:lang w:eastAsia="en-GB"/>
              </w:rPr>
              <w:t xml:space="preserve">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330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ABS CDO Super Senior </w:t>
            </w: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(752)</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(465)</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205 </w:t>
            </w: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232 </w:t>
            </w:r>
          </w:p>
        </w:tc>
        <w:tc>
          <w:tcPr>
            <w:tcW w:w="11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437 </w:t>
            </w:r>
          </w:p>
        </w:tc>
      </w:tr>
      <w:tr w:rsidR="00D14928" w:rsidRPr="00D14928" w:rsidTr="00D14928">
        <w:trPr>
          <w:trHeight w:val="240"/>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US sub-prime and Alt-A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29 </w:t>
            </w: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28 </w:t>
            </w:r>
          </w:p>
        </w:tc>
      </w:tr>
      <w:tr w:rsidR="00D14928" w:rsidRPr="00D14928" w:rsidTr="00D14928">
        <w:trPr>
          <w:trHeight w:val="105"/>
        </w:trPr>
        <w:tc>
          <w:tcPr>
            <w:tcW w:w="330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r w:rsidR="00D14928" w:rsidRPr="00D14928" w:rsidTr="00D14928">
        <w:trPr>
          <w:trHeight w:val="240"/>
        </w:trPr>
        <w:tc>
          <w:tcPr>
            <w:tcW w:w="330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w:t>
            </w: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(748)</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(463)</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204 </w:t>
            </w: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261 </w:t>
            </w:r>
          </w:p>
        </w:tc>
        <w:tc>
          <w:tcPr>
            <w:tcW w:w="11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465 </w:t>
            </w:r>
          </w:p>
        </w:tc>
      </w:tr>
      <w:tr w:rsidR="00D14928" w:rsidRPr="00D14928" w:rsidTr="00D14928">
        <w:trPr>
          <w:trHeight w:val="240"/>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3300" w:type="dxa"/>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2012 as restated</w:t>
            </w:r>
            <w:r w:rsidRPr="00D14928">
              <w:rPr>
                <w:rFonts w:ascii="Arial" w:eastAsia="Times New Roman" w:hAnsi="Arial" w:cs="Arial"/>
                <w:color w:val="000000"/>
                <w:sz w:val="16"/>
                <w:szCs w:val="16"/>
                <w:vertAlign w:val="superscript"/>
                <w:lang w:eastAsia="en-GB"/>
              </w:rPr>
              <w:t xml:space="preserve">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20"/>
                <w:szCs w:val="20"/>
                <w:lang w:eastAsia="en-GB"/>
              </w:rPr>
              <w:t> </w:t>
            </w:r>
            <w:r w:rsidRPr="00D14928">
              <w:rPr>
                <w:rFonts w:ascii="Arial" w:eastAsia="Times New Roman" w:hAnsi="Arial" w:cs="Arial"/>
                <w:b/>
                <w:bCs/>
                <w:color w:val="000000"/>
                <w:sz w:val="16"/>
                <w:szCs w:val="16"/>
                <w:vertAlign w:val="superscript"/>
                <w:lang w:eastAsia="en-GB"/>
              </w:rPr>
              <w:t>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330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US Residential Mortgages</w:t>
            </w:r>
            <w:r w:rsidRPr="00D14928">
              <w:rPr>
                <w:rFonts w:ascii="Arial" w:eastAsia="Times New Roman" w:hAnsi="Arial" w:cs="Arial"/>
                <w:color w:val="000000"/>
                <w:sz w:val="16"/>
                <w:szCs w:val="16"/>
                <w:vertAlign w:val="superscript"/>
                <w:lang w:eastAsia="en-GB"/>
              </w:rPr>
              <w:t xml:space="preserve">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330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ABS CDO Super Senior </w:t>
            </w: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1,491 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922 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172 </w:t>
            </w: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11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172 </w:t>
            </w:r>
          </w:p>
        </w:tc>
      </w:tr>
      <w:tr w:rsidR="00D14928" w:rsidRPr="00D14928" w:rsidTr="00D14928">
        <w:trPr>
          <w:trHeight w:val="240"/>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US sub-prime and Alt-A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1,133 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700 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82 </w:t>
            </w: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7 </w:t>
            </w: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89 </w:t>
            </w:r>
          </w:p>
        </w:tc>
      </w:tr>
      <w:tr w:rsidR="00D14928" w:rsidRPr="00D14928" w:rsidTr="00D14928">
        <w:trPr>
          <w:trHeight w:val="105"/>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330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Commercial Mortgages</w:t>
            </w:r>
            <w:r w:rsidRPr="00D14928">
              <w:rPr>
                <w:rFonts w:ascii="Arial" w:eastAsia="Times New Roman" w:hAnsi="Arial" w:cs="Arial"/>
                <w:color w:val="000000"/>
                <w:sz w:val="16"/>
                <w:szCs w:val="16"/>
                <w:vertAlign w:val="superscript"/>
                <w:lang w:eastAsia="en-GB"/>
              </w:rPr>
              <w:t xml:space="preserve">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330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Commercial real estate loans and properties </w:t>
            </w: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4,411 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2,727 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115 </w:t>
            </w: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11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115 </w:t>
            </w:r>
          </w:p>
        </w:tc>
      </w:tr>
      <w:tr w:rsidR="00D14928" w:rsidRPr="00D14928" w:rsidTr="00D14928">
        <w:trPr>
          <w:trHeight w:val="240"/>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Commercial mortgage-backed securities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411 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254 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154 </w:t>
            </w: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154 </w:t>
            </w:r>
          </w:p>
        </w:tc>
      </w:tr>
      <w:tr w:rsidR="00D14928" w:rsidRPr="00D14928" w:rsidTr="00D14928">
        <w:trPr>
          <w:trHeight w:val="105"/>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r w:rsidRPr="00D14928">
              <w:rPr>
                <w:rFonts w:ascii="Arial" w:eastAsia="Times New Roman" w:hAnsi="Arial" w:cs="Arial"/>
                <w:color w:val="000000"/>
                <w:sz w:val="13"/>
                <w:szCs w:val="13"/>
                <w:vertAlign w:val="superscript"/>
                <w:lang w:eastAsia="en-GB"/>
              </w:rPr>
              <w:t>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3300" w:type="dxa"/>
            <w:tcBorders>
              <w:top w:val="nil"/>
              <w:left w:val="nil"/>
              <w:bottom w:val="single" w:sz="8" w:space="0" w:color="969696"/>
              <w:right w:val="nil"/>
            </w:tcBorders>
            <w:tcMar>
              <w:top w:w="0" w:type="dxa"/>
              <w:left w:w="36" w:type="dxa"/>
              <w:bottom w:w="0" w:type="dxa"/>
              <w:right w:w="36" w:type="dxa"/>
            </w:tcMar>
            <w:vAlign w:val="bottom"/>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b/>
                <w:bCs/>
                <w:color w:val="000000"/>
                <w:sz w:val="16"/>
                <w:szCs w:val="16"/>
                <w:lang w:eastAsia="en-GB"/>
              </w:rPr>
              <w:t>Other Credit Market</w:t>
            </w:r>
            <w:r w:rsidRPr="00D14928">
              <w:rPr>
                <w:rFonts w:ascii="Arial" w:eastAsia="Times New Roman" w:hAnsi="Arial" w:cs="Arial"/>
                <w:color w:val="000000"/>
                <w:sz w:val="16"/>
                <w:szCs w:val="16"/>
                <w:vertAlign w:val="superscript"/>
                <w:lang w:eastAsia="en-GB"/>
              </w:rPr>
              <w:t xml:space="preserve">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r>
      <w:tr w:rsidR="00D14928" w:rsidRPr="00D14928" w:rsidTr="00D14928">
        <w:trPr>
          <w:trHeight w:val="240"/>
        </w:trPr>
        <w:tc>
          <w:tcPr>
            <w:tcW w:w="330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Leveraged Finance</w:t>
            </w:r>
            <w:r w:rsidRPr="00D14928">
              <w:rPr>
                <w:rFonts w:ascii="Arial" w:eastAsia="Times New Roman" w:hAnsi="Arial" w:cs="Arial"/>
                <w:color w:val="000000"/>
                <w:sz w:val="13"/>
                <w:szCs w:val="13"/>
                <w:vertAlign w:val="superscript"/>
                <w:lang w:eastAsia="en-GB"/>
              </w:rPr>
              <w:t>3 </w:t>
            </w: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5,732 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3,544 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(54)</w:t>
            </w: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11 </w:t>
            </w:r>
          </w:p>
        </w:tc>
        <w:tc>
          <w:tcPr>
            <w:tcW w:w="11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(43)</w:t>
            </w:r>
          </w:p>
        </w:tc>
      </w:tr>
      <w:tr w:rsidR="00D14928" w:rsidRPr="00D14928" w:rsidTr="00D14928">
        <w:trPr>
          <w:trHeight w:val="240"/>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SIVs, SIV -</w:t>
            </w:r>
            <w:proofErr w:type="spellStart"/>
            <w:r w:rsidRPr="00D14928">
              <w:rPr>
                <w:rFonts w:ascii="Arial" w:eastAsia="Times New Roman" w:hAnsi="Arial" w:cs="Arial"/>
                <w:color w:val="000000"/>
                <w:sz w:val="16"/>
                <w:szCs w:val="16"/>
                <w:lang w:eastAsia="en-GB"/>
              </w:rPr>
              <w:t>Lite</w:t>
            </w:r>
            <w:proofErr w:type="spellEnd"/>
            <w:r w:rsidRPr="00D14928">
              <w:rPr>
                <w:rFonts w:ascii="Arial" w:eastAsia="Times New Roman" w:hAnsi="Arial" w:cs="Arial"/>
                <w:color w:val="000000"/>
                <w:sz w:val="16"/>
                <w:szCs w:val="16"/>
                <w:lang w:eastAsia="en-GB"/>
              </w:rPr>
              <w:t xml:space="preserve"> and CDPCs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w:t>
            </w:r>
          </w:p>
        </w:tc>
      </w:tr>
      <w:tr w:rsidR="00D14928" w:rsidRPr="00D14928" w:rsidTr="00D14928">
        <w:trPr>
          <w:trHeight w:val="240"/>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proofErr w:type="spellStart"/>
            <w:r w:rsidRPr="00D14928">
              <w:rPr>
                <w:rFonts w:ascii="Arial" w:eastAsia="Times New Roman" w:hAnsi="Arial" w:cs="Arial"/>
                <w:color w:val="000000"/>
                <w:sz w:val="16"/>
                <w:szCs w:val="16"/>
                <w:lang w:eastAsia="en-GB"/>
              </w:rPr>
              <w:t>Monoline</w:t>
            </w:r>
            <w:proofErr w:type="spellEnd"/>
            <w:r w:rsidRPr="00D14928">
              <w:rPr>
                <w:rFonts w:ascii="Arial" w:eastAsia="Times New Roman" w:hAnsi="Arial" w:cs="Arial"/>
                <w:color w:val="000000"/>
                <w:sz w:val="16"/>
                <w:szCs w:val="16"/>
                <w:lang w:eastAsia="en-GB"/>
              </w:rPr>
              <w:t xml:space="preserve"> protection on CLO and other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956 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591 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w:t>
            </w: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(29)</w:t>
            </w:r>
          </w:p>
        </w:tc>
      </w:tr>
      <w:tr w:rsidR="00D14928" w:rsidRPr="00D14928" w:rsidTr="00D14928">
        <w:trPr>
          <w:trHeight w:val="240"/>
        </w:trPr>
        <w:tc>
          <w:tcPr>
            <w:tcW w:w="3300" w:type="dxa"/>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xml:space="preserve">CLO and Other assets </w:t>
            </w: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176 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109 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52 </w:t>
            </w:r>
          </w:p>
        </w:tc>
        <w:tc>
          <w:tcPr>
            <w:tcW w:w="124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 </w:t>
            </w:r>
          </w:p>
        </w:tc>
        <w:tc>
          <w:tcPr>
            <w:tcW w:w="112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r w:rsidRPr="00D14928">
              <w:rPr>
                <w:rFonts w:ascii="Arial" w:eastAsia="Times New Roman" w:hAnsi="Arial" w:cs="Arial"/>
                <w:color w:val="000000"/>
                <w:sz w:val="16"/>
                <w:szCs w:val="16"/>
                <w:lang w:eastAsia="en-GB"/>
              </w:rPr>
              <w:t>52 </w:t>
            </w:r>
          </w:p>
        </w:tc>
      </w:tr>
      <w:tr w:rsidR="00D14928" w:rsidRPr="00D14928" w:rsidTr="00D14928">
        <w:trPr>
          <w:trHeight w:val="105"/>
        </w:trPr>
        <w:tc>
          <w:tcPr>
            <w:tcW w:w="3300"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w:t>
            </w:r>
            <w:r w:rsidRPr="00D14928">
              <w:rPr>
                <w:rFonts w:ascii="Arial" w:eastAsia="Times New Roman" w:hAnsi="Arial" w:cs="Arial"/>
                <w:b/>
                <w:bCs/>
                <w:color w:val="000000"/>
                <w:sz w:val="13"/>
                <w:szCs w:val="13"/>
                <w:vertAlign w:val="superscript"/>
                <w:lang w:eastAsia="en-GB"/>
              </w:rPr>
              <w:t>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sz w:val="2"/>
                <w:szCs w:val="2"/>
                <w:lang w:eastAsia="en-GB"/>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r>
      <w:tr w:rsidR="00D14928" w:rsidRPr="00D14928" w:rsidTr="00D14928">
        <w:trPr>
          <w:trHeight w:val="240"/>
        </w:trPr>
        <w:tc>
          <w:tcPr>
            <w:tcW w:w="3300"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 xml:space="preserve">Total </w:t>
            </w: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14,310 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06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8,847 </w:t>
            </w:r>
          </w:p>
        </w:tc>
        <w:tc>
          <w:tcPr>
            <w:tcW w:w="15" w:type="dxa"/>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491 </w:t>
            </w:r>
          </w:p>
        </w:tc>
        <w:tc>
          <w:tcPr>
            <w:tcW w:w="124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18 </w:t>
            </w:r>
          </w:p>
        </w:tc>
        <w:tc>
          <w:tcPr>
            <w:tcW w:w="1125" w:type="dxa"/>
            <w:tcBorders>
              <w:top w:val="nil"/>
              <w:left w:val="nil"/>
              <w:bottom w:val="nil"/>
              <w:right w:val="nil"/>
            </w:tcBorders>
            <w:tcMar>
              <w:top w:w="0" w:type="dxa"/>
              <w:left w:w="36" w:type="dxa"/>
              <w:bottom w:w="0" w:type="dxa"/>
              <w:right w:w="36" w:type="dxa"/>
            </w:tcMar>
            <w:vAlign w:val="center"/>
            <w:hideMark/>
          </w:tcPr>
          <w:p w:rsidR="00D14928" w:rsidRPr="00D14928" w:rsidRDefault="00D14928" w:rsidP="00D14928">
            <w:pPr>
              <w:spacing w:after="0" w:line="240" w:lineRule="auto"/>
              <w:jc w:val="right"/>
              <w:rPr>
                <w:rFonts w:ascii="Arial" w:eastAsia="Times New Roman" w:hAnsi="Arial" w:cs="Arial"/>
                <w:b/>
                <w:bCs/>
                <w:sz w:val="2"/>
                <w:szCs w:val="2"/>
                <w:lang w:eastAsia="en-GB"/>
              </w:rPr>
            </w:pPr>
            <w:r w:rsidRPr="00D14928">
              <w:rPr>
                <w:rFonts w:ascii="Arial" w:eastAsia="Times New Roman" w:hAnsi="Arial" w:cs="Arial"/>
                <w:b/>
                <w:bCs/>
                <w:color w:val="000000"/>
                <w:sz w:val="16"/>
                <w:szCs w:val="16"/>
                <w:lang w:eastAsia="en-GB"/>
              </w:rPr>
              <w:t>509 </w:t>
            </w:r>
          </w:p>
        </w:tc>
      </w:tr>
    </w:tbl>
    <w:p w:rsidR="00D14928" w:rsidRPr="00D14928" w:rsidRDefault="00D14928" w:rsidP="00D14928">
      <w:pPr>
        <w:spacing w:after="0" w:line="240" w:lineRule="auto"/>
        <w:rPr>
          <w:rFonts w:ascii="Arial" w:eastAsia="Times New Roman" w:hAnsi="Arial" w:cs="Arial"/>
          <w:sz w:val="2"/>
          <w:szCs w:val="2"/>
          <w:lang w:eastAsia="en-GB"/>
        </w:rPr>
      </w:pPr>
      <w:r w:rsidRPr="00D14928">
        <w:rPr>
          <w:rFonts w:ascii="Arial" w:eastAsia="Times New Roman" w:hAnsi="Arial" w:cs="Arial"/>
          <w:sz w:val="2"/>
          <w:szCs w:val="2"/>
          <w:lang w:eastAsia="en-GB"/>
        </w:rPr>
        <w:t> </w:t>
      </w:r>
    </w:p>
    <w:p w:rsidR="00D14928" w:rsidRPr="00D14928" w:rsidRDefault="00D14928" w:rsidP="00D14928">
      <w:pPr>
        <w:spacing w:after="0" w:line="240" w:lineRule="auto"/>
        <w:rPr>
          <w:rFonts w:ascii="Times New Roman" w:eastAsia="Times New Roman" w:hAnsi="Times New Roman" w:cs="Times New Roman"/>
          <w:sz w:val="24"/>
          <w:szCs w:val="24"/>
          <w:lang w:eastAsia="en-GB"/>
        </w:rPr>
      </w:pPr>
      <w:r w:rsidRPr="00D14928">
        <w:rPr>
          <w:rFonts w:ascii="Times New Roman" w:eastAsia="Times New Roman" w:hAnsi="Times New Roman" w:cs="Times New Roman"/>
          <w:sz w:val="24"/>
          <w:szCs w:val="24"/>
          <w:lang w:eastAsia="en-GB"/>
        </w:rPr>
        <w:lastRenderedPageBreak/>
        <w:t>  </w:t>
      </w:r>
    </w:p>
    <w:p w:rsidR="00D14928" w:rsidRPr="00D14928" w:rsidRDefault="00D14928" w:rsidP="00D14928">
      <w:pPr>
        <w:spacing w:before="20" w:after="20" w:line="240" w:lineRule="auto"/>
        <w:ind w:left="1418"/>
        <w:jc w:val="both"/>
        <w:rPr>
          <w:rFonts w:ascii="Arial" w:eastAsia="Times New Roman" w:hAnsi="Arial" w:cs="Arial"/>
          <w:i/>
          <w:iCs/>
          <w:sz w:val="14"/>
          <w:szCs w:val="14"/>
          <w:lang w:eastAsia="en-GB"/>
        </w:rPr>
      </w:pPr>
      <w:r w:rsidRPr="00D14928">
        <w:rPr>
          <w:rFonts w:ascii="Arial" w:eastAsia="Times New Roman" w:hAnsi="Arial" w:cs="Arial"/>
          <w:i/>
          <w:iCs/>
          <w:sz w:val="14"/>
          <w:szCs w:val="14"/>
          <w:lang w:eastAsia="en-GB"/>
        </w:rPr>
        <w:t> </w:t>
      </w:r>
    </w:p>
    <w:p w:rsidR="00D14928" w:rsidRPr="00D14928" w:rsidRDefault="00D14928" w:rsidP="000D3D3A">
      <w:pPr>
        <w:spacing w:before="20" w:after="20" w:line="240" w:lineRule="auto"/>
        <w:ind w:left="284" w:hanging="284"/>
        <w:jc w:val="both"/>
        <w:rPr>
          <w:rFonts w:ascii="Arial" w:eastAsia="Times New Roman" w:hAnsi="Arial" w:cs="Arial"/>
          <w:i/>
          <w:iCs/>
          <w:sz w:val="14"/>
          <w:szCs w:val="14"/>
          <w:lang w:eastAsia="en-GB"/>
        </w:rPr>
      </w:pPr>
      <w:r w:rsidRPr="00D14928">
        <w:rPr>
          <w:rFonts w:ascii="Arial" w:eastAsia="Times New Roman" w:hAnsi="Arial" w:cs="Arial"/>
          <w:i/>
          <w:iCs/>
          <w:sz w:val="14"/>
          <w:szCs w:val="14"/>
          <w:lang w:eastAsia="en-GB"/>
        </w:rPr>
        <w:t>1        Restatement of balance sheet entails replacing the book value of loans at amortised cost as at 31 December 2012 with the fair value of the underlying assets due to the consolidation under IFRS 10 of the entities holding those assets. Restatement of profit and loss entails replacing the impairment charge for 2012 by the change in the fair value over the year.</w:t>
      </w:r>
    </w:p>
    <w:p w:rsidR="00D14928" w:rsidRPr="00D14928" w:rsidRDefault="00D14928" w:rsidP="000D3D3A">
      <w:pPr>
        <w:spacing w:before="20" w:after="20" w:line="240" w:lineRule="auto"/>
        <w:ind w:left="284" w:hanging="284"/>
        <w:jc w:val="both"/>
        <w:rPr>
          <w:rFonts w:ascii="Arial" w:eastAsia="Times New Roman" w:hAnsi="Arial" w:cs="Arial"/>
          <w:i/>
          <w:iCs/>
          <w:sz w:val="14"/>
          <w:szCs w:val="14"/>
          <w:lang w:eastAsia="en-GB"/>
        </w:rPr>
      </w:pPr>
      <w:r w:rsidRPr="00D14928">
        <w:rPr>
          <w:rFonts w:ascii="Arial" w:eastAsia="Times New Roman" w:hAnsi="Arial" w:cs="Arial"/>
          <w:i/>
          <w:iCs/>
          <w:sz w:val="14"/>
          <w:szCs w:val="14"/>
          <w:lang w:eastAsia="en-GB"/>
        </w:rPr>
        <w:t>2       As the majority of exposure is held in US Dollars, the exposures as at 31 December 2012 are shown in both US Dollars and Pounds Sterling.</w:t>
      </w:r>
    </w:p>
    <w:p w:rsidR="001013E6" w:rsidRPr="000D3D3A" w:rsidRDefault="00D14928" w:rsidP="000D3D3A">
      <w:pPr>
        <w:spacing w:line="240" w:lineRule="auto"/>
        <w:ind w:left="709" w:hanging="720"/>
        <w:jc w:val="both"/>
        <w:rPr>
          <w:rFonts w:ascii="Arial" w:eastAsia="Times New Roman" w:hAnsi="Arial" w:cs="Arial"/>
          <w:i/>
          <w:iCs/>
          <w:sz w:val="14"/>
          <w:szCs w:val="14"/>
          <w:lang w:eastAsia="en-GB"/>
        </w:rPr>
      </w:pPr>
      <w:r w:rsidRPr="00D14928">
        <w:rPr>
          <w:rFonts w:ascii="Arial" w:eastAsia="Times New Roman" w:hAnsi="Arial" w:cs="Arial"/>
          <w:i/>
          <w:iCs/>
          <w:sz w:val="14"/>
          <w:szCs w:val="14"/>
          <w:lang w:eastAsia="en-GB"/>
        </w:rPr>
        <w:t>3        Includes undrawn commitments of £202m (2011: £180m).</w:t>
      </w:r>
      <w:bookmarkStart w:id="0" w:name="_GoBack"/>
      <w:bookmarkEnd w:id="0"/>
    </w:p>
    <w:sectPr w:rsidR="001013E6" w:rsidRPr="000D3D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928"/>
    <w:rsid w:val="000D3D3A"/>
    <w:rsid w:val="001013E6"/>
    <w:rsid w:val="00D14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428792">
      <w:bodyDiv w:val="1"/>
      <w:marLeft w:val="0"/>
      <w:marRight w:val="0"/>
      <w:marTop w:val="0"/>
      <w:marBottom w:val="0"/>
      <w:divBdr>
        <w:top w:val="none" w:sz="0" w:space="0" w:color="auto"/>
        <w:left w:val="none" w:sz="0" w:space="0" w:color="auto"/>
        <w:bottom w:val="none" w:sz="0" w:space="0" w:color="auto"/>
        <w:right w:val="none" w:sz="0" w:space="0" w:color="auto"/>
      </w:divBdr>
      <w:divsChild>
        <w:div w:id="796678159">
          <w:marLeft w:val="1134"/>
          <w:marRight w:val="1134"/>
          <w:marTop w:val="851"/>
          <w:marBottom w:val="567"/>
          <w:divBdr>
            <w:top w:val="none" w:sz="0" w:space="0" w:color="auto"/>
            <w:left w:val="none" w:sz="0" w:space="0" w:color="auto"/>
            <w:bottom w:val="none" w:sz="0" w:space="0" w:color="auto"/>
            <w:right w:val="none" w:sz="0" w:space="0" w:color="auto"/>
          </w:divBdr>
        </w:div>
        <w:div w:id="602997837">
          <w:marLeft w:val="1134"/>
          <w:marRight w:val="1134"/>
          <w:marTop w:val="851"/>
          <w:marBottom w:val="567"/>
          <w:divBdr>
            <w:top w:val="none" w:sz="0" w:space="0" w:color="auto"/>
            <w:left w:val="none" w:sz="0" w:space="0" w:color="auto"/>
            <w:bottom w:val="none" w:sz="0" w:space="0" w:color="auto"/>
            <w:right w:val="none" w:sz="0" w:space="0" w:color="auto"/>
          </w:divBdr>
        </w:div>
        <w:div w:id="425150575">
          <w:marLeft w:val="1134"/>
          <w:marRight w:val="1134"/>
          <w:marTop w:val="851"/>
          <w:marBottom w:val="567"/>
          <w:divBdr>
            <w:top w:val="none" w:sz="0" w:space="0" w:color="auto"/>
            <w:left w:val="none" w:sz="0" w:space="0" w:color="auto"/>
            <w:bottom w:val="none" w:sz="0" w:space="0" w:color="auto"/>
            <w:right w:val="none" w:sz="0" w:space="0" w:color="auto"/>
          </w:divBdr>
        </w:div>
        <w:div w:id="1812936690">
          <w:marLeft w:val="1134"/>
          <w:marRight w:val="1134"/>
          <w:marTop w:val="851"/>
          <w:marBottom w:val="567"/>
          <w:divBdr>
            <w:top w:val="none" w:sz="0" w:space="0" w:color="auto"/>
            <w:left w:val="none" w:sz="0" w:space="0" w:color="auto"/>
            <w:bottom w:val="none" w:sz="0" w:space="0" w:color="auto"/>
            <w:right w:val="none" w:sz="0" w:space="0" w:color="auto"/>
          </w:divBdr>
        </w:div>
        <w:div w:id="93212641">
          <w:marLeft w:val="1134"/>
          <w:marRight w:val="1134"/>
          <w:marTop w:val="851"/>
          <w:marBottom w:val="567"/>
          <w:divBdr>
            <w:top w:val="none" w:sz="0" w:space="0" w:color="auto"/>
            <w:left w:val="none" w:sz="0" w:space="0" w:color="auto"/>
            <w:bottom w:val="none" w:sz="0" w:space="0" w:color="auto"/>
            <w:right w:val="none" w:sz="0" w:space="0" w:color="auto"/>
          </w:divBdr>
        </w:div>
        <w:div w:id="2023436211">
          <w:marLeft w:val="1134"/>
          <w:marRight w:val="1134"/>
          <w:marTop w:val="851"/>
          <w:marBottom w:val="567"/>
          <w:divBdr>
            <w:top w:val="none" w:sz="0" w:space="0" w:color="auto"/>
            <w:left w:val="none" w:sz="0" w:space="0" w:color="auto"/>
            <w:bottom w:val="none" w:sz="0" w:space="0" w:color="auto"/>
            <w:right w:val="none" w:sz="0" w:space="0" w:color="auto"/>
          </w:divBdr>
        </w:div>
        <w:div w:id="1911034498">
          <w:marLeft w:val="1134"/>
          <w:marRight w:val="1134"/>
          <w:marTop w:val="851"/>
          <w:marBottom w:val="567"/>
          <w:divBdr>
            <w:top w:val="none" w:sz="0" w:space="0" w:color="auto"/>
            <w:left w:val="none" w:sz="0" w:space="0" w:color="auto"/>
            <w:bottom w:val="none" w:sz="0" w:space="0" w:color="auto"/>
            <w:right w:val="none" w:sz="0" w:space="0" w:color="auto"/>
          </w:divBdr>
        </w:div>
        <w:div w:id="1940402766">
          <w:marLeft w:val="1134"/>
          <w:marRight w:val="1134"/>
          <w:marTop w:val="851"/>
          <w:marBottom w:val="567"/>
          <w:divBdr>
            <w:top w:val="none" w:sz="0" w:space="0" w:color="auto"/>
            <w:left w:val="none" w:sz="0" w:space="0" w:color="auto"/>
            <w:bottom w:val="none" w:sz="0" w:space="0" w:color="auto"/>
            <w:right w:val="none" w:sz="0" w:space="0" w:color="auto"/>
          </w:divBdr>
        </w:div>
        <w:div w:id="124205927">
          <w:marLeft w:val="1134"/>
          <w:marRight w:val="1134"/>
          <w:marTop w:val="851"/>
          <w:marBottom w:val="567"/>
          <w:divBdr>
            <w:top w:val="none" w:sz="0" w:space="0" w:color="auto"/>
            <w:left w:val="none" w:sz="0" w:space="0" w:color="auto"/>
            <w:bottom w:val="none" w:sz="0" w:space="0" w:color="auto"/>
            <w:right w:val="none" w:sz="0" w:space="0" w:color="auto"/>
          </w:divBdr>
        </w:div>
        <w:div w:id="1102265241">
          <w:marLeft w:val="1134"/>
          <w:marRight w:val="1134"/>
          <w:marTop w:val="851"/>
          <w:marBottom w:val="567"/>
          <w:divBdr>
            <w:top w:val="none" w:sz="0" w:space="0" w:color="auto"/>
            <w:left w:val="none" w:sz="0" w:space="0" w:color="auto"/>
            <w:bottom w:val="none" w:sz="0" w:space="0" w:color="auto"/>
            <w:right w:val="none" w:sz="0" w:space="0" w:color="auto"/>
          </w:divBdr>
        </w:div>
        <w:div w:id="183859538">
          <w:marLeft w:val="1134"/>
          <w:marRight w:val="1134"/>
          <w:marTop w:val="851"/>
          <w:marBottom w:val="567"/>
          <w:divBdr>
            <w:top w:val="none" w:sz="0" w:space="0" w:color="auto"/>
            <w:left w:val="none" w:sz="0" w:space="0" w:color="auto"/>
            <w:bottom w:val="none" w:sz="0" w:space="0" w:color="auto"/>
            <w:right w:val="none" w:sz="0" w:space="0" w:color="auto"/>
          </w:divBdr>
        </w:div>
        <w:div w:id="1818449093">
          <w:marLeft w:val="1134"/>
          <w:marRight w:val="1134"/>
          <w:marTop w:val="851"/>
          <w:marBottom w:val="567"/>
          <w:divBdr>
            <w:top w:val="none" w:sz="0" w:space="0" w:color="auto"/>
            <w:left w:val="none" w:sz="0" w:space="0" w:color="auto"/>
            <w:bottom w:val="none" w:sz="0" w:space="0" w:color="auto"/>
            <w:right w:val="none" w:sz="0" w:space="0" w:color="auto"/>
          </w:divBdr>
        </w:div>
        <w:div w:id="1734692560">
          <w:marLeft w:val="1134"/>
          <w:marRight w:val="1134"/>
          <w:marTop w:val="851"/>
          <w:marBottom w:val="567"/>
          <w:divBdr>
            <w:top w:val="none" w:sz="0" w:space="0" w:color="auto"/>
            <w:left w:val="none" w:sz="0" w:space="0" w:color="auto"/>
            <w:bottom w:val="none" w:sz="0" w:space="0" w:color="auto"/>
            <w:right w:val="none" w:sz="0" w:space="0" w:color="auto"/>
          </w:divBdr>
        </w:div>
        <w:div w:id="76365399">
          <w:marLeft w:val="1134"/>
          <w:marRight w:val="1134"/>
          <w:marTop w:val="851"/>
          <w:marBottom w:val="567"/>
          <w:divBdr>
            <w:top w:val="none" w:sz="0" w:space="0" w:color="auto"/>
            <w:left w:val="none" w:sz="0" w:space="0" w:color="auto"/>
            <w:bottom w:val="none" w:sz="0" w:space="0" w:color="auto"/>
            <w:right w:val="none" w:sz="0" w:space="0" w:color="auto"/>
          </w:divBdr>
        </w:div>
        <w:div w:id="921645851">
          <w:marLeft w:val="1134"/>
          <w:marRight w:val="1134"/>
          <w:marTop w:val="851"/>
          <w:marBottom w:val="567"/>
          <w:divBdr>
            <w:top w:val="none" w:sz="0" w:space="0" w:color="auto"/>
            <w:left w:val="none" w:sz="0" w:space="0" w:color="auto"/>
            <w:bottom w:val="none" w:sz="0" w:space="0" w:color="auto"/>
            <w:right w:val="none" w:sz="0" w:space="0" w:color="auto"/>
          </w:divBdr>
        </w:div>
        <w:div w:id="1653369654">
          <w:marLeft w:val="1134"/>
          <w:marRight w:val="1134"/>
          <w:marTop w:val="851"/>
          <w:marBottom w:val="567"/>
          <w:divBdr>
            <w:top w:val="none" w:sz="0" w:space="0" w:color="auto"/>
            <w:left w:val="none" w:sz="0" w:space="0" w:color="auto"/>
            <w:bottom w:val="none" w:sz="0" w:space="0" w:color="auto"/>
            <w:right w:val="none" w:sz="0" w:space="0" w:color="auto"/>
          </w:divBdr>
        </w:div>
        <w:div w:id="592396813">
          <w:marLeft w:val="1134"/>
          <w:marRight w:val="1134"/>
          <w:marTop w:val="851"/>
          <w:marBottom w:val="567"/>
          <w:divBdr>
            <w:top w:val="none" w:sz="0" w:space="0" w:color="auto"/>
            <w:left w:val="none" w:sz="0" w:space="0" w:color="auto"/>
            <w:bottom w:val="none" w:sz="0" w:space="0" w:color="auto"/>
            <w:right w:val="none" w:sz="0" w:space="0" w:color="auto"/>
          </w:divBdr>
        </w:div>
        <w:div w:id="1828201186">
          <w:marLeft w:val="1134"/>
          <w:marRight w:val="1134"/>
          <w:marTop w:val="851"/>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29</Pages>
  <Words>10709</Words>
  <Characters>61046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71612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Deeksha Perera</dc:creator>
  <cp:lastModifiedBy>Deeksha Perera</cp:lastModifiedBy>
  <cp:revision>1</cp:revision>
  <dcterms:created xsi:type="dcterms:W3CDTF">2013-04-16T11:55:00Z</dcterms:created>
  <dcterms:modified xsi:type="dcterms:W3CDTF">2013-04-16T12:17:00Z</dcterms:modified>
</cp:coreProperties>
</file>