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EE" w:rsidRPr="008223EE" w:rsidRDefault="008223EE" w:rsidP="008223EE">
      <w:pPr>
        <w:spacing w:after="180" w:line="240" w:lineRule="auto"/>
        <w:jc w:val="both"/>
        <w:rPr>
          <w:rFonts w:ascii="Arial" w:eastAsia="Times New Roman" w:hAnsi="Arial" w:cs="Arial"/>
          <w:sz w:val="18"/>
          <w:szCs w:val="18"/>
        </w:rPr>
      </w:pPr>
      <w:bookmarkStart w:id="0" w:name="_GoBack"/>
      <w:bookmarkEnd w:id="0"/>
      <w:r w:rsidRPr="008223EE">
        <w:rPr>
          <w:rFonts w:ascii="Arial" w:eastAsia="Times New Roman" w:hAnsi="Arial" w:cs="Arial"/>
          <w:sz w:val="18"/>
          <w:szCs w:val="18"/>
        </w:rPr>
        <w:t> </w:t>
      </w:r>
    </w:p>
    <w:p w:rsidR="008223EE" w:rsidRPr="008223EE" w:rsidRDefault="008223EE" w:rsidP="008223EE">
      <w:pPr>
        <w:spacing w:after="0" w:line="240" w:lineRule="auto"/>
        <w:jc w:val="center"/>
        <w:rPr>
          <w:rFonts w:ascii="Arial" w:eastAsia="Times New Roman" w:hAnsi="Arial" w:cs="Arial"/>
          <w:b/>
          <w:bCs/>
          <w:sz w:val="48"/>
          <w:szCs w:val="48"/>
        </w:rPr>
      </w:pPr>
      <w:r w:rsidRPr="008223EE">
        <w:rPr>
          <w:rFonts w:ascii="Arial" w:eastAsia="Times New Roman" w:hAnsi="Arial" w:cs="Arial"/>
          <w:b/>
          <w:bCs/>
          <w:sz w:val="48"/>
          <w:szCs w:val="48"/>
        </w:rPr>
        <w:t>Barclays Bank PLC</w:t>
      </w:r>
    </w:p>
    <w:p w:rsidR="008223EE" w:rsidRPr="008223EE" w:rsidRDefault="008223EE" w:rsidP="008223EE">
      <w:pPr>
        <w:spacing w:after="0" w:line="240" w:lineRule="auto"/>
        <w:jc w:val="center"/>
        <w:rPr>
          <w:rFonts w:ascii="Arial" w:eastAsia="Times New Roman" w:hAnsi="Arial" w:cs="Arial"/>
          <w:b/>
          <w:bCs/>
          <w:sz w:val="48"/>
          <w:szCs w:val="48"/>
        </w:rPr>
      </w:pPr>
      <w:r w:rsidRPr="008223EE">
        <w:rPr>
          <w:rFonts w:ascii="Arial" w:eastAsia="Times New Roman" w:hAnsi="Arial" w:cs="Arial"/>
          <w:b/>
          <w:bCs/>
          <w:sz w:val="48"/>
          <w:szCs w:val="48"/>
        </w:rPr>
        <w:t>Preliminary Results Announcement</w:t>
      </w:r>
    </w:p>
    <w:p w:rsidR="008223EE" w:rsidRPr="008223EE" w:rsidRDefault="008223EE" w:rsidP="008223EE">
      <w:pPr>
        <w:spacing w:after="0" w:line="240" w:lineRule="auto"/>
        <w:jc w:val="center"/>
        <w:rPr>
          <w:rFonts w:ascii="Arial" w:eastAsia="Times New Roman" w:hAnsi="Arial" w:cs="Arial"/>
          <w:b/>
          <w:bCs/>
          <w:sz w:val="48"/>
          <w:szCs w:val="48"/>
        </w:rPr>
      </w:pPr>
      <w:r w:rsidRPr="008223EE">
        <w:rPr>
          <w:rFonts w:ascii="Arial" w:eastAsia="Times New Roman" w:hAnsi="Arial" w:cs="Arial"/>
          <w:b/>
          <w:bCs/>
          <w:sz w:val="48"/>
          <w:szCs w:val="48"/>
        </w:rPr>
        <w:t> </w:t>
      </w:r>
    </w:p>
    <w:p w:rsidR="008223EE" w:rsidRPr="008223EE" w:rsidRDefault="008223EE" w:rsidP="008223EE">
      <w:pPr>
        <w:spacing w:after="0" w:line="240" w:lineRule="auto"/>
        <w:jc w:val="center"/>
        <w:rPr>
          <w:rFonts w:ascii="Arial" w:eastAsia="Times New Roman" w:hAnsi="Arial" w:cs="Arial"/>
          <w:sz w:val="24"/>
          <w:szCs w:val="24"/>
        </w:rPr>
      </w:pPr>
      <w:r w:rsidRPr="008223EE">
        <w:rPr>
          <w:rFonts w:ascii="Arial" w:eastAsia="Times New Roman" w:hAnsi="Arial" w:cs="Arial"/>
          <w:sz w:val="24"/>
          <w:szCs w:val="24"/>
        </w:rPr>
        <w:t>31</w:t>
      </w:r>
      <w:r w:rsidRPr="008223EE">
        <w:rPr>
          <w:rFonts w:ascii="Arial" w:eastAsia="Times New Roman" w:hAnsi="Arial" w:cs="Arial"/>
          <w:sz w:val="19"/>
          <w:szCs w:val="19"/>
          <w:vertAlign w:val="superscript"/>
        </w:rPr>
        <w:t>st</w:t>
      </w:r>
      <w:r w:rsidRPr="008223EE">
        <w:rPr>
          <w:rFonts w:ascii="Arial" w:eastAsia="Times New Roman" w:hAnsi="Arial" w:cs="Arial"/>
          <w:sz w:val="24"/>
          <w:szCs w:val="24"/>
        </w:rPr>
        <w:t xml:space="preserve"> December 2012</w:t>
      </w:r>
    </w:p>
    <w:p w:rsidR="008223EE" w:rsidRPr="008223EE" w:rsidRDefault="008223EE" w:rsidP="008223EE">
      <w:pPr>
        <w:spacing w:after="0" w:line="240" w:lineRule="auto"/>
        <w:jc w:val="center"/>
        <w:rPr>
          <w:rFonts w:ascii="Arial" w:eastAsia="Times New Roman" w:hAnsi="Arial" w:cs="Arial"/>
          <w:sz w:val="24"/>
          <w:szCs w:val="24"/>
        </w:rPr>
      </w:pPr>
      <w:r w:rsidRPr="008223EE">
        <w:rPr>
          <w:rFonts w:ascii="Arial" w:eastAsia="Times New Roman" w:hAnsi="Arial" w:cs="Arial"/>
          <w:sz w:val="24"/>
          <w:szCs w:val="24"/>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Table of Contents</w:t>
      </w:r>
    </w:p>
    <w:p w:rsidR="008223EE" w:rsidRPr="008223EE" w:rsidRDefault="008223EE" w:rsidP="008223EE">
      <w:pPr>
        <w:spacing w:line="240" w:lineRule="auto"/>
        <w:jc w:val="both"/>
        <w:rPr>
          <w:rFonts w:ascii="Times New Roman" w:eastAsia="Times New Roman" w:hAnsi="Times New Roman" w:cs="Times New Roman"/>
          <w:sz w:val="10"/>
          <w:szCs w:val="10"/>
        </w:rPr>
      </w:pPr>
      <w:r w:rsidRPr="008223EE">
        <w:rPr>
          <w:rFonts w:ascii="Times New Roman" w:eastAsia="Times New Roman" w:hAnsi="Times New Roman" w:cs="Times New Roman"/>
          <w:sz w:val="10"/>
          <w:szCs w:val="10"/>
        </w:rPr>
        <w:t> </w:t>
      </w:r>
    </w:p>
    <w:tbl>
      <w:tblPr>
        <w:tblW w:w="0" w:type="auto"/>
        <w:tblInd w:w="-108" w:type="dxa"/>
        <w:tblCellMar>
          <w:left w:w="0" w:type="dxa"/>
          <w:right w:w="0" w:type="dxa"/>
        </w:tblCellMar>
        <w:tblLook w:val="04A0" w:firstRow="1" w:lastRow="0" w:firstColumn="1" w:lastColumn="0" w:noHBand="0" w:noVBand="1"/>
      </w:tblPr>
      <w:tblGrid>
        <w:gridCol w:w="7383"/>
        <w:gridCol w:w="1967"/>
      </w:tblGrid>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Results Announcement</w:t>
            </w:r>
          </w:p>
        </w:tc>
        <w:tc>
          <w:tcPr>
            <w:tcW w:w="1980" w:type="dxa"/>
            <w:tcMar>
              <w:top w:w="0" w:type="dxa"/>
              <w:left w:w="108" w:type="dxa"/>
              <w:bottom w:w="0" w:type="dxa"/>
              <w:right w:w="108" w:type="dxa"/>
            </w:tcMar>
            <w:vAlign w:val="center"/>
            <w:hideMark/>
          </w:tcPr>
          <w:p w:rsidR="008223EE" w:rsidRPr="008223EE" w:rsidRDefault="008223EE" w:rsidP="008223EE">
            <w:pPr>
              <w:spacing w:after="180" w:line="240" w:lineRule="auto"/>
              <w:jc w:val="right"/>
              <w:rPr>
                <w:rFonts w:ascii="Arial" w:eastAsia="Times New Roman" w:hAnsi="Arial" w:cs="Arial"/>
                <w:b/>
                <w:bCs/>
                <w:color w:val="000000"/>
                <w:sz w:val="24"/>
                <w:szCs w:val="24"/>
              </w:rPr>
            </w:pPr>
            <w:r w:rsidRPr="008223EE">
              <w:rPr>
                <w:rFonts w:ascii="Arial" w:eastAsia="Times New Roman" w:hAnsi="Arial" w:cs="Arial"/>
                <w:b/>
                <w:bCs/>
                <w:sz w:val="24"/>
                <w:szCs w:val="24"/>
              </w:rPr>
              <w:t>Page</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rPr>
                <w:rFonts w:ascii="Arial" w:eastAsia="Times New Roman" w:hAnsi="Arial" w:cs="Arial"/>
                <w:sz w:val="18"/>
                <w:szCs w:val="18"/>
              </w:rPr>
            </w:pPr>
            <w:r w:rsidRPr="008223EE">
              <w:rPr>
                <w:rFonts w:ascii="Arial" w:eastAsia="Times New Roman" w:hAnsi="Arial" w:cs="Arial"/>
                <w:sz w:val="18"/>
                <w:szCs w:val="18"/>
              </w:rPr>
              <w:t>Basis of Preparation</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1</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rPr>
                <w:rFonts w:ascii="Arial" w:eastAsia="Times New Roman" w:hAnsi="Arial" w:cs="Arial"/>
                <w:sz w:val="18"/>
                <w:szCs w:val="18"/>
              </w:rPr>
            </w:pPr>
            <w:r w:rsidRPr="008223EE">
              <w:rPr>
                <w:rFonts w:ascii="Arial" w:eastAsia="Times New Roman" w:hAnsi="Arial" w:cs="Arial"/>
                <w:sz w:val="18"/>
                <w:szCs w:val="18"/>
              </w:rPr>
              <w:t>Consolidated  Income Statement</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2</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rPr>
                <w:rFonts w:ascii="Arial" w:eastAsia="Times New Roman" w:hAnsi="Arial" w:cs="Arial"/>
                <w:sz w:val="18"/>
                <w:szCs w:val="18"/>
              </w:rPr>
            </w:pPr>
            <w:r w:rsidRPr="008223EE">
              <w:rPr>
                <w:rFonts w:ascii="Arial" w:eastAsia="Times New Roman" w:hAnsi="Arial" w:cs="Arial"/>
                <w:sz w:val="18"/>
                <w:szCs w:val="18"/>
              </w:rPr>
              <w:t>Consolidated  Statement of  Comprehensive Income</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3</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rPr>
                <w:rFonts w:ascii="Arial" w:eastAsia="Times New Roman" w:hAnsi="Arial" w:cs="Arial"/>
                <w:sz w:val="18"/>
                <w:szCs w:val="18"/>
              </w:rPr>
            </w:pPr>
            <w:r w:rsidRPr="008223EE">
              <w:rPr>
                <w:rFonts w:ascii="Arial" w:eastAsia="Times New Roman" w:hAnsi="Arial" w:cs="Arial"/>
                <w:sz w:val="18"/>
                <w:szCs w:val="18"/>
              </w:rPr>
              <w:t>Consolidated  Balance Sheet</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4</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rPr>
                <w:rFonts w:ascii="Arial" w:eastAsia="Times New Roman" w:hAnsi="Arial" w:cs="Arial"/>
                <w:sz w:val="18"/>
                <w:szCs w:val="18"/>
              </w:rPr>
            </w:pPr>
            <w:r w:rsidRPr="008223EE">
              <w:rPr>
                <w:rFonts w:ascii="Arial" w:eastAsia="Times New Roman" w:hAnsi="Arial" w:cs="Arial"/>
                <w:sz w:val="18"/>
                <w:szCs w:val="18"/>
              </w:rPr>
              <w:t>Consolidated  Statement of  Changes in Equity</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5</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rPr>
                <w:rFonts w:ascii="Arial" w:eastAsia="Times New Roman" w:hAnsi="Arial" w:cs="Arial"/>
                <w:sz w:val="18"/>
                <w:szCs w:val="18"/>
              </w:rPr>
            </w:pPr>
            <w:r w:rsidRPr="008223EE">
              <w:rPr>
                <w:rFonts w:ascii="Arial" w:eastAsia="Times New Roman" w:hAnsi="Arial" w:cs="Arial"/>
                <w:sz w:val="18"/>
                <w:szCs w:val="18"/>
              </w:rPr>
              <w:t>Consolidated  Cash Flow Statement</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6</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rPr>
                <w:rFonts w:ascii="Arial" w:eastAsia="Times New Roman" w:hAnsi="Arial" w:cs="Arial"/>
                <w:sz w:val="18"/>
                <w:szCs w:val="18"/>
              </w:rPr>
            </w:pPr>
            <w:r w:rsidRPr="008223EE">
              <w:rPr>
                <w:rFonts w:ascii="Arial" w:eastAsia="Times New Roman" w:hAnsi="Arial" w:cs="Arial"/>
                <w:sz w:val="18"/>
                <w:szCs w:val="18"/>
              </w:rPr>
              <w:t>Financial Statement Notes</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7</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rPr>
                <w:rFonts w:ascii="Arial" w:eastAsia="Times New Roman" w:hAnsi="Arial" w:cs="Arial"/>
                <w:b/>
                <w:bCs/>
                <w:sz w:val="16"/>
                <w:szCs w:val="16"/>
              </w:rPr>
            </w:pPr>
            <w:r w:rsidRPr="008223EE">
              <w:rPr>
                <w:rFonts w:ascii="Arial" w:eastAsia="Times New Roman" w:hAnsi="Arial" w:cs="Arial"/>
                <w:b/>
                <w:bCs/>
                <w:sz w:val="24"/>
                <w:szCs w:val="24"/>
              </w:rPr>
              <w:t>Appendix</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 </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rPr>
                <w:rFonts w:ascii="Arial" w:eastAsia="Times New Roman" w:hAnsi="Arial" w:cs="Arial"/>
                <w:sz w:val="16"/>
                <w:szCs w:val="16"/>
              </w:rPr>
            </w:pPr>
            <w:r w:rsidRPr="008223EE">
              <w:rPr>
                <w:rFonts w:ascii="Arial" w:eastAsia="Times New Roman" w:hAnsi="Arial" w:cs="Arial"/>
                <w:sz w:val="18"/>
                <w:szCs w:val="18"/>
              </w:rPr>
              <w:t>Barclays PLC Results Announcement</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9</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rPr>
                <w:rFonts w:ascii="Arial" w:eastAsia="Times New Roman" w:hAnsi="Arial" w:cs="Arial"/>
                <w:sz w:val="16"/>
                <w:szCs w:val="16"/>
              </w:rPr>
            </w:pP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 </w:t>
            </w:r>
          </w:p>
        </w:tc>
      </w:tr>
    </w:tbl>
    <w:p w:rsidR="008223EE" w:rsidRPr="008223EE" w:rsidRDefault="008223EE" w:rsidP="008223EE">
      <w:pPr>
        <w:spacing w:before="180" w:after="180" w:line="240" w:lineRule="auto"/>
        <w:rPr>
          <w:rFonts w:ascii="Arial" w:eastAsia="Times New Roman" w:hAnsi="Arial" w:cs="Arial"/>
          <w:sz w:val="12"/>
          <w:szCs w:val="12"/>
        </w:rPr>
      </w:pPr>
      <w:r w:rsidRPr="008223EE">
        <w:rPr>
          <w:rFonts w:ascii="Arial" w:eastAsia="Times New Roman" w:hAnsi="Arial" w:cs="Arial"/>
          <w:sz w:val="12"/>
          <w:szCs w:val="12"/>
        </w:rPr>
        <w:t> </w:t>
      </w:r>
      <w:proofErr w:type="gramStart"/>
      <w:r w:rsidRPr="008223EE">
        <w:rPr>
          <w:rFonts w:ascii="Arial" w:eastAsia="Times New Roman" w:hAnsi="Arial" w:cs="Arial"/>
          <w:sz w:val="12"/>
          <w:szCs w:val="12"/>
        </w:rPr>
        <w:t>BARCLAYS BANK PLC, 1 CHURCHILL PLACE, LONDON, E14 5HP, UNIITED KINGDOM, TELEPHONE +44(0) 20 7116 1000.</w:t>
      </w:r>
      <w:proofErr w:type="gramEnd"/>
      <w:r w:rsidRPr="008223EE">
        <w:rPr>
          <w:rFonts w:ascii="Arial" w:eastAsia="Times New Roman" w:hAnsi="Arial" w:cs="Arial"/>
          <w:sz w:val="12"/>
          <w:szCs w:val="12"/>
        </w:rPr>
        <w:t xml:space="preserve"> COMPANY NO. 1026167</w:t>
      </w:r>
    </w:p>
    <w:p w:rsidR="002437C0" w:rsidRPr="008223EE" w:rsidRDefault="008223EE" w:rsidP="008223EE">
      <w:pPr>
        <w:spacing w:after="0" w:line="240" w:lineRule="auto"/>
        <w:jc w:val="both"/>
        <w:rPr>
          <w:rFonts w:ascii="Arial" w:eastAsia="Times New Roman" w:hAnsi="Arial" w:cs="Arial"/>
          <w:sz w:val="10"/>
          <w:szCs w:val="10"/>
        </w:rPr>
      </w:pPr>
      <w:r w:rsidRPr="008223EE">
        <w:rPr>
          <w:rFonts w:ascii="Arial" w:eastAsia="Times New Roman" w:hAnsi="Arial" w:cs="Arial"/>
          <w:sz w:val="10"/>
          <w:szCs w:val="10"/>
        </w:rPr>
        <w:t> </w:t>
      </w:r>
    </w:p>
    <w:tbl>
      <w:tblPr>
        <w:tblStyle w:val="TableGrid"/>
        <w:tblW w:w="0" w:type="auto"/>
        <w:tblLook w:val="04A0" w:firstRow="1" w:lastRow="0" w:firstColumn="1" w:lastColumn="0" w:noHBand="0" w:noVBand="1"/>
      </w:tblPr>
      <w:tblGrid>
        <w:gridCol w:w="9242"/>
      </w:tblGrid>
      <w:tr w:rsidR="002437C0" w:rsidTr="002437C0">
        <w:tc>
          <w:tcPr>
            <w:tcW w:w="9242" w:type="dxa"/>
            <w:tcBorders>
              <w:top w:val="nil"/>
              <w:left w:val="nil"/>
              <w:bottom w:val="single" w:sz="4" w:space="0" w:color="auto"/>
              <w:right w:val="nil"/>
            </w:tcBorders>
          </w:tcPr>
          <w:p w:rsidR="002437C0" w:rsidRDefault="002437C0" w:rsidP="008223EE">
            <w:pPr>
              <w:jc w:val="both"/>
              <w:rPr>
                <w:rFonts w:ascii="Arial" w:eastAsia="Times New Roman" w:hAnsi="Arial" w:cs="Arial"/>
                <w:sz w:val="10"/>
                <w:szCs w:val="10"/>
              </w:rPr>
            </w:pPr>
          </w:p>
        </w:tc>
      </w:tr>
    </w:tbl>
    <w:p w:rsidR="008223EE" w:rsidRPr="008223EE" w:rsidRDefault="008223EE" w:rsidP="008223EE">
      <w:pPr>
        <w:spacing w:after="0" w:line="240" w:lineRule="auto"/>
        <w:jc w:val="both"/>
        <w:rPr>
          <w:rFonts w:ascii="Arial" w:eastAsia="Times New Roman" w:hAnsi="Arial" w:cs="Arial"/>
          <w:sz w:val="10"/>
          <w:szCs w:val="10"/>
        </w:rPr>
      </w:pP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6"/>
          <w:szCs w:val="16"/>
        </w:rPr>
        <w:t>The term 'Barclays PLC Group' or the 'Group' means Barclays PLC together with its subsidiaries and the term 'Barclays Bank PLC Group' means Barclays Bank PLC together with its subsidiaries.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6"/>
          <w:szCs w:val="16"/>
        </w:rPr>
        <w:t>Unless otherwise stated, the income statement analyses compare the 12 months to 31 December 2012 to the corresponding 12 months of 2011 and balance sheet comparisons relate to the corresponding position at 31 December 2011.</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6"/>
          <w:szCs w:val="16"/>
        </w:rPr>
        <w:t>Relevant terms that are used in this document but are not defined under applicable regulatory guidance or International Financial Reporting Standards (IFRS) are explained in the Results glossary that can be accessed at www.barclays.com/investorrelations.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6"/>
          <w:szCs w:val="16"/>
        </w:rPr>
        <w:t>The Listing Rules of the UK Listing Authority (LR 9.7A.1) require that preliminary statements of annual results must be agreed with the listed company's auditors prior to publication, even though an audit opinion has not yet been issued. In addition, the Listing Rules require such statements to give details of the nature of any likely modification that may be contained in the auditors' report to be included with the annual report and accounts. Barclays Bank PLC confirms that it has agreed this preliminary statement of annual results with PricewaterhouseCoopers LLP and that the Board of Directors has not been made aware of any likely modification to the auditors' report required to be included with the annual report and accounts for the year ended 31 December 2012.</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6"/>
          <w:szCs w:val="16"/>
        </w:rPr>
        <w:t xml:space="preserve">The information in this announcement, which was approved by the Board of Directors on 11 February 2013, does not comprise statutory accounts within the meaning of Section 434 of the Companies Act 2006. Statutory accounts for the year ended 31 December 2011, which included certain information required for the Joint Annual Report on Form 20-F of Barclays PLC and Barclays Bank PLC to the US Securities and Exchange Commission (SEC) and which contained an unqualified audit report under Section 495 of the Companies Act 2006 and which did not make any statements under Section 498 of the Companies Act 2006, have been delivered to the Registrar of Companies in accordance with Section 441 of the Companies Act 2006.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6"/>
          <w:szCs w:val="16"/>
        </w:rPr>
        <w:lastRenderedPageBreak/>
        <w:t xml:space="preserve">These results will be furnished as a Form 6-K to the SEC as soon as practicable following their publication. Statutory accounts for the year ended 31 December 2012, which also include certain information required for the Joint Annual Report on Form 20-F of Barclays PLC and Barclays Bank PLC to the SEC, can be obtained from Corporate Communications, Barclays Bank PLC, 745 Seventh Avenue, New York, NY 10019, United States of America or from the Director, Investor Relations at Barclays registered office address shown on the previous page, once they have been published in March. Once filed with the SEC, copies of the Form 20-F will also be available from the Barclays Investor Relations website www.barclays.com/investorrelations and from the SEC's website (www.sec.gov).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Basis of Preparation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color w:val="000000"/>
          <w:sz w:val="18"/>
          <w:szCs w:val="18"/>
        </w:rPr>
        <w:t>Barclays Bank PLC is a wholly owned subsidiary of Barclays PLC, which is the Group's ultimate parent company. The consolidated financial statements of Barclays Bank PLC and Barclays PLC are materially the same, with the key differences being that, in accordance with IFRS:</w:t>
      </w:r>
    </w:p>
    <w:p w:rsidR="008223EE" w:rsidRPr="008223EE" w:rsidRDefault="008223EE" w:rsidP="009B0C46">
      <w:pPr>
        <w:spacing w:before="180" w:after="180" w:line="240" w:lineRule="auto"/>
        <w:ind w:left="357" w:hanging="357"/>
        <w:jc w:val="both"/>
        <w:rPr>
          <w:rFonts w:ascii="Arial" w:eastAsia="Times New Roman" w:hAnsi="Arial" w:cs="Arial"/>
          <w:sz w:val="18"/>
          <w:szCs w:val="18"/>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Preference shares issued by Barclays Bank PLC are included within share capital and share premium in Barclays Bank PLC but represent non-controlling interests in Barclays PLC.</w:t>
      </w:r>
    </w:p>
    <w:p w:rsidR="008223EE" w:rsidRPr="008223EE" w:rsidRDefault="008223EE" w:rsidP="009B0C46">
      <w:pPr>
        <w:spacing w:before="240" w:after="120" w:line="240" w:lineRule="auto"/>
        <w:ind w:left="357" w:hanging="357"/>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Certain issuances of capital notes by Barclays Bank PLC are included within other shareholders' equity in Barclays Bank PLC, but represent non-controlling interests in Barclays PLC.</w:t>
      </w:r>
    </w:p>
    <w:p w:rsidR="008223EE" w:rsidRPr="008223EE" w:rsidRDefault="008223EE" w:rsidP="009B0C46">
      <w:pPr>
        <w:spacing w:before="240" w:after="120" w:line="240" w:lineRule="auto"/>
        <w:ind w:left="357" w:hanging="357"/>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The carrying value of Contingent Capital Notes (CCNs) is higher in the balance sheet of Barclays Bank PLC, which issued the notes, than it is in the Barclays PLC consolidated financial statements due to the different contractual rights and obligations of each. In the Barclays PLC consolidated financial statements, the CCNs are liabilities that are cancelled in the event that the consolidated CET 1 ratio falls below 7%.  To Barclays Bank PLC, which has no ability to cancel the CCNs (which is effected by an automatic legal transfer of ownership from the holder to Barclays PLC), the coupon is higher than the market rate appropriate for a liability without the automatic transfer feature. This leads to the recognition of an initial fair value for the CCNS that is higher than par for Barclays Bank PLC. The difference between initial fair value and par is amortised over the period to the expected maturity of the notes. In its consolidated financial statements, Barclays PLC recognises the notes at par.</w:t>
      </w:r>
    </w:p>
    <w:p w:rsidR="008223EE" w:rsidRPr="008223EE" w:rsidRDefault="008223EE" w:rsidP="009B0C46">
      <w:pPr>
        <w:spacing w:before="240" w:after="120" w:line="240" w:lineRule="auto"/>
        <w:ind w:left="357" w:hanging="357"/>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Barclays PLC shares held for the purposes of employee share schemes and for trading are recognised as available for sale investments and trading portfolio assets respectively within Barclays Bank PLC. Barclays PLC deducts treasury shares from shareholders equity.</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More extensive disclosures are contained in the Barclays PLC Results Announcement for the year ended 31 December 2012, attached, including risk exposures and business performance, which are materially the same as those for Barclays Bank PLC.</w:t>
      </w:r>
    </w:p>
    <w:p w:rsidR="008223EE" w:rsidRPr="008223EE" w:rsidRDefault="008223EE" w:rsidP="008223EE">
      <w:pPr>
        <w:spacing w:before="180" w:after="180" w:line="240" w:lineRule="auto"/>
        <w:jc w:val="both"/>
        <w:rPr>
          <w:rFonts w:ascii="Arial" w:eastAsia="Times New Roman" w:hAnsi="Arial" w:cs="Arial"/>
          <w:b/>
          <w:bCs/>
          <w:sz w:val="18"/>
          <w:szCs w:val="18"/>
        </w:rPr>
      </w:pPr>
      <w:r w:rsidRPr="008223EE">
        <w:rPr>
          <w:rFonts w:ascii="Arial" w:eastAsia="Times New Roman" w:hAnsi="Arial" w:cs="Arial"/>
          <w:b/>
          <w:bCs/>
          <w:color w:val="000000"/>
          <w:sz w:val="18"/>
          <w:szCs w:val="18"/>
        </w:rPr>
        <w:t>Accounting Policies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color w:val="000000"/>
          <w:sz w:val="18"/>
          <w:szCs w:val="18"/>
        </w:rPr>
        <w:t>The Group has continued to apply the accounting policies used for the 2011 Annual Report.</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color w:val="000000"/>
          <w:sz w:val="18"/>
          <w:szCs w:val="18"/>
        </w:rPr>
        <w:t>A number of amendments to IFRS have been issued that are required to be applied from 1 January 2012. These amendments have not resulted in any changes to the Group's accounting policies.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b/>
          <w:bCs/>
          <w:color w:val="000000"/>
          <w:sz w:val="18"/>
          <w:szCs w:val="18"/>
        </w:rPr>
        <w:t>Going Concern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color w:val="000000"/>
          <w:sz w:val="18"/>
          <w:szCs w:val="18"/>
        </w:rPr>
        <w:t xml:space="preserve">The Group's business activities and financial position, the factors likely to affect its future development and performance, and its objectives and policies in managing the financial risks to which it is exposed and its capital are discussed in the Results by Business, Performance Management, Risk Management and Capital sections of the Barclays PLC Results Announcement.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color w:val="000000"/>
          <w:sz w:val="18"/>
          <w:szCs w:val="18"/>
        </w:rPr>
        <w:t>The Directors confirm that they are satisfied that the Group has adequate resources to continue in business for the foreseeable future.  For this reason, they continue to adopt the 'going concern' basis for preparing accounts.</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color w:val="000000"/>
          <w:sz w:val="2"/>
          <w:szCs w:val="2"/>
        </w:rPr>
        <w:t> </w:t>
      </w:r>
    </w:p>
    <w:tbl>
      <w:tblPr>
        <w:tblW w:w="0" w:type="auto"/>
        <w:tblInd w:w="-36" w:type="dxa"/>
        <w:tblCellMar>
          <w:left w:w="0" w:type="dxa"/>
          <w:right w:w="0" w:type="dxa"/>
        </w:tblCellMar>
        <w:tblLook w:val="04A0" w:firstRow="1" w:lastRow="0" w:firstColumn="1" w:lastColumn="0" w:noHBand="0" w:noVBand="1"/>
      </w:tblPr>
      <w:tblGrid>
        <w:gridCol w:w="5745"/>
        <w:gridCol w:w="557"/>
        <w:gridCol w:w="1005"/>
        <w:gridCol w:w="1230"/>
      </w:tblGrid>
      <w:tr w:rsidR="008223EE" w:rsidRPr="008223EE" w:rsidTr="008223EE">
        <w:trPr>
          <w:trHeight w:val="315"/>
        </w:trPr>
        <w:tc>
          <w:tcPr>
            <w:tcW w:w="850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xml:space="preserve">Condensed Consolidated Income Statement </w:t>
            </w:r>
          </w:p>
        </w:tc>
      </w:tr>
      <w:tr w:rsidR="008223EE" w:rsidRPr="008223EE" w:rsidTr="008223EE">
        <w:trPr>
          <w:trHeight w:val="255"/>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Calibri" w:eastAsia="Times New Roman" w:hAnsi="Calibri" w:cs="Calibri"/>
                <w:b/>
                <w:bCs/>
                <w:color w:val="000000"/>
                <w:sz w:val="16"/>
                <w:szCs w:val="16"/>
              </w:rPr>
              <w:t> </w:t>
            </w:r>
            <w:r w:rsidRPr="008223EE">
              <w:rPr>
                <w:rFonts w:ascii="Arial" w:eastAsia="Times New Roman" w:hAnsi="Arial" w:cs="Arial"/>
                <w:b/>
                <w:bCs/>
                <w:color w:val="000000"/>
                <w:sz w:val="16"/>
                <w:szCs w:val="16"/>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Year Ended</w:t>
            </w: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Year Ended</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Continuing Operations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Notes</w:t>
            </w:r>
            <w:r w:rsidRPr="008223EE">
              <w:rPr>
                <w:rFonts w:ascii="Arial" w:eastAsia="Times New Roman" w:hAnsi="Arial" w:cs="Arial"/>
                <w:color w:val="000000"/>
                <w:sz w:val="13"/>
                <w:szCs w:val="13"/>
                <w:vertAlign w:val="superscript"/>
              </w:rPr>
              <w:t>1 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interest income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11,635 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12,196 </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fee and commission income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8,582 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8,622 </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trading income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3,028 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7,738 </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investment income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663 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2,322 </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Net premiums from insurance contracts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896 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1,076 </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gain on disposal of investment in BlackRock, Inc.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227 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income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1,169 </w:t>
            </w:r>
          </w:p>
        </w:tc>
      </w:tr>
      <w:tr w:rsidR="008223EE" w:rsidRPr="008223EE" w:rsidTr="008223EE">
        <w:trPr>
          <w:trHeight w:val="240"/>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w:t>
            </w:r>
            <w:r w:rsidRPr="008223EE">
              <w:rPr>
                <w:rFonts w:ascii="Arial" w:eastAsia="Times New Roman" w:hAnsi="Arial" w:cs="Arial"/>
                <w:b/>
                <w:bCs/>
                <w:color w:val="000000"/>
                <w:sz w:val="13"/>
                <w:szCs w:val="13"/>
                <w:vertAlign w:val="superscript"/>
              </w:rPr>
              <w:t>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25,139 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33,123 </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claims and benefits incurred on insurance contracts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(600)</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(741)</w:t>
            </w:r>
          </w:p>
        </w:tc>
      </w:tr>
      <w:tr w:rsidR="008223EE" w:rsidRPr="008223EE" w:rsidTr="008223EE">
        <w:trPr>
          <w:trHeight w:val="240"/>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net of insurance claims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24,539 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32,382 </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(3,596)</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(3,802)</w:t>
            </w: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Impairment of investment in BlackRock, Inc.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(1,800)</w:t>
            </w:r>
          </w:p>
        </w:tc>
      </w:tr>
      <w:tr w:rsidR="008223EE" w:rsidRPr="008223EE" w:rsidTr="008223EE">
        <w:trPr>
          <w:trHeight w:val="240"/>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20,943 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26,780 </w:t>
            </w: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Staff costs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(10,447)</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(11,407)</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Administration and general expenses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(6,638)</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(6,351)</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Depreciation of property, plant and equipment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(669)</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(673)</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Amortisation of intangible assets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(435)</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(419)</w:t>
            </w: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Bank Levy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(345)</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(325)</w:t>
            </w:r>
          </w:p>
        </w:tc>
      </w:tr>
      <w:tr w:rsidR="008223EE" w:rsidRPr="008223EE" w:rsidTr="008223EE">
        <w:trPr>
          <w:trHeight w:val="555"/>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excluding goodwill impairment and provisions for PPI and interest rate hedging products redress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(18,534)</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(19,175)</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impairment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(597)</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PPI redress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(1,600)</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(1,000)</w:t>
            </w: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interest rate hedging products redress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(850)</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(20,984)</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(20,772)</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Profit/(loss) on disposals of undertakings and share of results of associates and joint ventures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140 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w:t>
            </w:r>
          </w:p>
        </w:tc>
      </w:tr>
      <w:tr w:rsidR="008223EE" w:rsidRPr="008223EE" w:rsidTr="008223EE">
        <w:trPr>
          <w:trHeight w:val="240"/>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before tax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99 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5,974 </w:t>
            </w: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Tax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(483)</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(1,928)</w:t>
            </w:r>
          </w:p>
        </w:tc>
      </w:tr>
      <w:tr w:rsidR="008223EE" w:rsidRPr="008223EE" w:rsidTr="008223EE">
        <w:trPr>
          <w:trHeight w:val="240"/>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(Loss)/Profit after tax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(384)</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4,046 </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Attributable to:</w:t>
            </w:r>
            <w:r w:rsidRPr="008223EE">
              <w:rPr>
                <w:rFonts w:ascii="Arial" w:eastAsia="Times New Roman" w:hAnsi="Arial" w:cs="Arial"/>
                <w:color w:val="000000"/>
                <w:sz w:val="16"/>
                <w:szCs w:val="16"/>
                <w:vertAlign w:val="superscript"/>
              </w:rPr>
              <w:t xml:space="preserve">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Equity holders of the parent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(723)</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3,616 </w:t>
            </w:r>
          </w:p>
        </w:tc>
      </w:tr>
      <w:tr w:rsidR="008223EE" w:rsidRPr="008223EE" w:rsidTr="008223EE">
        <w:trPr>
          <w:trHeight w:val="240"/>
        </w:trPr>
        <w:tc>
          <w:tcPr>
            <w:tcW w:w="57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Non-controlling interest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339 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430 </w:t>
            </w:r>
          </w:p>
        </w:tc>
      </w:tr>
      <w:tr w:rsidR="008223EE" w:rsidRPr="008223EE" w:rsidTr="008223EE">
        <w:trPr>
          <w:trHeight w:val="240"/>
        </w:trPr>
        <w:tc>
          <w:tcPr>
            <w:tcW w:w="5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(Loss)/Profit after tax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(384)</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4,046 </w:t>
            </w:r>
          </w:p>
        </w:tc>
      </w:tr>
      <w:tr w:rsidR="008223EE" w:rsidRPr="008223EE" w:rsidTr="008223EE">
        <w:trPr>
          <w:trHeight w:val="240"/>
        </w:trPr>
        <w:tc>
          <w:tcPr>
            <w:tcW w:w="5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420"/>
        </w:trPr>
        <w:tc>
          <w:tcPr>
            <w:tcW w:w="850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14"/>
                <w:szCs w:val="14"/>
              </w:rPr>
              <w:t>1     For notes specific to Barclays Bank PLC see page 7 and for those that also relate to Barclays PLC see pages 84 to 100 in the Barclays PLC Results Announcement.</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14"/>
                <w:szCs w:val="14"/>
              </w:rPr>
              <w:t> </w:t>
            </w:r>
          </w:p>
        </w:tc>
      </w:tr>
    </w:tbl>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14" w:lineRule="atLeast"/>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805"/>
        <w:gridCol w:w="525"/>
        <w:gridCol w:w="1005"/>
        <w:gridCol w:w="1230"/>
      </w:tblGrid>
      <w:tr w:rsidR="008223EE" w:rsidRPr="008223EE" w:rsidTr="008223EE">
        <w:trPr>
          <w:trHeight w:val="240"/>
        </w:trPr>
        <w:tc>
          <w:tcPr>
            <w:tcW w:w="856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xml:space="preserve">Condensed Consolidated Statement of Comprehensive Income </w:t>
            </w:r>
          </w:p>
        </w:tc>
      </w:tr>
      <w:tr w:rsidR="008223EE" w:rsidRPr="008223EE" w:rsidTr="008223EE">
        <w:trPr>
          <w:trHeight w:val="240"/>
        </w:trPr>
        <w:tc>
          <w:tcPr>
            <w:tcW w:w="5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w:t>
            </w:r>
            <w:r w:rsidRPr="008223EE">
              <w:rPr>
                <w:rFonts w:ascii="Arial" w:eastAsia="Times New Roman" w:hAnsi="Arial" w:cs="Arial"/>
                <w:b/>
                <w:bCs/>
                <w:color w:val="000000"/>
                <w:sz w:val="19"/>
                <w:szCs w:val="19"/>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55"/>
        </w:trPr>
        <w:tc>
          <w:tcPr>
            <w:tcW w:w="5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Year Ended</w:t>
            </w:r>
          </w:p>
        </w:tc>
      </w:tr>
      <w:tr w:rsidR="008223EE" w:rsidRPr="008223EE" w:rsidTr="008223EE">
        <w:trPr>
          <w:trHeight w:val="240"/>
        </w:trPr>
        <w:tc>
          <w:tcPr>
            <w:tcW w:w="5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Continuing Operations</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58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58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16"/>
                <w:szCs w:val="16"/>
              </w:rPr>
              <w:t>(Loss)/Profit after tax</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(384)</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4,046 </w:t>
            </w:r>
          </w:p>
        </w:tc>
      </w:tr>
      <w:tr w:rsidR="008223EE" w:rsidRPr="008223EE" w:rsidTr="008223EE">
        <w:trPr>
          <w:trHeight w:val="240"/>
        </w:trPr>
        <w:tc>
          <w:tcPr>
            <w:tcW w:w="5805" w:type="dxa"/>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58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16"/>
                <w:szCs w:val="16"/>
              </w:rPr>
              <w:t>Other Comprehensive Income that may be recycled to profit or loss:</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8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color w:val="000000"/>
                <w:sz w:val="16"/>
                <w:szCs w:val="16"/>
              </w:rPr>
              <w:t>Currency translation differences</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(1,578)</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(1,607)</w:t>
            </w:r>
          </w:p>
        </w:tc>
      </w:tr>
      <w:tr w:rsidR="008223EE" w:rsidRPr="008223EE" w:rsidTr="008223EE">
        <w:trPr>
          <w:trHeight w:val="240"/>
        </w:trPr>
        <w:tc>
          <w:tcPr>
            <w:tcW w:w="5805" w:type="dxa"/>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color w:val="000000"/>
                <w:sz w:val="16"/>
                <w:szCs w:val="16"/>
              </w:rPr>
              <w:t>Available for sale investments</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700 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1,212 </w:t>
            </w:r>
          </w:p>
        </w:tc>
      </w:tr>
      <w:tr w:rsidR="008223EE" w:rsidRPr="008223EE" w:rsidTr="008223EE">
        <w:trPr>
          <w:trHeight w:val="240"/>
        </w:trPr>
        <w:tc>
          <w:tcPr>
            <w:tcW w:w="5805" w:type="dxa"/>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color w:val="000000"/>
                <w:sz w:val="16"/>
                <w:szCs w:val="16"/>
              </w:rPr>
              <w:t>Cash flow hedges</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662 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1,263 </w:t>
            </w:r>
          </w:p>
        </w:tc>
      </w:tr>
      <w:tr w:rsidR="008223EE" w:rsidRPr="008223EE" w:rsidTr="008223EE">
        <w:trPr>
          <w:trHeight w:val="240"/>
        </w:trPr>
        <w:tc>
          <w:tcPr>
            <w:tcW w:w="58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color w:val="000000"/>
                <w:sz w:val="16"/>
                <w:szCs w:val="16"/>
              </w:rPr>
              <w:t>Other</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w:t>
            </w:r>
          </w:p>
        </w:tc>
      </w:tr>
      <w:tr w:rsidR="008223EE" w:rsidRPr="008223EE" w:rsidTr="008223EE">
        <w:trPr>
          <w:trHeight w:val="240"/>
        </w:trPr>
        <w:tc>
          <w:tcPr>
            <w:tcW w:w="58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Other comprehensive income for the year</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(121)</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794 </w:t>
            </w:r>
          </w:p>
        </w:tc>
      </w:tr>
      <w:tr w:rsidR="008223EE" w:rsidRPr="008223EE" w:rsidTr="008223EE">
        <w:trPr>
          <w:trHeight w:val="255"/>
        </w:trPr>
        <w:tc>
          <w:tcPr>
            <w:tcW w:w="58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8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16"/>
                <w:szCs w:val="16"/>
              </w:rPr>
              <w:t>Total comprehensive income for the year</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(505)</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4,840 </w:t>
            </w:r>
          </w:p>
        </w:tc>
      </w:tr>
      <w:tr w:rsidR="008223EE" w:rsidRPr="008223EE" w:rsidTr="008223EE">
        <w:trPr>
          <w:trHeight w:val="240"/>
        </w:trPr>
        <w:tc>
          <w:tcPr>
            <w:tcW w:w="5805" w:type="dxa"/>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58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Attributable to:</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58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color w:val="000000"/>
                <w:sz w:val="16"/>
                <w:szCs w:val="16"/>
              </w:rPr>
              <w:t>Equity holders of the parent</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(635)</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5,041 </w:t>
            </w:r>
          </w:p>
        </w:tc>
      </w:tr>
      <w:tr w:rsidR="008223EE" w:rsidRPr="008223EE" w:rsidTr="008223EE">
        <w:trPr>
          <w:trHeight w:val="240"/>
        </w:trPr>
        <w:tc>
          <w:tcPr>
            <w:tcW w:w="58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color w:val="000000"/>
                <w:sz w:val="16"/>
                <w:szCs w:val="16"/>
              </w:rPr>
              <w:t>Non-controlling interests</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130 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(201)</w:t>
            </w:r>
          </w:p>
        </w:tc>
      </w:tr>
      <w:tr w:rsidR="008223EE" w:rsidRPr="008223EE" w:rsidTr="008223EE">
        <w:trPr>
          <w:trHeight w:val="240"/>
        </w:trPr>
        <w:tc>
          <w:tcPr>
            <w:tcW w:w="58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color w:val="000000"/>
                <w:sz w:val="16"/>
                <w:szCs w:val="16"/>
              </w:rPr>
              <w:t>Total comprehensive income for the year</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(505)</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4,840 </w:t>
            </w:r>
          </w:p>
        </w:tc>
      </w:tr>
      <w:tr w:rsidR="008223EE" w:rsidRPr="008223EE" w:rsidTr="008223EE">
        <w:trPr>
          <w:trHeight w:val="240"/>
        </w:trPr>
        <w:tc>
          <w:tcPr>
            <w:tcW w:w="5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8565" w:type="dxa"/>
            <w:gridSpan w:val="4"/>
            <w:tcMar>
              <w:top w:w="0" w:type="dxa"/>
              <w:left w:w="36" w:type="dxa"/>
              <w:bottom w:w="0" w:type="dxa"/>
              <w:right w:w="36" w:type="dxa"/>
            </w:tcMar>
            <w:hideMark/>
          </w:tcPr>
          <w:p w:rsidR="008223EE" w:rsidRPr="008223EE" w:rsidRDefault="008223EE" w:rsidP="008223EE">
            <w:pPr>
              <w:spacing w:after="0" w:line="240" w:lineRule="auto"/>
              <w:jc w:val="both"/>
              <w:rPr>
                <w:rFonts w:ascii="Arial" w:eastAsia="Times New Roman" w:hAnsi="Arial" w:cs="Arial"/>
                <w:i/>
                <w:iCs/>
                <w:sz w:val="2"/>
                <w:szCs w:val="2"/>
              </w:rPr>
            </w:pPr>
          </w:p>
        </w:tc>
      </w:tr>
    </w:tbl>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line="14" w:lineRule="atLeast"/>
        <w:rPr>
          <w:rFonts w:ascii="Arial" w:eastAsia="Times New Roman" w:hAnsi="Arial" w:cs="Arial"/>
          <w:sz w:val="2"/>
          <w:szCs w:val="2"/>
        </w:rPr>
      </w:pPr>
      <w:r w:rsidRPr="008223EE">
        <w:rPr>
          <w:rFonts w:ascii="Arial" w:eastAsia="Times New Roman" w:hAnsi="Arial" w:cs="Arial"/>
          <w:color w:val="000000"/>
          <w:sz w:val="2"/>
          <w:szCs w:val="2"/>
        </w:rPr>
        <w:t> </w:t>
      </w:r>
    </w:p>
    <w:tbl>
      <w:tblPr>
        <w:tblW w:w="0" w:type="auto"/>
        <w:tblInd w:w="-36" w:type="dxa"/>
        <w:tblCellMar>
          <w:left w:w="0" w:type="dxa"/>
          <w:right w:w="0" w:type="dxa"/>
        </w:tblCellMar>
        <w:tblLook w:val="04A0" w:firstRow="1" w:lastRow="0" w:firstColumn="1" w:lastColumn="0" w:noHBand="0" w:noVBand="1"/>
      </w:tblPr>
      <w:tblGrid>
        <w:gridCol w:w="5790"/>
        <w:gridCol w:w="585"/>
        <w:gridCol w:w="1005"/>
        <w:gridCol w:w="1230"/>
      </w:tblGrid>
      <w:tr w:rsidR="008223EE" w:rsidRPr="008223EE" w:rsidTr="008223EE">
        <w:trPr>
          <w:trHeight w:val="315"/>
        </w:trPr>
        <w:tc>
          <w:tcPr>
            <w:tcW w:w="8610"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Condensed Consolidated Balance Sheet</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57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Assets </w:t>
            </w:r>
          </w:p>
        </w:tc>
        <w:tc>
          <w:tcPr>
            <w:tcW w:w="5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Notes</w:t>
            </w:r>
            <w:r w:rsidRPr="008223EE">
              <w:rPr>
                <w:rFonts w:ascii="Arial" w:eastAsia="Times New Roman" w:hAnsi="Arial" w:cs="Arial"/>
                <w:color w:val="000000"/>
                <w:sz w:val="13"/>
                <w:szCs w:val="13"/>
                <w:vertAlign w:val="superscript"/>
              </w:rPr>
              <w:t>1 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57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Cash and balances at central banks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86,175 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106,894 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Items in the course of collection from other banks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1,456 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1,812 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Trading portfolio assets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145,030 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152,183 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Financial assets designated at fair value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46,061 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36,949 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Derivative financial instruments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469,146 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538,964 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banks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40,898 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46,792 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425,729 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431,934 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Reverse repurchase agreements and other similar secured lending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176,956 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153,665 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Available for sale financial investments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75,133 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69,023 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Current and deferred tax assets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3,264 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3,384 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Prepayments, accrued income and other assets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4,357 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4,560 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Investments in associates and joint ventures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570 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427 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and intangible assets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7,915 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7,846 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Property, plant and equipment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5,754 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7,166 </w:t>
            </w:r>
          </w:p>
        </w:tc>
      </w:tr>
      <w:tr w:rsidR="008223EE" w:rsidRPr="008223EE" w:rsidTr="008223EE">
        <w:trPr>
          <w:trHeight w:val="240"/>
        </w:trPr>
        <w:tc>
          <w:tcPr>
            <w:tcW w:w="57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Retirement benefit assets </w:t>
            </w:r>
          </w:p>
        </w:tc>
        <w:tc>
          <w:tcPr>
            <w:tcW w:w="5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2,303 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1,803 </w:t>
            </w:r>
          </w:p>
        </w:tc>
      </w:tr>
      <w:tr w:rsidR="008223EE" w:rsidRPr="008223EE" w:rsidTr="008223EE">
        <w:trPr>
          <w:trHeight w:val="240"/>
        </w:trPr>
        <w:tc>
          <w:tcPr>
            <w:tcW w:w="57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assets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1,490,747 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1,563,402 </w:t>
            </w:r>
          </w:p>
        </w:tc>
      </w:tr>
      <w:tr w:rsidR="008223EE" w:rsidRPr="008223EE" w:rsidTr="008223EE">
        <w:trPr>
          <w:trHeight w:val="240"/>
        </w:trPr>
        <w:tc>
          <w:tcPr>
            <w:tcW w:w="57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Liabilities </w:t>
            </w:r>
          </w:p>
        </w:tc>
        <w:tc>
          <w:tcPr>
            <w:tcW w:w="5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7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Deposits from banks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77,010 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91,116 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Items in the course of collection due to other banks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1,573 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969 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accounts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385,796 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366,045 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Repurchase agreements and other similar secured borrowing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217,342 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207,292 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Trading portfolio liabilities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44,794 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45,887 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Financial liabilities designated at fair value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78,280 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87,997 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Derivative financial instruments </w:t>
            </w:r>
            <w:r w:rsidRPr="008223EE">
              <w:rPr>
                <w:rFonts w:ascii="Arial" w:eastAsia="Times New Roman" w:hAnsi="Arial" w:cs="Arial"/>
                <w:color w:val="000000"/>
                <w:sz w:val="13"/>
                <w:szCs w:val="13"/>
                <w:vertAlign w:val="superscript"/>
              </w:rPr>
              <w:t>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462,468 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527,798 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Debt securities in issue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119,581 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129,736 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Accruals, deferred income and other liabilities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12,232 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12,580 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Current and deferred tax liabilities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1,336 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2,092 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Subordinated liabilities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24,422 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24,870 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Provisions </w:t>
            </w:r>
            <w:r w:rsidRPr="008223EE">
              <w:rPr>
                <w:rFonts w:ascii="Arial" w:eastAsia="Times New Roman" w:hAnsi="Arial" w:cs="Arial"/>
                <w:color w:val="000000"/>
                <w:sz w:val="13"/>
                <w:szCs w:val="13"/>
                <w:vertAlign w:val="superscript"/>
              </w:rPr>
              <w:t>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2,766 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1,529 </w:t>
            </w:r>
          </w:p>
        </w:tc>
      </w:tr>
      <w:tr w:rsidR="008223EE" w:rsidRPr="008223EE" w:rsidTr="008223EE">
        <w:trPr>
          <w:trHeight w:val="240"/>
        </w:trPr>
        <w:tc>
          <w:tcPr>
            <w:tcW w:w="57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Retirement benefit liabilities </w:t>
            </w:r>
          </w:p>
        </w:tc>
        <w:tc>
          <w:tcPr>
            <w:tcW w:w="5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253 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321 </w:t>
            </w:r>
          </w:p>
        </w:tc>
      </w:tr>
      <w:tr w:rsidR="008223EE" w:rsidRPr="008223EE" w:rsidTr="008223EE">
        <w:trPr>
          <w:trHeight w:val="240"/>
        </w:trPr>
        <w:tc>
          <w:tcPr>
            <w:tcW w:w="57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liabilities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1,427,853 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1,498,232 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7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8"/>
                <w:szCs w:val="18"/>
              </w:rPr>
              <w:t>Shareholders' Equity</w:t>
            </w:r>
            <w:r w:rsidRPr="008223EE">
              <w:rPr>
                <w:rFonts w:ascii="Arial" w:eastAsia="Times New Roman" w:hAnsi="Arial" w:cs="Arial"/>
                <w:b/>
                <w:bCs/>
                <w:color w:val="000000"/>
                <w:sz w:val="20"/>
                <w:szCs w:val="20"/>
                <w:vertAlign w:val="superscript"/>
              </w:rPr>
              <w:t xml:space="preserve"> </w:t>
            </w:r>
          </w:p>
        </w:tc>
        <w:tc>
          <w:tcPr>
            <w:tcW w:w="5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7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Shareholders' equity excluding non-controlling interests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60,038 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62,078 </w:t>
            </w:r>
          </w:p>
        </w:tc>
      </w:tr>
      <w:tr w:rsidR="008223EE" w:rsidRPr="008223EE" w:rsidTr="008223EE">
        <w:trPr>
          <w:trHeight w:val="240"/>
        </w:trPr>
        <w:tc>
          <w:tcPr>
            <w:tcW w:w="57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Non-controlling interests </w:t>
            </w:r>
          </w:p>
        </w:tc>
        <w:tc>
          <w:tcPr>
            <w:tcW w:w="5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2,856 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3,092 </w:t>
            </w:r>
          </w:p>
        </w:tc>
      </w:tr>
      <w:tr w:rsidR="008223EE" w:rsidRPr="008223EE" w:rsidTr="008223EE">
        <w:trPr>
          <w:trHeight w:val="240"/>
        </w:trPr>
        <w:tc>
          <w:tcPr>
            <w:tcW w:w="57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shareholders' equity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62,894 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65,170 </w:t>
            </w:r>
          </w:p>
        </w:tc>
      </w:tr>
      <w:tr w:rsidR="008223EE" w:rsidRPr="008223EE" w:rsidTr="008223EE">
        <w:trPr>
          <w:trHeight w:val="240"/>
        </w:trPr>
        <w:tc>
          <w:tcPr>
            <w:tcW w:w="57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7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liabilities and shareholders' equity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1,490,747 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1,563,402 </w:t>
            </w:r>
          </w:p>
        </w:tc>
      </w:tr>
      <w:tr w:rsidR="008223EE" w:rsidRPr="008223EE" w:rsidTr="008223EE">
        <w:trPr>
          <w:trHeight w:val="240"/>
        </w:trPr>
        <w:tc>
          <w:tcPr>
            <w:tcW w:w="57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405"/>
        </w:trPr>
        <w:tc>
          <w:tcPr>
            <w:tcW w:w="8610"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14"/>
                <w:szCs w:val="14"/>
              </w:rPr>
              <w:t xml:space="preserve">1     For notes specific to Barclays Bank PLC see page 7 and for those that also relate to Barclays PLC see pages 84 to 100 in the Barclays PLC Results Announcement.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sz w:val="2"/>
                <w:szCs w:val="2"/>
              </w:rPr>
              <w:t> </w:t>
            </w:r>
          </w:p>
        </w:tc>
      </w:tr>
    </w:tbl>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14" w:lineRule="atLeast"/>
        <w:rPr>
          <w:rFonts w:ascii="Arial" w:eastAsia="Times New Roman" w:hAnsi="Arial" w:cs="Arial"/>
          <w:sz w:val="2"/>
          <w:szCs w:val="2"/>
        </w:rPr>
      </w:pPr>
      <w:r w:rsidRPr="008223EE">
        <w:rPr>
          <w:rFonts w:ascii="Arial" w:eastAsia="Times New Roman" w:hAnsi="Arial" w:cs="Arial"/>
          <w:color w:val="000000"/>
          <w:sz w:val="2"/>
          <w:szCs w:val="2"/>
        </w:rPr>
        <w:t> </w:t>
      </w:r>
    </w:p>
    <w:tbl>
      <w:tblPr>
        <w:tblW w:w="9735" w:type="dxa"/>
        <w:tblInd w:w="-36" w:type="dxa"/>
        <w:tblCellMar>
          <w:left w:w="0" w:type="dxa"/>
          <w:right w:w="0" w:type="dxa"/>
        </w:tblCellMar>
        <w:tblLook w:val="04A0" w:firstRow="1" w:lastRow="0" w:firstColumn="1" w:lastColumn="0" w:noHBand="0" w:noVBand="1"/>
      </w:tblPr>
      <w:tblGrid>
        <w:gridCol w:w="4116"/>
        <w:gridCol w:w="1141"/>
        <w:gridCol w:w="785"/>
        <w:gridCol w:w="931"/>
        <w:gridCol w:w="781"/>
        <w:gridCol w:w="900"/>
        <w:gridCol w:w="1081"/>
      </w:tblGrid>
      <w:tr w:rsidR="008223EE" w:rsidRPr="008223EE" w:rsidTr="008223EE">
        <w:trPr>
          <w:trHeight w:val="315"/>
        </w:trPr>
        <w:tc>
          <w:tcPr>
            <w:tcW w:w="9660" w:type="dxa"/>
            <w:gridSpan w:val="7"/>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lastRenderedPageBreak/>
              <w:t>Condensed Consolidated Statement of Changes in Equity</w:t>
            </w:r>
          </w:p>
        </w:tc>
      </w:tr>
      <w:tr w:rsidR="008223EE" w:rsidRPr="008223EE" w:rsidTr="008223EE">
        <w:trPr>
          <w:trHeight w:val="240"/>
        </w:trPr>
        <w:tc>
          <w:tcPr>
            <w:tcW w:w="411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1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76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color w:val="000000"/>
                <w:sz w:val="16"/>
                <w:szCs w:val="16"/>
                <w:vertAlign w:val="superscript"/>
              </w:rPr>
              <w:t> </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20"/>
                <w:szCs w:val="20"/>
                <w:vertAlign w:val="superscript"/>
              </w:rPr>
              <w:t> </w:t>
            </w: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1020"/>
        </w:trPr>
        <w:tc>
          <w:tcPr>
            <w:tcW w:w="411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1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Called up Share Capital and Share Premium</w:t>
            </w:r>
            <w:r w:rsidRPr="008223EE">
              <w:rPr>
                <w:rFonts w:ascii="Arial" w:eastAsia="Times New Roman" w:hAnsi="Arial" w:cs="Arial"/>
                <w:b/>
                <w:bCs/>
                <w:color w:val="000000"/>
                <w:sz w:val="13"/>
                <w:szCs w:val="13"/>
                <w:vertAlign w:val="superscript"/>
              </w:rPr>
              <w:t>1 </w:t>
            </w:r>
          </w:p>
        </w:tc>
        <w:tc>
          <w:tcPr>
            <w:tcW w:w="76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Other Reserves </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Retained Earnings</w:t>
            </w:r>
          </w:p>
        </w:tc>
        <w:tc>
          <w:tcPr>
            <w:tcW w:w="7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Non-controlling Interests</w:t>
            </w:r>
            <w:r w:rsidRPr="008223EE">
              <w:rPr>
                <w:rFonts w:ascii="Arial" w:eastAsia="Times New Roman" w:hAnsi="Arial" w:cs="Arial"/>
                <w:b/>
                <w:bCs/>
                <w:color w:val="000000"/>
                <w:sz w:val="13"/>
                <w:szCs w:val="13"/>
                <w:vertAlign w:val="superscript"/>
              </w:rPr>
              <w:t>1 </w:t>
            </w: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Equity</w:t>
            </w:r>
          </w:p>
        </w:tc>
      </w:tr>
      <w:tr w:rsidR="008223EE" w:rsidRPr="008223EE" w:rsidTr="008223EE">
        <w:trPr>
          <w:trHeight w:val="240"/>
        </w:trPr>
        <w:tc>
          <w:tcPr>
            <w:tcW w:w="411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14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6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0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78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Balance at 1 January 2012</w:t>
            </w:r>
          </w:p>
        </w:tc>
        <w:tc>
          <w:tcPr>
            <w:tcW w:w="11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14,494  </w:t>
            </w:r>
          </w:p>
        </w:tc>
        <w:tc>
          <w:tcPr>
            <w:tcW w:w="7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3,308  </w:t>
            </w:r>
          </w:p>
        </w:tc>
        <w:tc>
          <w:tcPr>
            <w:tcW w:w="7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44,276 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62,078 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3,092 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65,170 </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(Loss)/Profit after tax</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(723)</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(723)</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339 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(384)</w:t>
            </w:r>
          </w:p>
        </w:tc>
      </w:tr>
      <w:tr w:rsidR="008223EE" w:rsidRPr="008223EE" w:rsidTr="008223EE">
        <w:trPr>
          <w:trHeight w:val="255"/>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Other comprehensive income net of tax:</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Currency translation movements</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(1,319)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(1,319)</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(259)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(1,578)</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Available for sale investments</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656 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656 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44 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700 </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flow hedges</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657 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657 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662 </w:t>
            </w:r>
          </w:p>
        </w:tc>
      </w:tr>
      <w:tr w:rsidR="008223EE" w:rsidRPr="008223EE" w:rsidTr="008223EE">
        <w:trPr>
          <w:trHeight w:val="240"/>
        </w:trPr>
        <w:tc>
          <w:tcPr>
            <w:tcW w:w="411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114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c>
          <w:tcPr>
            <w:tcW w:w="70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93 </w:t>
            </w:r>
          </w:p>
        </w:tc>
        <w:tc>
          <w:tcPr>
            <w:tcW w:w="78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94 </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95 </w:t>
            </w:r>
          </w:p>
        </w:tc>
      </w:tr>
      <w:tr w:rsidR="008223EE" w:rsidRPr="008223EE" w:rsidTr="008223EE">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comprehensive income for the year</w:t>
            </w:r>
          </w:p>
        </w:tc>
        <w:tc>
          <w:tcPr>
            <w:tcW w:w="11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w:t>
            </w:r>
          </w:p>
        </w:tc>
        <w:tc>
          <w:tcPr>
            <w:tcW w:w="7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 </w:t>
            </w:r>
          </w:p>
        </w:tc>
        <w:tc>
          <w:tcPr>
            <w:tcW w:w="7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(630)</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(635)</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130 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(505)</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Equity settled share schemes</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717 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717 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717 </w:t>
            </w:r>
          </w:p>
        </w:tc>
      </w:tr>
      <w:tr w:rsidR="008223EE" w:rsidRPr="008223EE" w:rsidTr="008223EE">
        <w:trPr>
          <w:trHeight w:val="540"/>
        </w:trPr>
        <w:tc>
          <w:tcPr>
            <w:tcW w:w="4110" w:type="dxa"/>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Vesting of Barclays PLC shares under share-based payment schemes</w:t>
            </w:r>
          </w:p>
        </w:tc>
        <w:tc>
          <w:tcPr>
            <w:tcW w:w="114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0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(946)</w:t>
            </w:r>
          </w:p>
        </w:tc>
        <w:tc>
          <w:tcPr>
            <w:tcW w:w="78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(946)</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(946)</w:t>
            </w:r>
          </w:p>
        </w:tc>
      </w:tr>
      <w:tr w:rsidR="008223EE" w:rsidRPr="008223EE" w:rsidTr="008223EE">
        <w:trPr>
          <w:trHeight w:val="240"/>
        </w:trPr>
        <w:tc>
          <w:tcPr>
            <w:tcW w:w="4110" w:type="dxa"/>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Dividends on ordinary shares</w:t>
            </w:r>
            <w:r w:rsidRPr="008223EE">
              <w:rPr>
                <w:rFonts w:ascii="Arial" w:eastAsia="Times New Roman" w:hAnsi="Arial" w:cs="Arial"/>
                <w:color w:val="000000"/>
                <w:sz w:val="13"/>
                <w:szCs w:val="13"/>
                <w:vertAlign w:val="superscript"/>
              </w:rPr>
              <w:t>1</w:t>
            </w:r>
          </w:p>
        </w:tc>
        <w:tc>
          <w:tcPr>
            <w:tcW w:w="114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0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(696)</w:t>
            </w:r>
          </w:p>
        </w:tc>
        <w:tc>
          <w:tcPr>
            <w:tcW w:w="78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(696)</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(229) </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(925)</w:t>
            </w:r>
          </w:p>
        </w:tc>
      </w:tr>
      <w:tr w:rsidR="008223EE" w:rsidRPr="008223EE" w:rsidTr="008223EE">
        <w:trPr>
          <w:trHeight w:val="525"/>
        </w:trPr>
        <w:tc>
          <w:tcPr>
            <w:tcW w:w="4110" w:type="dxa"/>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Dividends on preference shares and other shareholders' equity</w:t>
            </w:r>
          </w:p>
        </w:tc>
        <w:tc>
          <w:tcPr>
            <w:tcW w:w="114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0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(465)</w:t>
            </w:r>
          </w:p>
        </w:tc>
        <w:tc>
          <w:tcPr>
            <w:tcW w:w="78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(465)</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(465)</w:t>
            </w:r>
          </w:p>
        </w:tc>
      </w:tr>
      <w:tr w:rsidR="008223EE" w:rsidRPr="008223EE" w:rsidTr="008223EE">
        <w:trPr>
          <w:trHeight w:val="240"/>
        </w:trPr>
        <w:tc>
          <w:tcPr>
            <w:tcW w:w="411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reserve movements</w:t>
            </w:r>
          </w:p>
        </w:tc>
        <w:tc>
          <w:tcPr>
            <w:tcW w:w="114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 </w:t>
            </w:r>
          </w:p>
        </w:tc>
        <w:tc>
          <w:tcPr>
            <w:tcW w:w="70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w:t>
            </w:r>
          </w:p>
        </w:tc>
        <w:tc>
          <w:tcPr>
            <w:tcW w:w="78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(137) </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w:t>
            </w:r>
          </w:p>
        </w:tc>
      </w:tr>
      <w:tr w:rsidR="008223EE" w:rsidRPr="008223EE" w:rsidTr="008223EE">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Balance at 31 December 2012</w:t>
            </w:r>
          </w:p>
        </w:tc>
        <w:tc>
          <w:tcPr>
            <w:tcW w:w="11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14,494  </w:t>
            </w:r>
          </w:p>
        </w:tc>
        <w:tc>
          <w:tcPr>
            <w:tcW w:w="7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3,299  </w:t>
            </w:r>
          </w:p>
        </w:tc>
        <w:tc>
          <w:tcPr>
            <w:tcW w:w="7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42,245 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60,038 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2,856 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62,894 </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11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14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6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0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8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Balance at 1 January 2011</w:t>
            </w:r>
          </w:p>
        </w:tc>
        <w:tc>
          <w:tcPr>
            <w:tcW w:w="11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14,494  </w:t>
            </w:r>
          </w:p>
        </w:tc>
        <w:tc>
          <w:tcPr>
            <w:tcW w:w="7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3,230  </w:t>
            </w:r>
          </w:p>
        </w:tc>
        <w:tc>
          <w:tcPr>
            <w:tcW w:w="7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41,450 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59,174 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3,467 </w:t>
            </w:r>
            <w:r w:rsidRPr="008223EE">
              <w:rPr>
                <w:rFonts w:ascii="Arial" w:eastAsia="Times New Roman" w:hAnsi="Arial" w:cs="Arial"/>
                <w:color w:val="000000"/>
                <w:sz w:val="16"/>
                <w:szCs w:val="16"/>
                <w:vertAlign w:val="superscript"/>
              </w:rPr>
              <w:t xml:space="preserve">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62,641 </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Profit after tax</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3,616 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3,616 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430 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4,046 </w:t>
            </w:r>
          </w:p>
        </w:tc>
      </w:tr>
      <w:tr w:rsidR="008223EE" w:rsidRPr="008223EE" w:rsidTr="008223EE">
        <w:trPr>
          <w:trHeight w:val="255"/>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Other comprehensive income net of tax:</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Currency translation movements</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(1,009)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(1,009)</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(598)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(1,607)</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Available for sale investments</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1,218 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1,218 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1,212 </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flow hedges</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1,290 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1,290 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(27)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1,263 </w:t>
            </w:r>
          </w:p>
        </w:tc>
      </w:tr>
      <w:tr w:rsidR="008223EE" w:rsidRPr="008223EE" w:rsidTr="008223EE">
        <w:trPr>
          <w:trHeight w:val="240"/>
        </w:trPr>
        <w:tc>
          <w:tcPr>
            <w:tcW w:w="411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114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18  </w:t>
            </w:r>
          </w:p>
        </w:tc>
        <w:tc>
          <w:tcPr>
            <w:tcW w:w="70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w:t>
            </w:r>
          </w:p>
        </w:tc>
        <w:tc>
          <w:tcPr>
            <w:tcW w:w="78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w:t>
            </w:r>
          </w:p>
        </w:tc>
      </w:tr>
      <w:tr w:rsidR="008223EE" w:rsidRPr="008223EE" w:rsidTr="008223EE">
        <w:trPr>
          <w:trHeight w:val="255"/>
        </w:trPr>
        <w:tc>
          <w:tcPr>
            <w:tcW w:w="41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comprehensive income for the year</w:t>
            </w:r>
          </w:p>
        </w:tc>
        <w:tc>
          <w:tcPr>
            <w:tcW w:w="11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w:t>
            </w:r>
          </w:p>
        </w:tc>
        <w:tc>
          <w:tcPr>
            <w:tcW w:w="7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1,517  </w:t>
            </w:r>
          </w:p>
        </w:tc>
        <w:tc>
          <w:tcPr>
            <w:tcW w:w="7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3,524 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5,041 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(201)</w:t>
            </w:r>
            <w:r w:rsidRPr="008223EE">
              <w:rPr>
                <w:rFonts w:ascii="Arial" w:eastAsia="Times New Roman" w:hAnsi="Arial" w:cs="Arial"/>
                <w:color w:val="000000"/>
                <w:sz w:val="16"/>
                <w:szCs w:val="16"/>
                <w:vertAlign w:val="superscript"/>
              </w:rPr>
              <w:t xml:space="preserve">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4,840 </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Equity settled share schemes</w:t>
            </w:r>
          </w:p>
        </w:tc>
        <w:tc>
          <w:tcPr>
            <w:tcW w:w="114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0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838 </w:t>
            </w:r>
          </w:p>
        </w:tc>
        <w:tc>
          <w:tcPr>
            <w:tcW w:w="78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838 </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838 </w:t>
            </w:r>
          </w:p>
        </w:tc>
      </w:tr>
      <w:tr w:rsidR="008223EE" w:rsidRPr="008223EE" w:rsidTr="008223EE">
        <w:trPr>
          <w:trHeight w:val="495"/>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Vesting of Barclays PLC shares under share-based payment schemes</w:t>
            </w:r>
          </w:p>
        </w:tc>
        <w:tc>
          <w:tcPr>
            <w:tcW w:w="114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0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(499)</w:t>
            </w:r>
          </w:p>
        </w:tc>
        <w:tc>
          <w:tcPr>
            <w:tcW w:w="78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(499)</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(499)</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Dividends on ordinary shares</w:t>
            </w:r>
          </w:p>
        </w:tc>
        <w:tc>
          <w:tcPr>
            <w:tcW w:w="114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0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(643)</w:t>
            </w:r>
          </w:p>
        </w:tc>
        <w:tc>
          <w:tcPr>
            <w:tcW w:w="78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(643)</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(188) </w:t>
            </w:r>
          </w:p>
        </w:tc>
        <w:tc>
          <w:tcPr>
            <w:tcW w:w="85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(831)</w:t>
            </w:r>
          </w:p>
        </w:tc>
      </w:tr>
      <w:tr w:rsidR="008223EE" w:rsidRPr="008223EE" w:rsidTr="008223EE">
        <w:trPr>
          <w:trHeight w:val="57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Dividends on preference shares and other shareholders' equity</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(539)</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(539)</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(539)</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Redemption of Reserve Capital Instruments</w:t>
            </w: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(1,415)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(1,415)</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xml:space="preserve">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(1,415)</w:t>
            </w:r>
          </w:p>
        </w:tc>
      </w:tr>
      <w:tr w:rsidR="008223EE" w:rsidRPr="008223EE" w:rsidTr="008223EE">
        <w:trPr>
          <w:trHeight w:val="240"/>
        </w:trPr>
        <w:tc>
          <w:tcPr>
            <w:tcW w:w="411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reserve movements</w:t>
            </w:r>
          </w:p>
        </w:tc>
        <w:tc>
          <w:tcPr>
            <w:tcW w:w="114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6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(24) </w:t>
            </w:r>
          </w:p>
        </w:tc>
        <w:tc>
          <w:tcPr>
            <w:tcW w:w="70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145 </w:t>
            </w:r>
          </w:p>
        </w:tc>
        <w:tc>
          <w:tcPr>
            <w:tcW w:w="78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121 </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14  </w:t>
            </w:r>
          </w:p>
        </w:tc>
        <w:tc>
          <w:tcPr>
            <w:tcW w:w="855"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135 </w:t>
            </w:r>
          </w:p>
        </w:tc>
      </w:tr>
      <w:tr w:rsidR="008223EE" w:rsidRPr="008223EE" w:rsidTr="008223EE">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Balance at 31 December 2011</w:t>
            </w:r>
          </w:p>
        </w:tc>
        <w:tc>
          <w:tcPr>
            <w:tcW w:w="11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14,494  </w:t>
            </w:r>
          </w:p>
        </w:tc>
        <w:tc>
          <w:tcPr>
            <w:tcW w:w="7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3,308  </w:t>
            </w:r>
          </w:p>
        </w:tc>
        <w:tc>
          <w:tcPr>
            <w:tcW w:w="7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44,276 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62,078 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3,092 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65,170 </w:t>
            </w:r>
          </w:p>
        </w:tc>
      </w:tr>
      <w:tr w:rsidR="008223EE" w:rsidRPr="008223EE" w:rsidTr="008223EE">
        <w:trPr>
          <w:trHeight w:val="240"/>
        </w:trPr>
        <w:tc>
          <w:tcPr>
            <w:tcW w:w="41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1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345"/>
        </w:trPr>
        <w:tc>
          <w:tcPr>
            <w:tcW w:w="694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14"/>
                <w:szCs w:val="14"/>
              </w:rPr>
              <w:t>1     Details of share capital and non-controlling interests are shown on page 7.</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bl>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14" w:lineRule="atLeast"/>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6330"/>
        <w:gridCol w:w="1080"/>
        <w:gridCol w:w="1005"/>
      </w:tblGrid>
      <w:tr w:rsidR="008223EE" w:rsidRPr="008223EE" w:rsidTr="008223EE">
        <w:trPr>
          <w:trHeight w:val="315"/>
        </w:trPr>
        <w:tc>
          <w:tcPr>
            <w:tcW w:w="7410"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Condensed Consolidated Cash Flow Statement</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55"/>
        </w:trPr>
        <w:tc>
          <w:tcPr>
            <w:tcW w:w="63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r>
      <w:tr w:rsidR="008223EE" w:rsidRPr="008223EE" w:rsidTr="008223EE">
        <w:trPr>
          <w:trHeight w:val="240"/>
        </w:trPr>
        <w:tc>
          <w:tcPr>
            <w:tcW w:w="63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Continuing Operations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63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63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Profit before tax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5,974 </w:t>
            </w:r>
          </w:p>
        </w:tc>
      </w:tr>
      <w:tr w:rsidR="008223EE" w:rsidRPr="008223EE" w:rsidTr="008223EE">
        <w:trPr>
          <w:trHeight w:val="240"/>
        </w:trPr>
        <w:tc>
          <w:tcPr>
            <w:tcW w:w="63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Adjustment for non-cash items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12,266 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7,280 </w:t>
            </w:r>
          </w:p>
        </w:tc>
      </w:tr>
      <w:tr w:rsidR="008223EE" w:rsidRPr="008223EE" w:rsidTr="008223EE">
        <w:trPr>
          <w:trHeight w:val="240"/>
        </w:trPr>
        <w:tc>
          <w:tcPr>
            <w:tcW w:w="63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Changes in operating assets and liabilities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(25,863)</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17,300 </w:t>
            </w:r>
          </w:p>
        </w:tc>
      </w:tr>
      <w:tr w:rsidR="008223EE" w:rsidRPr="008223EE" w:rsidTr="008223EE">
        <w:trPr>
          <w:trHeight w:val="240"/>
        </w:trPr>
        <w:tc>
          <w:tcPr>
            <w:tcW w:w="63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income tax paid</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(1,516)</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(1,686)</w:t>
            </w:r>
          </w:p>
        </w:tc>
      </w:tr>
      <w:tr w:rsidR="008223EE" w:rsidRPr="008223EE" w:rsidTr="008223EE">
        <w:trPr>
          <w:trHeight w:val="240"/>
        </w:trPr>
        <w:tc>
          <w:tcPr>
            <w:tcW w:w="63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Net cash from operating activities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(15,014)</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28,868 </w:t>
            </w:r>
          </w:p>
        </w:tc>
      </w:tr>
      <w:tr w:rsidR="008223EE" w:rsidRPr="008223EE" w:rsidTr="008223EE">
        <w:trPr>
          <w:trHeight w:val="240"/>
        </w:trPr>
        <w:tc>
          <w:tcPr>
            <w:tcW w:w="63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Net cash from investing activities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(6,720)</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(1,912)</w:t>
            </w:r>
          </w:p>
        </w:tc>
      </w:tr>
      <w:tr w:rsidR="008223EE" w:rsidRPr="008223EE" w:rsidTr="008223EE">
        <w:trPr>
          <w:trHeight w:val="240"/>
        </w:trPr>
        <w:tc>
          <w:tcPr>
            <w:tcW w:w="63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Net cash from financing activities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(1,923)</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(5,750)</w:t>
            </w:r>
          </w:p>
        </w:tc>
      </w:tr>
      <w:tr w:rsidR="008223EE" w:rsidRPr="008223EE" w:rsidTr="008223EE">
        <w:trPr>
          <w:trHeight w:val="240"/>
        </w:trPr>
        <w:tc>
          <w:tcPr>
            <w:tcW w:w="63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Effect of exchange rates on cash and cash equivalents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(4,109)</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(2,933)</w:t>
            </w:r>
          </w:p>
        </w:tc>
      </w:tr>
      <w:tr w:rsidR="008223EE" w:rsidRPr="008223EE" w:rsidTr="008223EE">
        <w:trPr>
          <w:trHeight w:val="240"/>
        </w:trPr>
        <w:tc>
          <w:tcPr>
            <w:tcW w:w="63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Net (decrease)/increase in cash and cash equivalents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(27,766)</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18,273 </w:t>
            </w:r>
          </w:p>
        </w:tc>
      </w:tr>
      <w:tr w:rsidR="008223EE" w:rsidRPr="008223EE" w:rsidTr="008223EE">
        <w:trPr>
          <w:trHeight w:val="240"/>
        </w:trPr>
        <w:tc>
          <w:tcPr>
            <w:tcW w:w="63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and cash equivalents at beginning of the period</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149,673 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131,400 </w:t>
            </w:r>
          </w:p>
        </w:tc>
      </w:tr>
      <w:tr w:rsidR="008223EE" w:rsidRPr="008223EE" w:rsidTr="008223EE">
        <w:trPr>
          <w:trHeight w:val="240"/>
        </w:trPr>
        <w:tc>
          <w:tcPr>
            <w:tcW w:w="63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Cash and cash equivalents at end of the period</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121,907 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149,673 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0"/>
          <w:szCs w:val="20"/>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Notes</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945" w:type="dxa"/>
        <w:tblInd w:w="-115" w:type="dxa"/>
        <w:tblCellMar>
          <w:left w:w="0" w:type="dxa"/>
          <w:right w:w="0" w:type="dxa"/>
        </w:tblCellMar>
        <w:tblLook w:val="04A0" w:firstRow="1" w:lastRow="0" w:firstColumn="1" w:lastColumn="0" w:noHBand="0" w:noVBand="1"/>
      </w:tblPr>
      <w:tblGrid>
        <w:gridCol w:w="2939"/>
        <w:gridCol w:w="863"/>
        <w:gridCol w:w="863"/>
        <w:gridCol w:w="863"/>
        <w:gridCol w:w="1090"/>
        <w:gridCol w:w="238"/>
        <w:gridCol w:w="863"/>
        <w:gridCol w:w="2226"/>
      </w:tblGrid>
      <w:tr w:rsidR="008223EE" w:rsidRPr="008223EE" w:rsidTr="008223EE">
        <w:trPr>
          <w:trHeight w:val="330"/>
        </w:trPr>
        <w:tc>
          <w:tcPr>
            <w:tcW w:w="9720" w:type="dxa"/>
            <w:gridSpan w:val="8"/>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1.       Non-controlling Interests</w:t>
            </w:r>
          </w:p>
        </w:tc>
      </w:tr>
      <w:tr w:rsidR="008223EE" w:rsidRPr="008223EE" w:rsidTr="008223EE">
        <w:trPr>
          <w:trHeight w:val="240"/>
        </w:trPr>
        <w:tc>
          <w:tcPr>
            <w:tcW w:w="2910"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555"/>
        </w:trPr>
        <w:tc>
          <w:tcPr>
            <w:tcW w:w="2910"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935" w:type="dxa"/>
            <w:gridSpan w:val="2"/>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Profit Attributable to Non-controlling Interest</w:t>
            </w:r>
          </w:p>
        </w:tc>
        <w:tc>
          <w:tcPr>
            <w:tcW w:w="105" w:type="dxa"/>
            <w:tcMar>
              <w:top w:w="0" w:type="dxa"/>
              <w:left w:w="115" w:type="dxa"/>
              <w:bottom w:w="0" w:type="dxa"/>
              <w:right w:w="115"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935" w:type="dxa"/>
            <w:gridSpan w:val="2"/>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Equity Attributable to Non-controlling Interest</w:t>
            </w:r>
          </w:p>
        </w:tc>
      </w:tr>
      <w:tr w:rsidR="008223EE" w:rsidRPr="008223EE" w:rsidTr="008223EE">
        <w:trPr>
          <w:trHeight w:val="405"/>
        </w:trPr>
        <w:tc>
          <w:tcPr>
            <w:tcW w:w="2910"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855" w:type="dxa"/>
            <w:tcBorders>
              <w:top w:val="single" w:sz="8" w:space="0" w:color="969696"/>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855" w:type="dxa"/>
            <w:tcBorders>
              <w:top w:val="single" w:sz="8" w:space="0" w:color="969696"/>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r>
      <w:tr w:rsidR="008223EE" w:rsidRPr="008223EE" w:rsidTr="008223EE">
        <w:trPr>
          <w:trHeight w:val="240"/>
        </w:trPr>
        <w:tc>
          <w:tcPr>
            <w:tcW w:w="2910"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10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85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2910"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2910"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Absa Group Limited </w:t>
            </w: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304 </w:t>
            </w: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401 </w:t>
            </w:r>
          </w:p>
        </w:tc>
        <w:tc>
          <w:tcPr>
            <w:tcW w:w="10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2,737 </w:t>
            </w: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2,861 </w:t>
            </w:r>
          </w:p>
        </w:tc>
      </w:tr>
      <w:tr w:rsidR="008223EE" w:rsidRPr="008223EE" w:rsidTr="008223EE">
        <w:trPr>
          <w:trHeight w:val="240"/>
        </w:trPr>
        <w:tc>
          <w:tcPr>
            <w:tcW w:w="2910"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non-controlling interests</w:t>
            </w: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35 </w:t>
            </w: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29 </w:t>
            </w:r>
          </w:p>
        </w:tc>
        <w:tc>
          <w:tcPr>
            <w:tcW w:w="10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119 </w:t>
            </w:r>
          </w:p>
        </w:tc>
        <w:tc>
          <w:tcPr>
            <w:tcW w:w="85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231 </w:t>
            </w:r>
          </w:p>
        </w:tc>
      </w:tr>
      <w:tr w:rsidR="008223EE" w:rsidRPr="008223EE" w:rsidTr="008223EE">
        <w:trPr>
          <w:trHeight w:val="240"/>
        </w:trPr>
        <w:tc>
          <w:tcPr>
            <w:tcW w:w="2910"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339 </w:t>
            </w: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430 </w:t>
            </w:r>
          </w:p>
        </w:tc>
        <w:tc>
          <w:tcPr>
            <w:tcW w:w="10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2,856 </w:t>
            </w:r>
          </w:p>
        </w:tc>
        <w:tc>
          <w:tcPr>
            <w:tcW w:w="85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3,092 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decrease in Absa Group Limited equity attributable to non-controlling interest to £2,737m (2011: £2,861m) is principally due to £247m depreciation of African currencies against Sterling and £194m of dividends paid, offset by retained profits of £304m.</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 xml:space="preserve">2.            </w:t>
      </w:r>
      <w:r w:rsidRPr="008223EE">
        <w:rPr>
          <w:rFonts w:ascii="Arial" w:eastAsia="Times New Roman" w:hAnsi="Arial" w:cs="Arial"/>
          <w:b/>
          <w:bCs/>
          <w:color w:val="000000"/>
          <w:sz w:val="24"/>
          <w:szCs w:val="24"/>
        </w:rPr>
        <w:t>Dividends on Ordinary Shares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7012"/>
        <w:gridCol w:w="990"/>
        <w:gridCol w:w="1132"/>
      </w:tblGrid>
      <w:tr w:rsidR="008223EE" w:rsidRPr="008223EE" w:rsidTr="008223EE">
        <w:trPr>
          <w:trHeight w:val="720"/>
        </w:trPr>
        <w:tc>
          <w:tcPr>
            <w:tcW w:w="73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 31.12.12</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Year Ended 31.12.11</w:t>
            </w:r>
          </w:p>
        </w:tc>
      </w:tr>
      <w:tr w:rsidR="008223EE" w:rsidRPr="008223EE" w:rsidTr="008223EE">
        <w:trPr>
          <w:trHeight w:val="240"/>
        </w:trPr>
        <w:tc>
          <w:tcPr>
            <w:tcW w:w="73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Dividends paid during the year</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73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Final dividend paid during year</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344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288 </w:t>
            </w:r>
          </w:p>
        </w:tc>
      </w:tr>
      <w:tr w:rsidR="008223EE" w:rsidRPr="008223EE" w:rsidTr="008223EE">
        <w:trPr>
          <w:trHeight w:val="240"/>
        </w:trPr>
        <w:tc>
          <w:tcPr>
            <w:tcW w:w="73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Interim dividends paid during year</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352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355 </w:t>
            </w:r>
          </w:p>
        </w:tc>
      </w:tr>
      <w:tr w:rsidR="008223EE" w:rsidRPr="008223EE" w:rsidTr="008223EE">
        <w:trPr>
          <w:trHeight w:val="240"/>
        </w:trPr>
        <w:tc>
          <w:tcPr>
            <w:tcW w:w="73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Total</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696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643 </w:t>
            </w:r>
          </w:p>
        </w:tc>
      </w:tr>
      <w:tr w:rsidR="008223EE" w:rsidRPr="008223EE" w:rsidTr="008223EE">
        <w:trPr>
          <w:trHeight w:val="240"/>
        </w:trPr>
        <w:tc>
          <w:tcPr>
            <w:tcW w:w="73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9495" w:type="dxa"/>
            <w:gridSpan w:val="3"/>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8"/>
                <w:szCs w:val="18"/>
              </w:rPr>
              <w:t>Ordinary dividends were paid to enable Barclays PLC to fund its dividend to shareholders.</w:t>
            </w:r>
          </w:p>
        </w:tc>
      </w:tr>
      <w:tr w:rsidR="008223EE" w:rsidRPr="008223EE" w:rsidTr="008223EE">
        <w:trPr>
          <w:trHeight w:val="240"/>
        </w:trPr>
        <w:tc>
          <w:tcPr>
            <w:tcW w:w="73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8"/>
                <w:szCs w:val="18"/>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8"/>
                <w:szCs w:val="18"/>
              </w:rPr>
              <w:t> </w:t>
            </w: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3.            Share Capital</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t>Ordinary Shares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At 31 December 2012 the issued ordinary share capital of Barclays Bank PLC, comprised 2,342 million ordinary shares of £1 each (2011: 2,342 million).</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t>Preference Shares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At 31 December 2012 the issued preference share capital of Barclays Bank PLC, comprised 1,000 Sterling Preference Shares of £1 each (2011: 1,000); 240,000 Euro Preference Shares of €100 each (2011: 240,000); 75,000 Sterling Preference Shares of £100 each (2011: 75,000); 100,000 US Dollar Preference Shares of US$100 each (2011: 100,000); and 237 million US Dollar Preference Shares of US$0.25 each (2011: 237 million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lastRenderedPageBreak/>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Appendix: Barclays PLC Results Announcement</w:t>
      </w:r>
    </w:p>
    <w:p w:rsidR="008223EE" w:rsidRPr="008223EE" w:rsidRDefault="008223EE" w:rsidP="008223EE">
      <w:pPr>
        <w:spacing w:after="0" w:line="240" w:lineRule="auto"/>
        <w:jc w:val="center"/>
        <w:rPr>
          <w:rFonts w:ascii="Arial" w:eastAsia="Times New Roman" w:hAnsi="Arial" w:cs="Arial"/>
          <w:b/>
          <w:bCs/>
          <w:sz w:val="48"/>
          <w:szCs w:val="48"/>
        </w:rPr>
      </w:pPr>
      <w:r w:rsidRPr="008223EE">
        <w:rPr>
          <w:rFonts w:ascii="Arial" w:eastAsia="Times New Roman" w:hAnsi="Arial" w:cs="Arial"/>
          <w:b/>
          <w:bCs/>
          <w:sz w:val="48"/>
          <w:szCs w:val="48"/>
        </w:rPr>
        <w:t> </w:t>
      </w:r>
    </w:p>
    <w:p w:rsidR="008223EE" w:rsidRPr="008223EE" w:rsidRDefault="008223EE" w:rsidP="008223EE">
      <w:pPr>
        <w:spacing w:after="0" w:line="240" w:lineRule="auto"/>
        <w:jc w:val="center"/>
        <w:rPr>
          <w:rFonts w:ascii="Arial" w:eastAsia="Times New Roman" w:hAnsi="Arial" w:cs="Arial"/>
          <w:b/>
          <w:bCs/>
          <w:sz w:val="48"/>
          <w:szCs w:val="48"/>
        </w:rPr>
      </w:pPr>
      <w:r w:rsidRPr="008223EE">
        <w:rPr>
          <w:rFonts w:ascii="Arial" w:eastAsia="Times New Roman" w:hAnsi="Arial" w:cs="Arial"/>
          <w:b/>
          <w:bCs/>
          <w:sz w:val="48"/>
          <w:szCs w:val="48"/>
        </w:rPr>
        <w:t>Barclays PLC</w:t>
      </w:r>
    </w:p>
    <w:p w:rsidR="008223EE" w:rsidRPr="008223EE" w:rsidRDefault="008223EE" w:rsidP="008223EE">
      <w:pPr>
        <w:spacing w:after="0" w:line="240" w:lineRule="auto"/>
        <w:jc w:val="center"/>
        <w:rPr>
          <w:rFonts w:ascii="Arial" w:eastAsia="Times New Roman" w:hAnsi="Arial" w:cs="Arial"/>
          <w:b/>
          <w:bCs/>
          <w:sz w:val="48"/>
          <w:szCs w:val="48"/>
        </w:rPr>
      </w:pPr>
      <w:r w:rsidRPr="008223EE">
        <w:rPr>
          <w:rFonts w:ascii="Arial" w:eastAsia="Times New Roman" w:hAnsi="Arial" w:cs="Arial"/>
          <w:b/>
          <w:bCs/>
          <w:sz w:val="48"/>
          <w:szCs w:val="48"/>
        </w:rPr>
        <w:t>Results Announcement</w:t>
      </w:r>
    </w:p>
    <w:p w:rsidR="008223EE" w:rsidRPr="008223EE" w:rsidRDefault="008223EE" w:rsidP="008223EE">
      <w:pPr>
        <w:spacing w:after="0" w:line="240" w:lineRule="auto"/>
        <w:jc w:val="center"/>
        <w:rPr>
          <w:rFonts w:ascii="Arial" w:eastAsia="Times New Roman" w:hAnsi="Arial" w:cs="Arial"/>
          <w:b/>
          <w:bCs/>
          <w:sz w:val="48"/>
          <w:szCs w:val="48"/>
        </w:rPr>
      </w:pPr>
      <w:r w:rsidRPr="008223EE">
        <w:rPr>
          <w:rFonts w:ascii="Arial" w:eastAsia="Times New Roman" w:hAnsi="Arial" w:cs="Arial"/>
          <w:b/>
          <w:bCs/>
          <w:sz w:val="48"/>
          <w:szCs w:val="48"/>
        </w:rPr>
        <w:t> </w:t>
      </w:r>
    </w:p>
    <w:p w:rsidR="008223EE" w:rsidRPr="008223EE" w:rsidRDefault="008223EE" w:rsidP="008223EE">
      <w:pPr>
        <w:spacing w:after="0" w:line="240" w:lineRule="auto"/>
        <w:jc w:val="center"/>
        <w:rPr>
          <w:rFonts w:ascii="Arial" w:eastAsia="Times New Roman" w:hAnsi="Arial" w:cs="Arial"/>
          <w:sz w:val="24"/>
          <w:szCs w:val="24"/>
        </w:rPr>
      </w:pPr>
      <w:r w:rsidRPr="008223EE">
        <w:rPr>
          <w:rFonts w:ascii="Arial" w:eastAsia="Times New Roman" w:hAnsi="Arial" w:cs="Arial"/>
          <w:sz w:val="24"/>
          <w:szCs w:val="24"/>
        </w:rPr>
        <w:t>31 December 2012</w:t>
      </w:r>
    </w:p>
    <w:p w:rsidR="008223EE" w:rsidRPr="008223EE" w:rsidRDefault="008223EE" w:rsidP="008223EE">
      <w:pPr>
        <w:spacing w:after="0" w:line="240" w:lineRule="auto"/>
        <w:jc w:val="center"/>
        <w:rPr>
          <w:rFonts w:ascii="Arial" w:eastAsia="Times New Roman" w:hAnsi="Arial" w:cs="Arial"/>
          <w:sz w:val="24"/>
          <w:szCs w:val="24"/>
        </w:rPr>
      </w:pPr>
      <w:r w:rsidRPr="008223EE">
        <w:rPr>
          <w:rFonts w:ascii="Arial" w:eastAsia="Times New Roman" w:hAnsi="Arial" w:cs="Arial"/>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Table of Contents</w:t>
      </w:r>
    </w:p>
    <w:p w:rsidR="008223EE" w:rsidRPr="008223EE" w:rsidRDefault="008223EE" w:rsidP="008223EE">
      <w:pPr>
        <w:spacing w:line="240" w:lineRule="auto"/>
        <w:jc w:val="both"/>
        <w:rPr>
          <w:rFonts w:ascii="Times New Roman" w:eastAsia="Times New Roman" w:hAnsi="Times New Roman" w:cs="Times New Roman"/>
          <w:sz w:val="10"/>
          <w:szCs w:val="10"/>
        </w:rPr>
      </w:pPr>
      <w:r w:rsidRPr="008223EE">
        <w:rPr>
          <w:rFonts w:ascii="Times New Roman" w:eastAsia="Times New Roman" w:hAnsi="Times New Roman" w:cs="Times New Roman"/>
          <w:sz w:val="10"/>
          <w:szCs w:val="10"/>
        </w:rPr>
        <w:t> </w:t>
      </w:r>
    </w:p>
    <w:tbl>
      <w:tblPr>
        <w:tblW w:w="0" w:type="auto"/>
        <w:tblInd w:w="-108" w:type="dxa"/>
        <w:tblCellMar>
          <w:left w:w="0" w:type="dxa"/>
          <w:right w:w="0" w:type="dxa"/>
        </w:tblCellMar>
        <w:tblLook w:val="04A0" w:firstRow="1" w:lastRow="0" w:firstColumn="1" w:lastColumn="0" w:noHBand="0" w:noVBand="1"/>
      </w:tblPr>
      <w:tblGrid>
        <w:gridCol w:w="7384"/>
        <w:gridCol w:w="1966"/>
      </w:tblGrid>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Preliminary Results Announcement</w:t>
            </w:r>
          </w:p>
        </w:tc>
        <w:tc>
          <w:tcPr>
            <w:tcW w:w="1980" w:type="dxa"/>
            <w:tcMar>
              <w:top w:w="0" w:type="dxa"/>
              <w:left w:w="108" w:type="dxa"/>
              <w:bottom w:w="0" w:type="dxa"/>
              <w:right w:w="108" w:type="dxa"/>
            </w:tcMar>
            <w:vAlign w:val="center"/>
            <w:hideMark/>
          </w:tcPr>
          <w:p w:rsidR="008223EE" w:rsidRPr="008223EE" w:rsidRDefault="008223EE" w:rsidP="008223EE">
            <w:pPr>
              <w:spacing w:after="180" w:line="240" w:lineRule="auto"/>
              <w:jc w:val="right"/>
              <w:rPr>
                <w:rFonts w:ascii="Arial" w:eastAsia="Times New Roman" w:hAnsi="Arial" w:cs="Arial"/>
                <w:b/>
                <w:bCs/>
                <w:color w:val="000000"/>
                <w:sz w:val="24"/>
                <w:szCs w:val="24"/>
              </w:rPr>
            </w:pPr>
            <w:r w:rsidRPr="008223EE">
              <w:rPr>
                <w:rFonts w:ascii="Arial" w:eastAsia="Times New Roman" w:hAnsi="Arial" w:cs="Arial"/>
                <w:b/>
                <w:bCs/>
                <w:sz w:val="24"/>
                <w:szCs w:val="24"/>
              </w:rPr>
              <w:t>Page</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Arial" w:eastAsia="Times New Roman" w:hAnsi="Arial" w:cs="Arial"/>
                <w:sz w:val="18"/>
                <w:szCs w:val="18"/>
              </w:rPr>
              <w:t>Performance Highlights                                     </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2</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Arial" w:eastAsia="Times New Roman" w:hAnsi="Arial" w:cs="Arial"/>
                <w:sz w:val="18"/>
                <w:szCs w:val="18"/>
              </w:rPr>
              <w:t>Chief Executive's Statement</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4</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Arial" w:eastAsia="Times New Roman" w:hAnsi="Arial" w:cs="Arial"/>
                <w:sz w:val="18"/>
                <w:szCs w:val="18"/>
              </w:rPr>
              <w:t>Group Finance Director's Review</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6</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Arial" w:eastAsia="Times New Roman" w:hAnsi="Arial" w:cs="Arial"/>
                <w:sz w:val="18"/>
                <w:szCs w:val="18"/>
              </w:rPr>
              <w:t>Barclays Results by Quarter</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8</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Arial" w:eastAsia="Times New Roman" w:hAnsi="Arial" w:cs="Arial"/>
                <w:sz w:val="18"/>
                <w:szCs w:val="18"/>
              </w:rPr>
              <w:t>Condensed Consolidated Financial Statements</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9</w:t>
            </w: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rPr>
                <w:rFonts w:ascii="Arial" w:eastAsia="Times New Roman" w:hAnsi="Arial" w:cs="Arial"/>
                <w:b/>
                <w:bCs/>
                <w:sz w:val="18"/>
                <w:szCs w:val="18"/>
              </w:rPr>
            </w:pPr>
            <w:r w:rsidRPr="008223EE">
              <w:rPr>
                <w:rFonts w:ascii="Arial" w:eastAsia="Times New Roman" w:hAnsi="Arial" w:cs="Arial"/>
                <w:b/>
                <w:bCs/>
                <w:sz w:val="18"/>
                <w:szCs w:val="18"/>
              </w:rPr>
              <w:t>Results by Business</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b/>
                <w:bCs/>
                <w:sz w:val="18"/>
                <w:szCs w:val="18"/>
              </w:rPr>
            </w:pPr>
          </w:p>
        </w:tc>
      </w:tr>
      <w:tr w:rsidR="008223EE" w:rsidRPr="008223EE" w:rsidTr="008223EE">
        <w:tc>
          <w:tcPr>
            <w:tcW w:w="7440" w:type="dxa"/>
            <w:tcMar>
              <w:top w:w="0" w:type="dxa"/>
              <w:left w:w="108" w:type="dxa"/>
              <w:bottom w:w="0" w:type="dxa"/>
              <w:right w:w="108" w:type="dxa"/>
            </w:tcMar>
            <w:hideMark/>
          </w:tcPr>
          <w:p w:rsidR="008223EE" w:rsidRPr="008223EE" w:rsidRDefault="008223EE" w:rsidP="008223EE">
            <w:pPr>
              <w:spacing w:before="96" w:after="96"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Retail and Business Banking</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b/>
                <w:bCs/>
                <w:sz w:val="18"/>
                <w:szCs w:val="18"/>
              </w:rPr>
            </w:pP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40" w:after="40" w:line="240" w:lineRule="auto"/>
              <w:ind w:left="1049" w:hanging="737"/>
              <w:jc w:val="both"/>
              <w:rPr>
                <w:rFonts w:ascii="Arial" w:eastAsia="Times New Roman" w:hAnsi="Arial" w:cs="Arial"/>
                <w:sz w:val="18"/>
                <w:szCs w:val="18"/>
              </w:rPr>
            </w:pPr>
            <w:r w:rsidRPr="008223EE">
              <w:rPr>
                <w:rFonts w:ascii="Arial" w:eastAsia="Times New Roman" w:hAnsi="Arial" w:cs="Arial"/>
                <w:sz w:val="18"/>
                <w:szCs w:val="18"/>
              </w:rPr>
              <w:t>1.     UK</w:t>
            </w:r>
          </w:p>
        </w:tc>
        <w:tc>
          <w:tcPr>
            <w:tcW w:w="1980" w:type="dxa"/>
            <w:tcMar>
              <w:top w:w="0" w:type="dxa"/>
              <w:left w:w="108" w:type="dxa"/>
              <w:bottom w:w="0" w:type="dxa"/>
              <w:right w:w="108" w:type="dxa"/>
            </w:tcMar>
            <w:vAlign w:val="center"/>
            <w:hideMark/>
          </w:tcPr>
          <w:p w:rsidR="008223EE" w:rsidRPr="008223EE" w:rsidRDefault="008223EE" w:rsidP="008223EE">
            <w:pPr>
              <w:spacing w:before="96" w:after="96" w:line="240" w:lineRule="auto"/>
              <w:jc w:val="right"/>
              <w:rPr>
                <w:rFonts w:ascii="Arial" w:eastAsia="Times New Roman" w:hAnsi="Arial" w:cs="Arial"/>
                <w:sz w:val="16"/>
                <w:szCs w:val="16"/>
              </w:rPr>
            </w:pPr>
            <w:r w:rsidRPr="008223EE">
              <w:rPr>
                <w:rFonts w:ascii="Arial" w:eastAsia="Times New Roman" w:hAnsi="Arial" w:cs="Arial"/>
                <w:sz w:val="18"/>
                <w:szCs w:val="18"/>
              </w:rPr>
              <w:t>14</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40" w:after="40" w:line="240" w:lineRule="auto"/>
              <w:ind w:left="1049" w:hanging="737"/>
              <w:jc w:val="both"/>
              <w:rPr>
                <w:rFonts w:ascii="Arial" w:eastAsia="Times New Roman" w:hAnsi="Arial" w:cs="Arial"/>
                <w:sz w:val="18"/>
                <w:szCs w:val="18"/>
              </w:rPr>
            </w:pPr>
            <w:r w:rsidRPr="008223EE">
              <w:rPr>
                <w:rFonts w:ascii="Arial" w:eastAsia="Times New Roman" w:hAnsi="Arial" w:cs="Arial"/>
                <w:sz w:val="18"/>
                <w:szCs w:val="18"/>
              </w:rPr>
              <w:t>2.    Europe</w:t>
            </w:r>
          </w:p>
        </w:tc>
        <w:tc>
          <w:tcPr>
            <w:tcW w:w="1980" w:type="dxa"/>
            <w:tcMar>
              <w:top w:w="0" w:type="dxa"/>
              <w:left w:w="108" w:type="dxa"/>
              <w:bottom w:w="0" w:type="dxa"/>
              <w:right w:w="108" w:type="dxa"/>
            </w:tcMar>
            <w:vAlign w:val="center"/>
            <w:hideMark/>
          </w:tcPr>
          <w:p w:rsidR="008223EE" w:rsidRPr="008223EE" w:rsidRDefault="008223EE" w:rsidP="008223EE">
            <w:pPr>
              <w:spacing w:before="96" w:after="96" w:line="240" w:lineRule="auto"/>
              <w:jc w:val="right"/>
              <w:rPr>
                <w:rFonts w:ascii="Arial" w:eastAsia="Times New Roman" w:hAnsi="Arial" w:cs="Arial"/>
                <w:sz w:val="16"/>
                <w:szCs w:val="16"/>
              </w:rPr>
            </w:pPr>
            <w:r w:rsidRPr="008223EE">
              <w:rPr>
                <w:rFonts w:ascii="Arial" w:eastAsia="Times New Roman" w:hAnsi="Arial" w:cs="Arial"/>
                <w:sz w:val="18"/>
                <w:szCs w:val="18"/>
              </w:rPr>
              <w:t>16</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40" w:after="40" w:line="240" w:lineRule="auto"/>
              <w:ind w:left="1049" w:hanging="737"/>
              <w:jc w:val="both"/>
              <w:rPr>
                <w:rFonts w:ascii="Arial" w:eastAsia="Times New Roman" w:hAnsi="Arial" w:cs="Arial"/>
                <w:sz w:val="18"/>
                <w:szCs w:val="18"/>
              </w:rPr>
            </w:pPr>
            <w:r w:rsidRPr="008223EE">
              <w:rPr>
                <w:rFonts w:ascii="Arial" w:eastAsia="Times New Roman" w:hAnsi="Arial" w:cs="Arial"/>
                <w:sz w:val="18"/>
                <w:szCs w:val="18"/>
              </w:rPr>
              <w:t>3.     Africa</w:t>
            </w:r>
          </w:p>
        </w:tc>
        <w:tc>
          <w:tcPr>
            <w:tcW w:w="1980" w:type="dxa"/>
            <w:tcMar>
              <w:top w:w="0" w:type="dxa"/>
              <w:left w:w="108" w:type="dxa"/>
              <w:bottom w:w="0" w:type="dxa"/>
              <w:right w:w="108" w:type="dxa"/>
            </w:tcMar>
            <w:vAlign w:val="center"/>
            <w:hideMark/>
          </w:tcPr>
          <w:p w:rsidR="008223EE" w:rsidRPr="008223EE" w:rsidRDefault="008223EE" w:rsidP="008223EE">
            <w:pPr>
              <w:spacing w:before="96" w:after="96" w:line="240" w:lineRule="auto"/>
              <w:jc w:val="right"/>
              <w:rPr>
                <w:rFonts w:ascii="Arial" w:eastAsia="Times New Roman" w:hAnsi="Arial" w:cs="Arial"/>
                <w:sz w:val="16"/>
                <w:szCs w:val="16"/>
              </w:rPr>
            </w:pPr>
            <w:r w:rsidRPr="008223EE">
              <w:rPr>
                <w:rFonts w:ascii="Arial" w:eastAsia="Times New Roman" w:hAnsi="Arial" w:cs="Arial"/>
                <w:sz w:val="18"/>
                <w:szCs w:val="18"/>
              </w:rPr>
              <w:t>18</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40" w:after="40" w:line="240" w:lineRule="auto"/>
              <w:ind w:left="1049" w:hanging="737"/>
              <w:jc w:val="both"/>
              <w:rPr>
                <w:rFonts w:ascii="Arial" w:eastAsia="Times New Roman" w:hAnsi="Arial" w:cs="Arial"/>
                <w:sz w:val="18"/>
                <w:szCs w:val="18"/>
              </w:rPr>
            </w:pPr>
            <w:r w:rsidRPr="008223EE">
              <w:rPr>
                <w:rFonts w:ascii="Arial" w:eastAsia="Times New Roman" w:hAnsi="Arial" w:cs="Arial"/>
                <w:sz w:val="18"/>
                <w:szCs w:val="18"/>
              </w:rPr>
              <w:t>4.    Barclaycard</w:t>
            </w:r>
          </w:p>
        </w:tc>
        <w:tc>
          <w:tcPr>
            <w:tcW w:w="1980" w:type="dxa"/>
            <w:tcMar>
              <w:top w:w="0" w:type="dxa"/>
              <w:left w:w="108" w:type="dxa"/>
              <w:bottom w:w="0" w:type="dxa"/>
              <w:right w:w="108" w:type="dxa"/>
            </w:tcMar>
            <w:vAlign w:val="center"/>
            <w:hideMark/>
          </w:tcPr>
          <w:p w:rsidR="008223EE" w:rsidRPr="008223EE" w:rsidRDefault="008223EE" w:rsidP="008223EE">
            <w:pPr>
              <w:spacing w:before="96" w:after="96" w:line="240" w:lineRule="auto"/>
              <w:jc w:val="right"/>
              <w:rPr>
                <w:rFonts w:ascii="Arial" w:eastAsia="Times New Roman" w:hAnsi="Arial" w:cs="Arial"/>
                <w:sz w:val="16"/>
                <w:szCs w:val="16"/>
              </w:rPr>
            </w:pPr>
            <w:r w:rsidRPr="008223EE">
              <w:rPr>
                <w:rFonts w:ascii="Arial" w:eastAsia="Times New Roman" w:hAnsi="Arial" w:cs="Arial"/>
                <w:sz w:val="18"/>
                <w:szCs w:val="18"/>
              </w:rPr>
              <w:t>20</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Corporate and Investment Banking</w:t>
            </w:r>
          </w:p>
        </w:tc>
        <w:tc>
          <w:tcPr>
            <w:tcW w:w="1980" w:type="dxa"/>
            <w:tcMar>
              <w:top w:w="0" w:type="dxa"/>
              <w:left w:w="108" w:type="dxa"/>
              <w:bottom w:w="0" w:type="dxa"/>
              <w:right w:w="108" w:type="dxa"/>
            </w:tcMar>
            <w:vAlign w:val="center"/>
            <w:hideMark/>
          </w:tcPr>
          <w:p w:rsidR="008223EE" w:rsidRPr="008223EE" w:rsidRDefault="008223EE" w:rsidP="008223EE">
            <w:pPr>
              <w:spacing w:before="96" w:after="96" w:line="240" w:lineRule="auto"/>
              <w:jc w:val="right"/>
              <w:rPr>
                <w:rFonts w:ascii="Arial" w:eastAsia="Times New Roman" w:hAnsi="Arial" w:cs="Arial"/>
                <w:sz w:val="16"/>
                <w:szCs w:val="16"/>
              </w:rPr>
            </w:pP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40" w:after="40" w:line="240" w:lineRule="auto"/>
              <w:ind w:left="1049" w:hanging="737"/>
              <w:jc w:val="both"/>
              <w:rPr>
                <w:rFonts w:ascii="Arial" w:eastAsia="Times New Roman" w:hAnsi="Arial" w:cs="Arial"/>
                <w:sz w:val="18"/>
                <w:szCs w:val="18"/>
              </w:rPr>
            </w:pPr>
            <w:r w:rsidRPr="008223EE">
              <w:rPr>
                <w:rFonts w:ascii="Arial" w:eastAsia="Times New Roman" w:hAnsi="Arial" w:cs="Arial"/>
                <w:sz w:val="18"/>
                <w:szCs w:val="18"/>
              </w:rPr>
              <w:t>5.    Investment Bank</w:t>
            </w:r>
          </w:p>
        </w:tc>
        <w:tc>
          <w:tcPr>
            <w:tcW w:w="1980" w:type="dxa"/>
            <w:tcMar>
              <w:top w:w="0" w:type="dxa"/>
              <w:left w:w="108" w:type="dxa"/>
              <w:bottom w:w="0" w:type="dxa"/>
              <w:right w:w="108" w:type="dxa"/>
            </w:tcMar>
            <w:vAlign w:val="center"/>
            <w:hideMark/>
          </w:tcPr>
          <w:p w:rsidR="008223EE" w:rsidRPr="008223EE" w:rsidRDefault="008223EE" w:rsidP="008223EE">
            <w:pPr>
              <w:spacing w:before="96" w:after="96" w:line="240" w:lineRule="auto"/>
              <w:jc w:val="right"/>
              <w:rPr>
                <w:rFonts w:ascii="Arial" w:eastAsia="Times New Roman" w:hAnsi="Arial" w:cs="Arial"/>
                <w:sz w:val="16"/>
                <w:szCs w:val="16"/>
              </w:rPr>
            </w:pPr>
            <w:r w:rsidRPr="008223EE">
              <w:rPr>
                <w:rFonts w:ascii="Arial" w:eastAsia="Times New Roman" w:hAnsi="Arial" w:cs="Arial"/>
                <w:sz w:val="18"/>
                <w:szCs w:val="18"/>
              </w:rPr>
              <w:t>22</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40" w:after="40" w:line="240" w:lineRule="auto"/>
              <w:ind w:left="1049" w:hanging="737"/>
              <w:jc w:val="both"/>
              <w:rPr>
                <w:rFonts w:ascii="Arial" w:eastAsia="Times New Roman" w:hAnsi="Arial" w:cs="Arial"/>
                <w:sz w:val="18"/>
                <w:szCs w:val="18"/>
              </w:rPr>
            </w:pPr>
            <w:r w:rsidRPr="008223EE">
              <w:rPr>
                <w:rFonts w:ascii="Arial" w:eastAsia="Times New Roman" w:hAnsi="Arial" w:cs="Arial"/>
                <w:sz w:val="18"/>
                <w:szCs w:val="18"/>
              </w:rPr>
              <w:t>6.    Corporate Banking</w:t>
            </w:r>
          </w:p>
        </w:tc>
        <w:tc>
          <w:tcPr>
            <w:tcW w:w="1980" w:type="dxa"/>
            <w:tcMar>
              <w:top w:w="0" w:type="dxa"/>
              <w:left w:w="108" w:type="dxa"/>
              <w:bottom w:w="0" w:type="dxa"/>
              <w:right w:w="108" w:type="dxa"/>
            </w:tcMar>
            <w:vAlign w:val="center"/>
            <w:hideMark/>
          </w:tcPr>
          <w:p w:rsidR="008223EE" w:rsidRPr="008223EE" w:rsidRDefault="008223EE" w:rsidP="008223EE">
            <w:pPr>
              <w:spacing w:before="96" w:after="96" w:line="240" w:lineRule="auto"/>
              <w:jc w:val="right"/>
              <w:rPr>
                <w:rFonts w:ascii="Arial" w:eastAsia="Times New Roman" w:hAnsi="Arial" w:cs="Arial"/>
                <w:sz w:val="16"/>
                <w:szCs w:val="16"/>
              </w:rPr>
            </w:pPr>
            <w:r w:rsidRPr="008223EE">
              <w:rPr>
                <w:rFonts w:ascii="Arial" w:eastAsia="Times New Roman" w:hAnsi="Arial" w:cs="Arial"/>
                <w:sz w:val="18"/>
                <w:szCs w:val="18"/>
              </w:rPr>
              <w:t>26</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Wealth and Investment Management</w:t>
            </w:r>
          </w:p>
        </w:tc>
        <w:tc>
          <w:tcPr>
            <w:tcW w:w="1980" w:type="dxa"/>
            <w:tcMar>
              <w:top w:w="0" w:type="dxa"/>
              <w:left w:w="108" w:type="dxa"/>
              <w:bottom w:w="0" w:type="dxa"/>
              <w:right w:w="108" w:type="dxa"/>
            </w:tcMar>
            <w:vAlign w:val="center"/>
            <w:hideMark/>
          </w:tcPr>
          <w:p w:rsidR="008223EE" w:rsidRPr="008223EE" w:rsidRDefault="008223EE" w:rsidP="008223EE">
            <w:pPr>
              <w:spacing w:before="96" w:after="96" w:line="240" w:lineRule="auto"/>
              <w:jc w:val="right"/>
              <w:rPr>
                <w:rFonts w:ascii="Arial" w:eastAsia="Times New Roman" w:hAnsi="Arial" w:cs="Arial"/>
                <w:sz w:val="16"/>
                <w:szCs w:val="16"/>
              </w:rPr>
            </w:pPr>
            <w:r w:rsidRPr="008223EE">
              <w:rPr>
                <w:rFonts w:ascii="Arial" w:eastAsia="Times New Roman" w:hAnsi="Arial" w:cs="Arial"/>
                <w:sz w:val="18"/>
                <w:szCs w:val="18"/>
              </w:rPr>
              <w:t>30</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Head Office and Other Operations</w:t>
            </w:r>
          </w:p>
        </w:tc>
        <w:tc>
          <w:tcPr>
            <w:tcW w:w="1980" w:type="dxa"/>
            <w:tcMar>
              <w:top w:w="0" w:type="dxa"/>
              <w:left w:w="108" w:type="dxa"/>
              <w:bottom w:w="0" w:type="dxa"/>
              <w:right w:w="108" w:type="dxa"/>
            </w:tcMar>
            <w:vAlign w:val="center"/>
            <w:hideMark/>
          </w:tcPr>
          <w:p w:rsidR="008223EE" w:rsidRPr="008223EE" w:rsidRDefault="008223EE" w:rsidP="008223EE">
            <w:pPr>
              <w:spacing w:before="96" w:after="96" w:line="240" w:lineRule="auto"/>
              <w:jc w:val="right"/>
              <w:rPr>
                <w:rFonts w:ascii="Arial" w:eastAsia="Times New Roman" w:hAnsi="Arial" w:cs="Arial"/>
                <w:sz w:val="16"/>
                <w:szCs w:val="16"/>
              </w:rPr>
            </w:pPr>
            <w:r w:rsidRPr="008223EE">
              <w:rPr>
                <w:rFonts w:ascii="Arial" w:eastAsia="Times New Roman" w:hAnsi="Arial" w:cs="Arial"/>
                <w:sz w:val="18"/>
                <w:szCs w:val="18"/>
              </w:rPr>
              <w:t>32</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rPr>
                <w:rFonts w:ascii="Arial" w:eastAsia="Times New Roman" w:hAnsi="Arial" w:cs="Arial"/>
                <w:b/>
                <w:bCs/>
                <w:sz w:val="16"/>
                <w:szCs w:val="16"/>
              </w:rPr>
            </w:pPr>
            <w:r w:rsidRPr="008223EE">
              <w:rPr>
                <w:rFonts w:ascii="Arial" w:eastAsia="Times New Roman" w:hAnsi="Arial" w:cs="Arial"/>
                <w:b/>
                <w:bCs/>
                <w:sz w:val="18"/>
                <w:szCs w:val="18"/>
              </w:rPr>
              <w:t>Business Results by Quarter</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33</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rPr>
                <w:rFonts w:ascii="Arial" w:eastAsia="Times New Roman" w:hAnsi="Arial" w:cs="Arial"/>
                <w:b/>
                <w:bCs/>
                <w:sz w:val="16"/>
                <w:szCs w:val="16"/>
              </w:rPr>
            </w:pPr>
            <w:r w:rsidRPr="008223EE">
              <w:rPr>
                <w:rFonts w:ascii="Arial" w:eastAsia="Times New Roman" w:hAnsi="Arial" w:cs="Arial"/>
                <w:b/>
                <w:bCs/>
                <w:sz w:val="18"/>
                <w:szCs w:val="18"/>
              </w:rPr>
              <w:t>Performance Management</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b/>
                <w:bCs/>
                <w:sz w:val="18"/>
                <w:szCs w:val="18"/>
              </w:rPr>
            </w:pP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Remuneration</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35</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Returns and Equity</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39</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Margins and Balances</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40</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rPr>
                <w:rFonts w:ascii="Arial" w:eastAsia="Times New Roman" w:hAnsi="Arial" w:cs="Arial"/>
                <w:b/>
                <w:bCs/>
                <w:sz w:val="16"/>
                <w:szCs w:val="16"/>
              </w:rPr>
            </w:pPr>
            <w:r w:rsidRPr="008223EE">
              <w:rPr>
                <w:rFonts w:ascii="Arial" w:eastAsia="Times New Roman" w:hAnsi="Arial" w:cs="Arial"/>
                <w:b/>
                <w:bCs/>
                <w:sz w:val="18"/>
                <w:szCs w:val="18"/>
              </w:rPr>
              <w:lastRenderedPageBreak/>
              <w:t>Risk Management</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42</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Funding Risk - Capital</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43</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Funding Risk - Liquidity</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48</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Credit Risk</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56</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Market Risk</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83</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Arial" w:eastAsia="Times New Roman" w:hAnsi="Arial" w:cs="Arial"/>
                <w:sz w:val="18"/>
                <w:szCs w:val="18"/>
              </w:rPr>
              <w:t>Financial Statement Notes</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84</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ind w:left="284" w:hanging="284"/>
              <w:rPr>
                <w:rFonts w:ascii="Arial" w:eastAsia="Times New Roman" w:hAnsi="Arial" w:cs="Arial"/>
                <w:sz w:val="18"/>
                <w:szCs w:val="18"/>
              </w:rPr>
            </w:pPr>
            <w:r w:rsidRPr="008223EE">
              <w:rPr>
                <w:rFonts w:ascii="Arial" w:eastAsia="Times New Roman" w:hAnsi="Arial" w:cs="Arial"/>
                <w:sz w:val="18"/>
                <w:szCs w:val="18"/>
              </w:rPr>
              <w:t>Other Financial Information</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101</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rPr>
                <w:rFonts w:ascii="Arial" w:eastAsia="Times New Roman" w:hAnsi="Arial" w:cs="Arial"/>
                <w:sz w:val="16"/>
                <w:szCs w:val="16"/>
              </w:rPr>
            </w:pPr>
            <w:r w:rsidRPr="008223EE">
              <w:rPr>
                <w:rFonts w:ascii="Arial" w:eastAsia="Times New Roman" w:hAnsi="Arial" w:cs="Arial"/>
                <w:sz w:val="18"/>
                <w:szCs w:val="18"/>
              </w:rPr>
              <w:t>Shareholder Information</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102</w:t>
            </w:r>
          </w:p>
        </w:tc>
      </w:tr>
      <w:tr w:rsidR="008223EE" w:rsidRPr="008223EE" w:rsidTr="008223EE">
        <w:tc>
          <w:tcPr>
            <w:tcW w:w="7440" w:type="dxa"/>
            <w:tcMar>
              <w:top w:w="0" w:type="dxa"/>
              <w:left w:w="108" w:type="dxa"/>
              <w:bottom w:w="0" w:type="dxa"/>
              <w:right w:w="108" w:type="dxa"/>
            </w:tcMar>
            <w:vAlign w:val="center"/>
            <w:hideMark/>
          </w:tcPr>
          <w:p w:rsidR="008223EE" w:rsidRPr="008223EE" w:rsidRDefault="008223EE" w:rsidP="008223EE">
            <w:pPr>
              <w:spacing w:before="96" w:after="96" w:line="240" w:lineRule="auto"/>
              <w:rPr>
                <w:rFonts w:ascii="Arial" w:eastAsia="Times New Roman" w:hAnsi="Arial" w:cs="Arial"/>
                <w:sz w:val="16"/>
                <w:szCs w:val="16"/>
              </w:rPr>
            </w:pPr>
            <w:r w:rsidRPr="008223EE">
              <w:rPr>
                <w:rFonts w:ascii="Arial" w:eastAsia="Times New Roman" w:hAnsi="Arial" w:cs="Arial"/>
                <w:sz w:val="18"/>
                <w:szCs w:val="18"/>
              </w:rPr>
              <w:t>Index</w:t>
            </w:r>
          </w:p>
        </w:tc>
        <w:tc>
          <w:tcPr>
            <w:tcW w:w="1980" w:type="dxa"/>
            <w:tcMar>
              <w:top w:w="0" w:type="dxa"/>
              <w:left w:w="108" w:type="dxa"/>
              <w:bottom w:w="0" w:type="dxa"/>
              <w:right w:w="108" w:type="dxa"/>
            </w:tcMar>
            <w:hideMark/>
          </w:tcPr>
          <w:p w:rsidR="008223EE" w:rsidRPr="008223EE" w:rsidRDefault="008223EE" w:rsidP="008223EE">
            <w:pPr>
              <w:spacing w:before="96" w:after="96" w:line="240" w:lineRule="auto"/>
              <w:jc w:val="right"/>
              <w:rPr>
                <w:rFonts w:ascii="Arial" w:eastAsia="Times New Roman" w:hAnsi="Arial" w:cs="Arial"/>
                <w:sz w:val="18"/>
                <w:szCs w:val="18"/>
              </w:rPr>
            </w:pPr>
            <w:r w:rsidRPr="008223EE">
              <w:rPr>
                <w:rFonts w:ascii="Arial" w:eastAsia="Times New Roman" w:hAnsi="Arial" w:cs="Arial"/>
                <w:sz w:val="18"/>
                <w:szCs w:val="18"/>
              </w:rPr>
              <w:t>103</w:t>
            </w:r>
          </w:p>
        </w:tc>
      </w:tr>
    </w:tbl>
    <w:p w:rsidR="008223EE" w:rsidRPr="008223EE" w:rsidRDefault="008223EE" w:rsidP="008223EE">
      <w:pPr>
        <w:spacing w:before="180" w:after="180" w:line="240" w:lineRule="auto"/>
        <w:jc w:val="center"/>
        <w:rPr>
          <w:rFonts w:ascii="Arial" w:eastAsia="Times New Roman" w:hAnsi="Arial" w:cs="Arial"/>
          <w:sz w:val="12"/>
          <w:szCs w:val="12"/>
        </w:rPr>
      </w:pPr>
      <w:r w:rsidRPr="008223EE">
        <w:rPr>
          <w:rFonts w:ascii="Arial" w:eastAsia="Times New Roman" w:hAnsi="Arial" w:cs="Arial"/>
          <w:sz w:val="12"/>
          <w:szCs w:val="12"/>
        </w:rPr>
        <w:t> </w:t>
      </w:r>
    </w:p>
    <w:p w:rsidR="008223EE" w:rsidRPr="008223EE" w:rsidRDefault="008223EE" w:rsidP="008223EE">
      <w:pPr>
        <w:spacing w:after="0" w:line="240" w:lineRule="auto"/>
        <w:jc w:val="both"/>
        <w:rPr>
          <w:rFonts w:ascii="Arial" w:eastAsia="Times New Roman" w:hAnsi="Arial" w:cs="Arial"/>
          <w:sz w:val="10"/>
          <w:szCs w:val="10"/>
        </w:rPr>
      </w:pPr>
      <w:r w:rsidRPr="008223EE">
        <w:rPr>
          <w:rFonts w:ascii="Arial" w:eastAsia="Times New Roman" w:hAnsi="Arial" w:cs="Arial"/>
          <w:sz w:val="2"/>
          <w:szCs w:val="2"/>
        </w:rPr>
        <w:t> </w:t>
      </w:r>
    </w:p>
    <w:p w:rsidR="008223EE" w:rsidRPr="008223EE" w:rsidRDefault="008223EE" w:rsidP="008223EE">
      <w:pPr>
        <w:spacing w:after="120" w:line="240" w:lineRule="auto"/>
        <w:jc w:val="both"/>
        <w:rPr>
          <w:rFonts w:ascii="Arial" w:eastAsia="Times New Roman" w:hAnsi="Arial" w:cs="Arial"/>
          <w:sz w:val="16"/>
          <w:szCs w:val="16"/>
        </w:rPr>
      </w:pPr>
      <w:r w:rsidRPr="008223EE">
        <w:rPr>
          <w:rFonts w:ascii="Arial" w:eastAsia="Times New Roman" w:hAnsi="Arial" w:cs="Arial"/>
          <w:sz w:val="16"/>
          <w:szCs w:val="16"/>
        </w:rPr>
        <w:t>The term Barclays or Group refers to Barclays PLC together with its subsidiaries. Unless otherwise stated, the income statement analysis compares the twelve months to 31 December 2012 to the corresponding twelve months of 2011 and balance sheet comparatives relate to 31 December 2011. The abbreviations '£m' and '£</w:t>
      </w:r>
      <w:proofErr w:type="spellStart"/>
      <w:r w:rsidRPr="008223EE">
        <w:rPr>
          <w:rFonts w:ascii="Arial" w:eastAsia="Times New Roman" w:hAnsi="Arial" w:cs="Arial"/>
          <w:sz w:val="16"/>
          <w:szCs w:val="16"/>
        </w:rPr>
        <w:t>bn</w:t>
      </w:r>
      <w:proofErr w:type="spellEnd"/>
      <w:r w:rsidRPr="008223EE">
        <w:rPr>
          <w:rFonts w:ascii="Arial" w:eastAsia="Times New Roman" w:hAnsi="Arial" w:cs="Arial"/>
          <w:sz w:val="16"/>
          <w:szCs w:val="16"/>
        </w:rPr>
        <w:t>' represent millions and thousands of millions of pounds sterling respectively; the abbreviations '$m' and '$</w:t>
      </w:r>
      <w:proofErr w:type="spellStart"/>
      <w:r w:rsidRPr="008223EE">
        <w:rPr>
          <w:rFonts w:ascii="Arial" w:eastAsia="Times New Roman" w:hAnsi="Arial" w:cs="Arial"/>
          <w:sz w:val="16"/>
          <w:szCs w:val="16"/>
        </w:rPr>
        <w:t>bn</w:t>
      </w:r>
      <w:proofErr w:type="spellEnd"/>
      <w:r w:rsidRPr="008223EE">
        <w:rPr>
          <w:rFonts w:ascii="Arial" w:eastAsia="Times New Roman" w:hAnsi="Arial" w:cs="Arial"/>
          <w:sz w:val="16"/>
          <w:szCs w:val="16"/>
        </w:rPr>
        <w:t>' represent millions and thousands of millions of US dollars respectively and '</w:t>
      </w:r>
      <w:proofErr w:type="spellStart"/>
      <w:r w:rsidRPr="008223EE">
        <w:rPr>
          <w:rFonts w:ascii="Arial" w:eastAsia="Times New Roman" w:hAnsi="Arial" w:cs="Arial"/>
          <w:sz w:val="16"/>
          <w:szCs w:val="16"/>
        </w:rPr>
        <w:t>C$m</w:t>
      </w:r>
      <w:proofErr w:type="spellEnd"/>
      <w:r w:rsidRPr="008223EE">
        <w:rPr>
          <w:rFonts w:ascii="Arial" w:eastAsia="Times New Roman" w:hAnsi="Arial" w:cs="Arial"/>
          <w:sz w:val="16"/>
          <w:szCs w:val="16"/>
        </w:rPr>
        <w:t>' and '</w:t>
      </w:r>
      <w:proofErr w:type="spellStart"/>
      <w:r w:rsidRPr="008223EE">
        <w:rPr>
          <w:rFonts w:ascii="Arial" w:eastAsia="Times New Roman" w:hAnsi="Arial" w:cs="Arial"/>
          <w:sz w:val="16"/>
          <w:szCs w:val="16"/>
        </w:rPr>
        <w:t>C$bn</w:t>
      </w:r>
      <w:proofErr w:type="spellEnd"/>
      <w:r w:rsidRPr="008223EE">
        <w:rPr>
          <w:rFonts w:ascii="Arial" w:eastAsia="Times New Roman" w:hAnsi="Arial" w:cs="Arial"/>
          <w:sz w:val="16"/>
          <w:szCs w:val="16"/>
        </w:rPr>
        <w:t>' represent millions and thousands of millions of Canadian dollars respectively.</w:t>
      </w:r>
    </w:p>
    <w:p w:rsidR="008223EE" w:rsidRPr="008223EE" w:rsidRDefault="008223EE" w:rsidP="008223EE">
      <w:pPr>
        <w:spacing w:before="120" w:after="120" w:line="240" w:lineRule="auto"/>
        <w:jc w:val="both"/>
        <w:rPr>
          <w:rFonts w:ascii="Arial" w:eastAsia="Times New Roman" w:hAnsi="Arial" w:cs="Arial"/>
          <w:sz w:val="18"/>
          <w:szCs w:val="18"/>
        </w:rPr>
      </w:pPr>
      <w:r w:rsidRPr="008223EE">
        <w:rPr>
          <w:rFonts w:ascii="Arial" w:eastAsia="Times New Roman" w:hAnsi="Arial" w:cs="Arial"/>
          <w:sz w:val="16"/>
          <w:szCs w:val="16"/>
        </w:rPr>
        <w:t>Adjusted profit before tax and adjusted performance metrics have been presented to provide a more consistent basis for comparing business performance between periods. Adjusting items are considered to be significant and not representative of the underlying business performance. Items excluded from the adjusted measures are: the impact of own credit; gains on debt buy-backs; impairment and disposal of the investment in BlackRock, Inc.; the provision for Payment Protection Insurance redress payments and claims management costs (PPI redress); the provision for interest rate hedging products redress and claims management costs (interest rate hedging products redress); goodwill impairments; and gains and losses on acquisitions and disposals. The regulatory penalties relating to the industry-wide investigation into the setting of interbank offered rates have not been excluded from adjusted measures.</w:t>
      </w:r>
    </w:p>
    <w:p w:rsidR="008223EE" w:rsidRPr="008223EE" w:rsidRDefault="008223EE" w:rsidP="008223EE">
      <w:pPr>
        <w:spacing w:before="120" w:after="120" w:line="240" w:lineRule="auto"/>
        <w:jc w:val="both"/>
        <w:rPr>
          <w:rFonts w:ascii="Arial" w:eastAsia="Times New Roman" w:hAnsi="Arial" w:cs="Arial"/>
          <w:sz w:val="18"/>
          <w:szCs w:val="18"/>
        </w:rPr>
      </w:pPr>
      <w:r w:rsidRPr="008223EE">
        <w:rPr>
          <w:rFonts w:ascii="Arial" w:eastAsia="Times New Roman" w:hAnsi="Arial" w:cs="Arial"/>
          <w:sz w:val="16"/>
          <w:szCs w:val="16"/>
        </w:rPr>
        <w:t xml:space="preserve">Relevant terms that are used in this document but are not defined under applicable regulatory guidance or International Financial Reporting Standards (IFRS) are explained in the Results glossary that can be accessed at </w:t>
      </w:r>
      <w:hyperlink r:id="rId5" w:anchor="institutional-investors" w:history="1">
        <w:r w:rsidRPr="008223EE">
          <w:rPr>
            <w:rFonts w:ascii="Arial" w:eastAsia="Times New Roman" w:hAnsi="Arial" w:cs="Arial"/>
            <w:color w:val="0000FF"/>
            <w:sz w:val="16"/>
            <w:szCs w:val="16"/>
            <w:u w:val="single"/>
          </w:rPr>
          <w:t>http://group.barclays.com/about-barclays/investor-relations#institutional-investors</w:t>
        </w:r>
      </w:hyperlink>
      <w:r w:rsidRPr="008223EE">
        <w:rPr>
          <w:rFonts w:ascii="Arial" w:eastAsia="Times New Roman" w:hAnsi="Arial" w:cs="Arial"/>
          <w:sz w:val="16"/>
          <w:szCs w:val="16"/>
        </w:rPr>
        <w:t>.</w:t>
      </w:r>
    </w:p>
    <w:p w:rsidR="008223EE" w:rsidRPr="008223EE" w:rsidRDefault="008223EE" w:rsidP="008223EE">
      <w:pPr>
        <w:spacing w:before="120" w:after="120" w:line="240" w:lineRule="auto"/>
        <w:jc w:val="both"/>
        <w:rPr>
          <w:rFonts w:ascii="Arial" w:eastAsia="Times New Roman" w:hAnsi="Arial" w:cs="Arial"/>
          <w:sz w:val="18"/>
          <w:szCs w:val="18"/>
        </w:rPr>
      </w:pPr>
      <w:r w:rsidRPr="008223EE">
        <w:rPr>
          <w:rFonts w:ascii="Arial" w:eastAsia="Times New Roman" w:hAnsi="Arial" w:cs="Arial"/>
          <w:sz w:val="16"/>
          <w:szCs w:val="16"/>
        </w:rPr>
        <w:t>In accordance with Barclays policy to provide meaningful disclosures that help investors and other stakeholders understand the financial position, performance and changes in the financial position of the Group, and having regard to the British Bank Association Disclosure Code, the information provided in this report goes beyond minimum requirements. Barclays continues to develop its financial reporting considering best practice and welcomes feedback from investors, regulators and other stakeholders on the disclosures that they would find most useful.</w:t>
      </w:r>
    </w:p>
    <w:p w:rsidR="008223EE" w:rsidRPr="008223EE" w:rsidRDefault="008223EE" w:rsidP="008223EE">
      <w:pPr>
        <w:spacing w:before="120" w:after="120" w:line="240" w:lineRule="auto"/>
        <w:jc w:val="both"/>
        <w:rPr>
          <w:rFonts w:ascii="Arial" w:eastAsia="Times New Roman" w:hAnsi="Arial" w:cs="Arial"/>
          <w:sz w:val="18"/>
          <w:szCs w:val="18"/>
        </w:rPr>
      </w:pPr>
      <w:r w:rsidRPr="008223EE">
        <w:rPr>
          <w:rFonts w:ascii="Arial" w:eastAsia="Times New Roman" w:hAnsi="Arial" w:cs="Arial"/>
          <w:sz w:val="16"/>
          <w:szCs w:val="16"/>
        </w:rPr>
        <w:t>The Listing Rules of the UK Listing Authority (LR 9.7A.1) require that preliminary statements of annual results must be agreed with the listed company's auditors prior to publication, even though an audit opinion has not yet been issued. In addition, the Listing Rules require such statements to give details of the nature of any likely modification that may be contained in the auditors' report to be included with the annual report and accounts. Barclays PLC confirms that it has agreed this preliminary statement of annual results with PricewaterhouseCoopers LLP and that the Board of Directors has not been made aware of any likely modification to the auditors' report to be included with the annual report and accounts for the year ended 31 December 2012.</w:t>
      </w:r>
    </w:p>
    <w:p w:rsidR="008223EE" w:rsidRPr="008223EE" w:rsidRDefault="008223EE" w:rsidP="008223EE">
      <w:pPr>
        <w:spacing w:before="120" w:after="120" w:line="240" w:lineRule="auto"/>
        <w:jc w:val="both"/>
        <w:rPr>
          <w:rFonts w:ascii="Arial" w:eastAsia="Times New Roman" w:hAnsi="Arial" w:cs="Arial"/>
          <w:sz w:val="18"/>
          <w:szCs w:val="18"/>
        </w:rPr>
      </w:pPr>
      <w:r w:rsidRPr="008223EE">
        <w:rPr>
          <w:rFonts w:ascii="Arial" w:eastAsia="Times New Roman" w:hAnsi="Arial" w:cs="Arial"/>
          <w:sz w:val="16"/>
          <w:szCs w:val="16"/>
        </w:rPr>
        <w:t>The information in this announcement, which was approved by the Board of Directors on 11 February 2013, does not comprise statutory accounts within the meaning of Section 434 of the Companies Act 2006. Statutory accounts for the year ended 31 December 2011, which included certain information required for the Joint Annual Report on Form 20-F of Barclays PLC and Barclays Bank PLC to the US Securities and Exchange Commission (SEC) and which contained an unqualified audit report under Section 495 of the Companies Act 2006 and which did not make any statements under Section 498 of the Companies Act 2006, have been delivered to the Registrar of Companies in accordance with Section 441 of the Companies Act 2006.</w:t>
      </w:r>
    </w:p>
    <w:p w:rsidR="008223EE" w:rsidRPr="008223EE" w:rsidRDefault="008223EE" w:rsidP="008223EE">
      <w:pPr>
        <w:spacing w:before="120" w:after="120" w:line="240" w:lineRule="auto"/>
        <w:jc w:val="both"/>
        <w:rPr>
          <w:rFonts w:ascii="Arial" w:eastAsia="Times New Roman" w:hAnsi="Arial" w:cs="Arial"/>
          <w:sz w:val="18"/>
          <w:szCs w:val="18"/>
        </w:rPr>
      </w:pPr>
      <w:r w:rsidRPr="008223EE">
        <w:rPr>
          <w:rFonts w:ascii="Arial" w:eastAsia="Times New Roman" w:hAnsi="Arial" w:cs="Arial"/>
          <w:sz w:val="16"/>
          <w:szCs w:val="16"/>
        </w:rPr>
        <w:t>These results will be furnished as a Form 6-K to the SEC as soon as practicable following their publication. Once filed with the SEC, copies of the Form 6-K will also be available from the Barclays Investor Relations website www.barclays.com/investorrelations and from the SEC's website (</w:t>
      </w:r>
      <w:hyperlink r:id="rId6" w:history="1">
        <w:r w:rsidRPr="008223EE">
          <w:rPr>
            <w:rFonts w:ascii="Arial" w:eastAsia="Times New Roman" w:hAnsi="Arial" w:cs="Arial"/>
            <w:color w:val="0000FF"/>
            <w:sz w:val="16"/>
            <w:szCs w:val="16"/>
            <w:u w:val="single"/>
          </w:rPr>
          <w:t>www.sec.gov</w:t>
        </w:r>
      </w:hyperlink>
      <w:r w:rsidRPr="008223EE">
        <w:rPr>
          <w:rFonts w:ascii="Arial" w:eastAsia="Times New Roman" w:hAnsi="Arial" w:cs="Arial"/>
          <w:sz w:val="16"/>
          <w:szCs w:val="16"/>
        </w:rPr>
        <w:t>).</w:t>
      </w:r>
    </w:p>
    <w:p w:rsidR="008223EE" w:rsidRPr="008223EE" w:rsidRDefault="008223EE" w:rsidP="008223EE">
      <w:pPr>
        <w:spacing w:before="120" w:after="120" w:line="240" w:lineRule="auto"/>
        <w:jc w:val="both"/>
        <w:rPr>
          <w:rFonts w:ascii="Arial" w:eastAsia="Times New Roman" w:hAnsi="Arial" w:cs="Arial"/>
          <w:sz w:val="18"/>
          <w:szCs w:val="18"/>
        </w:rPr>
      </w:pPr>
      <w:r w:rsidRPr="008223EE">
        <w:rPr>
          <w:rFonts w:ascii="Arial" w:eastAsia="Times New Roman" w:hAnsi="Arial" w:cs="Arial"/>
          <w:sz w:val="16"/>
          <w:szCs w:val="16"/>
        </w:rPr>
        <w:t> </w:t>
      </w:r>
    </w:p>
    <w:p w:rsidR="008223EE" w:rsidRPr="008223EE" w:rsidRDefault="008223EE" w:rsidP="008223EE">
      <w:pPr>
        <w:spacing w:before="120" w:after="120" w:line="240" w:lineRule="auto"/>
        <w:jc w:val="both"/>
        <w:rPr>
          <w:rFonts w:ascii="Arial" w:eastAsia="Times New Roman" w:hAnsi="Arial" w:cs="Arial"/>
          <w:b/>
          <w:bCs/>
          <w:sz w:val="16"/>
          <w:szCs w:val="16"/>
        </w:rPr>
      </w:pPr>
      <w:r w:rsidRPr="008223EE">
        <w:rPr>
          <w:rFonts w:ascii="Arial" w:eastAsia="Times New Roman" w:hAnsi="Arial" w:cs="Arial"/>
          <w:b/>
          <w:bCs/>
          <w:sz w:val="16"/>
          <w:szCs w:val="16"/>
        </w:rPr>
        <w:t>Forward-looking statements</w:t>
      </w:r>
    </w:p>
    <w:p w:rsidR="008223EE" w:rsidRPr="008223EE" w:rsidRDefault="008223EE" w:rsidP="008223EE">
      <w:pPr>
        <w:spacing w:before="120" w:after="120" w:line="240" w:lineRule="auto"/>
        <w:jc w:val="both"/>
        <w:rPr>
          <w:rFonts w:ascii="Arial" w:eastAsia="Times New Roman" w:hAnsi="Arial" w:cs="Arial"/>
          <w:sz w:val="18"/>
          <w:szCs w:val="18"/>
        </w:rPr>
      </w:pPr>
      <w:r w:rsidRPr="008223EE">
        <w:rPr>
          <w:rFonts w:ascii="Arial" w:eastAsia="Times New Roman" w:hAnsi="Arial" w:cs="Arial"/>
          <w:sz w:val="16"/>
          <w:szCs w:val="16"/>
        </w:rPr>
        <w:t xml:space="preserve">This document contains certain forward-looking statements within the meaning of Section 21E of the US Securities Exchange Act of 1934, as amended, and Section 27A of the US Securities Act of 1933, as amended, with respect to certain of the Group's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These forward-looking statements can be identified by the fact that they do not relate only to historical or current facts. Forward-looking statements sometimes use words such as "may", "will", "seek", "continue", "aim", "anticipate", "target", "expect", "estimate", "intend", "plan", "goal", "believe" or other words of similar meaning. Examples of forward-looking statements include, among others, statements regarding the Group's future financial </w:t>
      </w:r>
      <w:r w:rsidRPr="008223EE">
        <w:rPr>
          <w:rFonts w:ascii="Arial" w:eastAsia="Times New Roman" w:hAnsi="Arial" w:cs="Arial"/>
          <w:sz w:val="16"/>
          <w:szCs w:val="16"/>
        </w:rPr>
        <w:lastRenderedPageBreak/>
        <w:t>position, income growth, assets, impairment charges, business strategy, capital ratios, leverage, payment of dividends, projected levels of growth in the banking and financial markets, projected costs, estimates of capital expenditures and plans and objectives for future operations and other statements that are not historical fact. By their nature, forward-looking statements involve risk and uncertainty because they relate to future events and circumstances, including, but not limited to, UK domestic, Eurozone and global economic and business conditions, the effects of continued volatility in credit markets, market related risks such as changes in interest rates and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 changes in legislation, the further development of standards and interpretations under IFRS and prudential capital rules applicable to past, current and future periods, evolving practices with regard to the interpretation and application of standards, the outcome of current and future legal proceedings, the success of future acquisitions and other strategic transactions and the impact of competition - a number of such factors being beyond the Group's control. As a result, the Group's actual future results may differ materially from the plans, goals, and expectations set forth in the Group's forward-looking statements.</w:t>
      </w:r>
    </w:p>
    <w:p w:rsidR="008223EE" w:rsidRPr="008223EE" w:rsidRDefault="008223EE" w:rsidP="008223EE">
      <w:pPr>
        <w:spacing w:before="120" w:after="120" w:line="240" w:lineRule="auto"/>
        <w:jc w:val="both"/>
        <w:rPr>
          <w:rFonts w:ascii="Arial" w:eastAsia="Times New Roman" w:hAnsi="Arial" w:cs="Arial"/>
          <w:sz w:val="18"/>
          <w:szCs w:val="18"/>
        </w:rPr>
      </w:pPr>
      <w:r w:rsidRPr="008223EE">
        <w:rPr>
          <w:rFonts w:ascii="Arial" w:eastAsia="Times New Roman" w:hAnsi="Arial" w:cs="Arial"/>
          <w:sz w:val="16"/>
          <w:szCs w:val="16"/>
        </w:rPr>
        <w:t>Any forward-looking statements made herein speak only as of the date they are made. Except as required by the UK Financial Services Authority (FSA), the London Stock Exchange plc (LSE) or applicable law, Barclays expressly disclaims any obligation or undertaking to release publicly any updates or revisions to any forward-looking statements contained in this announcement to reflect any change in Barclays expectations with regard thereto or any change in events, conditions or circumstances on which any such statement is based. The reader should, however, consult any additional disclosures that Barclays has made or may make in documents it has filed or may file with the LSE and/or the SEC.</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16"/>
          <w:szCs w:val="16"/>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Performance Highlights</w:t>
      </w:r>
    </w:p>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sz w:val="18"/>
          <w:szCs w:val="18"/>
        </w:rPr>
        <w:t>"There is no doubt that 2012 was a difficult year for Barclays and the entire banking sector. The behaviours which made headlines during the year stemmed from a period of 20 years in banking in which the sector became too aggressive, too focused on the short-term, and too disconnected from the needs of customers and clients, and wider society. Barclays was not immune from the impact of these trends, and we suffered reputational damage in 2012 as a consequence. Change is needed both in our industry and at Barclays. </w:t>
      </w:r>
    </w:p>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sz w:val="18"/>
          <w:szCs w:val="18"/>
        </w:rPr>
        <w:t> </w:t>
      </w:r>
    </w:p>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sz w:val="18"/>
          <w:szCs w:val="18"/>
        </w:rPr>
        <w:t>As I reflect on my first five months as Chief Executive and on the transformation required, I am reassured by the strong foundations on which we can build. Through a prolonged difficult economic environment, our financial performance has been strong, and our 2012 results clearly demonstrate the good momentum in our businesses. Our franchise remains robust and well positioned, in fact our position in many businesses improved through the year. I am proud of how our colleagues were not distracted and continued to focus on delivering for our customers and clients. I am also grateful for our customers' and clients' continued loyalty to Barclays, despite circumstances where it could have easily faltered.</w:t>
      </w:r>
    </w:p>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sz w:val="18"/>
          <w:szCs w:val="18"/>
        </w:rPr>
        <w:t> </w:t>
      </w:r>
    </w:p>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sz w:val="18"/>
          <w:szCs w:val="18"/>
        </w:rPr>
        <w:t>The significant reduction in this year's total incentive awards is the product of actions taken by management to reposition Barclays in the marketplace and reflects the significant conduct issues that impacted Barclays in 2012. We committed last year to a journey to bring down our compensation ratio and have made good progress this year, with the Group compensation to net income ratio declining to 38% (2011: 42%). While this is progress, not the destination, we believe a ratio in the mid-30s is a sustainable position in the medium term which will ensure that we can continue to pay our people competitively for performance while also enabling us to deliver a greater share of the income we generate to shareholders.</w:t>
      </w:r>
    </w:p>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sz w:val="18"/>
          <w:szCs w:val="18"/>
        </w:rPr>
        <w:t> </w:t>
      </w:r>
    </w:p>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sz w:val="18"/>
          <w:szCs w:val="18"/>
        </w:rPr>
        <w:t>Of course we must also improve our financial position further - despite improvement year on year, our return on equity is not yet at an acceptable level. However, the notion that there must always be a choice between profits and a values-driven business is false. Barclays will only be a valuable business if it is a values-driven business. Under my leadership, Barclays will become a valuable and sustainable institution for all our stakeholders by aligning behind a common purpose: 'helping people achieve their ambitions - in the right way'. This will be delivered by embedding five core values: Respect, Integrity, Service, Excellence and Stewardship. By building this culture, I am confident that Barclays can become the 'Go-To' bank for all our stakeholders"</w:t>
      </w:r>
    </w:p>
    <w:p w:rsidR="008223EE" w:rsidRPr="008223EE" w:rsidRDefault="008223EE" w:rsidP="008223EE">
      <w:pPr>
        <w:spacing w:after="0" w:line="240" w:lineRule="auto"/>
        <w:jc w:val="both"/>
        <w:rPr>
          <w:rFonts w:ascii="Arial" w:eastAsia="Times New Roman" w:hAnsi="Arial" w:cs="Arial"/>
          <w:i/>
          <w:iCs/>
          <w:sz w:val="18"/>
          <w:szCs w:val="18"/>
        </w:rPr>
      </w:pPr>
      <w:r w:rsidRPr="008223EE">
        <w:rPr>
          <w:rFonts w:ascii="Arial" w:eastAsia="Times New Roman" w:hAnsi="Arial" w:cs="Arial"/>
          <w:i/>
          <w:iCs/>
          <w:sz w:val="18"/>
          <w:szCs w:val="18"/>
        </w:rPr>
        <w:t> </w:t>
      </w:r>
    </w:p>
    <w:p w:rsidR="008223EE" w:rsidRPr="008223EE" w:rsidRDefault="008223EE" w:rsidP="008223EE">
      <w:pPr>
        <w:spacing w:after="0" w:line="240" w:lineRule="auto"/>
        <w:jc w:val="both"/>
        <w:rPr>
          <w:rFonts w:ascii="Arial" w:eastAsia="Times New Roman" w:hAnsi="Arial" w:cs="Arial"/>
          <w:b/>
          <w:bCs/>
          <w:sz w:val="18"/>
          <w:szCs w:val="18"/>
        </w:rPr>
      </w:pPr>
      <w:r w:rsidRPr="008223EE">
        <w:rPr>
          <w:rFonts w:ascii="Arial" w:eastAsia="Times New Roman" w:hAnsi="Arial" w:cs="Arial"/>
          <w:b/>
          <w:bCs/>
          <w:sz w:val="18"/>
          <w:szCs w:val="18"/>
        </w:rPr>
        <w:t>Antony Jenkins, Chief Executive</w:t>
      </w:r>
    </w:p>
    <w:p w:rsidR="008223EE" w:rsidRPr="008223EE" w:rsidRDefault="008223EE" w:rsidP="008223EE">
      <w:pPr>
        <w:spacing w:before="180" w:after="0" w:line="240" w:lineRule="auto"/>
        <w:jc w:val="both"/>
        <w:rPr>
          <w:rFonts w:ascii="Arial" w:eastAsia="Times New Roman" w:hAnsi="Arial" w:cs="Arial"/>
          <w:sz w:val="18"/>
          <w:szCs w:val="18"/>
        </w:rPr>
      </w:pPr>
      <w:r w:rsidRPr="008223EE">
        <w:rPr>
          <w:rFonts w:ascii="Arial" w:eastAsia="Times New Roman" w:hAnsi="Arial" w:cs="Arial"/>
          <w:sz w:val="12"/>
          <w:szCs w:val="12"/>
        </w:rPr>
        <w:t> </w:t>
      </w:r>
    </w:p>
    <w:p w:rsidR="008223EE" w:rsidRPr="008223EE" w:rsidRDefault="008223EE" w:rsidP="009B0C46">
      <w:pPr>
        <w:spacing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profit before tax was up 26% to £7,048m for the 12 months ended 31 December 2012, with an improvement of 46% in Corporate and Investment Banking, and 52% in Wealth and Investment Management</w:t>
      </w:r>
    </w:p>
    <w:p w:rsidR="008223EE" w:rsidRPr="008223EE" w:rsidRDefault="008223EE" w:rsidP="009B0C4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Statutory profit before tax decreased to £246m (2011: £5,879m), including own credit charge of £4,579m (2011: gain of £2,708m), gain on disposal of BlackRock investment of £227m (2011: impairment/loss of £1,858m), £1,600m (2011: £1,000m) provision for PPI redress, and £850m (2011: £nil) provision for interest rate hedging products redress</w:t>
      </w:r>
    </w:p>
    <w:p w:rsidR="008223EE" w:rsidRPr="008223EE" w:rsidRDefault="008223EE" w:rsidP="009B0C4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Investment Bank profit before tax increased 37% to £4,063m driven by income growth of 13% and reduced operating expenses. Q4 12 Investment Bank income was £2,593m, up 43% on Q4 11 and down 2% on Q3 12</w:t>
      </w:r>
    </w:p>
    <w:p w:rsidR="008223EE" w:rsidRPr="008223EE" w:rsidRDefault="008223EE" w:rsidP="009B0C4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return on average shareholders' equity increased to 7.8% (2011: 6.6%) with improvements in most of our businesses. Statutory return on average shareholders' equity was negative 1.9% (2011: positive 5.8%)</w:t>
      </w:r>
    </w:p>
    <w:p w:rsidR="008223EE" w:rsidRPr="008223EE" w:rsidRDefault="008223EE" w:rsidP="009B0C4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income was up 2% at £29,043m despite challenging economic conditions, the continuing low interest rate environment and non-recurrence of gains from the disposal of hedging instruments in 2011 of £1,061m</w:t>
      </w:r>
    </w:p>
    <w:p w:rsidR="008223EE" w:rsidRPr="008223EE" w:rsidRDefault="008223EE" w:rsidP="009B0C4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Credit impairment charges were down 5% at £3,596m, principally reflecting improvements in Barclaycard, Corporate Banking and UK RBB, partially offset by higher charges in the Investment Bank, Africa RBB and Europe RBB</w:t>
      </w:r>
    </w:p>
    <w:p w:rsidR="008223EE" w:rsidRPr="008223EE" w:rsidRDefault="008223EE" w:rsidP="009B0C4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operating expenses were down 3% to £18,539m as we reduced non-performance costs by 3% to £16,114m and performance costs by 4% to £2,425m. Total incentive awards declined 16% for the Group and 20% for the Investment Bank, reducing the Investment Bank compensation: income ratio to 39% (2011: 47%)</w:t>
      </w:r>
    </w:p>
    <w:p w:rsidR="008223EE" w:rsidRPr="008223EE" w:rsidRDefault="008223EE" w:rsidP="009B0C4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Core Tier 1 ratio remained strong at 10.9% (2011: 11.0%). Risk weighted assets reduced 1% to £387bn</w:t>
      </w:r>
    </w:p>
    <w:p w:rsidR="008223EE" w:rsidRPr="008223EE" w:rsidRDefault="008223EE" w:rsidP="009B0C4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Group continues to access both secured and unsecured term funding markets and raised £28bn of term funding in 2012, including £6bn through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participation in the Bank of England's Funding for Lending Scheme (FLS). In Q4 12 the Group successfully placed $3bn of Tier 2 Contingent Capital Notes (CCNs) which was well received by the market</w:t>
      </w:r>
    </w:p>
    <w:p w:rsidR="008223EE" w:rsidRPr="008223EE" w:rsidRDefault="008223EE" w:rsidP="009B0C46">
      <w:pPr>
        <w:spacing w:before="18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Group delivered £44bn (2011: £45bn) of gross new lending to UK households and businesses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Performance Highlights</w:t>
      </w:r>
    </w:p>
    <w:tbl>
      <w:tblPr>
        <w:tblW w:w="0" w:type="auto"/>
        <w:tblInd w:w="-36" w:type="dxa"/>
        <w:tblCellMar>
          <w:left w:w="0" w:type="dxa"/>
          <w:right w:w="0" w:type="dxa"/>
        </w:tblCellMar>
        <w:tblLook w:val="04A0" w:firstRow="1" w:lastRow="0" w:firstColumn="1" w:lastColumn="0" w:noHBand="0" w:noVBand="1"/>
      </w:tblPr>
      <w:tblGrid>
        <w:gridCol w:w="3554"/>
        <w:gridCol w:w="2737"/>
        <w:gridCol w:w="105"/>
        <w:gridCol w:w="2738"/>
      </w:tblGrid>
      <w:tr w:rsidR="008223EE" w:rsidRPr="008223EE" w:rsidTr="008223EE">
        <w:trPr>
          <w:trHeight w:val="240"/>
        </w:trPr>
        <w:tc>
          <w:tcPr>
            <w:tcW w:w="36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Barclays Results </w:t>
            </w:r>
            <w:r w:rsidRPr="008223EE">
              <w:rPr>
                <w:rFonts w:ascii="Arial" w:eastAsia="Times New Roman" w:hAnsi="Arial" w:cs="Arial"/>
                <w:b/>
                <w:bCs/>
                <w:color w:val="000000"/>
                <w:sz w:val="16"/>
                <w:szCs w:val="16"/>
                <w:vertAlign w:val="superscript"/>
              </w:rPr>
              <w:t> </w:t>
            </w:r>
          </w:p>
        </w:tc>
        <w:tc>
          <w:tcPr>
            <w:tcW w:w="28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28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645"/>
        <w:gridCol w:w="885"/>
        <w:gridCol w:w="885"/>
        <w:gridCol w:w="885"/>
        <w:gridCol w:w="105"/>
        <w:gridCol w:w="885"/>
        <w:gridCol w:w="885"/>
        <w:gridCol w:w="885"/>
      </w:tblGrid>
      <w:tr w:rsidR="008223EE" w:rsidRPr="008223EE" w:rsidTr="008223EE">
        <w:trPr>
          <w:trHeight w:val="240"/>
        </w:trPr>
        <w:tc>
          <w:tcPr>
            <w:tcW w:w="36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for the twelve months ended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vertAlign w:val="superscript"/>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r w:rsidR="008223EE" w:rsidRPr="008223EE" w:rsidTr="008223EE">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29,043 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28,512 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24,691 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32,292 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w:t>
            </w:r>
          </w:p>
        </w:tc>
      </w:tr>
      <w:tr w:rsidR="008223EE" w:rsidRPr="008223EE" w:rsidTr="008223EE">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r w:rsidRPr="008223EE">
              <w:rPr>
                <w:rFonts w:ascii="Arial" w:eastAsia="Times New Roman" w:hAnsi="Arial" w:cs="Arial"/>
                <w:color w:val="000000"/>
                <w:sz w:val="13"/>
                <w:szCs w:val="13"/>
                <w:vertAlign w:val="superscript"/>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(3,596)</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(3,802)</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(3,596)</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(5,602)</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w:t>
            </w:r>
          </w:p>
        </w:tc>
      </w:tr>
      <w:tr w:rsidR="008223EE" w:rsidRPr="008223EE" w:rsidTr="008223EE">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r w:rsidRPr="008223EE">
              <w:rPr>
                <w:rFonts w:ascii="Arial" w:eastAsia="Times New Roman" w:hAnsi="Arial" w:cs="Arial"/>
                <w:b/>
                <w:bCs/>
                <w:color w:val="000000"/>
                <w:sz w:val="13"/>
                <w:szCs w:val="13"/>
                <w:vertAlign w:val="superscript"/>
              </w:rPr>
              <w:t>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25,447 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24,710 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3 </w:t>
            </w:r>
            <w:r w:rsidRPr="008223EE">
              <w:rPr>
                <w:rFonts w:ascii="Arial" w:eastAsia="Times New Roman" w:hAnsi="Arial" w:cs="Arial"/>
                <w:color w:val="000000"/>
                <w:sz w:val="16"/>
                <w:szCs w:val="16"/>
                <w:vertAlign w:val="superscript"/>
              </w:rPr>
              <w:t xml:space="preserve">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21,095 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26,690 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w:t>
            </w: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(18,539)</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(19,180)</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(20,989)</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(20,777)</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r>
      <w:tr w:rsidR="008223EE" w:rsidRPr="008223EE" w:rsidTr="008223EE">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income/(expense)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140 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140 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before tax </w:t>
            </w:r>
            <w:r w:rsidRPr="008223EE">
              <w:rPr>
                <w:rFonts w:ascii="Arial" w:eastAsia="Times New Roman" w:hAnsi="Arial" w:cs="Arial"/>
                <w:b/>
                <w:bCs/>
                <w:color w:val="000000"/>
                <w:sz w:val="13"/>
                <w:szCs w:val="13"/>
                <w:vertAlign w:val="superscript"/>
              </w:rPr>
              <w:t>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7,048 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5,590 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26 </w:t>
            </w:r>
            <w:r w:rsidRPr="008223EE">
              <w:rPr>
                <w:rFonts w:ascii="Arial" w:eastAsia="Times New Roman" w:hAnsi="Arial" w:cs="Arial"/>
                <w:color w:val="000000"/>
                <w:sz w:val="16"/>
                <w:szCs w:val="16"/>
                <w:vertAlign w:val="superscript"/>
              </w:rPr>
              <w:t xml:space="preserve">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246 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5,879 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Profit/(loss) after tax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5,023 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4,265 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(236)</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3,951 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1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85"/>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Performance Measures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shareholders' equity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tangible shareholders' equity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9.1%</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7.9%</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risk weighted assets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(0.1%)</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Cost: income ratio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Compensation: net operating income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 loss rate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75bps</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77bps</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75bps</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77bps</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12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Basic earnings/(loss) per share </w:t>
            </w:r>
            <w:r w:rsidRPr="008223EE">
              <w:rPr>
                <w:rFonts w:ascii="Arial" w:eastAsia="Times New Roman" w:hAnsi="Arial" w:cs="Arial"/>
                <w:color w:val="000000"/>
                <w:sz w:val="13"/>
                <w:szCs w:val="13"/>
                <w:vertAlign w:val="superscript"/>
              </w:rPr>
              <w:t>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34.5p</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27.7p</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(8.5p)</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25.1p</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Dividend per share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6.5p</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6.0p</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6.5p</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6.0p</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1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85"/>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Capital and Balance Sheet </w:t>
            </w:r>
            <w:r w:rsidRPr="008223EE">
              <w:rPr>
                <w:rFonts w:ascii="Arial" w:eastAsia="Times New Roman" w:hAnsi="Arial" w:cs="Arial"/>
                <w:b/>
                <w:bCs/>
                <w:color w:val="000000"/>
                <w:sz w:val="16"/>
                <w:szCs w:val="16"/>
                <w:vertAlign w:val="superscript"/>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Core Tier 1 ratio </w:t>
            </w:r>
            <w:r w:rsidRPr="008223EE">
              <w:rPr>
                <w:rFonts w:ascii="Arial" w:eastAsia="Times New Roman" w:hAnsi="Arial" w:cs="Arial"/>
                <w:color w:val="000000"/>
                <w:sz w:val="13"/>
                <w:szCs w:val="13"/>
                <w:vertAlign w:val="superscript"/>
              </w:rPr>
              <w:t>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11.0%</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£387bn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£391bn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Adjusted gross leverage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19x</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20x</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Group liquidity pool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£150bn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£152bn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asset value per share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438p</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456p</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tangible asset value per share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373p</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391p</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 deposit ratio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110%</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118%</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143"/>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Adjusted Profit Reconciliation</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Adjusted profit before tax</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7,048 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5,590 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Own credit</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(4,579)</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2,708 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Gains on debt buy-backs</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1,130 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51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Gain/(loss) on disposal and impairment of BlackRock investment</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227 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(1,858)</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Provision for PPI redress</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(1,600)</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(1,000)</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Provision for interest rate hedging products redress</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(850)</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Goodwill impairment</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(597)</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Losses on acquisitions and disposals</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Statutory profit before tax</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246 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5,879 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dxa"/>
        <w:tblInd w:w="-36" w:type="dxa"/>
        <w:tblCellMar>
          <w:left w:w="0" w:type="dxa"/>
          <w:right w:w="0" w:type="dxa"/>
        </w:tblCellMar>
        <w:tblLook w:val="04A0" w:firstRow="1" w:lastRow="0" w:firstColumn="1" w:lastColumn="0" w:noHBand="0" w:noVBand="1"/>
      </w:tblPr>
      <w:tblGrid>
        <w:gridCol w:w="3539"/>
        <w:gridCol w:w="868"/>
        <w:gridCol w:w="866"/>
        <w:gridCol w:w="1011"/>
        <w:gridCol w:w="105"/>
        <w:gridCol w:w="868"/>
        <w:gridCol w:w="866"/>
        <w:gridCol w:w="1011"/>
      </w:tblGrid>
      <w:tr w:rsidR="008223EE" w:rsidRPr="008223EE" w:rsidTr="009B0C46">
        <w:trPr>
          <w:trHeight w:val="12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vertAlign w:val="superscript"/>
              </w:rPr>
              <w:t> </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p>
        </w:tc>
      </w:tr>
      <w:tr w:rsidR="008223EE" w:rsidRPr="008223EE" w:rsidTr="009B0C46">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805" w:type="dxa"/>
            <w:gridSpan w:val="3"/>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2805" w:type="dxa"/>
            <w:gridSpan w:val="3"/>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dxa"/>
        <w:tblInd w:w="-36" w:type="dxa"/>
        <w:tblCellMar>
          <w:left w:w="0" w:type="dxa"/>
          <w:right w:w="0" w:type="dxa"/>
        </w:tblCellMar>
        <w:tblLook w:val="04A0" w:firstRow="1" w:lastRow="0" w:firstColumn="1" w:lastColumn="0" w:noHBand="0" w:noVBand="1"/>
      </w:tblPr>
      <w:tblGrid>
        <w:gridCol w:w="3645"/>
        <w:gridCol w:w="885"/>
        <w:gridCol w:w="885"/>
        <w:gridCol w:w="885"/>
        <w:gridCol w:w="105"/>
        <w:gridCol w:w="885"/>
        <w:gridCol w:w="885"/>
        <w:gridCol w:w="885"/>
      </w:tblGrid>
      <w:tr w:rsidR="008223EE" w:rsidRPr="008223EE" w:rsidTr="009B0C46">
        <w:trPr>
          <w:trHeight w:val="240"/>
        </w:trPr>
        <w:tc>
          <w:tcPr>
            <w:tcW w:w="36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Profit/(Loss) Before Tax by Business</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9B0C46">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vertAlign w:val="superscript"/>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r w:rsidR="008223EE" w:rsidRPr="008223EE" w:rsidTr="009B0C46">
        <w:trPr>
          <w:trHeight w:val="255"/>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1,472 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1,420 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292 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1,020 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w:t>
            </w:r>
          </w:p>
        </w:tc>
      </w:tr>
      <w:tr w:rsidR="008223EE" w:rsidRPr="008223EE" w:rsidTr="009B0C46">
        <w:trPr>
          <w:trHeight w:val="255"/>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Europe</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(239)</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(234)</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(239)</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(661)</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w:t>
            </w:r>
          </w:p>
        </w:tc>
      </w:tr>
      <w:tr w:rsidR="008223EE" w:rsidRPr="008223EE" w:rsidTr="009B0C46">
        <w:trPr>
          <w:trHeight w:val="255"/>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Africa</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468 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830 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468 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832 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w:t>
            </w:r>
          </w:p>
        </w:tc>
      </w:tr>
      <w:tr w:rsidR="008223EE" w:rsidRPr="008223EE" w:rsidTr="009B0C46">
        <w:trPr>
          <w:trHeight w:val="255"/>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Barclaycard</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1,506 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1,208 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25 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1,086 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561 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9B0C46">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Retail and Business Banking (RBB)</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3,207 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3,224 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1,607 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1,752 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w:t>
            </w:r>
          </w:p>
        </w:tc>
      </w:tr>
      <w:tr w:rsidR="008223EE" w:rsidRPr="008223EE" w:rsidTr="009B0C46">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Investment Bank</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4,063 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2,965 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37 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4,063 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2,965 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37 </w:t>
            </w:r>
          </w:p>
        </w:tc>
      </w:tr>
      <w:tr w:rsidR="008223EE" w:rsidRPr="008223EE" w:rsidTr="009B0C46">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Banking</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551 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204 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(299)</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9B0C46">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Corporate and Investment Banking</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4,614 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3,169 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46 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3,764 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2,973 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27 </w:t>
            </w:r>
          </w:p>
        </w:tc>
      </w:tr>
      <w:tr w:rsidR="008223EE" w:rsidRPr="008223EE" w:rsidTr="009B0C46">
        <w:trPr>
          <w:trHeight w:val="24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315 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207 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315 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207 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52 </w:t>
            </w:r>
          </w:p>
        </w:tc>
      </w:tr>
      <w:tr w:rsidR="008223EE" w:rsidRPr="008223EE" w:rsidTr="009B0C46">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Head Office and Other Operations</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(1,088)</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(1,010)</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(5,440)</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947 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9B0C46">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profit before tax</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7,048 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5,590 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26 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246 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5,879 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9B0C46">
        <w:trPr>
          <w:trHeight w:val="180"/>
        </w:trPr>
        <w:tc>
          <w:tcPr>
            <w:tcW w:w="36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r>
      <w:r w:rsidRPr="008223EE">
        <w:rPr>
          <w:rFonts w:ascii="Arial" w:eastAsia="Times New Roman" w:hAnsi="Arial" w:cs="Arial"/>
          <w:b/>
          <w:bCs/>
          <w:color w:val="000000"/>
          <w:sz w:val="24"/>
          <w:szCs w:val="24"/>
        </w:rPr>
        <w:br/>
        <w:t>Chief Executive's Statement</w:t>
      </w:r>
    </w:p>
    <w:p w:rsidR="008223EE" w:rsidRPr="008223EE" w:rsidRDefault="008223EE" w:rsidP="008223EE">
      <w:pPr>
        <w:spacing w:after="180" w:line="240" w:lineRule="auto"/>
        <w:jc w:val="both"/>
        <w:rPr>
          <w:rFonts w:ascii="Arial" w:eastAsia="Times New Roman" w:hAnsi="Arial" w:cs="Arial"/>
          <w:sz w:val="18"/>
          <w:szCs w:val="18"/>
        </w:rPr>
      </w:pPr>
      <w:r w:rsidRPr="008223EE">
        <w:rPr>
          <w:rFonts w:ascii="Arial" w:eastAsia="Times New Roman" w:hAnsi="Arial" w:cs="Arial"/>
          <w:sz w:val="18"/>
          <w:szCs w:val="18"/>
        </w:rPr>
        <w:t>2012 was a difficult year for Barclays. In June we reached a settlement with various regulators regarding the Bank's misconduct in relation to LIBOR and EURIBOR. We know that we need to change the way we do business if we are going to regain the trust of our various stakeholders and begin to restore our reputation. The process will take time, but we are committed to transforming Barclays.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We have defined our goal as becoming the 'Go-To' bank, an ambition for Barclays to be the instinctive bank of choice for all those with whom we engage. We want that choice to be both rational and emotional - because of what we deliver (our performance), and how we deliver (our values).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In the </w:t>
      </w:r>
      <w:proofErr w:type="gramStart"/>
      <w:r w:rsidRPr="008223EE">
        <w:rPr>
          <w:rFonts w:ascii="Arial" w:eastAsia="Times New Roman" w:hAnsi="Arial" w:cs="Arial"/>
          <w:sz w:val="18"/>
          <w:szCs w:val="18"/>
        </w:rPr>
        <w:t>Autumn</w:t>
      </w:r>
      <w:proofErr w:type="gramEnd"/>
      <w:r w:rsidRPr="008223EE">
        <w:rPr>
          <w:rFonts w:ascii="Arial" w:eastAsia="Times New Roman" w:hAnsi="Arial" w:cs="Arial"/>
          <w:sz w:val="18"/>
          <w:szCs w:val="18"/>
        </w:rPr>
        <w:t>, I established a programme, which we called 'TRANSFORM', as the route through which we will become the 'Go-To' bank. That programme is made up of three parts, each with a distinct objective, they are: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1) Turnaround: To stabilise the organisation, ensuring short-term momentum is maintained while preparing the organisation for the change to come.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2) Return Acceptable Numbers: To improve business returns through defining and executing a plan to deliver a return on equity above the cost of equity.</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3) Sustain Forward Momentum: To become the 'Go-To' bank for all of our stakeholders - customers and clients, colleagues, investors and wider society.</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Over the past five months, we have actively engaged and listened carefully to a wide range of our stakeholders and crafted robust plans to deliver each of these objectives, consistent with their needs. We have a deep appreciation of the scale of the task ahead as a result.</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In the period post my appointment, my focus was on stabilising the organisation and maintaining momentum in the business. Colleagues across the business rose to that challenge, and we were able to deliver adjusted profit before tax for the year ended 31 December 2012, of £7bn - a 26% increase on 2011. That is a good achievement given the context in which we operated for much of the year. Our statutory profit before tax declined to £246m, primarily reflecting a £4.6bn own credit charge, and provisions of £1.6bn and £850m for PPI and interest rate hedging products redress, respectively.</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lastRenderedPageBreak/>
        <w:t xml:space="preserve">Despite the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global economic and market challenges, adjusted income increased 2% to £29.0bn and impairments improved 5%, decreasing to £3.6bn. We were also able to reduce our adjusted operating expenses by 3% to £18.5bn and improve our adjusted cost to income ratio to 64%. Consistent with the commitment that we made to shareholders last year, and despite the strong performance of our business in 2012, we lowered incentives by 16%, taking our compensation: net income ratio in the Group down to 38% (2011: 42%), and our </w:t>
      </w:r>
      <w:proofErr w:type="spellStart"/>
      <w:r w:rsidRPr="008223EE">
        <w:rPr>
          <w:rFonts w:ascii="Arial" w:eastAsia="Times New Roman" w:hAnsi="Arial" w:cs="Arial"/>
          <w:sz w:val="18"/>
          <w:szCs w:val="18"/>
        </w:rPr>
        <w:t>compensation:income</w:t>
      </w:r>
      <w:proofErr w:type="spellEnd"/>
      <w:r w:rsidRPr="008223EE">
        <w:rPr>
          <w:rFonts w:ascii="Arial" w:eastAsia="Times New Roman" w:hAnsi="Arial" w:cs="Arial"/>
          <w:sz w:val="18"/>
          <w:szCs w:val="18"/>
        </w:rPr>
        <w:t xml:space="preserve"> ratio in the Investment Bank was down to 39% (2011: 47%).</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We were able to provide £44bn in gross new lending to UK households and businesses, including an estimated £5.7bn of net new lending under the Funding for Lending Scheme. Barclays was the leading provider of loans to UK households and businesses under the National Loan Guarantee Scheme and the FLS through Q3 12</w:t>
      </w:r>
      <w:r w:rsidRPr="008223EE">
        <w:rPr>
          <w:rFonts w:ascii="Arial" w:eastAsia="Times New Roman" w:hAnsi="Arial" w:cs="Arial"/>
          <w:sz w:val="14"/>
          <w:szCs w:val="14"/>
          <w:vertAlign w:val="superscript"/>
        </w:rPr>
        <w:t>1</w:t>
      </w:r>
      <w:r w:rsidRPr="008223EE">
        <w:rPr>
          <w:rFonts w:ascii="Arial" w:eastAsia="Times New Roman" w:hAnsi="Arial" w:cs="Arial"/>
          <w:sz w:val="18"/>
          <w:szCs w:val="18"/>
        </w:rPr>
        <w:t xml:space="preserve"> with strong growth continuing, particularly to individuals and households through Q4. Moreover, the Investment Bank raised over £830bn in financing for businesses and governments globally, ranking it the fourth largest provider of financing globally.</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Barclays has a proud history of serving the broader needs of society while also delivering good business results. In the UK during 2012 we continued that tradition. We welcomed our 500th apprentice in January 2013 and are on track to meet our commitment to recruit 1,000 apprentices by the middle of 2013. We renewed our global partnership with UNICEF, committing to invest a further £5m over three years in programmes to develop the skills and employability of disadvantaged young people in emerging economies. Nearly 68,000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colleagues provided their time, skills and money to charitable causes and we invested a total of £64m in community programmes globally in 2012.</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Regulators and governments rightly want to be sure that the banking system is robust. Barclays continues to be at the forefront of work to introduce Resolution and Recovery Plans. Our Core Tier 1 ratio remained strong at 10.9%</w:t>
      </w:r>
      <w:proofErr w:type="gramStart"/>
      <w:r w:rsidRPr="008223EE">
        <w:rPr>
          <w:rFonts w:ascii="Arial" w:eastAsia="Times New Roman" w:hAnsi="Arial" w:cs="Arial"/>
          <w:sz w:val="18"/>
          <w:szCs w:val="18"/>
        </w:rPr>
        <w:t>,</w:t>
      </w:r>
      <w:proofErr w:type="gramEnd"/>
      <w:r w:rsidRPr="008223EE">
        <w:rPr>
          <w:rFonts w:ascii="Arial" w:eastAsia="Times New Roman" w:hAnsi="Arial" w:cs="Arial"/>
          <w:sz w:val="18"/>
          <w:szCs w:val="18"/>
        </w:rPr>
        <w:t xml:space="preserve"> we reduced risk weighted assets to £387bn and maintained a liquidity pool of £150bn. In November, Barclays successfully placed $3bn of Contingent Capital Notes in the market, reinforcing the market's view that Barclays is financially robust.</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Our adjusted return on equity improved to 7.8% from 6.6%, with improvements in the majority of our businesses. However, there is still much work to be done to ensure that our return on equity exceeds our cost of equity on a sustainable basis.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Despite the challenges,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performance enabled us to pay a full year dividend of 6.5p.</w:t>
      </w: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9B0C46">
      <w:pPr>
        <w:spacing w:after="0" w:line="240" w:lineRule="auto"/>
        <w:ind w:left="284" w:hanging="284"/>
        <w:jc w:val="both"/>
        <w:rPr>
          <w:rFonts w:ascii="Arial" w:eastAsia="Times New Roman" w:hAnsi="Arial" w:cs="Arial"/>
          <w:i/>
          <w:iCs/>
          <w:sz w:val="2"/>
          <w:szCs w:val="2"/>
        </w:rPr>
      </w:pPr>
      <w:r w:rsidRPr="008223EE">
        <w:rPr>
          <w:rFonts w:ascii="Arial" w:eastAsia="Times New Roman" w:hAnsi="Arial" w:cs="Arial"/>
          <w:i/>
          <w:iCs/>
          <w:color w:val="000000"/>
          <w:sz w:val="14"/>
          <w:szCs w:val="14"/>
        </w:rPr>
        <w:t xml:space="preserve">1        Cumulative net stock lending for Q3 2012 as per Bank of England publication in December 2012: </w:t>
      </w:r>
      <w:r w:rsidR="009B0C46" w:rsidRPr="009B0C46">
        <w:rPr>
          <w:rFonts w:ascii="Arial" w:eastAsia="Times New Roman" w:hAnsi="Arial" w:cs="Arial"/>
          <w:i/>
          <w:iCs/>
          <w:color w:val="000000"/>
          <w:sz w:val="14"/>
          <w:szCs w:val="14"/>
        </w:rPr>
        <w:t>http://www.bankofengland.co.uk/markets/Pages/FLS/</w:t>
      </w:r>
      <w:r w:rsidRPr="008223EE">
        <w:rPr>
          <w:rFonts w:ascii="Arial" w:eastAsia="Times New Roman" w:hAnsi="Arial" w:cs="Arial"/>
          <w:i/>
          <w:iCs/>
          <w:color w:val="000000"/>
          <w:sz w:val="14"/>
          <w:szCs w:val="14"/>
        </w:rPr>
        <w:t>data.aspx.</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hanging="284"/>
        <w:jc w:val="both"/>
        <w:rPr>
          <w:rFonts w:ascii="Arial" w:eastAsia="Times New Roman" w:hAnsi="Arial" w:cs="Arial"/>
          <w:i/>
          <w:iCs/>
          <w:sz w:val="2"/>
          <w:szCs w:val="2"/>
        </w:rPr>
      </w:pPr>
      <w:r w:rsidRPr="008223EE">
        <w:rPr>
          <w:rFonts w:ascii="Arial" w:eastAsia="Times New Roman" w:hAnsi="Arial" w:cs="Arial"/>
          <w:i/>
          <w:iCs/>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Chief Executive's Statement</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While I take pride in and comfort from Barclays performance in 2012, I understand that much more is expected of us as we move forward, in particular the need for our shareholders to receive an appropriate return. Highlights of our future plans developed through our TRANSFORM programme are contained in a separate announcement published this morning. Those make clear that our intention is to create a material improvement in return on equity over the medium term and with that a significant improvement in the dividend pay-out rate.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But how we do things at Barclays in the future will be every bit as important as what we do. In January of this year, we launched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new purpose and values - a set of standards that will apply consistently across all businesses and serve as the basis against which the performance of every colleague and every business across the organisation will be assessed and rewarded.</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Our Purpose is simple: to help people achieve their ambitions - in the right way.</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Our Values appear simple but have deep implications for the behaviour that we expect of each and every colleague: Respect, Integrity, Service, Excellence and Stewardship.</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pursuit of profit that is achieved in ways inconsistent with that purpose and those values will not be tolerated. I believe Barclays will only be a valuable business if it is a values-driven business. We must operate to the highest standards if our stakeholders are to trust us and bring their business to Barclays. Our long-term performance depends on it.</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We know that we have a great deal of work to do. We know that we will be judged by our actions, not our words. We are completely committed to becoming the 'Go-To' bank - for our customers and clients; colleagues; investors; and wider society.</w:t>
      </w:r>
    </w:p>
    <w:p w:rsidR="008223EE" w:rsidRPr="008223EE" w:rsidRDefault="008223EE" w:rsidP="008223EE">
      <w:pPr>
        <w:spacing w:before="180" w:after="180" w:line="240" w:lineRule="auto"/>
        <w:jc w:val="both"/>
        <w:rPr>
          <w:rFonts w:ascii="Arial" w:eastAsia="Times New Roman" w:hAnsi="Arial" w:cs="Arial"/>
          <w:b/>
          <w:bCs/>
          <w:i/>
          <w:iCs/>
          <w:sz w:val="18"/>
          <w:szCs w:val="18"/>
        </w:rPr>
      </w:pPr>
      <w:r w:rsidRPr="008223EE">
        <w:rPr>
          <w:rFonts w:ascii="Arial" w:eastAsia="Times New Roman" w:hAnsi="Arial" w:cs="Arial"/>
          <w:b/>
          <w:bCs/>
          <w:i/>
          <w:iCs/>
          <w:sz w:val="18"/>
          <w:szCs w:val="18"/>
        </w:rPr>
        <w:t>Antony Jenkins, Chief Executive</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lastRenderedPageBreak/>
        <w:t>Group Finance Director's Review</w:t>
      </w:r>
    </w:p>
    <w:p w:rsidR="008223EE" w:rsidRPr="008223EE" w:rsidRDefault="008223EE" w:rsidP="008223EE">
      <w:pPr>
        <w:spacing w:after="12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Income Statement</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profit before tax increased 26% to £7,048m. Adjusted results provide a more consistent basis for comparing business performance between periods</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Statutory profit before tax decreased to £246m (2011: £5,879m), including own credit charge of £4,579m (2011: gain of £2,708m), gain on disposal of BlackRock investment of £227m (2011: impairment/loss of £1,858m), £1,600m (2011: £1,000m) provision for PPI redress, and £850m (2011: £nil) provision for interest rate hedging products redress</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return on average shareholders' equity increased to 7.8% (2011: 6.6%) with significant improvements in UK RBB, Barclaycard, Investment Bank, Corporate Banking and Wealth and Investment Management</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income was up 2% at £29,043m despite challenging economic conditions, the continuing low interest rate environment and non-recurrence of £1,061m gains from the disposal of hedging instruments in 2011</w:t>
      </w:r>
    </w:p>
    <w:p w:rsidR="008223EE" w:rsidRPr="008223EE" w:rsidRDefault="008223EE" w:rsidP="009B0C46">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Total net interest income reduced 5% to £11,639m. Customer net interest income for RBB, Corporate Banking and Wealth and Investment Management was stable at £9,816m while the net interest margin for these businesses declined 18bps to 185bps, principally reflecting the non-recurrence of gains from the disposal of hedging instruments in 2011</w:t>
      </w:r>
    </w:p>
    <w:p w:rsidR="008223EE" w:rsidRPr="008223EE" w:rsidRDefault="008223EE" w:rsidP="009B0C46">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Total income in the Investment Bank increased 13% to £11,722m driven by increases in Fixed Income, Currency</w:t>
      </w:r>
      <w:r w:rsidR="009B0C46">
        <w:rPr>
          <w:rFonts w:ascii="Arial" w:eastAsia="Times New Roman" w:hAnsi="Arial" w:cs="Arial"/>
          <w:sz w:val="18"/>
          <w:szCs w:val="18"/>
        </w:rPr>
        <w:t xml:space="preserve"> </w:t>
      </w:r>
      <w:r w:rsidRPr="008223EE">
        <w:rPr>
          <w:rFonts w:ascii="Arial" w:eastAsia="Times New Roman" w:hAnsi="Arial" w:cs="Arial"/>
          <w:sz w:val="18"/>
          <w:szCs w:val="18"/>
        </w:rPr>
        <w:t>and Commodities (FICC), Equities and Prime Services, and Investment Banking, particularly in the Americas</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Credit impairment charges were down 5% at £3,596m, principally reflecting improvements in Barclaycard, Corporate Banking and UK RBB. This was partially offset by higher charges in the Investment Bank, Africa RBB and Europe RBB</w:t>
      </w:r>
    </w:p>
    <w:p w:rsidR="008223EE" w:rsidRPr="008223EE" w:rsidRDefault="008223EE" w:rsidP="009B0C46">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Annualised loan loss rate decreased to 75bps (2011: 77bps) reflecting a 6% reduction in</w:t>
      </w:r>
      <w:r w:rsidR="009B0C46">
        <w:rPr>
          <w:rFonts w:ascii="Arial" w:eastAsia="Times New Roman" w:hAnsi="Arial" w:cs="Arial"/>
          <w:sz w:val="18"/>
          <w:szCs w:val="18"/>
        </w:rPr>
        <w:t xml:space="preserve"> </w:t>
      </w:r>
      <w:r w:rsidRPr="008223EE">
        <w:rPr>
          <w:rFonts w:ascii="Arial" w:eastAsia="Times New Roman" w:hAnsi="Arial" w:cs="Arial"/>
          <w:sz w:val="18"/>
          <w:szCs w:val="18"/>
        </w:rPr>
        <w:t>impairment charge on loans and advances and a 3% contraction in gross loans and advances principally due to lower balances in the Investment Bank</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operating expenses were down 3% to £18,539m</w:t>
      </w:r>
    </w:p>
    <w:p w:rsidR="008223EE" w:rsidRPr="008223EE" w:rsidRDefault="008223EE" w:rsidP="009B0C46">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Non-performance costs decreased 3% to £16,114m after absorbing regulatory penalties of £290m (2011: £nil) relating to the industry-wide investigation into the setting of interbank offered rates and a £345m (2011: £325m) UK bank levy charge</w:t>
      </w:r>
    </w:p>
    <w:p w:rsidR="008223EE" w:rsidRPr="008223EE" w:rsidRDefault="008223EE" w:rsidP="009B0C46">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Performance costs reduced 4% to £2,425m despite an increase in the charge for bonuses deferred from prior years to £1,223m (2011: £995m). The Investment Bank compensation: income ratio reduced to 39% (2011: 47%) including charges for bonuses deferred from prior years of £1,117m (2011: £907m)</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adjusted cost: income ratio decreased to 64% (2011: 67%). The Investment Bank cost: net operating income ratio improved to 64% (2011: 71%)</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tax charge on adjusted profits increased to £2,025m (2011: £1,325m), giving an adjusted effective tax rate of 28.7% (2011: 23.7%). The tax charge on statutory profits decreased to £482m (2011: £1,928m) after including a tax credit of £1,543m (2011: charge of £603m) on the charge for own credit, provisions for PPI and interest rate hedging product redress and other adjusting items, which mainly received relief at the UK rate of 24.5% (2011: 26.5%), resulting in a significant increase in the statutory effective tax rate</w:t>
      </w:r>
    </w:p>
    <w:p w:rsidR="008223EE" w:rsidRPr="008223EE" w:rsidRDefault="008223EE" w:rsidP="008223EE">
      <w:pPr>
        <w:spacing w:before="120" w:after="12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xml:space="preserve">Balance Sheet </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loans and advances declined to £466bn (2011: £479bn) with increases in UK mortgage lending and Barclaycard offset by reductions in lending in the Investment Bank, Europe RBB and Corporate Bank</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assets reduced 5% to £1,490bn, principally reflecting lower derivative assets as spreads tightened within the credit derivative portfolio. This was partially offset by increased reverse repurchase agreements and other similar secured lending due to higher matched book trading</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shareholders' equity (including non-controlling interests) reduced £2.2bn to £63.0bn, driven by the loss for the year, dividends paid and currency translation differences due to depreciation of US dollar and South African Rand against Sterling. This was partially offset by positive available for sale and cash flow hedge reserve movements</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Net asset value per share reduced to 438p (2011: 456p) and the net tangible asset value per share to 373p (2011: 391p)</w:t>
      </w:r>
    </w:p>
    <w:p w:rsidR="008223EE" w:rsidRPr="008223EE" w:rsidRDefault="008223EE" w:rsidP="009B0C46">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Adjusted gross leverage decreased to 19x (2011: 20x) and moved within a month end range of </w:t>
      </w:r>
      <w:proofErr w:type="gramStart"/>
      <w:r w:rsidRPr="008223EE">
        <w:rPr>
          <w:rFonts w:ascii="Arial" w:eastAsia="Times New Roman" w:hAnsi="Arial" w:cs="Arial"/>
          <w:sz w:val="18"/>
          <w:szCs w:val="18"/>
        </w:rPr>
        <w:t>19x</w:t>
      </w:r>
      <w:proofErr w:type="gramEnd"/>
      <w:r w:rsidRPr="008223EE">
        <w:rPr>
          <w:rFonts w:ascii="Arial" w:eastAsia="Times New Roman" w:hAnsi="Arial" w:cs="Arial"/>
          <w:sz w:val="18"/>
          <w:szCs w:val="18"/>
        </w:rPr>
        <w:t xml:space="preserve"> to 23x. Excluding the liquidity pool, adjusted gross leverage decreased to 16x (2011: 17x)</w:t>
      </w:r>
    </w:p>
    <w:p w:rsidR="008223EE" w:rsidRPr="008223EE" w:rsidRDefault="008223EE" w:rsidP="008223EE">
      <w:pPr>
        <w:spacing w:after="11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Capital Management </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Core Tier 1 ratio was 10.9% (2011: 11.0%), reflecting a 2% reduction in Core Tier 1 capital to £42.1bn partially offset by a 1% reduction in risk weighted assets to £387bn</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Group Finance Director's Review</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Barclays generated £1.8bn Core Tier 1 capital from earnings, which excludes movements in own credit, after absorbing the impact of dividends paid and provisions for customer redress. The increase from earnings was more than offset by a £1.2bn increase in the defined benefit pension adjustment and a £1.6bn reduction in reserves due to foreign exchange movements</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Risk weighted assets reduced 1% to £387bn principally due to reductions in risk exposures, including the sell down of legacy assets, and the impact of foreign exchange movements, largely offset by an increased operational risk charge and methodology and model changes</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During the fourth quarter, the Group successfully placed $3bn of Tier 2 Contingent Capital Notes (CCNs), which was well received by the market</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color w:val="000000"/>
          <w:sz w:val="18"/>
          <w:szCs w:val="18"/>
        </w:rPr>
        <w:t xml:space="preserve">We have estimated our </w:t>
      </w:r>
      <w:proofErr w:type="spellStart"/>
      <w:r w:rsidRPr="008223EE">
        <w:rPr>
          <w:rFonts w:ascii="Arial" w:eastAsia="Times New Roman" w:hAnsi="Arial" w:cs="Arial"/>
          <w:color w:val="000000"/>
          <w:sz w:val="18"/>
          <w:szCs w:val="18"/>
        </w:rPr>
        <w:t>proforma</w:t>
      </w:r>
      <w:proofErr w:type="spellEnd"/>
      <w:r w:rsidRPr="008223EE">
        <w:rPr>
          <w:rFonts w:ascii="Arial" w:eastAsia="Times New Roman" w:hAnsi="Arial" w:cs="Arial"/>
          <w:color w:val="000000"/>
          <w:sz w:val="18"/>
          <w:szCs w:val="18"/>
        </w:rPr>
        <w:t xml:space="preserve"> CRD IV Common Equity Tier 1 (CET1) ratio on both a transitional and fully loaded basis, reflecting our current interpretation of the rules and assuming they were applied as at 1 January 2013. As at that date Barclays </w:t>
      </w:r>
      <w:proofErr w:type="spellStart"/>
      <w:r w:rsidRPr="008223EE">
        <w:rPr>
          <w:rFonts w:ascii="Arial" w:eastAsia="Times New Roman" w:hAnsi="Arial" w:cs="Arial"/>
          <w:color w:val="000000"/>
          <w:sz w:val="18"/>
          <w:szCs w:val="18"/>
        </w:rPr>
        <w:t>proforma</w:t>
      </w:r>
      <w:proofErr w:type="spellEnd"/>
      <w:r w:rsidRPr="008223EE">
        <w:rPr>
          <w:rFonts w:ascii="Arial" w:eastAsia="Times New Roman" w:hAnsi="Arial" w:cs="Arial"/>
          <w:color w:val="000000"/>
          <w:sz w:val="18"/>
          <w:szCs w:val="18"/>
        </w:rPr>
        <w:t xml:space="preserve"> transitional CET1 ratio would be approximately 10.6% and the fully loaded CET1 ratio would be approximately 8.2%</w:t>
      </w:r>
    </w:p>
    <w:p w:rsidR="008223EE" w:rsidRPr="008223EE" w:rsidRDefault="008223EE" w:rsidP="008223EE">
      <w:pPr>
        <w:spacing w:before="110" w:after="11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and Liquidity </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Group maintained a strong liquidity position throughout 2012. As at 31 December 2012, the Group estimates it was compliant with both the LCR requirement at 126% and the NSFR requirement at 104% based upon the Basel standards</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liquidity pool was £150bn</w:t>
      </w:r>
      <w:r w:rsidR="00964CF8">
        <w:rPr>
          <w:rFonts w:ascii="Arial" w:eastAsia="Times New Roman" w:hAnsi="Arial" w:cs="Arial"/>
          <w:sz w:val="18"/>
          <w:szCs w:val="18"/>
        </w:rPr>
        <w:t xml:space="preserve"> </w:t>
      </w:r>
      <w:r w:rsidRPr="008223EE">
        <w:rPr>
          <w:rFonts w:ascii="Arial" w:eastAsia="Times New Roman" w:hAnsi="Arial" w:cs="Arial"/>
          <w:sz w:val="18"/>
          <w:szCs w:val="18"/>
        </w:rPr>
        <w:t>(2011: £152bn) remaining well within our liquidity risk appetite. During 2012 the month end liquidity pool ranged from £150bn to £173bn (2011: £140bn to £167bn) </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loan to deposit ratio for the Group was 110% (2011: 118%) and for RBB, Corporate Banking and Wealth and Investment Management was 102% (2011: 111%). The loan to deposit and secured funding ratio was 88% (2011: 101%)</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wholesale funding outstanding (excluding repurchase agreements) was £240bn (2011: £265bn), of which £101bn matures in less than one year (2011: £130bn)</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wholesale funding requirement supporting retail and wholesale businesses reduced with the continued increase in customer deposits and further reduction of legacy assets. £27bn of term debt matured in 2012 and the group issued approximately £28bn of term funding. The Group has £18bn of term debt maturing in 2013. £6bn was raised through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participation in the Bank of England's FLS supporting lending into the real economy to individuals, households and private non-financial companies</w:t>
      </w:r>
    </w:p>
    <w:p w:rsidR="008223EE" w:rsidRPr="008223EE" w:rsidRDefault="008223EE" w:rsidP="008223EE">
      <w:pPr>
        <w:spacing w:before="110" w:after="11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4"/>
          <w:szCs w:val="24"/>
        </w:rPr>
        <w:t>Other Matters</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During Q4 Barclays determined that it is appropriate to provide a further £600m for PPI redress, principally as a result of a higher than anticipated response rate to pro-active mailings. This brings the cumulative provision to £2.6bn, of which £1.6bn had been utilised as at 31 December 2012. Based on claims experience to date and anticipated future volumes, the provision represents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best estimate of expected future PPI redress payments and claims management costs. Barclays will continue to monitor actual claims volumes and the assumptions underlying the calculation of the PPI provision</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Following the outcome of its pilot review of Interest Rate Hedging Products sold to small and medium-sized enterprises, and the Financial Services Authority's report on this review and those conducted by a number of other banks, Barclays has increased its provision for redress by £400m at Q4 2012. This brings the cumulative provision to £850m, of which £36m had been utilised as at 31 December 2012. The main review and redress exercise will commence shortly and the appropriate provision level will be kept under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review as it progresses</w:t>
      </w:r>
    </w:p>
    <w:p w:rsidR="008223EE" w:rsidRPr="008223EE" w:rsidRDefault="008223EE" w:rsidP="008223EE">
      <w:pPr>
        <w:spacing w:before="110" w:after="11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4"/>
          <w:szCs w:val="24"/>
        </w:rPr>
        <w:t>Dividends</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It is our policy to declare and pay dividends on a quarterly basis. We will pay a final cash dividend for 2012 of 3.5p per share on 15 March 2013, giving a total declared dividend for 2012 of 6.5p per share</w:t>
      </w:r>
    </w:p>
    <w:p w:rsidR="008223EE" w:rsidRPr="008223EE" w:rsidRDefault="008223EE" w:rsidP="008223EE">
      <w:pPr>
        <w:spacing w:before="110" w:after="11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4"/>
          <w:szCs w:val="24"/>
        </w:rPr>
        <w:t>Outlook</w:t>
      </w:r>
    </w:p>
    <w:p w:rsidR="008223EE" w:rsidRPr="008223EE" w:rsidRDefault="008223EE" w:rsidP="009B0C46">
      <w:pPr>
        <w:spacing w:before="110" w:after="11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Performance in January has shown a good start to the year across the Group. As part of the TRANSFORM programme, we continue to focus on costs, returns and capital to drive sustainable performance improvements</w:t>
      </w:r>
    </w:p>
    <w:p w:rsidR="008223EE" w:rsidRPr="008223EE" w:rsidRDefault="008223EE" w:rsidP="008223EE">
      <w:pPr>
        <w:spacing w:before="110" w:after="0" w:line="240" w:lineRule="auto"/>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Chris Lucas, Group Finance Director</w:t>
      </w:r>
    </w:p>
    <w:p w:rsidR="008223EE" w:rsidRPr="008223EE" w:rsidRDefault="008223EE" w:rsidP="008223EE">
      <w:pPr>
        <w:spacing w:before="110" w:after="0" w:line="240" w:lineRule="auto"/>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 </w:t>
      </w:r>
    </w:p>
    <w:p w:rsidR="008223EE" w:rsidRPr="008223EE" w:rsidRDefault="008223EE" w:rsidP="008223EE">
      <w:pPr>
        <w:spacing w:before="110" w:after="0" w:line="240" w:lineRule="auto"/>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Barclays Results by Quarter</w:t>
      </w:r>
    </w:p>
    <w:tbl>
      <w:tblPr>
        <w:tblW w:w="0" w:type="auto"/>
        <w:tblInd w:w="-36" w:type="dxa"/>
        <w:tblCellMar>
          <w:left w:w="0" w:type="dxa"/>
          <w:right w:w="0" w:type="dxa"/>
        </w:tblCellMar>
        <w:tblLook w:val="04A0" w:firstRow="1" w:lastRow="0" w:firstColumn="1" w:lastColumn="0" w:noHBand="0" w:noVBand="1"/>
      </w:tblPr>
      <w:tblGrid>
        <w:gridCol w:w="4410"/>
        <w:gridCol w:w="579"/>
        <w:gridCol w:w="579"/>
        <w:gridCol w:w="579"/>
        <w:gridCol w:w="579"/>
        <w:gridCol w:w="78"/>
        <w:gridCol w:w="579"/>
        <w:gridCol w:w="579"/>
        <w:gridCol w:w="579"/>
        <w:gridCol w:w="579"/>
      </w:tblGrid>
      <w:tr w:rsidR="008223EE" w:rsidRPr="008223EE" w:rsidTr="008223EE">
        <w:trPr>
          <w:trHeight w:val="240"/>
        </w:trPr>
        <w:tc>
          <w:tcPr>
            <w:tcW w:w="441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Barclays Results by Quarter</w:t>
            </w:r>
            <w:r w:rsidRPr="008223EE">
              <w:rPr>
                <w:rFonts w:ascii="Arial" w:eastAsia="Times New Roman" w:hAnsi="Arial" w:cs="Arial"/>
                <w:color w:val="000000"/>
                <w:sz w:val="20"/>
                <w:szCs w:val="20"/>
                <w:vertAlign w:val="superscript"/>
              </w:rPr>
              <w:t xml:space="preserve"> </w:t>
            </w:r>
          </w:p>
        </w:tc>
        <w:tc>
          <w:tcPr>
            <w:tcW w:w="5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Q412</w:t>
            </w:r>
          </w:p>
        </w:tc>
        <w:tc>
          <w:tcPr>
            <w:tcW w:w="5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Q312</w:t>
            </w:r>
          </w:p>
        </w:tc>
        <w:tc>
          <w:tcPr>
            <w:tcW w:w="5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Q212</w:t>
            </w:r>
          </w:p>
        </w:tc>
        <w:tc>
          <w:tcPr>
            <w:tcW w:w="5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Q112</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Q411</w:t>
            </w:r>
          </w:p>
        </w:tc>
        <w:tc>
          <w:tcPr>
            <w:tcW w:w="5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Q311</w:t>
            </w:r>
          </w:p>
        </w:tc>
        <w:tc>
          <w:tcPr>
            <w:tcW w:w="5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Q211</w:t>
            </w:r>
          </w:p>
        </w:tc>
        <w:tc>
          <w:tcPr>
            <w:tcW w:w="5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Q111</w:t>
            </w:r>
          </w:p>
        </w:tc>
      </w:tr>
      <w:tr w:rsidR="008223EE" w:rsidRPr="008223EE" w:rsidTr="008223EE">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basis </w:t>
            </w:r>
            <w:r w:rsidRPr="008223EE">
              <w:rPr>
                <w:rFonts w:ascii="Arial" w:eastAsia="Times New Roman" w:hAnsi="Arial" w:cs="Arial"/>
                <w:color w:val="000000"/>
                <w:sz w:val="16"/>
                <w:szCs w:val="16"/>
                <w:vertAlign w:val="superscript"/>
              </w:rPr>
              <w:t>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6,696 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6,872 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7,337 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8,138 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6,212 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7,001 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7,549 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7,750 </w:t>
            </w:r>
          </w:p>
        </w:tc>
      </w:tr>
      <w:tr w:rsidR="008223EE" w:rsidRPr="008223EE" w:rsidTr="008223EE">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r w:rsidRPr="008223EE">
              <w:rPr>
                <w:rFonts w:ascii="Arial" w:eastAsia="Times New Roman" w:hAnsi="Arial" w:cs="Arial"/>
                <w:color w:val="000000"/>
                <w:sz w:val="13"/>
                <w:szCs w:val="13"/>
                <w:vertAlign w:val="superscript"/>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(939)</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(825)</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(1,054)</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(778)</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(951)</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(1,023)</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(907)</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(921)</w:t>
            </w:r>
          </w:p>
        </w:tc>
      </w:tr>
      <w:tr w:rsidR="008223EE" w:rsidRPr="008223EE" w:rsidTr="008223EE">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Net operating income </w:t>
            </w:r>
            <w:r w:rsidRPr="008223EE">
              <w:rPr>
                <w:rFonts w:ascii="Arial" w:eastAsia="Times New Roman" w:hAnsi="Arial" w:cs="Arial"/>
                <w:color w:val="000000"/>
                <w:sz w:val="16"/>
                <w:szCs w:val="16"/>
                <w:vertAlign w:val="superscript"/>
              </w:rPr>
              <w:t>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5,757 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6,047 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6,283 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7,360 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5,261 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5,978 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6,642 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6,829 </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(excluding UK bank levy)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(4,362)</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(4,341)</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(4,542)</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(4,949)</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(4,414)</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(4,659)</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(4,940)</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(4,842)</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bank levy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(345)</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(325)</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17 </w:t>
            </w:r>
          </w:p>
        </w:tc>
      </w:tr>
      <w:tr w:rsidR="008223EE" w:rsidRPr="008223EE" w:rsidTr="008223EE">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profit before tax </w:t>
            </w:r>
            <w:r w:rsidRPr="008223EE">
              <w:rPr>
                <w:rFonts w:ascii="Arial" w:eastAsia="Times New Roman" w:hAnsi="Arial" w:cs="Arial"/>
                <w:color w:val="000000"/>
                <w:sz w:val="16"/>
                <w:szCs w:val="16"/>
                <w:vertAlign w:val="superscript"/>
              </w:rPr>
              <w:t>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1,094 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1,727 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1,782 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2,445 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528 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1,337 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1,721 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2,004 </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  </w:t>
            </w:r>
            <w:r w:rsidRPr="008223EE">
              <w:rPr>
                <w:rFonts w:ascii="Arial" w:eastAsia="Times New Roman" w:hAnsi="Arial" w:cs="Arial"/>
                <w:color w:val="000000"/>
                <w:sz w:val="16"/>
                <w:szCs w:val="16"/>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Adjusting items </w:t>
            </w:r>
            <w:r w:rsidRPr="008223EE">
              <w:rPr>
                <w:rFonts w:ascii="Arial" w:eastAsia="Times New Roman" w:hAnsi="Arial" w:cs="Arial"/>
                <w:color w:val="000000"/>
                <w:sz w:val="16"/>
                <w:szCs w:val="16"/>
                <w:vertAlign w:val="superscript"/>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Own credit </w:t>
            </w:r>
            <w:r w:rsidRPr="008223EE">
              <w:rPr>
                <w:rFonts w:ascii="Arial" w:eastAsia="Times New Roman" w:hAnsi="Arial" w:cs="Arial"/>
                <w:color w:val="000000"/>
                <w:sz w:val="13"/>
                <w:szCs w:val="13"/>
                <w:vertAlign w:val="superscript"/>
              </w:rPr>
              <w:t>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(560)</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(1,074)</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(325)</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(2,620)</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(263)</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2,882 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440 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(351)</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Gains on debt buy-backs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1,130 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Impairment and gain/(loss) on disposal of BlackRock investment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227 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(1,800)</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55"/>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PPI redress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(600)</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(700)</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(300)</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(1,000)</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55"/>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interest rate hedging products redress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(400)</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(450)</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impairment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(550)</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(Losses)/gains on acquisitions and disposals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r>
      <w:tr w:rsidR="008223EE" w:rsidRPr="008223EE" w:rsidTr="008223EE">
        <w:trPr>
          <w:trHeight w:val="240"/>
        </w:trPr>
        <w:tc>
          <w:tcPr>
            <w:tcW w:w="441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Statutory (loss)</w:t>
            </w:r>
            <w:r w:rsidRPr="008223EE">
              <w:rPr>
                <w:rFonts w:ascii="Arial" w:eastAsia="Times New Roman" w:hAnsi="Arial" w:cs="Arial"/>
                <w:color w:val="000000"/>
                <w:sz w:val="16"/>
                <w:szCs w:val="16"/>
              </w:rPr>
              <w:t xml:space="preserve">/profit </w:t>
            </w:r>
            <w:r w:rsidRPr="008223EE">
              <w:rPr>
                <w:rFonts w:ascii="Arial" w:eastAsia="Times New Roman" w:hAnsi="Arial" w:cs="Arial"/>
                <w:b/>
                <w:bCs/>
                <w:color w:val="000000"/>
                <w:sz w:val="16"/>
                <w:szCs w:val="16"/>
              </w:rPr>
              <w:t xml:space="preserve">before tax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(466)</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(47)</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1,234 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(475)</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813 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2,422 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989 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1,655 </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Statutory (loss)/ profit after tax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(610)</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(106)</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817 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(337)</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602 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1,366 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742 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1,241 </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41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Attributable to:</w:t>
            </w:r>
            <w:r w:rsidRPr="008223EE">
              <w:rPr>
                <w:rFonts w:ascii="Arial" w:eastAsia="Times New Roman" w:hAnsi="Arial" w:cs="Arial"/>
                <w:color w:val="000000"/>
                <w:sz w:val="16"/>
                <w:szCs w:val="16"/>
                <w:vertAlign w:val="superscript"/>
              </w:rPr>
              <w:t xml:space="preserve">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Equity holders of the parent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(835)</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(276)</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620 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(550)</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356 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1,153 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486 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1,012 </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Non-controlling interests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225 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170 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197 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213 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246 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213 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256 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229 </w:t>
            </w:r>
          </w:p>
        </w:tc>
      </w:tr>
      <w:tr w:rsidR="008223EE" w:rsidRPr="008223EE" w:rsidTr="008223EE">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Adjusted basic earnings per share </w:t>
            </w:r>
            <w:r w:rsidRPr="008223EE">
              <w:rPr>
                <w:rFonts w:ascii="Arial" w:eastAsia="Times New Roman" w:hAnsi="Arial" w:cs="Arial"/>
                <w:color w:val="000000"/>
                <w:sz w:val="13"/>
                <w:szCs w:val="13"/>
                <w:vertAlign w:val="superscript"/>
              </w:rPr>
              <w:t>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5.2p</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7.5p</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8.2p</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13.6p</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1.2p</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6.9p</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8.9p</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10.7p</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Adjusted cost: income ratio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Basic (loss)/earnings per share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(6.8p)</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(2.3p)</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5.1p</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(4.5p)</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2.9p</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9.7p</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4.0p</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8.5p</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Cost: income ratio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w:t>
            </w:r>
          </w:p>
        </w:tc>
      </w:tr>
      <w:tr w:rsidR="008223EE" w:rsidRPr="008223EE" w:rsidTr="008223EE">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144" w:type="dxa"/>
        <w:tblInd w:w="-36" w:type="dxa"/>
        <w:tblCellMar>
          <w:left w:w="0" w:type="dxa"/>
          <w:right w:w="0" w:type="dxa"/>
        </w:tblCellMar>
        <w:tblLook w:val="04A0" w:firstRow="1" w:lastRow="0" w:firstColumn="1" w:lastColumn="0" w:noHBand="0" w:noVBand="1"/>
      </w:tblPr>
      <w:tblGrid>
        <w:gridCol w:w="4410"/>
        <w:gridCol w:w="555"/>
        <w:gridCol w:w="555"/>
        <w:gridCol w:w="648"/>
        <w:gridCol w:w="567"/>
        <w:gridCol w:w="141"/>
        <w:gridCol w:w="567"/>
        <w:gridCol w:w="567"/>
        <w:gridCol w:w="567"/>
        <w:gridCol w:w="567"/>
      </w:tblGrid>
      <w:tr w:rsidR="008223EE" w:rsidRPr="008223EE" w:rsidTr="00964CF8">
        <w:trPr>
          <w:trHeight w:val="240"/>
        </w:trPr>
        <w:tc>
          <w:tcPr>
            <w:tcW w:w="441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Adjusted Profit/(Loss) Before Tax by Business</w:t>
            </w:r>
            <w:r w:rsidRPr="008223EE">
              <w:rPr>
                <w:rFonts w:ascii="Arial" w:eastAsia="Times New Roman" w:hAnsi="Arial" w:cs="Arial"/>
                <w:color w:val="000000"/>
                <w:sz w:val="16"/>
                <w:szCs w:val="16"/>
                <w:vertAlign w:val="superscript"/>
              </w:rPr>
              <w:t xml:space="preserve"> </w:t>
            </w:r>
          </w:p>
        </w:tc>
        <w:tc>
          <w:tcPr>
            <w:tcW w:w="5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Q412</w:t>
            </w:r>
          </w:p>
        </w:tc>
        <w:tc>
          <w:tcPr>
            <w:tcW w:w="5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Q312</w:t>
            </w:r>
          </w:p>
        </w:tc>
        <w:tc>
          <w:tcPr>
            <w:tcW w:w="648"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Q212</w:t>
            </w:r>
          </w:p>
        </w:tc>
        <w:tc>
          <w:tcPr>
            <w:tcW w:w="567"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Q112</w:t>
            </w:r>
          </w:p>
        </w:tc>
        <w:tc>
          <w:tcPr>
            <w:tcW w:w="141"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Q411</w:t>
            </w:r>
          </w:p>
        </w:tc>
        <w:tc>
          <w:tcPr>
            <w:tcW w:w="567"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Q311</w:t>
            </w:r>
          </w:p>
        </w:tc>
        <w:tc>
          <w:tcPr>
            <w:tcW w:w="567"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Q211</w:t>
            </w:r>
          </w:p>
        </w:tc>
        <w:tc>
          <w:tcPr>
            <w:tcW w:w="567"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Q111</w:t>
            </w:r>
          </w:p>
        </w:tc>
      </w:tr>
      <w:tr w:rsidR="008223EE" w:rsidRPr="008223EE" w:rsidTr="00964CF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8"/>
                <w:szCs w:val="18"/>
                <w:vertAlign w:val="superscript"/>
              </w:rPr>
              <w:t> </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48"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67"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41"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67"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67"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67"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67"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964CF8">
        <w:trPr>
          <w:trHeight w:val="255"/>
        </w:trPr>
        <w:tc>
          <w:tcPr>
            <w:tcW w:w="4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326 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400 </w:t>
            </w:r>
          </w:p>
        </w:tc>
        <w:tc>
          <w:tcPr>
            <w:tcW w:w="648"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412 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334 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222 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494 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416 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288 </w:t>
            </w:r>
          </w:p>
        </w:tc>
      </w:tr>
      <w:tr w:rsidR="008223EE" w:rsidRPr="008223EE" w:rsidTr="00964CF8">
        <w:trPr>
          <w:trHeight w:val="255"/>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Europe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(88)</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w:t>
            </w:r>
          </w:p>
        </w:tc>
        <w:tc>
          <w:tcPr>
            <w:tcW w:w="648"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(102)</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w:t>
            </w:r>
          </w:p>
        </w:tc>
      </w:tr>
      <w:tr w:rsidR="008223EE" w:rsidRPr="008223EE" w:rsidTr="00964CF8">
        <w:trPr>
          <w:trHeight w:val="255"/>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Africa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138 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56 </w:t>
            </w:r>
          </w:p>
        </w:tc>
        <w:tc>
          <w:tcPr>
            <w:tcW w:w="648"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177 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269 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195 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147 </w:t>
            </w:r>
          </w:p>
        </w:tc>
      </w:tr>
      <w:tr w:rsidR="008223EE" w:rsidRPr="008223EE" w:rsidTr="00964CF8">
        <w:trPr>
          <w:trHeight w:val="255"/>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Barclaycard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356 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397 </w:t>
            </w:r>
          </w:p>
        </w:tc>
        <w:tc>
          <w:tcPr>
            <w:tcW w:w="648"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404 </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349 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259 </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378 </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275 </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296 </w:t>
            </w:r>
          </w:p>
        </w:tc>
      </w:tr>
      <w:tr w:rsidR="008223EE" w:rsidRPr="008223EE" w:rsidTr="00964CF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Retail and Business Banking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732 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794 </w:t>
            </w:r>
          </w:p>
        </w:tc>
        <w:tc>
          <w:tcPr>
            <w:tcW w:w="648"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864 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817 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625 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1,143 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784 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672 </w:t>
            </w:r>
          </w:p>
        </w:tc>
      </w:tr>
      <w:tr w:rsidR="008223EE" w:rsidRPr="008223EE" w:rsidTr="00964CF8">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Investment Bank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858 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937 </w:t>
            </w:r>
          </w:p>
        </w:tc>
        <w:tc>
          <w:tcPr>
            <w:tcW w:w="648"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1,002 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1,266 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267 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388 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977 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1,333 </w:t>
            </w:r>
          </w:p>
        </w:tc>
      </w:tr>
      <w:tr w:rsidR="008223EE" w:rsidRPr="008223EE" w:rsidTr="00964CF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Banking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98 </w:t>
            </w:r>
          </w:p>
        </w:tc>
        <w:tc>
          <w:tcPr>
            <w:tcW w:w="648"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127 </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37 </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113 </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33 </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21 </w:t>
            </w:r>
          </w:p>
        </w:tc>
      </w:tr>
      <w:tr w:rsidR="008223EE" w:rsidRPr="008223EE" w:rsidTr="00964CF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Corporate and Investment Banking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965 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1,035 </w:t>
            </w:r>
          </w:p>
        </w:tc>
        <w:tc>
          <w:tcPr>
            <w:tcW w:w="648"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1,129 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1,485 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304 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501 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1,010 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1,354 </w:t>
            </w:r>
          </w:p>
        </w:tc>
      </w:tr>
      <w:tr w:rsidR="008223EE" w:rsidRPr="008223EE" w:rsidTr="00964CF8">
        <w:trPr>
          <w:trHeight w:val="240"/>
        </w:trPr>
        <w:tc>
          <w:tcPr>
            <w:tcW w:w="44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Wealth and Investment Management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79 </w:t>
            </w:r>
          </w:p>
        </w:tc>
        <w:tc>
          <w:tcPr>
            <w:tcW w:w="648"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42 </w:t>
            </w: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46 </w:t>
            </w:r>
          </w:p>
        </w:tc>
      </w:tr>
      <w:tr w:rsidR="008223EE" w:rsidRPr="008223EE" w:rsidTr="00964CF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Head Office and Other Operations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(718)</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(181)</w:t>
            </w:r>
          </w:p>
        </w:tc>
        <w:tc>
          <w:tcPr>
            <w:tcW w:w="648"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(272)</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(455)</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(372)</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w:t>
            </w:r>
          </w:p>
        </w:tc>
        <w:tc>
          <w:tcPr>
            <w:tcW w:w="5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w:t>
            </w:r>
          </w:p>
        </w:tc>
      </w:tr>
      <w:tr w:rsidR="008223EE" w:rsidRPr="008223EE" w:rsidTr="00964CF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profit before tax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1,094 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1,727 </w:t>
            </w:r>
          </w:p>
        </w:tc>
        <w:tc>
          <w:tcPr>
            <w:tcW w:w="648"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1,782 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2,445 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528 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1,337 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1,721 </w:t>
            </w: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2,004 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lastRenderedPageBreak/>
        <w:t>Condensed Consolidated Financial Statements</w:t>
      </w:r>
    </w:p>
    <w:tbl>
      <w:tblPr>
        <w:tblW w:w="0" w:type="auto"/>
        <w:tblInd w:w="-36" w:type="dxa"/>
        <w:tblCellMar>
          <w:left w:w="0" w:type="dxa"/>
          <w:right w:w="0" w:type="dxa"/>
        </w:tblCellMar>
        <w:tblLook w:val="04A0" w:firstRow="1" w:lastRow="0" w:firstColumn="1" w:lastColumn="0" w:noHBand="0" w:noVBand="1"/>
      </w:tblPr>
      <w:tblGrid>
        <w:gridCol w:w="6355"/>
        <w:gridCol w:w="553"/>
        <w:gridCol w:w="1009"/>
        <w:gridCol w:w="1217"/>
      </w:tblGrid>
      <w:tr w:rsidR="008223EE" w:rsidRPr="008223EE" w:rsidTr="008223EE">
        <w:trPr>
          <w:trHeight w:val="315"/>
        </w:trPr>
        <w:tc>
          <w:tcPr>
            <w:tcW w:w="9630"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Condensed Consolidated Income Statement</w:t>
            </w:r>
          </w:p>
        </w:tc>
      </w:tr>
      <w:tr w:rsidR="008223EE" w:rsidRPr="008223EE" w:rsidTr="008223EE">
        <w:trPr>
          <w:trHeight w:val="255"/>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r>
      <w:tr w:rsidR="008223EE" w:rsidRPr="008223EE" w:rsidTr="008223EE">
        <w:trPr>
          <w:trHeight w:val="240"/>
        </w:trPr>
        <w:tc>
          <w:tcPr>
            <w:tcW w:w="67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Continuing Operations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Notes</w:t>
            </w:r>
            <w:r w:rsidRPr="008223EE">
              <w:rPr>
                <w:rFonts w:ascii="Arial" w:eastAsia="Times New Roman" w:hAnsi="Arial" w:cs="Arial"/>
                <w:color w:val="000000"/>
                <w:sz w:val="13"/>
                <w:szCs w:val="13"/>
                <w:vertAlign w:val="superscript"/>
              </w:rPr>
              <w:t>1</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interest income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2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11,639 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12,201 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fee and commission income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8,582 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8,622 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trading income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3,025 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7,660 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investment income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817 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2,305 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premiums from insurance contracts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896 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1,076 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gain on disposal of investment in BlackRock, Inc.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227 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income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105 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1,169 </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w:t>
            </w:r>
            <w:r w:rsidRPr="008223EE">
              <w:rPr>
                <w:rFonts w:ascii="Arial" w:eastAsia="Times New Roman" w:hAnsi="Arial" w:cs="Arial"/>
                <w:b/>
                <w:bCs/>
                <w:color w:val="000000"/>
                <w:sz w:val="13"/>
                <w:szCs w:val="13"/>
                <w:vertAlign w:val="superscript"/>
              </w:rPr>
              <w:t>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25,291 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33,033 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claims and benefits incurred on insurance contracts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(600)</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(741)</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net of insurance claims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24,691 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32,292 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(3,596)</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(3,802)</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Impairment of investment in BlackRock, Inc.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(1,800)</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21,095 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26,690 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Staff costs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(10,447)</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(11,407)</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Administration and general expenses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3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(6,643)</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(6,356)</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Depreciation of property, plant and equipment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(669)</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(673)</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Amortisation of intangible assets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(435)</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(419)</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Bank Levy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(345)</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(325)</w:t>
            </w:r>
          </w:p>
        </w:tc>
      </w:tr>
      <w:tr w:rsidR="008223EE" w:rsidRPr="008223EE" w:rsidTr="008223EE">
        <w:trPr>
          <w:trHeight w:val="48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excluding goodwill impairment and provisions for PPI and interest rate hedging products redress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(18,539)</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(19,180)</w:t>
            </w:r>
          </w:p>
        </w:tc>
      </w:tr>
      <w:tr w:rsidR="008223EE" w:rsidRPr="008223EE" w:rsidTr="008223EE">
        <w:trPr>
          <w:trHeight w:val="255"/>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impairment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(597)</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PPI redress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12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(1,600)</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(1,000)</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interest rate hedging products redress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12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(850)</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(20,989)</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(20,777)</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Profit/(loss) on disposals of undertakings and share of results of associates and joint ventures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140 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before tax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246 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5,879 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Tax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4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(482)</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(1,928)</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(Loss)/Profit after tax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(236)</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3,951 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Attributable to: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Equity holders of the parent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(1,041)</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3,007 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Non-controlling interests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5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805 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944 </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(Loss)/Profit after tax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(236)</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3,951 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Earnings per Share from Continuing Operations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Basic (loss)/earnings per ordinary share </w:t>
            </w:r>
          </w:p>
        </w:tc>
        <w:tc>
          <w:tcPr>
            <w:tcW w:w="5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6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(8.5p)</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25.1p</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Diluted (loss)/earnings per ordinary share </w:t>
            </w:r>
          </w:p>
        </w:tc>
        <w:tc>
          <w:tcPr>
            <w:tcW w:w="5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6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(8.5p)</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24.0p</w:t>
            </w:r>
          </w:p>
        </w:tc>
      </w:tr>
    </w:tbl>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02570F">
      <w:pPr>
        <w:spacing w:after="0" w:line="240" w:lineRule="auto"/>
        <w:ind w:left="284" w:hanging="284"/>
        <w:rPr>
          <w:rFonts w:ascii="Arial" w:eastAsia="Times New Roman" w:hAnsi="Arial" w:cs="Arial"/>
          <w:i/>
          <w:iCs/>
          <w:sz w:val="2"/>
          <w:szCs w:val="2"/>
        </w:rPr>
      </w:pPr>
      <w:r w:rsidRPr="008223EE">
        <w:rPr>
          <w:rFonts w:ascii="Arial" w:eastAsia="Times New Roman" w:hAnsi="Arial" w:cs="Arial"/>
          <w:i/>
          <w:iCs/>
          <w:color w:val="000000"/>
          <w:sz w:val="14"/>
          <w:szCs w:val="14"/>
        </w:rPr>
        <w:t>1        For notes to the Financial Statements see pages 84 to 100.</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14"/>
          <w:szCs w:val="14"/>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14"/>
          <w:szCs w:val="14"/>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14"/>
          <w:szCs w:val="14"/>
        </w:rPr>
        <w:t> </w:t>
      </w:r>
    </w:p>
    <w:p w:rsidR="008223EE" w:rsidRPr="008223EE" w:rsidRDefault="008223EE" w:rsidP="008223EE">
      <w:pPr>
        <w:spacing w:line="240" w:lineRule="auto"/>
        <w:rPr>
          <w:rFonts w:ascii="Arial" w:eastAsia="Times New Roman" w:hAnsi="Arial" w:cs="Arial"/>
          <w:i/>
          <w:iCs/>
          <w:sz w:val="2"/>
          <w:szCs w:val="2"/>
        </w:rPr>
      </w:pPr>
      <w:r w:rsidRPr="008223EE">
        <w:rPr>
          <w:rFonts w:ascii="Arial" w:eastAsia="Times New Roman" w:hAnsi="Arial" w:cs="Arial"/>
          <w:i/>
          <w:iCs/>
          <w:color w:val="000000"/>
          <w:sz w:val="14"/>
          <w:szCs w:val="14"/>
        </w:rPr>
        <w:t> </w:t>
      </w:r>
    </w:p>
    <w:tbl>
      <w:tblPr>
        <w:tblW w:w="0" w:type="auto"/>
        <w:tblInd w:w="-36" w:type="dxa"/>
        <w:tblCellMar>
          <w:left w:w="0" w:type="dxa"/>
          <w:right w:w="0" w:type="dxa"/>
        </w:tblCellMar>
        <w:tblLook w:val="04A0" w:firstRow="1" w:lastRow="0" w:firstColumn="1" w:lastColumn="0" w:noHBand="0" w:noVBand="1"/>
      </w:tblPr>
      <w:tblGrid>
        <w:gridCol w:w="6371"/>
        <w:gridCol w:w="535"/>
        <w:gridCol w:w="1010"/>
        <w:gridCol w:w="1218"/>
      </w:tblGrid>
      <w:tr w:rsidR="008223EE" w:rsidRPr="008223EE" w:rsidTr="008223EE">
        <w:trPr>
          <w:trHeight w:val="630"/>
        </w:trPr>
        <w:tc>
          <w:tcPr>
            <w:tcW w:w="9600" w:type="dxa"/>
            <w:gridSpan w:val="4"/>
            <w:tcMar>
              <w:top w:w="0" w:type="dxa"/>
              <w:left w:w="36" w:type="dxa"/>
              <w:bottom w:w="0" w:type="dxa"/>
              <w:right w:w="36" w:type="dxa"/>
            </w:tcMar>
            <w:vAlign w:val="center"/>
            <w:hideMark/>
          </w:tcPr>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Condensed Consolidated Financial Statements</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14"/>
                <w:szCs w:val="14"/>
              </w:rPr>
              <w:t> </w:t>
            </w:r>
          </w:p>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Condensed Consolidated Statement of Profit or Loss and Other Comprehensive Income</w:t>
            </w:r>
          </w:p>
        </w:tc>
      </w:tr>
      <w:tr w:rsidR="008223EE" w:rsidRPr="008223EE" w:rsidTr="008223EE">
        <w:trPr>
          <w:trHeight w:val="255"/>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r>
      <w:tr w:rsidR="008223EE" w:rsidRPr="008223EE" w:rsidTr="008223EE">
        <w:trPr>
          <w:trHeight w:val="240"/>
        </w:trPr>
        <w:tc>
          <w:tcPr>
            <w:tcW w:w="67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Continuing Operations</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5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Notes</w:t>
            </w:r>
            <w:r w:rsidRPr="008223EE">
              <w:rPr>
                <w:rFonts w:ascii="Arial" w:eastAsia="Times New Roman" w:hAnsi="Arial" w:cs="Arial"/>
                <w:color w:val="000000"/>
                <w:sz w:val="13"/>
                <w:szCs w:val="13"/>
                <w:vertAlign w:val="superscript"/>
              </w:rPr>
              <w:t>1</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(Loss)/profit after tax</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(236)</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3,951 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Other Comprehensive Income that may be recycled to profit or loss:</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Currency translation differences</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15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(1,578)</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(1,607)</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Available for sale investments</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15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546 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1,374 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flow hedges</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15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662 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1,263 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Other comprehensive income for the year</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(275)</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956 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comprehensive income for the year</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(511)</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4,907 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Attributable to:</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Equity holders of the parent</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(1,107)</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4,576 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Non-controlling interests</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596 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331 </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comprehensive income for the year</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(511)</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4,907 </w:t>
            </w:r>
          </w:p>
        </w:tc>
      </w:tr>
    </w:tbl>
    <w:p w:rsidR="008223EE" w:rsidRPr="008223EE" w:rsidRDefault="008223EE" w:rsidP="008223EE">
      <w:pPr>
        <w:spacing w:after="0" w:line="240" w:lineRule="auto"/>
        <w:rPr>
          <w:rFonts w:ascii="Times New Roman" w:eastAsia="Times New Roman" w:hAnsi="Times New Roman" w:cs="Times New Roman"/>
          <w:i/>
          <w:iCs/>
          <w:sz w:val="24"/>
          <w:szCs w:val="24"/>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Times New Roman" w:eastAsia="Times New Roman" w:hAnsi="Times New Roman" w:cs="Times New Roman"/>
          <w:i/>
          <w:iCs/>
          <w:sz w:val="24"/>
          <w:szCs w:val="24"/>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Times New Roman" w:eastAsia="Times New Roman" w:hAnsi="Times New Roman" w:cs="Times New Roman"/>
          <w:i/>
          <w:iCs/>
          <w:sz w:val="24"/>
          <w:szCs w:val="24"/>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Times New Roman" w:eastAsia="Times New Roman" w:hAnsi="Times New Roman" w:cs="Times New Roman"/>
          <w:i/>
          <w:iCs/>
          <w:sz w:val="24"/>
          <w:szCs w:val="24"/>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Times New Roman" w:eastAsia="Times New Roman" w:hAnsi="Times New Roman" w:cs="Times New Roman"/>
          <w:i/>
          <w:iCs/>
          <w:sz w:val="24"/>
          <w:szCs w:val="24"/>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Times New Roman" w:eastAsia="Times New Roman" w:hAnsi="Times New Roman" w:cs="Times New Roman"/>
          <w:i/>
          <w:iCs/>
          <w:sz w:val="24"/>
          <w:szCs w:val="24"/>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Times New Roman" w:eastAsia="Times New Roman" w:hAnsi="Times New Roman" w:cs="Times New Roman"/>
          <w:i/>
          <w:iCs/>
          <w:sz w:val="24"/>
          <w:szCs w:val="24"/>
        </w:rPr>
      </w:pPr>
      <w:r w:rsidRPr="008223EE">
        <w:rPr>
          <w:rFonts w:ascii="Arial" w:eastAsia="Times New Roman" w:hAnsi="Arial" w:cs="Arial"/>
          <w:i/>
          <w:iCs/>
          <w:color w:val="000000"/>
          <w:sz w:val="2"/>
          <w:szCs w:val="2"/>
        </w:rPr>
        <w:t> </w:t>
      </w:r>
    </w:p>
    <w:p w:rsidR="008223EE" w:rsidRPr="008223EE" w:rsidRDefault="008223EE" w:rsidP="0002570F">
      <w:pPr>
        <w:spacing w:after="0" w:line="240" w:lineRule="auto"/>
        <w:ind w:left="284" w:hanging="284"/>
        <w:rPr>
          <w:rFonts w:ascii="Times New Roman" w:eastAsia="Times New Roman" w:hAnsi="Times New Roman" w:cs="Times New Roman"/>
          <w:sz w:val="24"/>
          <w:szCs w:val="24"/>
        </w:rPr>
      </w:pPr>
      <w:r w:rsidRPr="008223EE">
        <w:rPr>
          <w:rFonts w:ascii="Arial" w:eastAsia="Times New Roman" w:hAnsi="Arial" w:cs="Arial"/>
          <w:i/>
          <w:iCs/>
          <w:color w:val="000000"/>
          <w:sz w:val="14"/>
          <w:szCs w:val="14"/>
        </w:rPr>
        <w:t>1        For notes, see pages 84 to 100.</w:t>
      </w:r>
    </w:p>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color w:val="000000"/>
          <w:sz w:val="14"/>
          <w:szCs w:val="14"/>
        </w:rPr>
        <w:t> </w:t>
      </w:r>
    </w:p>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color w:val="000000"/>
          <w:sz w:val="14"/>
          <w:szCs w:val="1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Condensed Consolidated Financial Statements</w:t>
      </w:r>
    </w:p>
    <w:tbl>
      <w:tblPr>
        <w:tblW w:w="0" w:type="auto"/>
        <w:tblInd w:w="-36" w:type="dxa"/>
        <w:tblCellMar>
          <w:left w:w="0" w:type="dxa"/>
          <w:right w:w="0" w:type="dxa"/>
        </w:tblCellMar>
        <w:tblLook w:val="04A0" w:firstRow="1" w:lastRow="0" w:firstColumn="1" w:lastColumn="0" w:noHBand="0" w:noVBand="1"/>
      </w:tblPr>
      <w:tblGrid>
        <w:gridCol w:w="6354"/>
        <w:gridCol w:w="535"/>
        <w:gridCol w:w="1019"/>
        <w:gridCol w:w="1226"/>
      </w:tblGrid>
      <w:tr w:rsidR="008223EE" w:rsidRPr="008223EE" w:rsidTr="008223EE">
        <w:trPr>
          <w:trHeight w:val="315"/>
        </w:trPr>
        <w:tc>
          <w:tcPr>
            <w:tcW w:w="9600"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Condensed Consolidated Balance Sheet</w:t>
            </w:r>
          </w:p>
        </w:tc>
      </w:tr>
      <w:tr w:rsidR="008223EE" w:rsidRPr="008223EE" w:rsidTr="008223EE">
        <w:trPr>
          <w:trHeight w:val="285"/>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7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6"/>
                <w:szCs w:val="16"/>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Assets </w:t>
            </w:r>
          </w:p>
        </w:tc>
        <w:tc>
          <w:tcPr>
            <w:tcW w:w="5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Notes</w:t>
            </w:r>
            <w:r w:rsidRPr="008223EE">
              <w:rPr>
                <w:rFonts w:ascii="Arial" w:eastAsia="Times New Roman" w:hAnsi="Arial" w:cs="Arial"/>
                <w:color w:val="000000"/>
                <w:sz w:val="13"/>
                <w:szCs w:val="13"/>
                <w:vertAlign w:val="superscript"/>
              </w:rPr>
              <w:t>1</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Cash and balances at central banks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86,175 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106,894 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Items in the course of collection from other banks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1,456 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1,812 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Trading portfolio assets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145,030 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152,183 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Financial assets designated at fair value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46,061 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36,949 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Derivative financial instruments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8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469,146 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538,964 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banks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40,489 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47,446 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425,729 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431,934 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Reverse repurchase agreements and other similar secured lending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176,956 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153,665 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Available for sale investments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75,109 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68,491 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Current and deferred tax assets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4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3,268 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3,384 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Prepayments, accrued income and other assets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4,360 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4,563 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Investments in associates and joint ventures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570 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427 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and intangible assets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10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7,915 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7,846 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Property, plant and equipment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5,754 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7,166 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Retirement benefit assets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2,303 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1,803 </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assets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1,490,321 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1,563,527 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Liabilities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Deposits from banks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77,010 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91,116 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Items in the course of collection due to other banks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1,573 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969 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accounts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385,707 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366,032 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Repurchase agreements and other similar secured borrowing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217,342 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207,292 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Trading portfolio liabilities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44,794 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45,887 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Financial liabilities designated at fair value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78,280 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87,997 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Derivative financial instruments </w:t>
            </w:r>
            <w:r w:rsidRPr="008223EE">
              <w:rPr>
                <w:rFonts w:ascii="Arial" w:eastAsia="Times New Roman" w:hAnsi="Arial" w:cs="Arial"/>
                <w:color w:val="000000"/>
                <w:sz w:val="13"/>
                <w:szCs w:val="13"/>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8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462,468 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527,910 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Debt securities in issue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119,581 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129,736 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Accruals, deferred income and other liabilities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12,232 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12,580 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Current and deferred tax liabilities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4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1,340 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2,092 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Subordinated liabilities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11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24,018 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24,870 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Provisions </w:t>
            </w:r>
            <w:r w:rsidRPr="008223EE">
              <w:rPr>
                <w:rFonts w:ascii="Arial" w:eastAsia="Times New Roman" w:hAnsi="Arial" w:cs="Arial"/>
                <w:color w:val="000000"/>
                <w:sz w:val="13"/>
                <w:szCs w:val="13"/>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12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2,766 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1,529 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Retirement benefit liabilities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253 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321 </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liabilities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1,427,364 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1,498,331 </w:t>
            </w:r>
          </w:p>
        </w:tc>
      </w:tr>
      <w:tr w:rsidR="008223EE" w:rsidRPr="008223EE" w:rsidTr="008223EE">
        <w:trPr>
          <w:trHeight w:val="240"/>
        </w:trPr>
        <w:tc>
          <w:tcPr>
            <w:tcW w:w="6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5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Shareholders' Equity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Shareholders' equity excluding non-controlling interests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53,586 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55,589 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Non-controlling interests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xml:space="preserve">5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9,371 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9,607 </w:t>
            </w: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shareholders' equity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62,957 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65,196 </w:t>
            </w:r>
          </w:p>
        </w:tc>
      </w:tr>
      <w:tr w:rsidR="008223EE" w:rsidRPr="008223EE" w:rsidTr="008223EE">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liabilities and shareholders' equity </w:t>
            </w:r>
          </w:p>
        </w:tc>
        <w:tc>
          <w:tcPr>
            <w:tcW w:w="5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1,490,321 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1,563,527 </w:t>
            </w:r>
          </w:p>
        </w:tc>
      </w:tr>
    </w:tbl>
    <w:p w:rsidR="008223EE" w:rsidRPr="008223EE" w:rsidRDefault="008223EE" w:rsidP="008223EE">
      <w:pPr>
        <w:spacing w:after="0" w:line="240" w:lineRule="auto"/>
        <w:ind w:left="1418" w:hanging="284"/>
        <w:rPr>
          <w:rFonts w:ascii="Times New Roman" w:eastAsia="Times New Roman" w:hAnsi="Times New Roman" w:cs="Times New Roman"/>
          <w:i/>
          <w:iCs/>
          <w:sz w:val="24"/>
          <w:szCs w:val="24"/>
        </w:rPr>
      </w:pPr>
      <w:r w:rsidRPr="008223EE">
        <w:rPr>
          <w:rFonts w:ascii="Times New Roman" w:eastAsia="Times New Roman" w:hAnsi="Times New Roman" w:cs="Times New Roman"/>
          <w:i/>
          <w:iCs/>
          <w:sz w:val="24"/>
          <w:szCs w:val="24"/>
        </w:rPr>
        <w:t> </w:t>
      </w:r>
    </w:p>
    <w:p w:rsidR="008223EE" w:rsidRPr="008223EE" w:rsidRDefault="008223EE" w:rsidP="0002570F">
      <w:pPr>
        <w:spacing w:after="0" w:line="240" w:lineRule="auto"/>
        <w:ind w:left="284" w:hanging="284"/>
        <w:rPr>
          <w:rFonts w:ascii="Times New Roman" w:eastAsia="Times New Roman" w:hAnsi="Times New Roman" w:cs="Times New Roman"/>
          <w:sz w:val="24"/>
          <w:szCs w:val="24"/>
        </w:rPr>
      </w:pPr>
      <w:r w:rsidRPr="008223EE">
        <w:rPr>
          <w:rFonts w:ascii="Arial" w:eastAsia="Times New Roman" w:hAnsi="Arial" w:cs="Arial"/>
          <w:i/>
          <w:iCs/>
          <w:sz w:val="14"/>
          <w:szCs w:val="14"/>
        </w:rPr>
        <w:t xml:space="preserve">1        </w:t>
      </w:r>
      <w:r w:rsidRPr="008223EE">
        <w:rPr>
          <w:rFonts w:ascii="Arial" w:eastAsia="Times New Roman" w:hAnsi="Arial" w:cs="Arial"/>
          <w:i/>
          <w:iCs/>
          <w:color w:val="000000"/>
          <w:sz w:val="14"/>
          <w:szCs w:val="14"/>
        </w:rPr>
        <w:t>For notes, see pages 84 to 100.</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Condensed Consolidated Financial Statements</w:t>
      </w:r>
    </w:p>
    <w:tbl>
      <w:tblPr>
        <w:tblW w:w="0" w:type="auto"/>
        <w:tblInd w:w="-36" w:type="dxa"/>
        <w:tblCellMar>
          <w:left w:w="0" w:type="dxa"/>
          <w:right w:w="0" w:type="dxa"/>
        </w:tblCellMar>
        <w:tblLook w:val="04A0" w:firstRow="1" w:lastRow="0" w:firstColumn="1" w:lastColumn="0" w:noHBand="0" w:noVBand="1"/>
      </w:tblPr>
      <w:tblGrid>
        <w:gridCol w:w="3796"/>
        <w:gridCol w:w="1121"/>
        <w:gridCol w:w="851"/>
        <w:gridCol w:w="815"/>
        <w:gridCol w:w="639"/>
        <w:gridCol w:w="899"/>
        <w:gridCol w:w="1013"/>
      </w:tblGrid>
      <w:tr w:rsidR="008223EE" w:rsidRPr="008223EE" w:rsidTr="008223EE">
        <w:trPr>
          <w:trHeight w:val="315"/>
        </w:trPr>
        <w:tc>
          <w:tcPr>
            <w:tcW w:w="9600" w:type="dxa"/>
            <w:gridSpan w:val="7"/>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Condensed Consolidated Statement of Changes in Equity</w:t>
            </w:r>
          </w:p>
        </w:tc>
      </w:tr>
      <w:tr w:rsidR="008223EE" w:rsidRPr="008223EE" w:rsidTr="008223EE">
        <w:trPr>
          <w:trHeight w:val="1005"/>
        </w:trPr>
        <w:tc>
          <w:tcPr>
            <w:tcW w:w="42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Year Ended 31.12.12</w:t>
            </w:r>
          </w:p>
        </w:tc>
        <w:tc>
          <w:tcPr>
            <w:tcW w:w="11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Called up Share Capital and Share Premium</w:t>
            </w:r>
            <w:r w:rsidRPr="008223EE">
              <w:rPr>
                <w:rFonts w:ascii="Arial" w:eastAsia="Times New Roman" w:hAnsi="Arial" w:cs="Arial"/>
                <w:b/>
                <w:bCs/>
                <w:color w:val="000000"/>
                <w:sz w:val="13"/>
                <w:szCs w:val="13"/>
                <w:vertAlign w:val="superscript"/>
              </w:rPr>
              <w:t>1 </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Other Reserves</w:t>
            </w:r>
            <w:r w:rsidRPr="008223EE">
              <w:rPr>
                <w:rFonts w:ascii="Arial" w:eastAsia="Times New Roman" w:hAnsi="Arial" w:cs="Arial"/>
                <w:b/>
                <w:bCs/>
                <w:color w:val="000000"/>
                <w:sz w:val="13"/>
                <w:szCs w:val="13"/>
                <w:vertAlign w:val="superscript"/>
              </w:rPr>
              <w:t>1 </w:t>
            </w:r>
          </w:p>
        </w:tc>
        <w:tc>
          <w:tcPr>
            <w:tcW w:w="82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Retained Earnings</w:t>
            </w:r>
          </w:p>
        </w:tc>
        <w:tc>
          <w:tcPr>
            <w:tcW w:w="6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82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Non-controlling Interests</w:t>
            </w:r>
            <w:r w:rsidRPr="008223EE">
              <w:rPr>
                <w:rFonts w:ascii="Arial" w:eastAsia="Times New Roman" w:hAnsi="Arial" w:cs="Arial"/>
                <w:b/>
                <w:bCs/>
                <w:color w:val="000000"/>
                <w:sz w:val="13"/>
                <w:szCs w:val="13"/>
                <w:vertAlign w:val="superscript"/>
              </w:rPr>
              <w:t>2 </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Equity</w:t>
            </w:r>
          </w:p>
        </w:tc>
      </w:tr>
      <w:tr w:rsidR="008223EE" w:rsidRPr="008223EE" w:rsidTr="008223EE">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1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Balance at 1 January 2012</w:t>
            </w:r>
          </w:p>
        </w:tc>
        <w:tc>
          <w:tcPr>
            <w:tcW w:w="11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12,380 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3,837 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39,372 </w:t>
            </w:r>
          </w:p>
        </w:tc>
        <w:tc>
          <w:tcPr>
            <w:tcW w:w="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55,589 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9,607 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65,196 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(Loss)/Profit after tax</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(1,041)</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(1,041)</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805 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(236)</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Currency translation movements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(1,319)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(1,319)</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(259)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(1,578)</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Available for sale investments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502 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502 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44 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546 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flow hedges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657 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657 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662 </w:t>
            </w:r>
          </w:p>
        </w:tc>
      </w:tr>
      <w:tr w:rsidR="008223EE" w:rsidRPr="008223EE" w:rsidTr="008223EE">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95 </w:t>
            </w:r>
          </w:p>
        </w:tc>
      </w:tr>
      <w:tr w:rsidR="008223EE" w:rsidRPr="008223EE" w:rsidTr="008223EE">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comprehensive income for the year</w:t>
            </w:r>
          </w:p>
        </w:tc>
        <w:tc>
          <w:tcPr>
            <w:tcW w:w="11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(160)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(947)</w:t>
            </w:r>
          </w:p>
        </w:tc>
        <w:tc>
          <w:tcPr>
            <w:tcW w:w="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(1,107)</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596 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(511)</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Issue of shares under employee share schemes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97 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717 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814 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814 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Increase in treasury shares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(979)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(979)</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(979)</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Vesting of shares under employee share schemes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946 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(946)</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Dividends paid</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(733)</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(733)</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(694)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(1,427)</w:t>
            </w:r>
          </w:p>
        </w:tc>
      </w:tr>
      <w:tr w:rsidR="008223EE" w:rsidRPr="008223EE" w:rsidTr="008223EE">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reserve movements</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(138)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(136)</w:t>
            </w:r>
          </w:p>
        </w:tc>
      </w:tr>
      <w:tr w:rsidR="008223EE" w:rsidRPr="008223EE" w:rsidTr="008223EE">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Balance at 31 December 2012</w:t>
            </w:r>
          </w:p>
        </w:tc>
        <w:tc>
          <w:tcPr>
            <w:tcW w:w="11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12,477 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3,644 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37,465 </w:t>
            </w:r>
          </w:p>
        </w:tc>
        <w:tc>
          <w:tcPr>
            <w:tcW w:w="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53,586 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9,371 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62,957 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Year Ended 31.12.11</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Balance at 1 January 2011</w:t>
            </w:r>
          </w:p>
        </w:tc>
        <w:tc>
          <w:tcPr>
            <w:tcW w:w="11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12,339 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1,754 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36,765 </w:t>
            </w:r>
          </w:p>
        </w:tc>
        <w:tc>
          <w:tcPr>
            <w:tcW w:w="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50,858 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11,404 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62,262 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Profit after tax</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3,007 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3,007 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944 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3,951 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Currency translation movements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(1,009)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(1,009)</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(598)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(1,607)</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Available for sale investments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1,380 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1,380 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1,374 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flow hedges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1,290 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1,290 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(27)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1,263 </w:t>
            </w:r>
          </w:p>
        </w:tc>
      </w:tr>
      <w:tr w:rsidR="008223EE" w:rsidRPr="008223EE" w:rsidTr="008223EE">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w:t>
            </w:r>
          </w:p>
        </w:tc>
      </w:tr>
      <w:tr w:rsidR="008223EE" w:rsidRPr="008223EE" w:rsidTr="008223EE">
        <w:trPr>
          <w:trHeight w:val="255"/>
        </w:trPr>
        <w:tc>
          <w:tcPr>
            <w:tcW w:w="4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comprehensive income for the year</w:t>
            </w:r>
          </w:p>
        </w:tc>
        <w:tc>
          <w:tcPr>
            <w:tcW w:w="11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1,661 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2,915 </w:t>
            </w:r>
          </w:p>
        </w:tc>
        <w:tc>
          <w:tcPr>
            <w:tcW w:w="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4,576 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331 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4,907 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Issue of shares under employee share schemes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41 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838 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879 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879 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Increase in treasury shares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(165)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(165)</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(165)</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Vesting of shares under employee share schemes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499 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(499)</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Dividends paid</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(660)</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(660)</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(727)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(1,387)</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Redemption of Reserve Capital Instruments</w:t>
            </w: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(1,415)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(1,415)</w:t>
            </w:r>
          </w:p>
        </w:tc>
      </w:tr>
      <w:tr w:rsidR="008223EE" w:rsidRPr="008223EE" w:rsidTr="008223EE">
        <w:trPr>
          <w:trHeight w:val="255"/>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reserve movements</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88 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101 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14 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115 </w:t>
            </w:r>
          </w:p>
        </w:tc>
      </w:tr>
      <w:tr w:rsidR="008223EE" w:rsidRPr="008223EE" w:rsidTr="008223EE">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Balance at 31 December 2011</w:t>
            </w:r>
          </w:p>
        </w:tc>
        <w:tc>
          <w:tcPr>
            <w:tcW w:w="11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12,380 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3,837 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39,372 </w:t>
            </w:r>
          </w:p>
        </w:tc>
        <w:tc>
          <w:tcPr>
            <w:tcW w:w="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55,589 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9,607 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65,196 </w:t>
            </w:r>
          </w:p>
        </w:tc>
      </w:tr>
      <w:tr w:rsidR="008223EE" w:rsidRPr="008223EE" w:rsidTr="008223EE">
        <w:trPr>
          <w:trHeight w:val="240"/>
        </w:trPr>
        <w:tc>
          <w:tcPr>
            <w:tcW w:w="4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1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02570F">
      <w:pPr>
        <w:spacing w:after="0" w:line="240" w:lineRule="auto"/>
        <w:ind w:left="284" w:hanging="284"/>
        <w:rPr>
          <w:rFonts w:ascii="Times New Roman" w:eastAsia="Times New Roman" w:hAnsi="Times New Roman" w:cs="Times New Roman"/>
          <w:i/>
          <w:iCs/>
          <w:sz w:val="24"/>
          <w:szCs w:val="24"/>
        </w:rPr>
      </w:pPr>
      <w:r w:rsidRPr="008223EE">
        <w:rPr>
          <w:rFonts w:ascii="Arial" w:eastAsia="Times New Roman" w:hAnsi="Arial" w:cs="Arial"/>
          <w:i/>
          <w:iCs/>
          <w:sz w:val="14"/>
          <w:szCs w:val="14"/>
        </w:rPr>
        <w:t>1        Details of Share Capital and Other Reserves are shown on page 92.</w:t>
      </w:r>
    </w:p>
    <w:p w:rsidR="008223EE" w:rsidRPr="008223EE" w:rsidRDefault="008223EE" w:rsidP="0002570F">
      <w:pPr>
        <w:spacing w:after="0" w:line="240" w:lineRule="auto"/>
        <w:ind w:left="284" w:hanging="284"/>
        <w:rPr>
          <w:rFonts w:ascii="Times New Roman" w:eastAsia="Times New Roman" w:hAnsi="Times New Roman" w:cs="Times New Roman"/>
          <w:i/>
          <w:iCs/>
          <w:sz w:val="24"/>
          <w:szCs w:val="24"/>
        </w:rPr>
      </w:pPr>
      <w:r w:rsidRPr="008223EE">
        <w:rPr>
          <w:rFonts w:ascii="Arial" w:eastAsia="Times New Roman" w:hAnsi="Arial" w:cs="Arial"/>
          <w:i/>
          <w:iCs/>
          <w:sz w:val="14"/>
          <w:szCs w:val="14"/>
        </w:rPr>
        <w:t>2       Details of Non-controlling Interests are shown on page 86. Included within other reserve movement of the £138m, £91m relates to the disposal of the Iveco Finance business.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lastRenderedPageBreak/>
        <w:t>Condensed Consolidated Financial Statements</w:t>
      </w:r>
    </w:p>
    <w:tbl>
      <w:tblPr>
        <w:tblW w:w="0" w:type="auto"/>
        <w:tblInd w:w="-36" w:type="dxa"/>
        <w:tblCellMar>
          <w:left w:w="0" w:type="dxa"/>
          <w:right w:w="0" w:type="dxa"/>
        </w:tblCellMar>
        <w:tblLook w:val="04A0" w:firstRow="1" w:lastRow="0" w:firstColumn="1" w:lastColumn="0" w:noHBand="0" w:noVBand="1"/>
      </w:tblPr>
      <w:tblGrid>
        <w:gridCol w:w="7034"/>
        <w:gridCol w:w="1085"/>
        <w:gridCol w:w="1015"/>
      </w:tblGrid>
      <w:tr w:rsidR="008223EE" w:rsidRPr="008223EE" w:rsidTr="008223EE">
        <w:trPr>
          <w:trHeight w:val="315"/>
        </w:trPr>
        <w:tc>
          <w:tcPr>
            <w:tcW w:w="8490"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Condensed Consolidated Cash Flow Statement</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7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r>
      <w:tr w:rsidR="008223EE" w:rsidRPr="008223EE" w:rsidTr="008223EE">
        <w:trPr>
          <w:trHeight w:val="240"/>
        </w:trPr>
        <w:tc>
          <w:tcPr>
            <w:tcW w:w="73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Continuing Operations</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7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7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Profit before tax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246 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5,879 </w:t>
            </w:r>
          </w:p>
        </w:tc>
      </w:tr>
      <w:tr w:rsidR="008223EE" w:rsidRPr="008223EE" w:rsidTr="008223EE">
        <w:trPr>
          <w:trHeight w:val="240"/>
        </w:trPr>
        <w:tc>
          <w:tcPr>
            <w:tcW w:w="7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Adjustment for non-cash items</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12,541 </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8,193 </w:t>
            </w:r>
          </w:p>
        </w:tc>
      </w:tr>
      <w:tr w:rsidR="008223EE" w:rsidRPr="008223EE" w:rsidTr="008223EE">
        <w:trPr>
          <w:trHeight w:val="240"/>
        </w:trPr>
        <w:tc>
          <w:tcPr>
            <w:tcW w:w="7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Changes in operating assets and liabilities</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(24,987)</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16,693 </w:t>
            </w:r>
          </w:p>
        </w:tc>
      </w:tr>
      <w:tr w:rsidR="008223EE" w:rsidRPr="008223EE" w:rsidTr="008223EE">
        <w:trPr>
          <w:trHeight w:val="240"/>
        </w:trPr>
        <w:tc>
          <w:tcPr>
            <w:tcW w:w="7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income tax paid</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(1,516)</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(1,686)</w:t>
            </w:r>
          </w:p>
        </w:tc>
      </w:tr>
      <w:tr w:rsidR="008223EE" w:rsidRPr="008223EE" w:rsidTr="008223EE">
        <w:trPr>
          <w:trHeight w:val="240"/>
        </w:trPr>
        <w:tc>
          <w:tcPr>
            <w:tcW w:w="7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Net cash from operating activities</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(13,716)</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29,079 </w:t>
            </w:r>
          </w:p>
        </w:tc>
      </w:tr>
      <w:tr w:rsidR="008223EE" w:rsidRPr="008223EE" w:rsidTr="008223EE">
        <w:trPr>
          <w:trHeight w:val="240"/>
        </w:trPr>
        <w:tc>
          <w:tcPr>
            <w:tcW w:w="7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Net cash from investing activities</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(7,099)</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(1,912)</w:t>
            </w:r>
          </w:p>
        </w:tc>
      </w:tr>
      <w:tr w:rsidR="008223EE" w:rsidRPr="008223EE" w:rsidTr="008223EE">
        <w:trPr>
          <w:trHeight w:val="240"/>
        </w:trPr>
        <w:tc>
          <w:tcPr>
            <w:tcW w:w="7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Net cash from financing activities</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(2,842)</w:t>
            </w: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(5,961)</w:t>
            </w:r>
          </w:p>
        </w:tc>
      </w:tr>
      <w:tr w:rsidR="008223EE" w:rsidRPr="008223EE" w:rsidTr="008223EE">
        <w:trPr>
          <w:trHeight w:val="240"/>
        </w:trPr>
        <w:tc>
          <w:tcPr>
            <w:tcW w:w="7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Effect of exchange rates on cash and cash equivalents</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(4,109)</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(2,933)</w:t>
            </w:r>
          </w:p>
        </w:tc>
      </w:tr>
      <w:tr w:rsidR="008223EE" w:rsidRPr="008223EE" w:rsidTr="008223EE">
        <w:trPr>
          <w:trHeight w:val="240"/>
        </w:trPr>
        <w:tc>
          <w:tcPr>
            <w:tcW w:w="7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Net (decrease)/increase in cash and cash equivalents</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(27,766)</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18,273 </w:t>
            </w:r>
          </w:p>
        </w:tc>
      </w:tr>
      <w:tr w:rsidR="008223EE" w:rsidRPr="008223EE" w:rsidTr="008223EE">
        <w:trPr>
          <w:trHeight w:val="240"/>
        </w:trPr>
        <w:tc>
          <w:tcPr>
            <w:tcW w:w="7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and cash equivalents at beginning of the period</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149,673 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131,400 </w:t>
            </w:r>
          </w:p>
        </w:tc>
      </w:tr>
      <w:tr w:rsidR="008223EE" w:rsidRPr="008223EE" w:rsidTr="008223EE">
        <w:trPr>
          <w:trHeight w:val="240"/>
        </w:trPr>
        <w:tc>
          <w:tcPr>
            <w:tcW w:w="7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Cash and cash equivalents at end of the period</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121,907 </w:t>
            </w:r>
          </w:p>
        </w:tc>
        <w:tc>
          <w:tcPr>
            <w:tcW w:w="10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149,673 </w:t>
            </w:r>
          </w:p>
        </w:tc>
      </w:tr>
      <w:tr w:rsidR="008223EE" w:rsidRPr="008223EE" w:rsidTr="008223EE">
        <w:trPr>
          <w:trHeight w:val="240"/>
        </w:trPr>
        <w:tc>
          <w:tcPr>
            <w:tcW w:w="7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Times New Roman" w:eastAsia="Times New Roman" w:hAnsi="Times New Roman" w:cs="Times New Roman"/>
          <w:i/>
          <w:iCs/>
          <w:sz w:val="24"/>
          <w:szCs w:val="24"/>
        </w:rPr>
      </w:pPr>
      <w:r w:rsidRPr="008223EE">
        <w:rPr>
          <w:rFonts w:ascii="Arial" w:eastAsia="Times New Roman" w:hAnsi="Arial" w:cs="Arial"/>
          <w:i/>
          <w:iCs/>
          <w:sz w:val="14"/>
          <w:szCs w:val="14"/>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sz w:val="14"/>
          <w:szCs w:val="14"/>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tbl>
      <w:tblPr>
        <w:tblW w:w="0" w:type="auto"/>
        <w:tblInd w:w="-36" w:type="dxa"/>
        <w:tblCellMar>
          <w:left w:w="0" w:type="dxa"/>
          <w:right w:w="0" w:type="dxa"/>
        </w:tblCellMar>
        <w:tblLook w:val="04A0" w:firstRow="1" w:lastRow="0" w:firstColumn="1" w:lastColumn="0" w:noHBand="0" w:noVBand="1"/>
      </w:tblPr>
      <w:tblGrid>
        <w:gridCol w:w="5186"/>
        <w:gridCol w:w="926"/>
        <w:gridCol w:w="1033"/>
        <w:gridCol w:w="962"/>
        <w:gridCol w:w="1027"/>
      </w:tblGrid>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4"/>
                <w:szCs w:val="24"/>
              </w:rPr>
              <w:t>UK Retail and Business Banking</w:t>
            </w:r>
            <w:r w:rsidRPr="008223EE">
              <w:rPr>
                <w:rFonts w:ascii="Arial" w:eastAsia="Times New Roman" w:hAnsi="Arial" w:cs="Arial"/>
                <w:color w:val="000000"/>
                <w:sz w:val="24"/>
                <w:szCs w:val="24"/>
                <w:vertAlign w:val="superscript"/>
              </w:rPr>
              <w:t xml:space="preserv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4"/>
                <w:szCs w:val="24"/>
              </w:rPr>
              <w:t> </w:t>
            </w:r>
            <w:r w:rsidRPr="008223EE">
              <w:rPr>
                <w:rFonts w:ascii="Arial" w:eastAsia="Times New Roman" w:hAnsi="Arial" w:cs="Arial"/>
                <w:color w:val="000000"/>
                <w:sz w:val="24"/>
                <w:szCs w:val="24"/>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24"/>
                <w:szCs w:val="24"/>
              </w:rPr>
              <w:t> </w:t>
            </w:r>
            <w:r w:rsidRPr="008223EE">
              <w:rPr>
                <w:rFonts w:ascii="Arial" w:eastAsia="Times New Roman" w:hAnsi="Arial" w:cs="Arial"/>
                <w:b/>
                <w:bCs/>
                <w:color w:val="000000"/>
                <w:sz w:val="19"/>
                <w:szCs w:val="19"/>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r>
      <w:tr w:rsidR="008223EE" w:rsidRPr="008223EE" w:rsidTr="008223EE">
        <w:trPr>
          <w:trHeight w:val="240"/>
        </w:trPr>
        <w:tc>
          <w:tcPr>
            <w:tcW w:w="54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Income Statement Information</w:t>
            </w:r>
            <w:r w:rsidRPr="008223EE">
              <w:rPr>
                <w:rFonts w:ascii="Arial" w:eastAsia="Times New Roman" w:hAnsi="Arial" w:cs="Arial"/>
                <w:color w:val="000000"/>
                <w:sz w:val="20"/>
                <w:szCs w:val="20"/>
                <w:vertAlign w:val="superscript"/>
              </w:rPr>
              <w:t xml:space="preserv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31.12.12</w:t>
            </w:r>
            <w:r w:rsidRPr="008223EE">
              <w:rPr>
                <w:rFonts w:ascii="Arial" w:eastAsia="Times New Roman" w:hAnsi="Arial" w:cs="Arial"/>
                <w:color w:val="000000"/>
                <w:sz w:val="20"/>
                <w:szCs w:val="20"/>
                <w:vertAlign w:val="superscript"/>
              </w:rPr>
              <w:t xml:space="preserve">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20"/>
                <w:szCs w:val="20"/>
                <w:vertAlign w:val="superscript"/>
              </w:rPr>
              <w:t>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Change </w:t>
            </w: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interest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3,227 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3,413 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fee and commission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1,154 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investment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premiums from insurance contracts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(20) </w:t>
            </w:r>
          </w:p>
        </w:tc>
      </w:tr>
      <w:tr w:rsidR="008223EE" w:rsidRPr="008223EE" w:rsidTr="008223EE">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Total income</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4,454 </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4,678 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 </w:t>
            </w:r>
          </w:p>
        </w:tc>
      </w:tr>
      <w:tr w:rsidR="008223EE" w:rsidRPr="008223EE" w:rsidTr="008223EE">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claims and benefits incurred under insurance contracts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(33)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Total income net of insurance claims</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4,421 </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4,656 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 </w:t>
            </w:r>
          </w:p>
        </w:tc>
      </w:tr>
      <w:tr w:rsidR="008223EE" w:rsidRPr="008223EE" w:rsidTr="008223EE">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(269)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(536)</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(50) </w:t>
            </w: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Net operating income</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4,152 </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4,120 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1  </w:t>
            </w:r>
          </w:p>
        </w:tc>
      </w:tr>
      <w:tr w:rsidR="008223EE" w:rsidRPr="008223EE" w:rsidTr="008223EE">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(excluding provision for PPI redress)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(2,684)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(2,702)</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r>
      <w:tr w:rsidR="008223EE" w:rsidRPr="008223EE" w:rsidTr="008223EE">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PPI redress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(1,180)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(400)</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Operating expenses</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(3,864)</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(3,102)</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25 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Profit before tax</w:t>
            </w:r>
            <w:r w:rsidRPr="008223EE">
              <w:rPr>
                <w:rFonts w:ascii="Arial" w:eastAsia="Times New Roman" w:hAnsi="Arial" w:cs="Arial"/>
                <w:color w:val="000000"/>
                <w:sz w:val="16"/>
                <w:szCs w:val="16"/>
                <w:vertAlign w:val="superscript"/>
              </w:rPr>
              <w:t xml:space="preserve">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292 </w:t>
            </w:r>
            <w:r w:rsidRPr="008223EE">
              <w:rPr>
                <w:rFonts w:ascii="Arial" w:eastAsia="Times New Roman" w:hAnsi="Arial" w:cs="Arial"/>
                <w:color w:val="000000"/>
                <w:sz w:val="16"/>
                <w:szCs w:val="16"/>
                <w:vertAlign w:val="superscript"/>
              </w:rPr>
              <w:t xml:space="preserve">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1,020 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(71) </w:t>
            </w:r>
          </w:p>
        </w:tc>
      </w:tr>
      <w:tr w:rsidR="008223EE" w:rsidRPr="008223EE" w:rsidTr="008223EE">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Adjusted profit before tax</w:t>
            </w:r>
            <w:r w:rsidRPr="008223EE">
              <w:rPr>
                <w:rFonts w:ascii="Arial" w:eastAsia="Times New Roman" w:hAnsi="Arial" w:cs="Arial"/>
                <w:b/>
                <w:bCs/>
                <w:color w:val="000000"/>
                <w:sz w:val="13"/>
                <w:szCs w:val="13"/>
                <w:vertAlign w:val="superscript"/>
              </w:rPr>
              <w:t>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1,472 </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1,420 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8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Balance Sheet Information</w:t>
            </w:r>
            <w:r w:rsidRPr="008223EE">
              <w:rPr>
                <w:rFonts w:ascii="Arial" w:eastAsia="Times New Roman" w:hAnsi="Arial" w:cs="Arial"/>
                <w:color w:val="000000"/>
                <w:sz w:val="20"/>
                <w:szCs w:val="20"/>
                <w:vertAlign w:val="superscript"/>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b/>
                <w:bCs/>
                <w:color w:val="000000"/>
                <w:sz w:val="16"/>
                <w:szCs w:val="16"/>
                <w:vertAlign w:val="superscript"/>
              </w:rPr>
              <w:t> </w:t>
            </w: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£128.2bn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£121.2bn</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deposits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£116.0bn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£111.8bn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£136.7bn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£127.8bn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£38.8bn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£34.0bn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8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20"/>
                <w:szCs w:val="20"/>
                <w:vertAlign w:val="superscript"/>
              </w:rPr>
              <w:t> </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r w:rsidRPr="008223EE">
              <w:rPr>
                <w:rFonts w:ascii="Arial" w:eastAsia="Times New Roman" w:hAnsi="Arial" w:cs="Arial"/>
                <w:b/>
                <w:bCs/>
                <w:color w:val="000000"/>
                <w:sz w:val="13"/>
                <w:szCs w:val="13"/>
                <w:vertAlign w:val="superscript"/>
              </w:rPr>
              <w:t>1</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274"/>
        <w:gridCol w:w="965"/>
        <w:gridCol w:w="965"/>
        <w:gridCol w:w="965"/>
        <w:gridCol w:w="965"/>
      </w:tblGrid>
      <w:tr w:rsidR="008223EE" w:rsidRPr="008223EE" w:rsidTr="008223EE">
        <w:trPr>
          <w:trHeight w:val="285"/>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lastRenderedPageBreak/>
              <w:t>Performance Measures</w:t>
            </w:r>
            <w:r w:rsidRPr="008223EE">
              <w:rPr>
                <w:rFonts w:ascii="Arial" w:eastAsia="Times New Roman" w:hAnsi="Arial" w:cs="Arial"/>
                <w:color w:val="000000"/>
                <w:sz w:val="20"/>
                <w:szCs w:val="20"/>
                <w:vertAlign w:val="superscript"/>
              </w:rPr>
              <w:t xml:space="preserve">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31.12.11</w:t>
            </w:r>
            <w:r w:rsidRPr="008223EE">
              <w:rPr>
                <w:rFonts w:ascii="Arial" w:eastAsia="Times New Roman" w:hAnsi="Arial" w:cs="Arial"/>
                <w:color w:val="000000"/>
                <w:sz w:val="20"/>
                <w:szCs w:val="20"/>
                <w:vertAlign w:val="superscript"/>
              </w:rPr>
              <w:t xml:space="preserve">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31.12.11</w:t>
            </w:r>
            <w:r w:rsidRPr="008223EE">
              <w:rPr>
                <w:rFonts w:ascii="Arial" w:eastAsia="Times New Roman" w:hAnsi="Arial" w:cs="Arial"/>
                <w:b/>
                <w:bCs/>
                <w:color w:val="000000"/>
                <w:sz w:val="20"/>
                <w:szCs w:val="20"/>
                <w:vertAlign w:val="superscript"/>
              </w:rPr>
              <w:t xml:space="preserve"> </w:t>
            </w: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14.9%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10.6%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2.1%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Cost: income ratio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58%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67%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 loss rate (bps)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44 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85"/>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Key Facts</w:t>
            </w:r>
            <w:r w:rsidRPr="008223EE">
              <w:rPr>
                <w:rFonts w:ascii="Arial" w:eastAsia="Times New Roman" w:hAnsi="Arial" w:cs="Arial"/>
                <w:color w:val="000000"/>
                <w:sz w:val="20"/>
                <w:szCs w:val="20"/>
                <w:vertAlign w:val="superscript"/>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31.12.12</w:t>
            </w:r>
            <w:r w:rsidRPr="008223EE">
              <w:rPr>
                <w:rFonts w:ascii="Arial" w:eastAsia="Times New Roman" w:hAnsi="Arial" w:cs="Arial"/>
                <w:color w:val="000000"/>
                <w:sz w:val="20"/>
                <w:szCs w:val="20"/>
                <w:vertAlign w:val="superscript"/>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20"/>
                <w:szCs w:val="20"/>
                <w:vertAlign w:val="superscript"/>
              </w:rPr>
              <w:t> </w:t>
            </w: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90 day arrears rates - UK personal loans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90 day arrears rates - home loans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0.3%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0.3%</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UK current accounts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11.7m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11.9m</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UK savings accounts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15.4m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15.1m</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UK mortgage accounts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945,000 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930,000 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Barclays Business customers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765,000 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785,000 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Average LTV of mortgage portfolio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Average LTV of new mortgage lending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branches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1,593 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1,625 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ATMs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4,166 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3,629 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employees (full time equivalent)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34,800 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34,100 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02570F">
      <w:pPr>
        <w:spacing w:after="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i/>
          <w:iCs/>
          <w:color w:val="000000"/>
          <w:sz w:val="14"/>
          <w:szCs w:val="14"/>
        </w:rPr>
        <w:t>1         Adjusted profit before tax and adjusted performance measures exclude the impact of the provision for PPI redress of £1,180m (2011: £400m)</w:t>
      </w:r>
      <w:r w:rsidRPr="008223EE">
        <w:rPr>
          <w:rFonts w:ascii="Arial" w:eastAsia="Times New Roman" w:hAnsi="Arial" w:cs="Arial"/>
          <w:i/>
          <w:iCs/>
          <w:color w:val="000000"/>
          <w:sz w:val="8"/>
          <w:szCs w:val="8"/>
        </w:rPr>
        <w:t>.</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p w:rsidR="008223EE" w:rsidRPr="008223EE" w:rsidRDefault="008223EE" w:rsidP="008223EE">
      <w:pPr>
        <w:spacing w:after="118" w:line="240" w:lineRule="auto"/>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UK Retail and Business Banking</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Loans and advances to UK customers and clients grew £7bn, including an estimated £4.4bn under the FLS where we have committed to pass all associated funding cost benefits to customers</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Attracted £4.2bn of UK deposits, principally through growth in ISAs and retail bonds </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From 1 December 2012, all branch and call centre staff will receive incentive payments based solely on customer satisfaction. The scheme will reward the customer service performance of branches and areas rather than that of individuals</w:t>
      </w:r>
    </w:p>
    <w:p w:rsidR="008223EE" w:rsidRPr="008223EE" w:rsidRDefault="008223EE" w:rsidP="008223EE">
      <w:pPr>
        <w:spacing w:before="120" w:after="120" w:line="240" w:lineRule="auto"/>
        <w:jc w:val="both"/>
        <w:rPr>
          <w:rFonts w:ascii="Arial" w:eastAsia="Times New Roman" w:hAnsi="Arial" w:cs="Arial"/>
          <w:b/>
          <w:bCs/>
          <w:sz w:val="18"/>
          <w:szCs w:val="18"/>
        </w:rPr>
      </w:pPr>
      <w:r w:rsidRPr="008223EE">
        <w:rPr>
          <w:rFonts w:ascii="Arial" w:eastAsia="Times New Roman" w:hAnsi="Arial" w:cs="Arial"/>
          <w:b/>
          <w:bCs/>
          <w:sz w:val="20"/>
          <w:szCs w:val="20"/>
        </w:rPr>
        <w:t>2012 compared to 2011</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Income declined 5% to £4,421m reflecting higher funding costs and reduced contribution from structural hedges, including non recurrence of gains from the disposal of hedging instruments in 2011</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Net interest income declined 5% to £3,227m with net interest margin down 14bps to 137bps principally due to reduced contributions from structural hedges</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Customer asset margin decreased 15bps to 107bps reflecting higher funding costs. Average customer assets increased 5% to £124.3bn driven by mortgage growth</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Customer liability margin increased 10bps to 97bps reflecting an increase in funding rates and therefore the value generated from customer liabilities. Average customer liabilities increased 4% to £111.8bn due to personal savings deposit growth</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Non-interest income declined 4% to £1,194m reflecting lower net insurance income</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Credit impairment charges decreased 50% to £269m reflecting improvements across all portfolios, principally in personal unsecured lending </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Loan loss rate reduced to 21bps (2011: 44bps) </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90 day arrear rates improved 33bps on UK personal loans to 1.3% and deteriorated4bps on UK mortgages to 0.3%</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operating expenses remained broadly flat at £2,684m (2011: £2,702m)</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profit before tax improved 4% to £1,472m. Statutory profit before tax declined 71% to £292m after £1,180m (2011: £400m) provision for PPI redress</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return on average equity improved to 16.0% (2011: 14.9%). Statutory return on average equity declined to 3.1% (2011: 10.6%)</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Total loans and advances to customers increased 6% to £128.2bn driven by growth in mortgage balances</w:t>
      </w:r>
    </w:p>
    <w:p w:rsidR="008223EE" w:rsidRPr="008223EE" w:rsidRDefault="008223EE" w:rsidP="0002570F">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Mortgage balances of £114.7bn at 31 December 2012 (2011: £107.8bn). Gross new mortgage lending of £18.2bn (2011: £17.2bn) and mortgage redemptions of £11.3bn (2011: £10.7bn), resulted in net new mortgage lending of £6.9bn (2011: £6.5bn)</w:t>
      </w:r>
    </w:p>
    <w:p w:rsidR="008223EE" w:rsidRPr="008223EE" w:rsidRDefault="008223EE" w:rsidP="0002570F">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Average Loan to Value (LTV) ratio for the mortgage portfolio (including buy to let) on a current valuation basis was 46% (31 December 2011: 44%). Average LTV of new mortgage lending was 56% (31 December 2011: 54%)</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customer deposits increased 4% to £116.0bn primarily driven by growth in savings from ISAs and retail bonds</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Risk weighted assets increased 14% to £38.8bn principally due to mortgage balance growth, an increased operational risk charge and adoption of a more comprehensive approach to loans subject to forbearance</w:t>
      </w:r>
    </w:p>
    <w:p w:rsidR="008223EE" w:rsidRPr="008223EE" w:rsidRDefault="008223EE" w:rsidP="008223EE">
      <w:pPr>
        <w:spacing w:before="120" w:after="120" w:line="240" w:lineRule="auto"/>
        <w:jc w:val="both"/>
        <w:rPr>
          <w:rFonts w:ascii="Arial" w:eastAsia="Times New Roman" w:hAnsi="Arial" w:cs="Arial"/>
          <w:b/>
          <w:bCs/>
          <w:sz w:val="18"/>
          <w:szCs w:val="18"/>
        </w:rPr>
      </w:pPr>
      <w:r w:rsidRPr="008223EE">
        <w:rPr>
          <w:rFonts w:ascii="Arial" w:eastAsia="Times New Roman" w:hAnsi="Arial" w:cs="Arial"/>
          <w:b/>
          <w:bCs/>
          <w:sz w:val="20"/>
          <w:szCs w:val="20"/>
        </w:rPr>
        <w:t>Q4 12 compared to Q3 12</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profit before tax declined 19% to £326m</w:t>
      </w:r>
    </w:p>
    <w:p w:rsidR="008223EE" w:rsidRPr="008223EE" w:rsidRDefault="008223EE" w:rsidP="0002570F">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Income declined 4% to £1,086m primarily due to provisions taken to remedy historical interest charges incorrectly applied to customers</w:t>
      </w:r>
    </w:p>
    <w:p w:rsidR="008223EE" w:rsidRPr="008223EE" w:rsidRDefault="008223EE" w:rsidP="0002570F">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Impairment decreased £5m to £71m </w:t>
      </w:r>
    </w:p>
    <w:p w:rsidR="008223EE" w:rsidRPr="008223EE" w:rsidRDefault="008223EE" w:rsidP="0002570F">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Adjusted operating expenses increased 6% to £693m mainly due to the transfer of claims management costs to the PPI provision in Q3 12</w:t>
      </w:r>
    </w:p>
    <w:p w:rsidR="008223EE" w:rsidRPr="008223EE" w:rsidRDefault="008223EE" w:rsidP="0002570F">
      <w:pPr>
        <w:spacing w:before="120" w:after="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Statutory loss before tax was £4m (Q3 12: £150m) including £330m (Q3 12: £550m) additional provision for PPI redress</w:t>
      </w:r>
    </w:p>
    <w:p w:rsidR="008223EE" w:rsidRPr="008223EE" w:rsidRDefault="008223EE" w:rsidP="0002570F">
      <w:pPr>
        <w:spacing w:before="80" w:after="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Loans and advances to customers increased to £128.2bn (30 September 2012: £126.0bn) reflecting steady growth in mortgage balances. Customer deposits continued to increase to £116.0bn (30 September 2012: £114.5bn)</w:t>
      </w:r>
    </w:p>
    <w:p w:rsidR="008223EE" w:rsidRPr="008223EE" w:rsidRDefault="008223EE" w:rsidP="008223EE">
      <w:pPr>
        <w:spacing w:before="80" w:after="80" w:line="240" w:lineRule="auto"/>
        <w:ind w:left="1418"/>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before="80" w:after="80" w:line="240" w:lineRule="auto"/>
        <w:ind w:left="1418"/>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190"/>
        <w:gridCol w:w="926"/>
        <w:gridCol w:w="1031"/>
        <w:gridCol w:w="960"/>
        <w:gridCol w:w="1027"/>
      </w:tblGrid>
      <w:tr w:rsidR="008223EE" w:rsidRPr="008223EE" w:rsidTr="008223EE">
        <w:trPr>
          <w:trHeight w:val="315"/>
        </w:trPr>
        <w:tc>
          <w:tcPr>
            <w:tcW w:w="5415" w:type="dxa"/>
            <w:tcMar>
              <w:top w:w="0" w:type="dxa"/>
              <w:left w:w="36" w:type="dxa"/>
              <w:bottom w:w="0" w:type="dxa"/>
              <w:right w:w="36" w:type="dxa"/>
            </w:tcMar>
            <w:vAlign w:val="center"/>
            <w:hideMark/>
          </w:tcPr>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xml:space="preserve">Europe Retail and Business Banking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24"/>
                <w:szCs w:val="24"/>
              </w:rPr>
              <w:t> </w:t>
            </w:r>
            <w:r w:rsidRPr="008223EE">
              <w:rPr>
                <w:rFonts w:ascii="Arial" w:eastAsia="Times New Roman" w:hAnsi="Arial" w:cs="Arial"/>
                <w:b/>
                <w:bCs/>
                <w:color w:val="000000"/>
                <w:sz w:val="19"/>
                <w:szCs w:val="19"/>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Income Statement Information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31.12.12</w:t>
            </w:r>
            <w:r w:rsidRPr="008223EE">
              <w:rPr>
                <w:rFonts w:ascii="Arial" w:eastAsia="Times New Roman" w:hAnsi="Arial" w:cs="Arial"/>
                <w:b/>
                <w:bCs/>
                <w:color w:val="000000"/>
                <w:sz w:val="20"/>
                <w:szCs w:val="20"/>
                <w:vertAlign w:val="superscript"/>
              </w:rPr>
              <w:t xml:space="preserve">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interest income </w:t>
            </w:r>
            <w:r w:rsidRPr="008223EE">
              <w:rPr>
                <w:rFonts w:ascii="Arial" w:eastAsia="Times New Roman" w:hAnsi="Arial" w:cs="Arial"/>
                <w:color w:val="000000"/>
                <w:sz w:val="13"/>
                <w:szCs w:val="13"/>
                <w:vertAlign w:val="superscript"/>
              </w:rPr>
              <w: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599 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fee and commission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284 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trading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investment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premiums from insurance contracts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331 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463 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income/(expense)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1,274 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1,729 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claims and benefits incurred under insurance contracts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(359)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(503)</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net of insurance claims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915 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1,226 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(328)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587 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(39)</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(excluding goodwill impairment)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(839)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(1,211)</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impairment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(427)</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w:t>
            </w:r>
            <w:r w:rsidRPr="008223EE">
              <w:rPr>
                <w:rFonts w:ascii="Arial" w:eastAsia="Times New Roman" w:hAnsi="Arial" w:cs="Arial"/>
                <w:b/>
                <w:bCs/>
                <w:color w:val="000000"/>
                <w:sz w:val="13"/>
                <w:szCs w:val="13"/>
                <w:vertAlign w:val="superscript"/>
              </w:rPr>
              <w: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(839)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(1,638)</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8 </w:t>
            </w:r>
          </w:p>
        </w:tc>
      </w:tr>
      <w:tr w:rsidR="008223EE" w:rsidRPr="008223EE" w:rsidTr="008223EE">
        <w:trPr>
          <w:trHeight w:val="240"/>
        </w:trPr>
        <w:tc>
          <w:tcPr>
            <w:tcW w:w="541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Loss before tax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(239)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(661)</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(64)</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Adjusted loss before tax</w:t>
            </w:r>
            <w:r w:rsidRPr="008223EE">
              <w:rPr>
                <w:rFonts w:ascii="Arial" w:eastAsia="Times New Roman" w:hAnsi="Arial" w:cs="Arial"/>
                <w:b/>
                <w:bCs/>
                <w:color w:val="000000"/>
                <w:sz w:val="13"/>
                <w:szCs w:val="13"/>
                <w:vertAlign w:val="superscript"/>
              </w:rPr>
              <w:t>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(239)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(234)</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Balance Sheet Information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b/>
                <w:bCs/>
                <w:color w:val="000000"/>
                <w:sz w:val="16"/>
                <w:szCs w:val="16"/>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£40.0bn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£43.6bn</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deposits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£17.6bn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£16.4bn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£47.1bn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£51.3bn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£17.1bn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£17.4bn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r w:rsidRPr="008223EE">
              <w:rPr>
                <w:rFonts w:ascii="Arial" w:eastAsia="Times New Roman" w:hAnsi="Arial" w:cs="Arial"/>
                <w:b/>
                <w:bCs/>
                <w:color w:val="000000"/>
                <w:sz w:val="13"/>
                <w:szCs w:val="13"/>
                <w:vertAlign w:val="superscript"/>
              </w:rPr>
              <w:t>1</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274"/>
        <w:gridCol w:w="965"/>
        <w:gridCol w:w="965"/>
        <w:gridCol w:w="965"/>
        <w:gridCol w:w="965"/>
      </w:tblGrid>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Performance Measures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31.12.11</w:t>
            </w:r>
            <w:r w:rsidRPr="008223EE">
              <w:rPr>
                <w:rFonts w:ascii="Arial" w:eastAsia="Times New Roman" w:hAnsi="Arial" w:cs="Arial"/>
                <w:b/>
                <w:bCs/>
                <w:color w:val="000000"/>
                <w:sz w:val="20"/>
                <w:szCs w:val="20"/>
                <w:vertAlign w:val="superscript"/>
              </w:rPr>
              <w:t xml:space="preserve">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(6.0%)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(21.8%)</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Cost: income ratio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134%</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 loss rate (bps)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31.12.12</w:t>
            </w:r>
            <w:r w:rsidRPr="008223EE">
              <w:rPr>
                <w:rFonts w:ascii="Arial" w:eastAsia="Times New Roman" w:hAnsi="Arial" w:cs="Arial"/>
                <w:b/>
                <w:bCs/>
                <w:color w:val="000000"/>
                <w:sz w:val="20"/>
                <w:szCs w:val="20"/>
                <w:vertAlign w:val="superscript"/>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90 day arrears rate - Spain home loans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0.5%</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90 day arrears rate - Portugal home loans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90 day arrears rate - Italy home loans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90 day arrears rate - Total Europe RBB home loans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0.8%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0.7%</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30 day arrears rate - cards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customers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2.7m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2.7m</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branches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923 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978 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sales centres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219 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Number of distribution points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1,142 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1,228 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employees (full time equivalent)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7,900 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02570F">
      <w:pPr>
        <w:spacing w:after="0" w:line="240" w:lineRule="auto"/>
        <w:ind w:left="284" w:hanging="284"/>
        <w:rPr>
          <w:rFonts w:ascii="Arial" w:eastAsia="Times New Roman" w:hAnsi="Arial" w:cs="Arial"/>
          <w:sz w:val="18"/>
          <w:szCs w:val="18"/>
        </w:rPr>
      </w:pPr>
      <w:r w:rsidRPr="008223EE">
        <w:rPr>
          <w:rFonts w:ascii="Arial" w:eastAsia="Times New Roman" w:hAnsi="Arial" w:cs="Arial"/>
          <w:i/>
          <w:iCs/>
          <w:sz w:val="14"/>
          <w:szCs w:val="14"/>
        </w:rPr>
        <w:t xml:space="preserve">1        </w:t>
      </w:r>
      <w:r w:rsidRPr="008223EE">
        <w:rPr>
          <w:rFonts w:ascii="Arial" w:eastAsia="Times New Roman" w:hAnsi="Arial" w:cs="Arial"/>
          <w:i/>
          <w:iCs/>
          <w:color w:val="000000"/>
          <w:sz w:val="14"/>
          <w:szCs w:val="14"/>
        </w:rPr>
        <w:t>Adjusted loss before tax and adjusted performance measures excludes the impact of goodwill impairment £nil (2011: £427m).</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p w:rsidR="008223EE" w:rsidRPr="008223EE" w:rsidRDefault="008223EE" w:rsidP="008223EE">
      <w:pPr>
        <w:spacing w:after="120" w:line="240" w:lineRule="auto"/>
        <w:rPr>
          <w:rFonts w:ascii="Arial" w:eastAsia="Times New Roman" w:hAnsi="Arial" w:cs="Arial"/>
          <w:b/>
          <w:bCs/>
          <w:sz w:val="18"/>
          <w:szCs w:val="18"/>
        </w:rPr>
      </w:pPr>
      <w:r w:rsidRPr="008223EE">
        <w:rPr>
          <w:rFonts w:ascii="Arial" w:eastAsia="Times New Roman" w:hAnsi="Arial" w:cs="Arial"/>
          <w:b/>
          <w:bCs/>
          <w:sz w:val="24"/>
          <w:szCs w:val="24"/>
        </w:rPr>
        <w:t>Europe Retail and Business Banking</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Strategic action taken to significantly reduce redenomination risk and reposition the business, considering the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economic challenges</w:t>
      </w:r>
    </w:p>
    <w:p w:rsidR="008223EE" w:rsidRPr="008223EE" w:rsidRDefault="008223EE" w:rsidP="0002570F">
      <w:pPr>
        <w:spacing w:before="120" w:after="120" w:line="240" w:lineRule="auto"/>
        <w:ind w:left="284" w:hanging="284"/>
        <w:jc w:val="both"/>
        <w:rPr>
          <w:rFonts w:ascii="Arial" w:eastAsia="Times New Roman" w:hAnsi="Arial" w:cs="Arial"/>
          <w:b/>
          <w:bCs/>
          <w:sz w:val="18"/>
          <w:szCs w:val="18"/>
        </w:rPr>
      </w:pPr>
      <w:r w:rsidRPr="008223EE">
        <w:rPr>
          <w:rFonts w:ascii="Arial" w:eastAsia="Times New Roman" w:hAnsi="Arial" w:cs="Arial"/>
          <w:b/>
          <w:bCs/>
          <w:sz w:val="20"/>
          <w:szCs w:val="20"/>
        </w:rPr>
        <w:t>2012 compared to 2011</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Income declined 25% to £915m reflecting the challenging economic environment across Europe and non-recurrence of gains from disposal of hedging instruments in 2011</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Net interest income declined 24% to £599m</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Customer asset margin decreased 4bps to 83bps with net interest margin down 20bps to 108bps, driven by higher funding costs partially offset by product re-pricing</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Average customer assets decreased 7% to £40.8bn driven by active management to reduce funding mismatch</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Customer liability margin decreased 27bps to 38bps and average customer liabilities decreased 16% to £14.8bn, reflecting competitive pressures </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Non-interest income declined 28% to £316m, reflecting lower commissions mainly from Italy mortgage sales and lower sales of investment products </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Credit impairment charges increased 26% to £328m due to deterioration in credit performance across Europe reflecting current economic conditions</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Loan loss rate increased to 80bps (2011: 54bps)</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90 day arrears rate for home loans increased 19bps to 0.7% in Spain, increased 5bps to 0.7% in Portugal and increased 6bps to 1.0% in Italy</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Adjusted operating expenses decreased 31% to £839m, reflecting non recurrence of 2011 restructuring charges of £189m and related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cost savings </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loss before tax increased 2% to £239m while adjusted return on average equity declined to negative 8.0% (2011: negative 6.0%) primarily due to lower average capital resulting from the 2011 goodwill impairment write off  </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Loans and advances to customers decreased 8% to £40.0bn reflecting currency movements and active management to reduce funding mismatch. This change has driven an 8% reduction in total assets to £47.1bn </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Customer deposits increased 7% to £17.6bn, reflecting active management to reduce funding mismatch</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Risk weighted assets decreased 2% to £17.1bn principally due to reductions in loans and advances and currency movements, partially offset by an increased operational risk charge and portfolio deterioration in Spain</w:t>
      </w:r>
    </w:p>
    <w:p w:rsidR="008223EE" w:rsidRPr="008223EE" w:rsidRDefault="008223EE" w:rsidP="008223EE">
      <w:pPr>
        <w:spacing w:before="120" w:after="120" w:line="240" w:lineRule="auto"/>
        <w:jc w:val="both"/>
        <w:rPr>
          <w:rFonts w:ascii="Arial" w:eastAsia="Times New Roman" w:hAnsi="Arial" w:cs="Arial"/>
          <w:b/>
          <w:bCs/>
          <w:sz w:val="18"/>
          <w:szCs w:val="18"/>
        </w:rPr>
      </w:pPr>
      <w:r w:rsidRPr="008223EE">
        <w:rPr>
          <w:rFonts w:ascii="Arial" w:eastAsia="Times New Roman" w:hAnsi="Arial" w:cs="Arial"/>
          <w:b/>
          <w:bCs/>
          <w:sz w:val="20"/>
          <w:szCs w:val="20"/>
        </w:rPr>
        <w:t> Q4 12 compared to Q3 12</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Loss before tax increased 49% to £88m driven by a decline in income reflecting the challenging economic environment in Europe:</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Income declined 4% to £210m driven by lower non-interest income from commissions and investment products</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Impairment increased 25% to £95m mainly in Spain reflecting a decline in property values</w:t>
      </w:r>
    </w:p>
    <w:p w:rsidR="008223EE" w:rsidRPr="008223EE" w:rsidRDefault="008223EE" w:rsidP="0002570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Operating expenses remained in line with Q3 12</w:t>
      </w:r>
    </w:p>
    <w:p w:rsidR="008223EE" w:rsidRPr="008223EE" w:rsidRDefault="008223EE" w:rsidP="0002570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Loans and advances to customers remained stable at £40.0bn and customer deposits decreased 3% to £17.6bn reflecting competitive pressures </w:t>
      </w:r>
    </w:p>
    <w:p w:rsidR="008223EE" w:rsidRPr="008223EE" w:rsidRDefault="008223EE" w:rsidP="008223EE">
      <w:pPr>
        <w:spacing w:before="120" w:after="120" w:line="240" w:lineRule="auto"/>
        <w:ind w:left="1418"/>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tbl>
      <w:tblPr>
        <w:tblW w:w="0" w:type="auto"/>
        <w:tblInd w:w="-36" w:type="dxa"/>
        <w:tblCellMar>
          <w:left w:w="0" w:type="dxa"/>
          <w:right w:w="0" w:type="dxa"/>
        </w:tblCellMar>
        <w:tblLook w:val="04A0" w:firstRow="1" w:lastRow="0" w:firstColumn="1" w:lastColumn="0" w:noHBand="0" w:noVBand="1"/>
      </w:tblPr>
      <w:tblGrid>
        <w:gridCol w:w="5186"/>
        <w:gridCol w:w="928"/>
        <w:gridCol w:w="1032"/>
        <w:gridCol w:w="960"/>
        <w:gridCol w:w="1028"/>
      </w:tblGrid>
      <w:tr w:rsidR="008223EE" w:rsidRPr="008223EE" w:rsidTr="008223EE">
        <w:trPr>
          <w:trHeight w:val="31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4"/>
                <w:szCs w:val="24"/>
              </w:rPr>
              <w:t>Africa Retail and Business Banking</w:t>
            </w:r>
            <w:r w:rsidRPr="008223EE">
              <w:rPr>
                <w:rFonts w:ascii="Arial" w:eastAsia="Times New Roman" w:hAnsi="Arial" w:cs="Arial"/>
                <w:color w:val="000000"/>
                <w:sz w:val="24"/>
                <w:szCs w:val="24"/>
                <w:vertAlign w:val="superscript"/>
              </w:rPr>
              <w:t xml:space="preserv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24"/>
                <w:szCs w:val="24"/>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4"/>
                <w:szCs w:val="24"/>
              </w:rPr>
              <w:t> </w:t>
            </w:r>
            <w:r w:rsidRPr="008223EE">
              <w:rPr>
                <w:rFonts w:ascii="Arial" w:eastAsia="Times New Roman" w:hAnsi="Arial" w:cs="Arial"/>
                <w:b/>
                <w:bCs/>
                <w:color w:val="000000"/>
                <w:sz w:val="19"/>
                <w:szCs w:val="19"/>
                <w:vertAlign w:val="superscript"/>
              </w:rPr>
              <w:t> </w:t>
            </w:r>
          </w:p>
        </w:tc>
      </w:tr>
      <w:tr w:rsidR="008223EE" w:rsidRPr="008223EE" w:rsidTr="008223EE">
        <w:trPr>
          <w:trHeight w:val="25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r>
      <w:tr w:rsidR="008223EE" w:rsidRPr="008223EE" w:rsidTr="008223EE">
        <w:trPr>
          <w:trHeight w:val="240"/>
        </w:trPr>
        <w:tc>
          <w:tcPr>
            <w:tcW w:w="54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Income Statement Information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31.12.12</w:t>
            </w:r>
            <w:r w:rsidRPr="008223EE">
              <w:rPr>
                <w:rFonts w:ascii="Arial" w:eastAsia="Times New Roman" w:hAnsi="Arial" w:cs="Arial"/>
                <w:b/>
                <w:bCs/>
                <w:color w:val="000000"/>
                <w:sz w:val="20"/>
                <w:szCs w:val="20"/>
                <w:vertAlign w:val="superscript"/>
              </w:rPr>
              <w:t xml:space="preserve">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20"/>
                <w:szCs w:val="20"/>
                <w:vertAlign w:val="superscript"/>
              </w:rPr>
              <w:t>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Change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interest income </w:t>
            </w:r>
            <w:r w:rsidRPr="008223EE">
              <w:rPr>
                <w:rFonts w:ascii="Arial" w:eastAsia="Times New Roman" w:hAnsi="Arial" w:cs="Arial"/>
                <w:color w:val="000000"/>
                <w:sz w:val="13"/>
                <w:szCs w:val="13"/>
                <w:vertAlign w:val="superscript"/>
              </w:rPr>
              <w: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1,751 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1,978 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fee and commission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1,101 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1,196 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trading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investment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premiums from insurance contracts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417 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income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3,364 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3,786 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(11)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claims and benefits incurred under insurance contracts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(207)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(215)</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net of insurance claims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3,157 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3,571 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(12)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(646)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(466)</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39 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2,511 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3,105 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(19)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w:t>
            </w:r>
            <w:r w:rsidRPr="008223EE">
              <w:rPr>
                <w:rFonts w:ascii="Arial" w:eastAsia="Times New Roman" w:hAnsi="Arial" w:cs="Arial"/>
                <w:b/>
                <w:bCs/>
                <w:color w:val="000000"/>
                <w:sz w:val="13"/>
                <w:szCs w:val="13"/>
                <w:vertAlign w:val="superscript"/>
              </w:rPr>
              <w: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(2,053)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(2,279)</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(10)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net income</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10  </w:t>
            </w:r>
          </w:p>
        </w:tc>
        <w:tc>
          <w:tcPr>
            <w:tcW w:w="97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97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67 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before tax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468 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832 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(44)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Adjusted profit before tax</w:t>
            </w:r>
            <w:r w:rsidRPr="008223EE">
              <w:rPr>
                <w:rFonts w:ascii="Arial" w:eastAsia="Times New Roman" w:hAnsi="Arial" w:cs="Arial"/>
                <w:b/>
                <w:bCs/>
                <w:color w:val="000000"/>
                <w:sz w:val="13"/>
                <w:szCs w:val="13"/>
                <w:vertAlign w:val="superscript"/>
              </w:rPr>
              <w:t>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468 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830 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(44)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Balance Sheet Information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b/>
                <w:bCs/>
                <w:color w:val="000000"/>
                <w:sz w:val="16"/>
                <w:szCs w:val="16"/>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b/>
                <w:bCs/>
                <w:color w:val="000000"/>
                <w:sz w:val="16"/>
                <w:szCs w:val="16"/>
                <w:vertAlign w:val="superscript"/>
              </w:rPr>
              <w:t>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£31.7bn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£34.4bn</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deposits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£22.0bn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£22.6bn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£44.8bn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£48.2bn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£27.0bn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£30.3bn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r w:rsidRPr="008223EE">
              <w:rPr>
                <w:rFonts w:ascii="Arial" w:eastAsia="Times New Roman" w:hAnsi="Arial" w:cs="Arial"/>
                <w:b/>
                <w:bCs/>
                <w:color w:val="000000"/>
                <w:sz w:val="13"/>
                <w:szCs w:val="13"/>
                <w:vertAlign w:val="superscript"/>
              </w:rPr>
              <w:t>1</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274"/>
        <w:gridCol w:w="965"/>
        <w:gridCol w:w="965"/>
        <w:gridCol w:w="965"/>
        <w:gridCol w:w="965"/>
      </w:tblGrid>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Performance Measures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31.12.11</w:t>
            </w:r>
            <w:r w:rsidRPr="008223EE">
              <w:rPr>
                <w:rFonts w:ascii="Arial" w:eastAsia="Times New Roman" w:hAnsi="Arial" w:cs="Arial"/>
                <w:b/>
                <w:bCs/>
                <w:color w:val="000000"/>
                <w:sz w:val="20"/>
                <w:szCs w:val="20"/>
                <w:vertAlign w:val="superscript"/>
              </w:rPr>
              <w:t xml:space="preserve">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31.12.11</w:t>
            </w:r>
            <w:r w:rsidRPr="008223EE">
              <w:rPr>
                <w:rFonts w:ascii="Arial" w:eastAsia="Times New Roman" w:hAnsi="Arial" w:cs="Arial"/>
                <w:b/>
                <w:bCs/>
                <w:color w:val="000000"/>
                <w:sz w:val="20"/>
                <w:szCs w:val="20"/>
                <w:vertAlign w:val="superscript"/>
              </w:rPr>
              <w:t xml:space="preserve">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9.8%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0.9%</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0.9%</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Cost: income ratio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64%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 loss rate (bps)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129 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31.12.12</w:t>
            </w:r>
            <w:r w:rsidRPr="008223EE">
              <w:rPr>
                <w:rFonts w:ascii="Arial" w:eastAsia="Times New Roman" w:hAnsi="Arial" w:cs="Arial"/>
                <w:b/>
                <w:bCs/>
                <w:color w:val="000000"/>
                <w:sz w:val="20"/>
                <w:szCs w:val="20"/>
                <w:vertAlign w:val="superscript"/>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20"/>
                <w:szCs w:val="20"/>
                <w:vertAlign w:val="superscript"/>
              </w:rPr>
              <w:t>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90 days arrears rate - South African home loans</w:t>
            </w:r>
            <w:r w:rsidRPr="008223EE">
              <w:rPr>
                <w:rFonts w:ascii="Arial" w:eastAsia="Times New Roman" w:hAnsi="Arial" w:cs="Arial"/>
                <w:b/>
                <w:bCs/>
                <w:color w:val="000000"/>
                <w:sz w:val="20"/>
                <w:szCs w:val="20"/>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w:t>
            </w:r>
            <w:r w:rsidRPr="008223EE">
              <w:rPr>
                <w:rFonts w:ascii="Arial" w:eastAsia="Times New Roman" w:hAnsi="Arial" w:cs="Arial"/>
                <w:color w:val="000000"/>
                <w:sz w:val="20"/>
                <w:szCs w:val="20"/>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20"/>
                <w:szCs w:val="20"/>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customers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13.5m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14.5m</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ATMs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10,468 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10,068 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branches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1,339 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1,354 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sales centres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Number of distribution points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1,451 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1,493 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employees (full time equivalent)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41,700 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43,800 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bl>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18"/>
          <w:szCs w:val="18"/>
        </w:rPr>
      </w:pPr>
      <w:r w:rsidRPr="008223EE">
        <w:rPr>
          <w:rFonts w:ascii="Arial" w:eastAsia="Times New Roman" w:hAnsi="Arial" w:cs="Arial"/>
          <w:i/>
          <w:iCs/>
          <w:color w:val="000000"/>
          <w:sz w:val="2"/>
          <w:szCs w:val="2"/>
        </w:rPr>
        <w:t> </w:t>
      </w:r>
    </w:p>
    <w:p w:rsidR="008223EE" w:rsidRPr="008223EE" w:rsidRDefault="008223EE" w:rsidP="00B27D25">
      <w:pPr>
        <w:spacing w:after="0" w:line="240" w:lineRule="auto"/>
        <w:ind w:left="284" w:hanging="284"/>
        <w:jc w:val="both"/>
        <w:rPr>
          <w:rFonts w:ascii="Arial" w:eastAsia="Times New Roman" w:hAnsi="Arial" w:cs="Arial"/>
          <w:i/>
          <w:iCs/>
          <w:sz w:val="18"/>
          <w:szCs w:val="18"/>
        </w:rPr>
      </w:pPr>
      <w:r w:rsidRPr="008223EE">
        <w:rPr>
          <w:rFonts w:ascii="Arial" w:eastAsia="Times New Roman" w:hAnsi="Arial" w:cs="Arial"/>
          <w:i/>
          <w:iCs/>
          <w:color w:val="000000"/>
          <w:sz w:val="14"/>
          <w:szCs w:val="14"/>
        </w:rPr>
        <w:t xml:space="preserve">1        Adjusted profit before tax and adjusted performance measures excludes the impact of profit on disposals of subsidiaries, associates and joint ventures of £nil (2011: £2m).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p w:rsidR="008223EE" w:rsidRPr="008223EE" w:rsidRDefault="008223EE" w:rsidP="008223EE">
      <w:pPr>
        <w:spacing w:after="120" w:line="240" w:lineRule="auto"/>
        <w:rPr>
          <w:rFonts w:ascii="Arial" w:eastAsia="Times New Roman" w:hAnsi="Arial" w:cs="Arial"/>
          <w:b/>
          <w:bCs/>
          <w:sz w:val="18"/>
          <w:szCs w:val="18"/>
        </w:rPr>
      </w:pPr>
      <w:r w:rsidRPr="008223EE">
        <w:rPr>
          <w:rFonts w:ascii="Arial" w:eastAsia="Times New Roman" w:hAnsi="Arial" w:cs="Arial"/>
          <w:b/>
          <w:bCs/>
          <w:sz w:val="24"/>
          <w:szCs w:val="24"/>
        </w:rPr>
        <w:t>Africa Retail and Business Banking</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proposed combination of Barclays Africa operations and Absa will simplify management and legal structures and will create a leading pan-African financial services business with a platform for further growth </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Retail and Business product suites expanded across the African geographies with multiple product launches including Premier, </w:t>
      </w:r>
      <w:proofErr w:type="spellStart"/>
      <w:r w:rsidRPr="008223EE">
        <w:rPr>
          <w:rFonts w:ascii="Arial" w:eastAsia="Times New Roman" w:hAnsi="Arial" w:cs="Arial"/>
          <w:sz w:val="18"/>
          <w:szCs w:val="18"/>
        </w:rPr>
        <w:t>Bancassurance</w:t>
      </w:r>
      <w:proofErr w:type="spellEnd"/>
      <w:r w:rsidRPr="008223EE">
        <w:rPr>
          <w:rFonts w:ascii="Arial" w:eastAsia="Times New Roman" w:hAnsi="Arial" w:cs="Arial"/>
          <w:sz w:val="18"/>
          <w:szCs w:val="18"/>
        </w:rPr>
        <w:t xml:space="preserve"> and Barclays Direct</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Rolled out new online and mobile channels across Africa including Absa online, </w:t>
      </w:r>
      <w:proofErr w:type="spellStart"/>
      <w:r w:rsidRPr="008223EE">
        <w:rPr>
          <w:rFonts w:ascii="Arial" w:eastAsia="Times New Roman" w:hAnsi="Arial" w:cs="Arial"/>
          <w:sz w:val="18"/>
          <w:szCs w:val="18"/>
        </w:rPr>
        <w:t>Pingit</w:t>
      </w:r>
      <w:proofErr w:type="spellEnd"/>
      <w:r w:rsidRPr="008223EE">
        <w:rPr>
          <w:rFonts w:ascii="Arial" w:eastAsia="Times New Roman" w:hAnsi="Arial" w:cs="Arial"/>
          <w:sz w:val="18"/>
          <w:szCs w:val="18"/>
        </w:rPr>
        <w:t>, Barclays Mobile and Internet Banking</w:t>
      </w:r>
    </w:p>
    <w:p w:rsidR="008223EE" w:rsidRPr="008223EE" w:rsidRDefault="008223EE" w:rsidP="00B27D25">
      <w:pPr>
        <w:spacing w:before="120" w:after="120" w:line="240" w:lineRule="auto"/>
        <w:ind w:left="284" w:hanging="284"/>
        <w:jc w:val="both"/>
        <w:rPr>
          <w:rFonts w:ascii="Arial" w:eastAsia="Times New Roman" w:hAnsi="Arial" w:cs="Arial"/>
          <w:b/>
          <w:bCs/>
          <w:sz w:val="18"/>
          <w:szCs w:val="18"/>
        </w:rPr>
      </w:pPr>
      <w:r w:rsidRPr="008223EE">
        <w:rPr>
          <w:rFonts w:ascii="Arial" w:eastAsia="Times New Roman" w:hAnsi="Arial" w:cs="Arial"/>
          <w:b/>
          <w:bCs/>
          <w:sz w:val="20"/>
          <w:szCs w:val="20"/>
        </w:rPr>
        <w:t>2012 compared to 2011</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Income declined 12% to £3,157m. Excluding currency movements, income declined 2% reflecting</w:t>
      </w:r>
      <w:r w:rsidR="00B27D25">
        <w:rPr>
          <w:rFonts w:ascii="Arial" w:eastAsia="Times New Roman" w:hAnsi="Arial" w:cs="Arial"/>
          <w:sz w:val="18"/>
          <w:szCs w:val="18"/>
        </w:rPr>
        <w:t xml:space="preserve"> </w:t>
      </w:r>
      <w:r w:rsidRPr="008223EE">
        <w:rPr>
          <w:rFonts w:ascii="Arial" w:eastAsia="Times New Roman" w:hAnsi="Arial" w:cs="Arial"/>
          <w:sz w:val="18"/>
          <w:szCs w:val="18"/>
        </w:rPr>
        <w:t>non-recurrence of gains from the disposal of Group hedging instruments in 2011 and downward commercial property valuations with underlying businesses across Africa remaining flat</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Net interest income declined 11% to £1,751m with the net interest margin down 10bps to 312bps primarily due to lower income generated through non customer related items partially offset by increased higher margin business</w:t>
      </w:r>
    </w:p>
    <w:p w:rsidR="008223EE" w:rsidRPr="008223EE" w:rsidRDefault="008223EE" w:rsidP="00B27D25">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Customer asset margin increased 34bps to 326bps reflecting a change in composition towards higher margin business</w:t>
      </w:r>
    </w:p>
    <w:p w:rsidR="008223EE" w:rsidRPr="008223EE" w:rsidRDefault="008223EE" w:rsidP="00B27D25">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Average customer assets decreased 10% to £34.1bn driven by currency movements and a modest decline in the South African mortgage book</w:t>
      </w:r>
    </w:p>
    <w:p w:rsidR="008223EE" w:rsidRPr="008223EE" w:rsidRDefault="008223EE" w:rsidP="00B27D25">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Customer liability margin decreased 42bps to 234bps driven by a decline in South Africa partially offset by improving margins across a number of other African countries</w:t>
      </w:r>
    </w:p>
    <w:p w:rsidR="008223EE" w:rsidRPr="008223EE" w:rsidRDefault="008223EE" w:rsidP="00B27D25">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Average customer liabilities decreased 6% to £22.1bn driven by currency movements as deposits continued to grow in South Africa where Absa remains a leader in retail deposits</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Non-interest income declined 12% to £1,406m driven largely by adverse currency movements</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Credit impairment charges increased 39% to £646m. Excluding currency </w:t>
      </w:r>
      <w:proofErr w:type="gramStart"/>
      <w:r w:rsidRPr="008223EE">
        <w:rPr>
          <w:rFonts w:ascii="Arial" w:eastAsia="Times New Roman" w:hAnsi="Arial" w:cs="Arial"/>
          <w:sz w:val="18"/>
          <w:szCs w:val="18"/>
        </w:rPr>
        <w:t>movements</w:t>
      </w:r>
      <w:proofErr w:type="gramEnd"/>
      <w:r w:rsidRPr="008223EE">
        <w:rPr>
          <w:rFonts w:ascii="Arial" w:eastAsia="Times New Roman" w:hAnsi="Arial" w:cs="Arial"/>
          <w:sz w:val="18"/>
          <w:szCs w:val="18"/>
        </w:rPr>
        <w:t xml:space="preserve"> impairment charges increased 57% principally reflecting higher loss given default rates and higher levels of write-offs in the South African home loans recovery book and the impact of one large name in the commercial property portfolio in South Africa</w:t>
      </w:r>
    </w:p>
    <w:p w:rsidR="008223EE" w:rsidRPr="008223EE" w:rsidRDefault="008223EE" w:rsidP="00B27D25">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Loan loss rate increased to 194bps (2011: 129bps) </w:t>
      </w:r>
    </w:p>
    <w:p w:rsidR="008223EE" w:rsidRPr="008223EE" w:rsidRDefault="008223EE" w:rsidP="00B27D25">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However 90 day arrears rate for home loans decreased by 168bps to 1.6% reflecting improved new business and continuing low interest rate environment</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Operating expenses decreased 10% to £2,053m mainly due to currency movements with underlying business growth broadly in line</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Profit before tax declined 44% to £468m and adjusted return on average equity decreased to 3.8% (2011: 9.7%) </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Loans and advances to customers decreased 8% to £31.7bn mainly due to currency movements and a modest decline in the South African mortgage book</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Customer deposits decreased 3% to £22.0bn. Excluding currency movements customer deposits increased 7% mainly due to growth in South African deposits</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Risk weighted assets decreased 11% to £27.0bn, principally due to foreign exchange movements and a change in approach for sovereign risk weightings, offset by an increased operational risk charge </w:t>
      </w:r>
    </w:p>
    <w:p w:rsidR="008223EE" w:rsidRPr="008223EE" w:rsidRDefault="008223EE" w:rsidP="008223EE">
      <w:pPr>
        <w:spacing w:before="120" w:after="120" w:line="240" w:lineRule="auto"/>
        <w:jc w:val="both"/>
        <w:rPr>
          <w:rFonts w:ascii="Arial" w:eastAsia="Times New Roman" w:hAnsi="Arial" w:cs="Arial"/>
          <w:b/>
          <w:bCs/>
          <w:sz w:val="18"/>
          <w:szCs w:val="18"/>
        </w:rPr>
      </w:pPr>
      <w:r w:rsidRPr="008223EE">
        <w:rPr>
          <w:rFonts w:ascii="Arial" w:eastAsia="Times New Roman" w:hAnsi="Arial" w:cs="Arial"/>
          <w:b/>
          <w:bCs/>
          <w:sz w:val="20"/>
          <w:szCs w:val="20"/>
        </w:rPr>
        <w:t>Q4 12 compared to Q3 12</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Profit before tax increased by £82m to £138m</w:t>
      </w:r>
    </w:p>
    <w:p w:rsidR="008223EE" w:rsidRPr="008223EE" w:rsidRDefault="008223EE" w:rsidP="00B27D25">
      <w:pPr>
        <w:spacing w:before="120" w:after="120" w:line="240" w:lineRule="auto"/>
        <w:ind w:left="568" w:hanging="284"/>
        <w:rPr>
          <w:rFonts w:ascii="Arial" w:eastAsia="Times New Roman" w:hAnsi="Arial" w:cs="Arial"/>
          <w:sz w:val="18"/>
          <w:szCs w:val="18"/>
        </w:rPr>
      </w:pPr>
      <w:r w:rsidRPr="008223EE">
        <w:rPr>
          <w:rFonts w:ascii="Arial" w:eastAsia="Times New Roman" w:hAnsi="Arial" w:cs="Arial"/>
          <w:sz w:val="18"/>
          <w:szCs w:val="18"/>
        </w:rPr>
        <w:t xml:space="preserve">-    Income remained flat at £767m. Excluding currency </w:t>
      </w:r>
      <w:proofErr w:type="gramStart"/>
      <w:r w:rsidRPr="008223EE">
        <w:rPr>
          <w:rFonts w:ascii="Arial" w:eastAsia="Times New Roman" w:hAnsi="Arial" w:cs="Arial"/>
          <w:sz w:val="18"/>
          <w:szCs w:val="18"/>
        </w:rPr>
        <w:t>movements</w:t>
      </w:r>
      <w:proofErr w:type="gramEnd"/>
      <w:r w:rsidRPr="008223EE">
        <w:rPr>
          <w:rFonts w:ascii="Arial" w:eastAsia="Times New Roman" w:hAnsi="Arial" w:cs="Arial"/>
          <w:sz w:val="18"/>
          <w:szCs w:val="18"/>
        </w:rPr>
        <w:t xml:space="preserve"> income increased 7% across Africa primarily due to seasonal activity</w:t>
      </w:r>
    </w:p>
    <w:p w:rsidR="008223EE" w:rsidRPr="008223EE" w:rsidRDefault="008223EE" w:rsidP="00B27D25">
      <w:pPr>
        <w:spacing w:before="120" w:after="120" w:line="240" w:lineRule="auto"/>
        <w:ind w:left="568" w:hanging="284"/>
        <w:rPr>
          <w:rFonts w:ascii="Arial" w:eastAsia="Times New Roman" w:hAnsi="Arial" w:cs="Arial"/>
          <w:sz w:val="18"/>
          <w:szCs w:val="18"/>
        </w:rPr>
      </w:pPr>
      <w:r w:rsidRPr="008223EE">
        <w:rPr>
          <w:rFonts w:ascii="Arial" w:eastAsia="Times New Roman" w:hAnsi="Arial" w:cs="Arial"/>
          <w:sz w:val="18"/>
          <w:szCs w:val="18"/>
        </w:rPr>
        <w:t>-    Impairment decreased 19% to £145m primarily driven by lower impairments in South African retail mortgages</w:t>
      </w:r>
    </w:p>
    <w:p w:rsidR="008223EE" w:rsidRPr="008223EE" w:rsidRDefault="008223EE" w:rsidP="00B27D25">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Operating expenses decreased 8% to £489m mainly due to currency movements</w:t>
      </w:r>
    </w:p>
    <w:p w:rsidR="008223EE" w:rsidRPr="008223EE" w:rsidRDefault="008223EE" w:rsidP="00B27D25">
      <w:pPr>
        <w:spacing w:before="120" w:after="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Loans and advances to customers decreased 2% to £31.7bn reflecting adverse currency movements partially offset by an increase of 1% in underlying businesses. Customer deposits remained flat at £22.0bn reflecting growth of 3% in local currency deposits offset by currency movements </w:t>
      </w:r>
    </w:p>
    <w:p w:rsidR="008223EE" w:rsidRPr="008223EE" w:rsidRDefault="008223EE" w:rsidP="008223EE">
      <w:pPr>
        <w:spacing w:before="120" w:after="0" w:line="240" w:lineRule="auto"/>
        <w:ind w:left="1418"/>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tbl>
      <w:tblPr>
        <w:tblW w:w="0" w:type="auto"/>
        <w:tblInd w:w="-36" w:type="dxa"/>
        <w:tblCellMar>
          <w:left w:w="0" w:type="dxa"/>
          <w:right w:w="0" w:type="dxa"/>
        </w:tblCellMar>
        <w:tblLook w:val="04A0" w:firstRow="1" w:lastRow="0" w:firstColumn="1" w:lastColumn="0" w:noHBand="0" w:noVBand="1"/>
      </w:tblPr>
      <w:tblGrid>
        <w:gridCol w:w="5192"/>
        <w:gridCol w:w="925"/>
        <w:gridCol w:w="1031"/>
        <w:gridCol w:w="959"/>
        <w:gridCol w:w="1027"/>
      </w:tblGrid>
      <w:tr w:rsidR="008223EE" w:rsidRPr="008223EE" w:rsidTr="008223EE">
        <w:trPr>
          <w:trHeight w:val="31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xml:space="preserve">Barclaycard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4"/>
                <w:szCs w:val="24"/>
              </w:rPr>
              <w:t> </w:t>
            </w:r>
            <w:r w:rsidRPr="008223EE">
              <w:rPr>
                <w:rFonts w:ascii="Arial" w:eastAsia="Times New Roman" w:hAnsi="Arial" w:cs="Arial"/>
                <w:b/>
                <w:bCs/>
                <w:color w:val="000000"/>
                <w:sz w:val="19"/>
                <w:szCs w:val="19"/>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Income Statement Information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31.12.12</w:t>
            </w:r>
            <w:r w:rsidRPr="008223EE">
              <w:rPr>
                <w:rFonts w:ascii="Arial" w:eastAsia="Times New Roman" w:hAnsi="Arial" w:cs="Arial"/>
                <w:b/>
                <w:bCs/>
                <w:color w:val="000000"/>
                <w:sz w:val="20"/>
                <w:szCs w:val="20"/>
                <w:vertAlign w:val="superscript"/>
              </w:rPr>
              <w:t xml:space="preserve">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interest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2,854 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2,860 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fee and commission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1,271 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1,171 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trading loss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investment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premiums from insurance contracts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income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4,171 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4,096 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claims and benefits incurred under insurance contracts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net of insurance claims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4,170 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4,095 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(979)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(1,259)</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3,191 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2,836 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51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(excluding provision for PPI redress and goodwill impairment) </w:t>
            </w:r>
            <w:r w:rsidRPr="008223EE">
              <w:rPr>
                <w:rFonts w:ascii="Arial" w:eastAsia="Times New Roman" w:hAnsi="Arial" w:cs="Arial"/>
                <w:color w:val="000000"/>
                <w:sz w:val="13"/>
                <w:szCs w:val="13"/>
                <w:vertAlign w:val="superscript"/>
              </w:rPr>
              <w: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(1,715)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(1,659)</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PPI redress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(420)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(600)</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impairment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(2,135)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(2,306)</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before tax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1,086 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561 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Adjusted profit before tax</w:t>
            </w:r>
            <w:r w:rsidRPr="008223EE">
              <w:rPr>
                <w:rFonts w:ascii="Arial" w:eastAsia="Times New Roman" w:hAnsi="Arial" w:cs="Arial"/>
                <w:b/>
                <w:bCs/>
                <w:color w:val="000000"/>
                <w:sz w:val="13"/>
                <w:szCs w:val="13"/>
                <w:vertAlign w:val="superscript"/>
              </w:rPr>
              <w:t>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1,506 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1,208 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Balance Sheet Information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b/>
                <w:bCs/>
                <w:color w:val="000000"/>
                <w:sz w:val="16"/>
                <w:szCs w:val="16"/>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£32.9bn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£30.1bn</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deposits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£2.8bn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£37.5bn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£33.8bn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£36.5bn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£34.2bn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w:t>
            </w:r>
            <w:r w:rsidRPr="008223EE">
              <w:rPr>
                <w:rFonts w:ascii="Arial" w:eastAsia="Times New Roman" w:hAnsi="Arial" w:cs="Arial"/>
                <w:color w:val="000000"/>
                <w:sz w:val="13"/>
                <w:szCs w:val="13"/>
                <w:vertAlign w:val="superscript"/>
              </w:rPr>
              <w:t> </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r w:rsidRPr="008223EE">
              <w:rPr>
                <w:rFonts w:ascii="Arial" w:eastAsia="Times New Roman" w:hAnsi="Arial" w:cs="Arial"/>
                <w:b/>
                <w:bCs/>
                <w:color w:val="000000"/>
                <w:sz w:val="13"/>
                <w:szCs w:val="13"/>
                <w:vertAlign w:val="superscript"/>
              </w:rPr>
              <w:t>1</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274"/>
        <w:gridCol w:w="965"/>
        <w:gridCol w:w="965"/>
        <w:gridCol w:w="965"/>
        <w:gridCol w:w="965"/>
      </w:tblGrid>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Performance Measures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31.12.11</w:t>
            </w:r>
            <w:r w:rsidRPr="008223EE">
              <w:rPr>
                <w:rFonts w:ascii="Arial" w:eastAsia="Times New Roman" w:hAnsi="Arial" w:cs="Arial"/>
                <w:b/>
                <w:bCs/>
                <w:color w:val="000000"/>
                <w:sz w:val="20"/>
                <w:szCs w:val="20"/>
                <w:vertAlign w:val="superscript"/>
              </w:rPr>
              <w:t xml:space="preserve">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22.1%</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 loss rate (bps)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391 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391 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Cost: income ratio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30 day arrears rates - UK cards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30 day arrears rates - US cards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30 day arrears rates - South Africa cards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number of Barclaycard customers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28.8m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22.6m</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average customer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£32.5bn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£30.3bn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Payments processed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£240bn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merchant relationships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89,000 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87,000 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employees (full time equivalent)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11,000 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after="0" w:line="240" w:lineRule="auto"/>
        <w:rPr>
          <w:rFonts w:ascii="Arial" w:eastAsia="Times New Roman" w:hAnsi="Arial" w:cs="Arial"/>
          <w:i/>
          <w:iCs/>
          <w:sz w:val="18"/>
          <w:szCs w:val="18"/>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Arial" w:eastAsia="Times New Roman" w:hAnsi="Arial" w:cs="Arial"/>
          <w:i/>
          <w:iCs/>
          <w:sz w:val="18"/>
          <w:szCs w:val="18"/>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Arial" w:eastAsia="Times New Roman" w:hAnsi="Arial" w:cs="Arial"/>
          <w:i/>
          <w:iCs/>
          <w:sz w:val="18"/>
          <w:szCs w:val="18"/>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Arial" w:eastAsia="Times New Roman" w:hAnsi="Arial" w:cs="Arial"/>
          <w:i/>
          <w:iCs/>
          <w:sz w:val="18"/>
          <w:szCs w:val="18"/>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Arial" w:eastAsia="Times New Roman" w:hAnsi="Arial" w:cs="Arial"/>
          <w:i/>
          <w:iCs/>
          <w:sz w:val="18"/>
          <w:szCs w:val="18"/>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Arial" w:eastAsia="Times New Roman" w:hAnsi="Arial" w:cs="Arial"/>
          <w:i/>
          <w:iCs/>
          <w:sz w:val="18"/>
          <w:szCs w:val="18"/>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Arial" w:eastAsia="Times New Roman" w:hAnsi="Arial" w:cs="Arial"/>
          <w:i/>
          <w:iCs/>
          <w:sz w:val="18"/>
          <w:szCs w:val="18"/>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Arial" w:eastAsia="Times New Roman" w:hAnsi="Arial" w:cs="Arial"/>
          <w:i/>
          <w:iCs/>
          <w:sz w:val="18"/>
          <w:szCs w:val="18"/>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rPr>
          <w:rFonts w:ascii="Arial" w:eastAsia="Times New Roman" w:hAnsi="Arial" w:cs="Arial"/>
          <w:i/>
          <w:iCs/>
          <w:sz w:val="18"/>
          <w:szCs w:val="18"/>
        </w:rPr>
      </w:pPr>
      <w:r w:rsidRPr="008223EE">
        <w:rPr>
          <w:rFonts w:ascii="Arial" w:eastAsia="Times New Roman" w:hAnsi="Arial" w:cs="Arial"/>
          <w:i/>
          <w:iCs/>
          <w:sz w:val="2"/>
          <w:szCs w:val="2"/>
        </w:rPr>
        <w:t> </w:t>
      </w:r>
    </w:p>
    <w:p w:rsidR="008223EE" w:rsidRPr="008223EE" w:rsidRDefault="008223EE" w:rsidP="00B27D25">
      <w:pPr>
        <w:spacing w:after="0" w:line="240" w:lineRule="auto"/>
        <w:ind w:left="284" w:hanging="284"/>
        <w:rPr>
          <w:rFonts w:ascii="Arial" w:eastAsia="Times New Roman" w:hAnsi="Arial" w:cs="Arial"/>
          <w:sz w:val="18"/>
          <w:szCs w:val="18"/>
        </w:rPr>
      </w:pPr>
      <w:r w:rsidRPr="008223EE">
        <w:rPr>
          <w:rFonts w:ascii="Arial" w:eastAsia="Times New Roman" w:hAnsi="Arial" w:cs="Arial"/>
          <w:i/>
          <w:iCs/>
          <w:color w:val="000000"/>
          <w:sz w:val="14"/>
          <w:szCs w:val="14"/>
        </w:rPr>
        <w:t>1        Adjusted profit before tax and adjusted performance measures excludes the impact of the provision for PPI redress of £420m (2011: £600m) and goodwill impairment of £nil (2011: £47m).</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p w:rsidR="008223EE" w:rsidRPr="008223EE" w:rsidRDefault="008223EE" w:rsidP="008223EE">
      <w:pPr>
        <w:spacing w:after="120" w:line="240" w:lineRule="auto"/>
        <w:rPr>
          <w:rFonts w:ascii="Arial" w:eastAsia="Times New Roman" w:hAnsi="Arial" w:cs="Arial"/>
          <w:b/>
          <w:bCs/>
          <w:sz w:val="18"/>
          <w:szCs w:val="18"/>
        </w:rPr>
      </w:pPr>
      <w:r w:rsidRPr="008223EE">
        <w:rPr>
          <w:rFonts w:ascii="Arial" w:eastAsia="Times New Roman" w:hAnsi="Arial" w:cs="Arial"/>
          <w:b/>
          <w:bCs/>
          <w:sz w:val="24"/>
          <w:szCs w:val="24"/>
        </w:rPr>
        <w:t>Barclaycard</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Continued to grow UK and International businesses, and lead in payments innovation, with10% increase in payments processed to £240bn and 9% increase in loans and advances to customers including £0.7bn new lending through FLS</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Strengthened funding profile; raised customer deposits, including $1.4bn in the US and €1.7bn in Germany, and launched $1bn of securitisation in the US  </w:t>
      </w:r>
    </w:p>
    <w:p w:rsidR="008223EE" w:rsidRPr="008223EE" w:rsidRDefault="008223EE" w:rsidP="00B27D2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Successful integration of acquisitions and focused cost management driving down the cost per account</w:t>
      </w:r>
    </w:p>
    <w:p w:rsidR="008223EE" w:rsidRPr="008223EE" w:rsidRDefault="008223EE" w:rsidP="00363210">
      <w:pPr>
        <w:spacing w:before="120" w:after="120" w:line="240" w:lineRule="auto"/>
        <w:ind w:left="284" w:hanging="284"/>
        <w:jc w:val="both"/>
        <w:rPr>
          <w:rFonts w:ascii="Arial" w:eastAsia="Times New Roman" w:hAnsi="Arial" w:cs="Arial"/>
          <w:b/>
          <w:bCs/>
          <w:sz w:val="18"/>
          <w:szCs w:val="18"/>
        </w:rPr>
      </w:pPr>
      <w:r w:rsidRPr="008223EE">
        <w:rPr>
          <w:rFonts w:ascii="Arial" w:eastAsia="Times New Roman" w:hAnsi="Arial" w:cs="Arial"/>
          <w:b/>
          <w:bCs/>
          <w:sz w:val="20"/>
          <w:szCs w:val="20"/>
        </w:rPr>
        <w:t>2012 compared to 2011</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Income increased 2% to £4,170m reflecting continued growth across the business and contributions from portfolio acquisitions. This was partially offset by higher funding costs, non-recurrence of gains from the disposal of hedging instruments in 2011 and depreciation of Rand against Sterling</w:t>
      </w:r>
    </w:p>
    <w:p w:rsidR="008223EE" w:rsidRPr="008223EE" w:rsidRDefault="008223EE" w:rsidP="00363210">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UK income increased 1% to £2,616m including contribution from 2011 portfolio acquisitions and business growth offset by increased funding costs</w:t>
      </w:r>
    </w:p>
    <w:p w:rsidR="008223EE" w:rsidRPr="008223EE" w:rsidRDefault="008223EE" w:rsidP="00363210">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International income improved 7% to £1,554m driven by higher US outstanding balances and contribution from portfolio acquisitions</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Net interest income remained flat at £2,854m. Contributions from business growth and acquisitions were offset by lower net interest margin of 846bps (2011: 944bps) which stabilised in the second half of the year</w:t>
      </w:r>
    </w:p>
    <w:p w:rsidR="008223EE" w:rsidRPr="008223EE" w:rsidRDefault="008223EE" w:rsidP="00363210">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Average customer assets increased 7% to £32.5bn due to portfolio acquisitions and business growth</w:t>
      </w:r>
    </w:p>
    <w:p w:rsidR="008223EE" w:rsidRPr="008223EE" w:rsidRDefault="008223EE" w:rsidP="00363210">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Customer asset margin was down 13bps to 939bps due to higher funding costs</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Non-interest income improved 7% to £1,316m driven by increased volumes in the Business Payment and US portfolios </w:t>
      </w:r>
    </w:p>
    <w:p w:rsidR="008223EE" w:rsidRPr="008223EE" w:rsidRDefault="008223EE" w:rsidP="00363210">
      <w:pPr>
        <w:spacing w:before="120" w:after="12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Credit impairment charges decreased 22% to £979m resulting from improved delinquency, lower charge-offs and better recovery rates, primarily in H1 12</w:t>
      </w:r>
    </w:p>
    <w:p w:rsidR="008223EE" w:rsidRPr="008223EE" w:rsidRDefault="008223EE" w:rsidP="00363210">
      <w:pPr>
        <w:spacing w:before="120" w:after="120" w:line="240" w:lineRule="auto"/>
        <w:ind w:left="568" w:hanging="284"/>
        <w:rPr>
          <w:rFonts w:ascii="Arial" w:eastAsia="Times New Roman" w:hAnsi="Arial" w:cs="Arial"/>
          <w:sz w:val="18"/>
          <w:szCs w:val="18"/>
        </w:rPr>
      </w:pPr>
      <w:r w:rsidRPr="008223EE">
        <w:rPr>
          <w:rFonts w:ascii="Arial" w:eastAsia="Times New Roman" w:hAnsi="Arial" w:cs="Arial"/>
          <w:sz w:val="18"/>
          <w:szCs w:val="18"/>
        </w:rPr>
        <w:t>-    Loan loss rate improved by 109bps to 282bps (2011: 391bps)</w:t>
      </w:r>
    </w:p>
    <w:p w:rsidR="008223EE" w:rsidRPr="008223EE" w:rsidRDefault="008223EE" w:rsidP="00363210">
      <w:pPr>
        <w:spacing w:before="120" w:after="120" w:line="240" w:lineRule="auto"/>
        <w:ind w:left="568" w:hanging="284"/>
        <w:rPr>
          <w:rFonts w:ascii="Arial" w:eastAsia="Times New Roman" w:hAnsi="Arial" w:cs="Arial"/>
          <w:sz w:val="18"/>
          <w:szCs w:val="18"/>
        </w:rPr>
      </w:pPr>
      <w:r w:rsidRPr="008223EE">
        <w:rPr>
          <w:rFonts w:ascii="Arial" w:eastAsia="Times New Roman" w:hAnsi="Arial" w:cs="Arial"/>
          <w:sz w:val="18"/>
          <w:szCs w:val="18"/>
        </w:rPr>
        <w:t>-    30 day arrears rates for consumer cards in UK down to 2.5% (2011: 2.7%), in the US down to 2.4% (2011: 3.1%</w:t>
      </w:r>
      <w:proofErr w:type="gramStart"/>
      <w:r w:rsidRPr="008223EE">
        <w:rPr>
          <w:rFonts w:ascii="Arial" w:eastAsia="Times New Roman" w:hAnsi="Arial" w:cs="Arial"/>
          <w:sz w:val="18"/>
          <w:szCs w:val="18"/>
        </w:rPr>
        <w:t>)and</w:t>
      </w:r>
      <w:proofErr w:type="gramEnd"/>
      <w:r w:rsidRPr="008223EE">
        <w:rPr>
          <w:rFonts w:ascii="Arial" w:eastAsia="Times New Roman" w:hAnsi="Arial" w:cs="Arial"/>
          <w:sz w:val="18"/>
          <w:szCs w:val="18"/>
        </w:rPr>
        <w:t xml:space="preserve"> in South Africa up to 5.2% (2011: 4.9%)  </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operating expenses increased 3% to £1,715m reflecting portfolio acquisitions, provision for certain other insurance products and investment spend</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profit before tax improved 25% to £1,506m. Statutory profit before tax increased by £525m to £1,086m after £420m (2011: £600m) provision for PPI redress</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Adjusted return on average equity improved to 22.1% (2011: 17.4%) </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assets increased 11% to £37.5bn primarily driven by business growth and acquisitions</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Customer deposits increased by £2.2bn to £2.8bn due to business funding initiatives in the US and Germany</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Risk weighted assets increased 7% to £36.5bn, principally due to growth in assets and an increased operational risk charge</w:t>
      </w:r>
    </w:p>
    <w:p w:rsidR="008223EE" w:rsidRPr="008223EE" w:rsidRDefault="008223EE" w:rsidP="008223EE">
      <w:pPr>
        <w:spacing w:before="120" w:after="120" w:line="240" w:lineRule="auto"/>
        <w:jc w:val="both"/>
        <w:rPr>
          <w:rFonts w:ascii="Arial" w:eastAsia="Times New Roman" w:hAnsi="Arial" w:cs="Arial"/>
          <w:b/>
          <w:bCs/>
          <w:sz w:val="18"/>
          <w:szCs w:val="18"/>
        </w:rPr>
      </w:pPr>
      <w:r w:rsidRPr="008223EE">
        <w:rPr>
          <w:rFonts w:ascii="Arial" w:eastAsia="Times New Roman" w:hAnsi="Arial" w:cs="Arial"/>
          <w:b/>
          <w:bCs/>
          <w:sz w:val="20"/>
          <w:szCs w:val="20"/>
        </w:rPr>
        <w:t>Q4 12 compared to Q3 12</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profit before tax decreased 10% to £356m</w:t>
      </w:r>
    </w:p>
    <w:p w:rsidR="008223EE" w:rsidRPr="008223EE" w:rsidRDefault="008223EE" w:rsidP="00363210">
      <w:pPr>
        <w:spacing w:before="120" w:after="120" w:line="240" w:lineRule="auto"/>
        <w:ind w:left="568" w:hanging="284"/>
        <w:rPr>
          <w:rFonts w:ascii="Arial" w:eastAsia="Times New Roman" w:hAnsi="Arial" w:cs="Arial"/>
          <w:sz w:val="18"/>
          <w:szCs w:val="18"/>
        </w:rPr>
      </w:pPr>
      <w:r w:rsidRPr="008223EE">
        <w:rPr>
          <w:rFonts w:ascii="Arial" w:eastAsia="Times New Roman" w:hAnsi="Arial" w:cs="Arial"/>
          <w:sz w:val="18"/>
          <w:szCs w:val="18"/>
        </w:rPr>
        <w:t>-    Income increased 5% reflecting contribution from portfolio acquisitions</w:t>
      </w:r>
    </w:p>
    <w:p w:rsidR="008223EE" w:rsidRPr="008223EE" w:rsidRDefault="008223EE" w:rsidP="00363210">
      <w:pPr>
        <w:spacing w:before="120" w:after="120" w:line="240" w:lineRule="auto"/>
        <w:ind w:left="568" w:hanging="284"/>
        <w:rPr>
          <w:rFonts w:ascii="Arial" w:eastAsia="Times New Roman" w:hAnsi="Arial" w:cs="Arial"/>
          <w:sz w:val="18"/>
          <w:szCs w:val="18"/>
        </w:rPr>
      </w:pPr>
      <w:r w:rsidRPr="008223EE">
        <w:rPr>
          <w:rFonts w:ascii="Arial" w:eastAsia="Times New Roman" w:hAnsi="Arial" w:cs="Arial"/>
          <w:sz w:val="18"/>
          <w:szCs w:val="18"/>
        </w:rPr>
        <w:t>-    Impairment increased 4% due to increased business volumes</w:t>
      </w:r>
    </w:p>
    <w:p w:rsidR="008223EE" w:rsidRPr="008223EE" w:rsidRDefault="008223EE" w:rsidP="00363210">
      <w:pPr>
        <w:spacing w:before="120" w:after="120" w:line="240" w:lineRule="auto"/>
        <w:ind w:left="568" w:hanging="284"/>
        <w:rPr>
          <w:rFonts w:ascii="Arial" w:eastAsia="Times New Roman" w:hAnsi="Arial" w:cs="Arial"/>
          <w:sz w:val="18"/>
          <w:szCs w:val="18"/>
        </w:rPr>
      </w:pPr>
      <w:r w:rsidRPr="008223EE">
        <w:rPr>
          <w:rFonts w:ascii="Arial" w:eastAsia="Times New Roman" w:hAnsi="Arial" w:cs="Arial"/>
          <w:sz w:val="18"/>
          <w:szCs w:val="18"/>
        </w:rPr>
        <w:t>-    Adjusted operating expenses increased 20% principally due to a provision for certain other insurance products and the transfer of claims management costs to the PPI provision in Q3 12</w:t>
      </w:r>
    </w:p>
    <w:p w:rsidR="008223EE" w:rsidRPr="008223EE" w:rsidRDefault="008223EE" w:rsidP="00363210">
      <w:pPr>
        <w:spacing w:before="120" w:after="12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Statutory profit before tax was £86m (Q312: £247m) including £270m (Q312: £150m) additional provision for PPI redress</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Loans and advances to customers increased 6% to £32.9bn including the acquisition of </w:t>
      </w:r>
      <w:proofErr w:type="spellStart"/>
      <w:r w:rsidRPr="008223EE">
        <w:rPr>
          <w:rFonts w:ascii="Arial" w:eastAsia="Times New Roman" w:hAnsi="Arial" w:cs="Arial"/>
          <w:sz w:val="18"/>
          <w:szCs w:val="18"/>
        </w:rPr>
        <w:t>Edcon</w:t>
      </w:r>
      <w:proofErr w:type="spellEnd"/>
      <w:r w:rsidRPr="008223EE">
        <w:rPr>
          <w:rFonts w:ascii="Arial" w:eastAsia="Times New Roman" w:hAnsi="Arial" w:cs="Arial"/>
          <w:sz w:val="18"/>
          <w:szCs w:val="18"/>
        </w:rPr>
        <w:t xml:space="preserve"> and growth across the UK and International businesses. Customer deposits increased to £2.8bn (30 September 2012: £2.4bn) through deposit funding initiatives in the US and Germany</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Results by Business</w:t>
      </w:r>
    </w:p>
    <w:tbl>
      <w:tblPr>
        <w:tblW w:w="0" w:type="auto"/>
        <w:tblInd w:w="-115" w:type="dxa"/>
        <w:tblCellMar>
          <w:left w:w="0" w:type="dxa"/>
          <w:right w:w="0" w:type="dxa"/>
        </w:tblCellMar>
        <w:tblLook w:val="04A0" w:firstRow="1" w:lastRow="0" w:firstColumn="1" w:lastColumn="0" w:noHBand="0" w:noVBand="1"/>
      </w:tblPr>
      <w:tblGrid>
        <w:gridCol w:w="5265"/>
        <w:gridCol w:w="825"/>
        <w:gridCol w:w="1050"/>
        <w:gridCol w:w="1031"/>
        <w:gridCol w:w="1050"/>
      </w:tblGrid>
      <w:tr w:rsidR="008223EE" w:rsidRPr="008223EE" w:rsidTr="008223EE">
        <w:trPr>
          <w:trHeight w:val="315"/>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xml:space="preserve">Investment Bank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w:t>
            </w:r>
            <w:r w:rsidRPr="008223EE">
              <w:rPr>
                <w:rFonts w:ascii="Arial" w:eastAsia="Times New Roman" w:hAnsi="Arial" w:cs="Arial"/>
                <w:b/>
                <w:bCs/>
                <w:color w:val="000000"/>
                <w:sz w:val="19"/>
                <w:szCs w:val="19"/>
                <w:vertAlign w:val="superscript"/>
              </w:rPr>
              <w:t>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5" w:type="dxa"/>
            <w:tcMar>
              <w:top w:w="0" w:type="dxa"/>
              <w:left w:w="115" w:type="dxa"/>
              <w:bottom w:w="0" w:type="dxa"/>
              <w:right w:w="115"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825" w:type="dxa"/>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w:t>
            </w:r>
          </w:p>
        </w:tc>
        <w:tc>
          <w:tcPr>
            <w:tcW w:w="825" w:type="dxa"/>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825" w:type="dxa"/>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265" w:type="dxa"/>
            <w:tcMar>
              <w:top w:w="0" w:type="dxa"/>
              <w:left w:w="115" w:type="dxa"/>
              <w:bottom w:w="0" w:type="dxa"/>
              <w:right w:w="115"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Income Statement Information </w:t>
            </w:r>
          </w:p>
        </w:tc>
        <w:tc>
          <w:tcPr>
            <w:tcW w:w="825" w:type="dxa"/>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31.12.12</w:t>
            </w:r>
            <w:r w:rsidRPr="008223EE">
              <w:rPr>
                <w:rFonts w:ascii="Arial" w:eastAsia="Times New Roman" w:hAnsi="Arial" w:cs="Arial"/>
                <w:b/>
                <w:bCs/>
                <w:color w:val="000000"/>
                <w:sz w:val="20"/>
                <w:szCs w:val="20"/>
                <w:vertAlign w:val="superscript"/>
              </w:rPr>
              <w:t xml:space="preserve"> </w:t>
            </w:r>
          </w:p>
        </w:tc>
        <w:tc>
          <w:tcPr>
            <w:tcW w:w="825" w:type="dxa"/>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825" w:type="dxa"/>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26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2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2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r w:rsidR="008223EE" w:rsidRPr="008223EE" w:rsidTr="008223EE">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interest income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619 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1,177 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w:t>
            </w: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fee and commission income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3,262 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3,026 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8 </w:t>
            </w: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trading income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7,315 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5,264 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39 </w:t>
            </w: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investment income and other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526 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868 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w:t>
            </w:r>
          </w:p>
        </w:tc>
      </w:tr>
      <w:tr w:rsidR="008223EE" w:rsidRPr="008223EE" w:rsidTr="008223EE">
        <w:trPr>
          <w:trHeight w:val="240"/>
        </w:trPr>
        <w:tc>
          <w:tcPr>
            <w:tcW w:w="5265" w:type="dxa"/>
            <w:tcBorders>
              <w:top w:val="single" w:sz="8" w:space="0" w:color="969696"/>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w:t>
            </w:r>
          </w:p>
        </w:tc>
        <w:tc>
          <w:tcPr>
            <w:tcW w:w="825" w:type="dxa"/>
            <w:tcBorders>
              <w:top w:val="single" w:sz="8" w:space="0" w:color="969696"/>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Borders>
              <w:top w:val="single" w:sz="8" w:space="0" w:color="969696"/>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11,722  </w:t>
            </w:r>
          </w:p>
        </w:tc>
        <w:tc>
          <w:tcPr>
            <w:tcW w:w="825" w:type="dxa"/>
            <w:tcBorders>
              <w:top w:val="single" w:sz="8" w:space="0" w:color="969696"/>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10,335 </w:t>
            </w:r>
          </w:p>
        </w:tc>
        <w:tc>
          <w:tcPr>
            <w:tcW w:w="825" w:type="dxa"/>
            <w:tcBorders>
              <w:top w:val="single" w:sz="8" w:space="0" w:color="969696"/>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13 </w:t>
            </w:r>
          </w:p>
        </w:tc>
      </w:tr>
      <w:tr w:rsidR="008223EE" w:rsidRPr="008223EE" w:rsidTr="008223EE">
        <w:trPr>
          <w:trHeight w:val="240"/>
        </w:trPr>
        <w:tc>
          <w:tcPr>
            <w:tcW w:w="526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(460)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11,262 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10,242 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10 </w:t>
            </w:r>
          </w:p>
        </w:tc>
      </w:tr>
      <w:tr w:rsidR="008223EE" w:rsidRPr="008223EE" w:rsidTr="008223EE">
        <w:trPr>
          <w:trHeight w:val="240"/>
        </w:trPr>
        <w:tc>
          <w:tcPr>
            <w:tcW w:w="526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(7,249)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(7,289)</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w:t>
            </w: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26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50 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before tax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4,063 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2,965 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37 </w:t>
            </w:r>
          </w:p>
        </w:tc>
      </w:tr>
      <w:tr w:rsidR="008223EE" w:rsidRPr="008223EE" w:rsidTr="008223EE">
        <w:trPr>
          <w:trHeight w:val="240"/>
        </w:trPr>
        <w:tc>
          <w:tcPr>
            <w:tcW w:w="526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profit before tax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4,063 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2,965 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37 </w:t>
            </w: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Balance Sheet Information and Key Facts</w:t>
            </w:r>
            <w:r w:rsidRPr="008223EE">
              <w:rPr>
                <w:rFonts w:ascii="Arial" w:eastAsia="Times New Roman" w:hAnsi="Arial" w:cs="Arial"/>
                <w:color w:val="000000"/>
                <w:sz w:val="20"/>
                <w:szCs w:val="20"/>
                <w:vertAlign w:val="superscript"/>
              </w:rPr>
              <w:t xml:space="preserve">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b/>
                <w:bCs/>
                <w:color w:val="000000"/>
                <w:sz w:val="16"/>
                <w:szCs w:val="16"/>
                <w:vertAlign w:val="superscript"/>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banks and customers at amortised cost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£145.0bn </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£158.6bn</w:t>
            </w:r>
          </w:p>
        </w:tc>
        <w:tc>
          <w:tcPr>
            <w:tcW w:w="82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deposits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£76.2bn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£83.1bn</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assets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£1,074.8bn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£1,158.4bn</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Assets contributing to adjusted gross leverage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£567.9bn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£604.0bn</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£178.0bn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£186.7bn</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Average </w:t>
            </w:r>
            <w:proofErr w:type="spellStart"/>
            <w:r w:rsidRPr="008223EE">
              <w:rPr>
                <w:rFonts w:ascii="Arial" w:eastAsia="Times New Roman" w:hAnsi="Arial" w:cs="Arial"/>
                <w:color w:val="000000"/>
                <w:sz w:val="16"/>
                <w:szCs w:val="16"/>
              </w:rPr>
              <w:t>DVaR</w:t>
            </w:r>
            <w:proofErr w:type="spellEnd"/>
            <w:r w:rsidRPr="008223EE">
              <w:rPr>
                <w:rFonts w:ascii="Arial" w:eastAsia="Times New Roman" w:hAnsi="Arial" w:cs="Arial"/>
                <w:color w:val="000000"/>
                <w:sz w:val="16"/>
                <w:szCs w:val="16"/>
              </w:rPr>
              <w:t xml:space="preserve"> (95%)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£38m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£57m</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employees (full time equivalent)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24,000 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23,600 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875" w:type="dxa"/>
            <w:gridSpan w:val="2"/>
            <w:tcMar>
              <w:top w:w="0" w:type="dxa"/>
              <w:left w:w="115" w:type="dxa"/>
              <w:bottom w:w="0" w:type="dxa"/>
              <w:right w:w="115"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p>
        </w:tc>
        <w:tc>
          <w:tcPr>
            <w:tcW w:w="1875" w:type="dxa"/>
            <w:gridSpan w:val="2"/>
            <w:tcMar>
              <w:top w:w="0" w:type="dxa"/>
              <w:left w:w="115" w:type="dxa"/>
              <w:bottom w:w="0" w:type="dxa"/>
              <w:right w:w="115"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115" w:type="dxa"/>
        <w:tblCellMar>
          <w:left w:w="0" w:type="dxa"/>
          <w:right w:w="0" w:type="dxa"/>
        </w:tblCellMar>
        <w:tblLook w:val="04A0" w:firstRow="1" w:lastRow="0" w:firstColumn="1" w:lastColumn="0" w:noHBand="0" w:noVBand="1"/>
      </w:tblPr>
      <w:tblGrid>
        <w:gridCol w:w="5265"/>
        <w:gridCol w:w="853"/>
        <w:gridCol w:w="1058"/>
        <w:gridCol w:w="992"/>
        <w:gridCol w:w="993"/>
      </w:tblGrid>
      <w:tr w:rsidR="008223EE" w:rsidRPr="008223EE" w:rsidTr="00964CF8">
        <w:trPr>
          <w:trHeight w:val="240"/>
        </w:trPr>
        <w:tc>
          <w:tcPr>
            <w:tcW w:w="526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Performance Measures </w:t>
            </w:r>
          </w:p>
        </w:tc>
        <w:tc>
          <w:tcPr>
            <w:tcW w:w="853" w:type="dxa"/>
            <w:tcBorders>
              <w:top w:val="single" w:sz="8" w:space="0" w:color="969696"/>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8" w:type="dxa"/>
            <w:tcBorders>
              <w:top w:val="single" w:sz="8" w:space="0" w:color="969696"/>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31.12.11</w:t>
            </w:r>
            <w:r w:rsidRPr="008223EE">
              <w:rPr>
                <w:rFonts w:ascii="Arial" w:eastAsia="Times New Roman" w:hAnsi="Arial" w:cs="Arial"/>
                <w:b/>
                <w:bCs/>
                <w:color w:val="000000"/>
                <w:sz w:val="20"/>
                <w:szCs w:val="20"/>
                <w:vertAlign w:val="superscript"/>
              </w:rPr>
              <w:t xml:space="preserve"> </w:t>
            </w:r>
          </w:p>
        </w:tc>
        <w:tc>
          <w:tcPr>
            <w:tcW w:w="992" w:type="dxa"/>
            <w:tcBorders>
              <w:top w:val="single" w:sz="8" w:space="0" w:color="969696"/>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93" w:type="dxa"/>
            <w:tcBorders>
              <w:top w:val="single" w:sz="8" w:space="0" w:color="969696"/>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964CF8">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equity </w:t>
            </w:r>
          </w:p>
        </w:tc>
        <w:tc>
          <w:tcPr>
            <w:tcW w:w="853"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w:t>
            </w:r>
          </w:p>
        </w:tc>
        <w:tc>
          <w:tcPr>
            <w:tcW w:w="1058"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10.4% </w:t>
            </w:r>
          </w:p>
        </w:tc>
        <w:tc>
          <w:tcPr>
            <w:tcW w:w="992"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w:t>
            </w:r>
          </w:p>
        </w:tc>
        <w:tc>
          <w:tcPr>
            <w:tcW w:w="993"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w:t>
            </w:r>
          </w:p>
        </w:tc>
      </w:tr>
      <w:tr w:rsidR="008223EE" w:rsidRPr="008223EE" w:rsidTr="00964CF8">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risk weighted assets </w:t>
            </w:r>
          </w:p>
        </w:tc>
        <w:tc>
          <w:tcPr>
            <w:tcW w:w="85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w:t>
            </w:r>
          </w:p>
        </w:tc>
        <w:tc>
          <w:tcPr>
            <w:tcW w:w="1058"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 </w:t>
            </w:r>
          </w:p>
        </w:tc>
        <w:tc>
          <w:tcPr>
            <w:tcW w:w="992"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w:t>
            </w:r>
          </w:p>
        </w:tc>
        <w:tc>
          <w:tcPr>
            <w:tcW w:w="99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w:t>
            </w:r>
          </w:p>
        </w:tc>
      </w:tr>
      <w:tr w:rsidR="008223EE" w:rsidRPr="008223EE" w:rsidTr="00964CF8">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Cost: income ratio </w:t>
            </w:r>
            <w:r w:rsidRPr="008223EE">
              <w:rPr>
                <w:rFonts w:ascii="Arial" w:eastAsia="Times New Roman" w:hAnsi="Arial" w:cs="Arial"/>
                <w:color w:val="000000"/>
                <w:sz w:val="13"/>
                <w:szCs w:val="13"/>
                <w:vertAlign w:val="superscript"/>
              </w:rPr>
              <w:t> </w:t>
            </w:r>
          </w:p>
        </w:tc>
        <w:tc>
          <w:tcPr>
            <w:tcW w:w="85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w:t>
            </w:r>
          </w:p>
        </w:tc>
        <w:tc>
          <w:tcPr>
            <w:tcW w:w="1058"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71% </w:t>
            </w:r>
          </w:p>
        </w:tc>
        <w:tc>
          <w:tcPr>
            <w:tcW w:w="992"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w:t>
            </w:r>
          </w:p>
        </w:tc>
        <w:tc>
          <w:tcPr>
            <w:tcW w:w="99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w:t>
            </w:r>
          </w:p>
        </w:tc>
      </w:tr>
      <w:tr w:rsidR="008223EE" w:rsidRPr="008223EE" w:rsidTr="00964CF8">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Cost: net operating income ratio </w:t>
            </w:r>
            <w:r w:rsidRPr="008223EE">
              <w:rPr>
                <w:rFonts w:ascii="Arial" w:eastAsia="Times New Roman" w:hAnsi="Arial" w:cs="Arial"/>
                <w:color w:val="000000"/>
                <w:sz w:val="13"/>
                <w:szCs w:val="13"/>
                <w:vertAlign w:val="superscript"/>
              </w:rPr>
              <w:t> </w:t>
            </w:r>
          </w:p>
        </w:tc>
        <w:tc>
          <w:tcPr>
            <w:tcW w:w="85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w:t>
            </w:r>
          </w:p>
        </w:tc>
        <w:tc>
          <w:tcPr>
            <w:tcW w:w="1058"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71% </w:t>
            </w:r>
          </w:p>
        </w:tc>
        <w:tc>
          <w:tcPr>
            <w:tcW w:w="992"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w:t>
            </w:r>
          </w:p>
        </w:tc>
        <w:tc>
          <w:tcPr>
            <w:tcW w:w="99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w:t>
            </w:r>
          </w:p>
        </w:tc>
      </w:tr>
      <w:tr w:rsidR="008223EE" w:rsidRPr="008223EE" w:rsidTr="00964CF8">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Compensation: income ratio </w:t>
            </w:r>
          </w:p>
        </w:tc>
        <w:tc>
          <w:tcPr>
            <w:tcW w:w="85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w:t>
            </w:r>
          </w:p>
        </w:tc>
        <w:tc>
          <w:tcPr>
            <w:tcW w:w="1058"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47% </w:t>
            </w:r>
          </w:p>
        </w:tc>
        <w:tc>
          <w:tcPr>
            <w:tcW w:w="992"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w:t>
            </w:r>
          </w:p>
        </w:tc>
        <w:tc>
          <w:tcPr>
            <w:tcW w:w="99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w:t>
            </w:r>
          </w:p>
        </w:tc>
      </w:tr>
      <w:tr w:rsidR="008223EE" w:rsidRPr="008223EE" w:rsidTr="00964CF8">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Average income per employee (000s) </w:t>
            </w:r>
          </w:p>
        </w:tc>
        <w:tc>
          <w:tcPr>
            <w:tcW w:w="85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£494</w:t>
            </w:r>
          </w:p>
        </w:tc>
        <w:tc>
          <w:tcPr>
            <w:tcW w:w="1058"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£429 </w:t>
            </w:r>
          </w:p>
        </w:tc>
        <w:tc>
          <w:tcPr>
            <w:tcW w:w="992"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£494</w:t>
            </w:r>
          </w:p>
        </w:tc>
        <w:tc>
          <w:tcPr>
            <w:tcW w:w="99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£429</w:t>
            </w:r>
          </w:p>
        </w:tc>
      </w:tr>
      <w:tr w:rsidR="008223EE" w:rsidRPr="008223EE" w:rsidTr="00964CF8">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 loss rate (bps) </w:t>
            </w:r>
          </w:p>
        </w:tc>
        <w:tc>
          <w:tcPr>
            <w:tcW w:w="85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30 </w:t>
            </w:r>
          </w:p>
        </w:tc>
        <w:tc>
          <w:tcPr>
            <w:tcW w:w="1058"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8  </w:t>
            </w:r>
          </w:p>
        </w:tc>
        <w:tc>
          <w:tcPr>
            <w:tcW w:w="992"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30 </w:t>
            </w:r>
          </w:p>
        </w:tc>
        <w:tc>
          <w:tcPr>
            <w:tcW w:w="99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8 </w:t>
            </w:r>
          </w:p>
        </w:tc>
      </w:tr>
      <w:tr w:rsidR="008223EE" w:rsidRPr="008223EE" w:rsidTr="00964CF8">
        <w:trPr>
          <w:trHeight w:val="240"/>
        </w:trPr>
        <w:tc>
          <w:tcPr>
            <w:tcW w:w="526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5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8"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92"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93"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p w:rsidR="008223EE" w:rsidRPr="008223EE" w:rsidRDefault="008223EE" w:rsidP="008223EE">
      <w:pPr>
        <w:spacing w:line="240" w:lineRule="auto"/>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Investment Bank</w:t>
      </w:r>
    </w:p>
    <w:tbl>
      <w:tblPr>
        <w:tblW w:w="0" w:type="auto"/>
        <w:tblInd w:w="-36" w:type="dxa"/>
        <w:tblCellMar>
          <w:left w:w="0" w:type="dxa"/>
          <w:right w:w="0" w:type="dxa"/>
        </w:tblCellMar>
        <w:tblLook w:val="04A0" w:firstRow="1" w:lastRow="0" w:firstColumn="1" w:lastColumn="0" w:noHBand="0" w:noVBand="1"/>
      </w:tblPr>
      <w:tblGrid>
        <w:gridCol w:w="2889"/>
        <w:gridCol w:w="730"/>
        <w:gridCol w:w="730"/>
        <w:gridCol w:w="864"/>
        <w:gridCol w:w="731"/>
        <w:gridCol w:w="731"/>
        <w:gridCol w:w="864"/>
        <w:gridCol w:w="731"/>
        <w:gridCol w:w="864"/>
      </w:tblGrid>
      <w:tr w:rsidR="008223EE" w:rsidRPr="008223EE" w:rsidTr="008223EE">
        <w:trPr>
          <w:trHeight w:val="240"/>
        </w:trPr>
        <w:tc>
          <w:tcPr>
            <w:tcW w:w="3030"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20"/>
                <w:szCs w:val="20"/>
              </w:rPr>
              <w:t>Analysis of Total Income</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FY12</w:t>
            </w:r>
            <w:r w:rsidRPr="008223EE">
              <w:rPr>
                <w:rFonts w:ascii="Arial" w:eastAsia="Times New Roman" w:hAnsi="Arial" w:cs="Arial"/>
                <w:color w:val="000000"/>
                <w:sz w:val="16"/>
                <w:szCs w:val="16"/>
              </w:rPr>
              <w:b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FY11</w:t>
            </w:r>
            <w:r w:rsidRPr="008223EE">
              <w:rPr>
                <w:rFonts w:ascii="Arial" w:eastAsia="Times New Roman" w:hAnsi="Arial" w:cs="Arial"/>
                <w:color w:val="000000"/>
                <w:sz w:val="16"/>
                <w:szCs w:val="16"/>
              </w:rPr>
              <w:b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Q412</w:t>
            </w:r>
            <w:r w:rsidRPr="008223EE">
              <w:rPr>
                <w:rFonts w:ascii="Arial" w:eastAsia="Times New Roman" w:hAnsi="Arial" w:cs="Arial"/>
                <w:color w:val="000000"/>
                <w:sz w:val="16"/>
                <w:szCs w:val="16"/>
              </w:rPr>
              <w:b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Q312</w:t>
            </w:r>
            <w:r w:rsidRPr="008223EE">
              <w:rPr>
                <w:rFonts w:ascii="Arial" w:eastAsia="Times New Roman" w:hAnsi="Arial" w:cs="Arial"/>
                <w:color w:val="000000"/>
                <w:sz w:val="16"/>
                <w:szCs w:val="16"/>
              </w:rPr>
              <w:br/>
              <w:t>£m</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Q411</w:t>
            </w:r>
            <w:r w:rsidRPr="008223EE">
              <w:rPr>
                <w:rFonts w:ascii="Arial" w:eastAsia="Times New Roman" w:hAnsi="Arial" w:cs="Arial"/>
                <w:color w:val="000000"/>
                <w:sz w:val="16"/>
                <w:szCs w:val="16"/>
              </w:rPr>
              <w:br/>
              <w:t>£m</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144" w:type="dxa"/>
        <w:tblInd w:w="-36" w:type="dxa"/>
        <w:tblCellMar>
          <w:left w:w="0" w:type="dxa"/>
          <w:right w:w="0" w:type="dxa"/>
        </w:tblCellMar>
        <w:tblLook w:val="04A0" w:firstRow="1" w:lastRow="0" w:firstColumn="1" w:lastColumn="0" w:noHBand="0" w:noVBand="1"/>
      </w:tblPr>
      <w:tblGrid>
        <w:gridCol w:w="2907"/>
        <w:gridCol w:w="709"/>
        <w:gridCol w:w="709"/>
        <w:gridCol w:w="850"/>
        <w:gridCol w:w="709"/>
        <w:gridCol w:w="709"/>
        <w:gridCol w:w="922"/>
        <w:gridCol w:w="750"/>
        <w:gridCol w:w="879"/>
      </w:tblGrid>
      <w:tr w:rsidR="008223EE" w:rsidRPr="008223EE" w:rsidTr="00A171D2">
        <w:trPr>
          <w:trHeight w:val="240"/>
        </w:trPr>
        <w:tc>
          <w:tcPr>
            <w:tcW w:w="2907"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Fixed Income, Currency and Commodities</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7,403 </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6,325 </w:t>
            </w:r>
          </w:p>
        </w:tc>
        <w:tc>
          <w:tcPr>
            <w:tcW w:w="8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17 </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1,458 </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1,581 </w:t>
            </w:r>
          </w:p>
        </w:tc>
        <w:tc>
          <w:tcPr>
            <w:tcW w:w="92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971 </w:t>
            </w:r>
          </w:p>
        </w:tc>
        <w:tc>
          <w:tcPr>
            <w:tcW w:w="87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50 </w:t>
            </w:r>
          </w:p>
        </w:tc>
      </w:tr>
      <w:tr w:rsidR="008223EE" w:rsidRPr="008223EE" w:rsidTr="00A171D2">
        <w:trPr>
          <w:trHeight w:val="240"/>
        </w:trPr>
        <w:tc>
          <w:tcPr>
            <w:tcW w:w="2907"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Equities and Prime Services</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1,991 </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1,751 </w:t>
            </w:r>
          </w:p>
        </w:tc>
        <w:tc>
          <w:tcPr>
            <w:tcW w:w="8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14 </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484 </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534 </w:t>
            </w:r>
          </w:p>
        </w:tc>
        <w:tc>
          <w:tcPr>
            <w:tcW w:w="92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305 </w:t>
            </w:r>
          </w:p>
        </w:tc>
        <w:tc>
          <w:tcPr>
            <w:tcW w:w="87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59 </w:t>
            </w:r>
          </w:p>
        </w:tc>
      </w:tr>
      <w:tr w:rsidR="008223EE" w:rsidRPr="008223EE" w:rsidTr="00A171D2">
        <w:trPr>
          <w:trHeight w:val="240"/>
        </w:trPr>
        <w:tc>
          <w:tcPr>
            <w:tcW w:w="2907"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Investment Banking</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2,123 </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2,027 </w:t>
            </w:r>
          </w:p>
        </w:tc>
        <w:tc>
          <w:tcPr>
            <w:tcW w:w="8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5 </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626 </w:t>
            </w:r>
          </w:p>
        </w:tc>
        <w:tc>
          <w:tcPr>
            <w:tcW w:w="70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487 </w:t>
            </w:r>
          </w:p>
        </w:tc>
        <w:tc>
          <w:tcPr>
            <w:tcW w:w="92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506 </w:t>
            </w:r>
          </w:p>
        </w:tc>
        <w:tc>
          <w:tcPr>
            <w:tcW w:w="87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24 </w:t>
            </w:r>
          </w:p>
        </w:tc>
      </w:tr>
      <w:tr w:rsidR="008223EE" w:rsidRPr="008223EE" w:rsidTr="00A171D2">
        <w:trPr>
          <w:trHeight w:val="240"/>
        </w:trPr>
        <w:tc>
          <w:tcPr>
            <w:tcW w:w="290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Principal Investments</w:t>
            </w:r>
          </w:p>
        </w:tc>
        <w:tc>
          <w:tcPr>
            <w:tcW w:w="70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205 </w:t>
            </w:r>
          </w:p>
        </w:tc>
        <w:tc>
          <w:tcPr>
            <w:tcW w:w="70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232 </w:t>
            </w:r>
          </w:p>
        </w:tc>
        <w:tc>
          <w:tcPr>
            <w:tcW w:w="8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w:t>
            </w:r>
          </w:p>
        </w:tc>
        <w:tc>
          <w:tcPr>
            <w:tcW w:w="70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25 </w:t>
            </w:r>
          </w:p>
        </w:tc>
        <w:tc>
          <w:tcPr>
            <w:tcW w:w="70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31 </w:t>
            </w:r>
          </w:p>
        </w:tc>
        <w:tc>
          <w:tcPr>
            <w:tcW w:w="922"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36 </w:t>
            </w:r>
          </w:p>
        </w:tc>
        <w:tc>
          <w:tcPr>
            <w:tcW w:w="87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w:t>
            </w:r>
          </w:p>
        </w:tc>
      </w:tr>
      <w:tr w:rsidR="008223EE" w:rsidRPr="008223EE" w:rsidTr="00A171D2">
        <w:trPr>
          <w:trHeight w:val="240"/>
        </w:trPr>
        <w:tc>
          <w:tcPr>
            <w:tcW w:w="290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income</w:t>
            </w:r>
          </w:p>
        </w:tc>
        <w:tc>
          <w:tcPr>
            <w:tcW w:w="70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11,722 </w:t>
            </w:r>
          </w:p>
        </w:tc>
        <w:tc>
          <w:tcPr>
            <w:tcW w:w="70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10,335 </w:t>
            </w:r>
          </w:p>
        </w:tc>
        <w:tc>
          <w:tcPr>
            <w:tcW w:w="8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13 </w:t>
            </w:r>
          </w:p>
        </w:tc>
        <w:tc>
          <w:tcPr>
            <w:tcW w:w="70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2,593 </w:t>
            </w:r>
          </w:p>
        </w:tc>
        <w:tc>
          <w:tcPr>
            <w:tcW w:w="70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2,633 </w:t>
            </w:r>
          </w:p>
        </w:tc>
        <w:tc>
          <w:tcPr>
            <w:tcW w:w="922"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1,818 </w:t>
            </w:r>
          </w:p>
        </w:tc>
        <w:tc>
          <w:tcPr>
            <w:tcW w:w="87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A171D2">
      <w:pPr>
        <w:spacing w:before="120" w:after="120" w:line="240" w:lineRule="auto"/>
        <w:rPr>
          <w:rFonts w:ascii="Arial" w:eastAsia="Times New Roman" w:hAnsi="Arial" w:cs="Arial"/>
          <w:b/>
          <w:bCs/>
          <w:sz w:val="18"/>
          <w:szCs w:val="18"/>
        </w:rPr>
      </w:pPr>
      <w:r w:rsidRPr="008223EE">
        <w:rPr>
          <w:rFonts w:ascii="Arial" w:eastAsia="Times New Roman" w:hAnsi="Arial" w:cs="Arial"/>
          <w:b/>
          <w:bCs/>
          <w:sz w:val="20"/>
          <w:szCs w:val="20"/>
        </w:rPr>
        <w:br/>
        <w:t>2012 compared to 2011</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Profit before tax increased 37% to £4,063m driven by strong income growth and reduced operating expenses</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Total income increased 13% to £11,722m </w:t>
      </w:r>
    </w:p>
    <w:p w:rsidR="008223EE" w:rsidRPr="008223EE" w:rsidRDefault="008223EE" w:rsidP="00363210">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Fixed Income, Currency and Commodities (FICC) income improved 17% to £7,403m, in an uncertain, but more favourable trading environment. Increased liquidity and higher client volumes across a number of product areas resulted in increased contributions from the Rates, Emerging Markets, Commodities, Securitised Products and Credit businesses, partially offset by lower contributions from Currency driven by subdued volumes and lower volatility</w:t>
      </w:r>
    </w:p>
    <w:p w:rsidR="008223EE" w:rsidRPr="008223EE" w:rsidRDefault="008223EE" w:rsidP="00363210">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Equities and Prime Services income increased 14% to £1,991m, reflecting global market share gains which resulted in an improved performance in cash equities and equity derivatives, despite subdued market volumes</w:t>
      </w:r>
    </w:p>
    <w:p w:rsidR="008223EE" w:rsidRPr="008223EE" w:rsidRDefault="008223EE" w:rsidP="00363210">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Investment </w:t>
      </w:r>
      <w:proofErr w:type="gramStart"/>
      <w:r w:rsidRPr="008223EE">
        <w:rPr>
          <w:rFonts w:ascii="Arial" w:eastAsia="Times New Roman" w:hAnsi="Arial" w:cs="Arial"/>
          <w:sz w:val="18"/>
          <w:szCs w:val="18"/>
        </w:rPr>
        <w:t>Banking</w:t>
      </w:r>
      <w:proofErr w:type="gramEnd"/>
      <w:r w:rsidRPr="008223EE">
        <w:rPr>
          <w:rFonts w:ascii="Arial" w:eastAsia="Times New Roman" w:hAnsi="Arial" w:cs="Arial"/>
          <w:sz w:val="18"/>
          <w:szCs w:val="18"/>
        </w:rPr>
        <w:t xml:space="preserve"> income increased 5% to £2,123m, reflecting global market share gains and increases in revenues across global financial advisory and underwriting businesses more than offsetting the impact of increased internal sales concessions. Debt underwriting activity and equity underwriting in the Americas grew particularly strongly and were primary contributors to the 8% increase in total net fees and commission income</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Credit impairment charges of £460m (2011: £93m) primarily related to £232m on ABS CDO Super Senior positions as a result of model changes to calibrate to current market data sources, and higher losses on single name exposures. The prior year included a non recurring release of £223m</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Operating expenses decreased 1% to £7,249m, driven by a 3% reduction in total performance costs to £1,693m including £210m increase in deferred bonus charges. Non-performance costs remained in line at £5,556m (2011: £5,571m) despite absorbing £193m charge relating to the setting of inter-bank offered rates</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proofErr w:type="gramStart"/>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Cost to net operating income ratio of 64% (2011: 71%) within target range of 60% to 65%.</w:t>
      </w:r>
      <w:proofErr w:type="gramEnd"/>
      <w:r w:rsidRPr="008223EE">
        <w:rPr>
          <w:rFonts w:ascii="Arial" w:eastAsia="Times New Roman" w:hAnsi="Arial" w:cs="Arial"/>
          <w:sz w:val="18"/>
          <w:szCs w:val="18"/>
        </w:rPr>
        <w:t xml:space="preserve"> The compensation to income ratio improved to 39% (2011: 47%)</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Return on average equity of 13.7% (2011: 10.4%) and return on average risk weighted assets of 1.5% (2011: 1.2%)</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Assets contributing to adjusted gross leverage decreased 6% to £567.9bn reflecting decreases in cash and balances at central banks, trading portfolio assets, and loans and advances to banks and customers, partially offset by an increase in reverse repurchase agreements</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Credit market exposures decreased 39% to £9,310m, reflecting net sales and </w:t>
      </w:r>
      <w:proofErr w:type="spellStart"/>
      <w:r w:rsidRPr="008223EE">
        <w:rPr>
          <w:rFonts w:ascii="Arial" w:eastAsia="Times New Roman" w:hAnsi="Arial" w:cs="Arial"/>
          <w:sz w:val="18"/>
          <w:szCs w:val="18"/>
        </w:rPr>
        <w:t>paydowns</w:t>
      </w:r>
      <w:proofErr w:type="spellEnd"/>
      <w:r w:rsidRPr="008223EE">
        <w:rPr>
          <w:rFonts w:ascii="Arial" w:eastAsia="Times New Roman" w:hAnsi="Arial" w:cs="Arial"/>
          <w:sz w:val="18"/>
          <w:szCs w:val="18"/>
        </w:rPr>
        <w:t xml:space="preserve"> and other movements of £5,436m, foreign exchange movements of £459m, offset by net fair value gains and impairment charges of £44m</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Risk weighted assets decreased 5% to £</w:t>
      </w:r>
      <w:proofErr w:type="gramStart"/>
      <w:r w:rsidRPr="008223EE">
        <w:rPr>
          <w:rFonts w:ascii="Arial" w:eastAsia="Times New Roman" w:hAnsi="Arial" w:cs="Arial"/>
          <w:sz w:val="18"/>
          <w:szCs w:val="18"/>
        </w:rPr>
        <w:t>178.0bn,</w:t>
      </w:r>
      <w:proofErr w:type="gramEnd"/>
      <w:r w:rsidRPr="008223EE">
        <w:rPr>
          <w:rFonts w:ascii="Arial" w:eastAsia="Times New Roman" w:hAnsi="Arial" w:cs="Arial"/>
          <w:sz w:val="18"/>
          <w:szCs w:val="18"/>
        </w:rPr>
        <w:t xml:space="preserve"> principally reflecting reductions in risk exposures, including legacy asset sell downs, and foreign exchange movements. This was partially offset by an increased operational risk charge and a change in approach to loss given default on sovereign exposures</w:t>
      </w:r>
    </w:p>
    <w:p w:rsidR="008223EE" w:rsidRPr="008223EE" w:rsidRDefault="008223EE" w:rsidP="008223EE">
      <w:pPr>
        <w:spacing w:before="120" w:after="120" w:line="240" w:lineRule="auto"/>
        <w:jc w:val="both"/>
        <w:rPr>
          <w:rFonts w:ascii="Arial" w:eastAsia="Times New Roman" w:hAnsi="Arial" w:cs="Arial"/>
          <w:sz w:val="18"/>
          <w:szCs w:val="18"/>
        </w:rPr>
      </w:pPr>
      <w:r w:rsidRPr="008223EE">
        <w:rPr>
          <w:rFonts w:ascii="Arial" w:eastAsia="Times New Roman" w:hAnsi="Arial" w:cs="Arial"/>
          <w:b/>
          <w:bCs/>
          <w:sz w:val="20"/>
          <w:szCs w:val="20"/>
        </w:rPr>
        <w:lastRenderedPageBreak/>
        <w:t>Q4 12 compared to Q312</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Profit before tax decreased 8% to £858m</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Income of £2,593m was down 2% on Q3 12. FICC income reduced 8% and Equities and Prime Services income reduced 9%, partially offset by a 29% increase in Investment Banking revenues</w:t>
      </w:r>
    </w:p>
    <w:p w:rsidR="008223EE" w:rsidRPr="008223EE" w:rsidRDefault="008223EE" w:rsidP="00A171D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The decrease in FICC income of 8% to £1,458m reflected lower activity in Securitised Products and a reduction in Currency income, driven by reduced market volatility and resulting lower volumes. This was partially offset by higher contributions from Credit and Rates</w:t>
      </w:r>
    </w:p>
    <w:p w:rsidR="008223EE" w:rsidRPr="008223EE" w:rsidRDefault="008223EE" w:rsidP="00A171D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The reduction in Equities and Prime Services income of 9% to £484m resulted from reduced performance in equity derivatives and equity-related Prime Services, driven by continued subdued volumes in equity issuance globally</w:t>
      </w:r>
    </w:p>
    <w:p w:rsidR="008223EE" w:rsidRPr="008223EE" w:rsidRDefault="008223EE" w:rsidP="00A171D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The increase in Investment Banking income of 29% to £626m was driven by improved performance across financial advisory, debt underwriting and equity underwriting, as a result of increased activity in debt and equity issuance</w:t>
      </w:r>
      <w:r w:rsidR="00363210">
        <w:rPr>
          <w:rFonts w:ascii="Arial" w:eastAsia="Times New Roman" w:hAnsi="Arial" w:cs="Arial"/>
          <w:sz w:val="18"/>
          <w:szCs w:val="18"/>
        </w:rPr>
        <w:t xml:space="preserve"> </w:t>
      </w:r>
      <w:r w:rsidRPr="008223EE">
        <w:rPr>
          <w:rFonts w:ascii="Arial" w:eastAsia="Times New Roman" w:hAnsi="Arial" w:cs="Arial"/>
          <w:sz w:val="18"/>
          <w:szCs w:val="18"/>
        </w:rPr>
        <w:t>in the quarter</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Impairment increased to £114m (Q3 12: £23m) relating to ABS CDO Super Senior positions</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Operating expenses decreased 3% driven by reduced performance costs</w:t>
      </w:r>
    </w:p>
    <w:p w:rsidR="008223EE" w:rsidRPr="008223EE" w:rsidRDefault="008223EE" w:rsidP="00363210">
      <w:pPr>
        <w:spacing w:before="120" w:after="120" w:line="240" w:lineRule="auto"/>
        <w:ind w:left="284" w:hanging="284"/>
        <w:jc w:val="both"/>
        <w:rPr>
          <w:rFonts w:ascii="Arial" w:eastAsia="Times New Roman" w:hAnsi="Arial" w:cs="Arial"/>
          <w:b/>
          <w:bCs/>
          <w:sz w:val="18"/>
          <w:szCs w:val="18"/>
        </w:rPr>
      </w:pPr>
      <w:r w:rsidRPr="008223EE">
        <w:rPr>
          <w:rFonts w:ascii="Arial" w:eastAsia="Times New Roman" w:hAnsi="Arial" w:cs="Arial"/>
          <w:b/>
          <w:bCs/>
          <w:color w:val="000000"/>
          <w:sz w:val="24"/>
          <w:szCs w:val="24"/>
        </w:rPr>
        <w:t>Results by Business</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Arial" w:eastAsia="Times New Roman" w:hAnsi="Arial" w:cs="Arial"/>
          <w:b/>
          <w:bCs/>
          <w:sz w:val="20"/>
          <w:szCs w:val="20"/>
        </w:rPr>
        <w:t>Q412 compared to Q4 11</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Profit before tax increased £591m to £858m</w:t>
      </w:r>
    </w:p>
    <w:p w:rsidR="008223EE" w:rsidRPr="008223EE" w:rsidRDefault="008223EE" w:rsidP="00363210">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Income of £2,593m increased 43% on Q4 11 reflecting increases in FICC of 50%, Equities and Prime Services of 59%, and Investment Banking of 24%</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The increase in FICC income of 50% to £1,458m reflected a significantly enhanced trading environment which resulted in higher income across Rates, Commodities, Securitised Products and</w:t>
      </w:r>
      <w:r w:rsidR="00363210">
        <w:rPr>
          <w:rFonts w:ascii="Arial" w:eastAsia="Times New Roman" w:hAnsi="Arial" w:cs="Arial"/>
          <w:sz w:val="18"/>
          <w:szCs w:val="18"/>
        </w:rPr>
        <w:t xml:space="preserve"> </w:t>
      </w:r>
      <w:r w:rsidRPr="008223EE">
        <w:rPr>
          <w:rFonts w:ascii="Arial" w:eastAsia="Times New Roman" w:hAnsi="Arial" w:cs="Arial"/>
          <w:sz w:val="18"/>
          <w:szCs w:val="18"/>
        </w:rPr>
        <w:t>Emerging Markets offset by a reduction in Currency income as confidence and liquidity in the markets were significantly improved</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Equities and Prime Services income increased 59% to £484m driven by stronger performance in cash equities and equity derivatives as markets improved from the low levels experienced in Q4 11</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Investment </w:t>
      </w:r>
      <w:proofErr w:type="gramStart"/>
      <w:r w:rsidRPr="008223EE">
        <w:rPr>
          <w:rFonts w:ascii="Arial" w:eastAsia="Times New Roman" w:hAnsi="Arial" w:cs="Arial"/>
          <w:sz w:val="18"/>
          <w:szCs w:val="18"/>
        </w:rPr>
        <w:t>Banking</w:t>
      </w:r>
      <w:proofErr w:type="gramEnd"/>
      <w:r w:rsidRPr="008223EE">
        <w:rPr>
          <w:rFonts w:ascii="Arial" w:eastAsia="Times New Roman" w:hAnsi="Arial" w:cs="Arial"/>
          <w:sz w:val="18"/>
          <w:szCs w:val="18"/>
        </w:rPr>
        <w:t xml:space="preserve"> income increased 24% to £626m resulting from increased market activity in debt and equity underwriting</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Impairment increased to £114m (Q4 11: £90m) relating to ABS CDO Super Senior positions</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Operating expenses increased 12% on Q4 11 reflective of increased accrual for performance costs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tbl>
      <w:tblPr>
        <w:tblW w:w="0" w:type="auto"/>
        <w:tblInd w:w="-36" w:type="dxa"/>
        <w:tblCellMar>
          <w:left w:w="0" w:type="dxa"/>
          <w:right w:w="0" w:type="dxa"/>
        </w:tblCellMar>
        <w:tblLook w:val="04A0" w:firstRow="1" w:lastRow="0" w:firstColumn="1" w:lastColumn="0" w:noHBand="0" w:noVBand="1"/>
      </w:tblPr>
      <w:tblGrid>
        <w:gridCol w:w="5190"/>
        <w:gridCol w:w="926"/>
        <w:gridCol w:w="1031"/>
        <w:gridCol w:w="960"/>
        <w:gridCol w:w="1027"/>
      </w:tblGrid>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xml:space="preserve">Corporate Banking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24"/>
                <w:szCs w:val="24"/>
              </w:rPr>
              <w:t> </w:t>
            </w:r>
            <w:r w:rsidRPr="008223EE">
              <w:rPr>
                <w:rFonts w:ascii="Arial" w:eastAsia="Times New Roman" w:hAnsi="Arial" w:cs="Arial"/>
                <w:color w:val="000000"/>
                <w:sz w:val="19"/>
                <w:szCs w:val="19"/>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Income Statement Information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31.12.12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interest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1,870 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2,155 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fee and commission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955 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trading income/(expense)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investment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23 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income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2,918 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3,108 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(872)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(1,147)</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2,046 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1,961 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48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(excluding goodwill impairment and provision for interest rate hedging products redress)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(1,505)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(1,759)</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impairment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interest rate hedging products redress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(850)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(2,355)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(1,882)</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(Loss)/profit before tax</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(299)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color w:val="000000"/>
                <w:sz w:val="20"/>
                <w:szCs w:val="20"/>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Adjusted profit before tax</w:t>
            </w:r>
            <w:r w:rsidRPr="008223EE">
              <w:rPr>
                <w:rFonts w:ascii="Arial" w:eastAsia="Times New Roman" w:hAnsi="Arial" w:cs="Arial"/>
                <w:b/>
                <w:bCs/>
                <w:color w:val="000000"/>
                <w:sz w:val="13"/>
                <w:szCs w:val="13"/>
                <w:vertAlign w:val="superscript"/>
              </w:rPr>
              <w:t>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551 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Balance Sheet Information and 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£62.9bn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£66.9bn</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at fair value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£17.6bn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£17.2bn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deposits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£97.1bn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£85.2bn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£86.3bn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£91.2bn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£68.0bn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£72.8bn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employees (full time equivalent)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10,300 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11,200 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r w:rsidRPr="008223EE">
              <w:rPr>
                <w:rFonts w:ascii="Arial" w:eastAsia="Times New Roman" w:hAnsi="Arial" w:cs="Arial"/>
                <w:b/>
                <w:bCs/>
                <w:color w:val="000000"/>
                <w:sz w:val="13"/>
                <w:szCs w:val="13"/>
                <w:vertAlign w:val="superscript"/>
              </w:rPr>
              <w:t>1</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274"/>
        <w:gridCol w:w="965"/>
        <w:gridCol w:w="965"/>
        <w:gridCol w:w="965"/>
        <w:gridCol w:w="965"/>
      </w:tblGrid>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Performance Measures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31.12.11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(0.3%)</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(0.1%)</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 loss rate (bps)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128 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128 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156 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Cost: income ratio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w:t>
            </w:r>
          </w:p>
        </w:tc>
      </w:tr>
    </w:tbl>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14"/>
          <w:szCs w:val="14"/>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F7632">
      <w:pPr>
        <w:spacing w:after="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i/>
          <w:iCs/>
          <w:color w:val="000000"/>
          <w:sz w:val="14"/>
          <w:szCs w:val="14"/>
        </w:rPr>
        <w:t>1        Adjusted profit before tax and adjusted performance measures exclude the impact of goodwill impairment of £nil (2011: £123m), provision for interest rate hedging products redress of £850m (2011: £nil) and loss on disposal of £</w:t>
      </w:r>
      <w:proofErr w:type="gramStart"/>
      <w:r w:rsidRPr="008223EE">
        <w:rPr>
          <w:rFonts w:ascii="Arial" w:eastAsia="Times New Roman" w:hAnsi="Arial" w:cs="Arial"/>
          <w:i/>
          <w:iCs/>
          <w:color w:val="000000"/>
          <w:sz w:val="14"/>
          <w:szCs w:val="14"/>
        </w:rPr>
        <w:t>nil  (</w:t>
      </w:r>
      <w:proofErr w:type="gramEnd"/>
      <w:r w:rsidRPr="008223EE">
        <w:rPr>
          <w:rFonts w:ascii="Arial" w:eastAsia="Times New Roman" w:hAnsi="Arial" w:cs="Arial"/>
          <w:i/>
          <w:iCs/>
          <w:color w:val="000000"/>
          <w:sz w:val="14"/>
          <w:szCs w:val="14"/>
        </w:rPr>
        <w:t>2011: £73m).</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tbl>
      <w:tblPr>
        <w:tblW w:w="0" w:type="auto"/>
        <w:tblInd w:w="-36" w:type="dxa"/>
        <w:tblCellMar>
          <w:left w:w="0" w:type="dxa"/>
          <w:right w:w="0" w:type="dxa"/>
        </w:tblCellMar>
        <w:tblLook w:val="04A0" w:firstRow="1" w:lastRow="0" w:firstColumn="1" w:lastColumn="0" w:noHBand="0" w:noVBand="1"/>
      </w:tblPr>
      <w:tblGrid>
        <w:gridCol w:w="5801"/>
        <w:gridCol w:w="834"/>
        <w:gridCol w:w="834"/>
        <w:gridCol w:w="831"/>
        <w:gridCol w:w="834"/>
      </w:tblGrid>
      <w:tr w:rsidR="008223EE" w:rsidRPr="008223EE" w:rsidTr="008223EE">
        <w:trPr>
          <w:trHeight w:val="315"/>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xml:space="preserve">Corporate Banking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20"/>
                <w:szCs w:val="20"/>
                <w:vertAlign w:val="superscript"/>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85"/>
        </w:trPr>
        <w:tc>
          <w:tcPr>
            <w:tcW w:w="59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Year Ended 31 December 2012</w:t>
            </w:r>
            <w:r w:rsidRPr="008223EE">
              <w:rPr>
                <w:rFonts w:ascii="Arial" w:eastAsia="Times New Roman" w:hAnsi="Arial" w:cs="Arial"/>
                <w:b/>
                <w:bCs/>
                <w:color w:val="000000"/>
                <w:sz w:val="16"/>
                <w:szCs w:val="16"/>
                <w:vertAlign w:val="superscript"/>
              </w:rPr>
              <w:t xml:space="preserve"> </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UK</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Europe</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roofErr w:type="spellStart"/>
            <w:r w:rsidRPr="008223EE">
              <w:rPr>
                <w:rFonts w:ascii="Arial" w:eastAsia="Times New Roman" w:hAnsi="Arial" w:cs="Arial"/>
                <w:b/>
                <w:bCs/>
                <w:color w:val="000000"/>
                <w:sz w:val="16"/>
                <w:szCs w:val="16"/>
              </w:rPr>
              <w:t>RoW</w:t>
            </w:r>
            <w:proofErr w:type="spellEnd"/>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59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Income Statement Information</w:t>
            </w:r>
            <w:r w:rsidRPr="008223EE">
              <w:rPr>
                <w:rFonts w:ascii="Arial" w:eastAsia="Times New Roman" w:hAnsi="Arial" w:cs="Arial"/>
                <w:color w:val="000000"/>
                <w:sz w:val="16"/>
                <w:szCs w:val="16"/>
                <w:vertAlign w:val="superscript"/>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59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Income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2,234 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313 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371 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2,918 </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(285)</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(542)</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(872)</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(excluding provision for interest rate hedging products redress)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(1,041)</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(312)</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(1,505)</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interest rate hedging products redress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(850)</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(850)</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10 </w:t>
            </w:r>
          </w:p>
        </w:tc>
      </w:tr>
      <w:tr w:rsidR="008223EE" w:rsidRPr="008223EE" w:rsidTr="008223EE">
        <w:trPr>
          <w:trHeight w:val="240"/>
        </w:trPr>
        <w:tc>
          <w:tcPr>
            <w:tcW w:w="59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Profit/(loss) before tax </w:t>
            </w:r>
          </w:p>
        </w:tc>
        <w:tc>
          <w:tcPr>
            <w:tcW w:w="8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60 </w:t>
            </w:r>
          </w:p>
        </w:tc>
        <w:tc>
          <w:tcPr>
            <w:tcW w:w="8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(381)</w:t>
            </w:r>
          </w:p>
        </w:tc>
        <w:tc>
          <w:tcPr>
            <w:tcW w:w="8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22 </w:t>
            </w:r>
          </w:p>
        </w:tc>
        <w:tc>
          <w:tcPr>
            <w:tcW w:w="8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(299)</w:t>
            </w:r>
          </w:p>
        </w:tc>
      </w:tr>
      <w:tr w:rsidR="008223EE" w:rsidRPr="008223EE" w:rsidTr="008223EE">
        <w:trPr>
          <w:trHeight w:val="240"/>
        </w:trPr>
        <w:tc>
          <w:tcPr>
            <w:tcW w:w="59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9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profit/(loss) before tax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910 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(381)</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551 </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9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Balance Sheet Information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at amortised cost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£51.5bn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£62.9bn</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at fair value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£17.6bn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£17.6bn</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deposits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£79.0bn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£97.1bn</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£49.9bn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£10.5bn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£68.0bn</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9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Year Ended 31 December 2011</w:t>
            </w:r>
            <w:r w:rsidRPr="008223EE">
              <w:rPr>
                <w:rFonts w:ascii="Arial" w:eastAsia="Times New Roman" w:hAnsi="Arial" w:cs="Arial"/>
                <w:color w:val="000000"/>
                <w:sz w:val="16"/>
                <w:szCs w:val="16"/>
                <w:vertAlign w:val="superscript"/>
              </w:rPr>
              <w:t xml:space="preserv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9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Income Statement Information</w:t>
            </w:r>
            <w:r w:rsidRPr="008223EE">
              <w:rPr>
                <w:rFonts w:ascii="Arial" w:eastAsia="Times New Roman" w:hAnsi="Arial" w:cs="Arial"/>
                <w:color w:val="000000"/>
                <w:sz w:val="16"/>
                <w:szCs w:val="16"/>
                <w:vertAlign w:val="superscript"/>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9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Income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2,199 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440 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469 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3,108 </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(355)</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(716)</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(1,147)</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(excluding goodwill impairment)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(1,099)</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(248)</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(412)</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(1,759)</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impairment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w:t>
            </w:r>
          </w:p>
        </w:tc>
      </w:tr>
      <w:tr w:rsidR="008223EE" w:rsidRPr="008223EE" w:rsidTr="008223EE">
        <w:trPr>
          <w:trHeight w:val="240"/>
        </w:trPr>
        <w:tc>
          <w:tcPr>
            <w:tcW w:w="59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income/(expense)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(73)</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w:t>
            </w:r>
          </w:p>
        </w:tc>
      </w:tr>
      <w:tr w:rsidR="008223EE" w:rsidRPr="008223EE" w:rsidTr="008223EE">
        <w:trPr>
          <w:trHeight w:val="240"/>
        </w:trPr>
        <w:tc>
          <w:tcPr>
            <w:tcW w:w="59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Profit/(loss) before tax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747 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(647)</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(92)</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8 </w:t>
            </w:r>
          </w:p>
        </w:tc>
      </w:tr>
      <w:tr w:rsidR="008223EE" w:rsidRPr="008223EE" w:rsidTr="008223EE">
        <w:trPr>
          <w:trHeight w:val="240"/>
        </w:trPr>
        <w:tc>
          <w:tcPr>
            <w:tcW w:w="59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 </w:t>
            </w:r>
            <w:r w:rsidRPr="008223EE">
              <w:rPr>
                <w:rFonts w:ascii="Arial" w:eastAsia="Times New Roman" w:hAnsi="Arial" w:cs="Arial"/>
                <w:b/>
                <w:bCs/>
                <w:color w:val="000000"/>
                <w:sz w:val="13"/>
                <w:szCs w:val="13"/>
                <w:vertAlign w:val="superscript"/>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9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profit/(loss) before tax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747 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(524)</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204 </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9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Balance Sheet Information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at amortised cost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£50.6bn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£11.2bn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£66.9bn</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at fair value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£17.2bn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£17.2bn</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deposits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£69.9bn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£85.2bn</w:t>
            </w:r>
          </w:p>
        </w:tc>
      </w:tr>
      <w:tr w:rsidR="008223EE" w:rsidRPr="008223EE" w:rsidTr="008223EE">
        <w:trPr>
          <w:trHeight w:val="240"/>
        </w:trPr>
        <w:tc>
          <w:tcPr>
            <w:tcW w:w="59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£49.9bn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£15.4bn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£7.5bn</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£72.8bn</w:t>
            </w:r>
          </w:p>
        </w:tc>
      </w:tr>
    </w:tbl>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p w:rsidR="008223EE" w:rsidRPr="008223EE" w:rsidRDefault="008223EE" w:rsidP="008223EE">
      <w:pPr>
        <w:spacing w:before="120" w:after="0" w:line="240" w:lineRule="auto"/>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Corporate Banking</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turnaround in Corporate Banking profitability continued with the exit of non-core businesses internationally</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Improved credit performance across all regions due to management actions taken in 2010 and 2011 to refocus the international business, particularly in Continental Europe</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Total UK loans and advances to customers up £0.9bn driven by solid growth in net new UK lending. Attracted an additional £11.9bn of global deposits with strong growth in the UK and Europe </w:t>
      </w:r>
    </w:p>
    <w:p w:rsidR="008223EE" w:rsidRPr="008223EE" w:rsidRDefault="008223EE" w:rsidP="008223EE">
      <w:pPr>
        <w:spacing w:before="120" w:after="120" w:line="240" w:lineRule="auto"/>
        <w:jc w:val="both"/>
        <w:rPr>
          <w:rFonts w:ascii="Arial" w:eastAsia="Times New Roman" w:hAnsi="Arial" w:cs="Arial"/>
          <w:b/>
          <w:bCs/>
          <w:sz w:val="18"/>
          <w:szCs w:val="18"/>
        </w:rPr>
      </w:pPr>
      <w:r w:rsidRPr="008223EE">
        <w:rPr>
          <w:rFonts w:ascii="Arial" w:eastAsia="Times New Roman" w:hAnsi="Arial" w:cs="Arial"/>
          <w:b/>
          <w:bCs/>
          <w:sz w:val="20"/>
          <w:szCs w:val="20"/>
        </w:rPr>
        <w:t>2012 compared to 2011</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profit before tax improved £347m to £551mincluding a gain of £71m (2011: loss of £111m) in the net valuation of fair value items, primarily driven by improved credit impairment in Europe and UK and lower</w:t>
      </w:r>
      <w:r w:rsidR="003F7632">
        <w:rPr>
          <w:rFonts w:ascii="Arial" w:eastAsia="Times New Roman" w:hAnsi="Arial" w:cs="Arial"/>
          <w:sz w:val="18"/>
          <w:szCs w:val="18"/>
        </w:rPr>
        <w:t xml:space="preserve"> </w:t>
      </w:r>
      <w:r w:rsidRPr="008223EE">
        <w:rPr>
          <w:rFonts w:ascii="Arial" w:eastAsia="Times New Roman" w:hAnsi="Arial" w:cs="Arial"/>
          <w:sz w:val="18"/>
          <w:szCs w:val="18"/>
        </w:rPr>
        <w:t xml:space="preserve">operating expenses. Statutory loss before tax was £299m (2011: profit £8m) including a £850m provision for interest rate hedging products redress </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UK adjusted profit before tax improved 22% to £910m reflecting a £182m improvement in the net valuation of fair value items, improved operating expenses and credit impairment. UK statutory profit before tax decreased £687m to £60m including a £850m provision for interest rate hedging products redress </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Europe loss before tax improved £266m to £381m principally due to improved credit impairment charges in Spain of £337m (2011: £480m) and improved operating expenses benefitting from progress in restructuring, partially offset by reduced income from exited businesses</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Rest of the World adjusted profit before tax improved £41m to £22m reflecting lower operating expenses as a result of refocusing of our international business. Rest of the World statutory profit before tax improved £114m to £22m reflecting the non-recurrence of prior year loss on disposal of Barclays Bank Russia</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Net interest income decreased 13% to £1,870m reflecting non-recurring gains on the disposal of hedging instruments, reduced income from exited businesses and increased funding costs</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Net interest margin down 22bps to 124bps principally due to higher funding costs and non-recurring gains from the sale of hedging instruments</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Customer asset margin decreased 32bps to 114bps reflecting higher funding costs and reduced balances due to the refocusing of our international business</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Customer liability margin increased 15bps to 109bps principally due to higher balances in the UK driven by currency deposits and current accounts, and reflecting an increase in funding rates and therefore the value generated from customer liabilities</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Credit impairment charges reduced 24% to £872m. Loan loss rate improved to 128bps (2011: 156bps)</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Impairment charges in Europe reduced by £174m to £542m, primarily as a result of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action to reduce exposure within the property and construction sector in Spain</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operating expenses improved 14% to £1,505m, reflecting the benefits of prior year restructuring and cost control initiatives. Adjusted cost to income ratio improved to 52% (2011: 57%)</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return on average equity improved to 5.5% (2011: 1.7%). Statutory return on average equity is negative 3.7% (2011: negative 1.0%)</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proofErr w:type="gramStart"/>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assets in UK up by £0.6bn driven by solid growth in net UK lending.</w:t>
      </w:r>
      <w:proofErr w:type="gramEnd"/>
      <w:r w:rsidRPr="008223EE">
        <w:rPr>
          <w:rFonts w:ascii="Arial" w:eastAsia="Times New Roman" w:hAnsi="Arial" w:cs="Arial"/>
          <w:sz w:val="18"/>
          <w:szCs w:val="18"/>
        </w:rPr>
        <w:t xml:space="preserve"> Total assets down £4.9bn to £86.3bn as increases in the UK are more than offset by reductions in Europe and Rest of the World due to the refocusing of our international business </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Customer deposits increased 14% to £97.1bn with increased balances in the UK and Europe due to higher currency deposits and current accounts</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Risk weighted assets decreased 7% to £68.0bn, principally reflecting the benefit of the refocusing of our international business, partially offset by an increased operational risk charge</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p w:rsidR="008223EE" w:rsidRPr="008223EE" w:rsidRDefault="008223EE" w:rsidP="008223EE">
      <w:pPr>
        <w:spacing w:before="120" w:after="120" w:line="240" w:lineRule="auto"/>
        <w:jc w:val="both"/>
        <w:rPr>
          <w:rFonts w:ascii="Arial" w:eastAsia="Times New Roman" w:hAnsi="Arial" w:cs="Arial"/>
          <w:b/>
          <w:bCs/>
          <w:sz w:val="18"/>
          <w:szCs w:val="18"/>
        </w:rPr>
      </w:pPr>
      <w:r w:rsidRPr="008223EE">
        <w:rPr>
          <w:rFonts w:ascii="Arial" w:eastAsia="Times New Roman" w:hAnsi="Arial" w:cs="Arial"/>
          <w:b/>
          <w:bCs/>
          <w:sz w:val="20"/>
          <w:szCs w:val="20"/>
        </w:rPr>
        <w:t>Q4 12 compared to Q3 12</w:t>
      </w:r>
    </w:p>
    <w:p w:rsidR="008223EE" w:rsidRPr="008223EE" w:rsidRDefault="008223EE" w:rsidP="003F7632">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Q4 12 adjusted profit before tax increased 9% to £107m including a gain of £10m (Q3 12: loss of £6m) in the net valuation of fair value items</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Income increased 5% to £713m driven by growth in UK deposits, supported by consistent performance in the European and Rest of the World businesses</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Impairment increased 13% primarily due to Rest of the World increases including charges for the Indian retail portfolio,</w:t>
      </w:r>
      <w:r w:rsidR="003F7632">
        <w:rPr>
          <w:rFonts w:ascii="Arial" w:eastAsia="Times New Roman" w:hAnsi="Arial" w:cs="Arial"/>
          <w:sz w:val="18"/>
          <w:szCs w:val="18"/>
        </w:rPr>
        <w:t xml:space="preserve"> </w:t>
      </w:r>
      <w:r w:rsidRPr="008223EE">
        <w:rPr>
          <w:rFonts w:ascii="Arial" w:eastAsia="Times New Roman" w:hAnsi="Arial" w:cs="Arial"/>
          <w:sz w:val="18"/>
          <w:szCs w:val="18"/>
        </w:rPr>
        <w:t>partially offset by reductions in Europe</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Adjusted operating expenses in line with previous quarter </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Statutory loss before tax was £293m (Q3 12: profit £98m) after charging a £400m (Q3 12: £nil) additional provision for interest rate hedging products redress</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Loans and advances to customers increased 1% to £62.9bn driven by net UK lending. Customer deposits increased 6% to £97.1bn primarily driven by growth in the UK</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tbl>
      <w:tblPr>
        <w:tblW w:w="0" w:type="auto"/>
        <w:tblInd w:w="-36" w:type="dxa"/>
        <w:tblCellMar>
          <w:left w:w="0" w:type="dxa"/>
          <w:right w:w="0" w:type="dxa"/>
        </w:tblCellMar>
        <w:tblLook w:val="04A0" w:firstRow="1" w:lastRow="0" w:firstColumn="1" w:lastColumn="0" w:noHBand="0" w:noVBand="1"/>
      </w:tblPr>
      <w:tblGrid>
        <w:gridCol w:w="5192"/>
        <w:gridCol w:w="923"/>
        <w:gridCol w:w="1032"/>
        <w:gridCol w:w="961"/>
        <w:gridCol w:w="1026"/>
      </w:tblGrid>
      <w:tr w:rsidR="008223EE" w:rsidRPr="008223EE" w:rsidTr="008223EE">
        <w:trPr>
          <w:trHeight w:val="315"/>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xml:space="preserve">Wealth and Investment Management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4"/>
                <w:szCs w:val="24"/>
              </w:rPr>
              <w:t> </w:t>
            </w:r>
            <w:r w:rsidRPr="008223EE">
              <w:rPr>
                <w:rFonts w:ascii="Arial" w:eastAsia="Times New Roman" w:hAnsi="Arial" w:cs="Arial"/>
                <w:color w:val="000000"/>
                <w:sz w:val="19"/>
                <w:szCs w:val="19"/>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7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Income Statement Information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31.12.12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interest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853 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798 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fee and commission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946 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943 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trading income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1,815 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1,744 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(38)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1,777 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1,703 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(1,463)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(1,493)</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before tax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315 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52 </w:t>
            </w: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profit before tax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315 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Balance Sheet Information and 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£21.2bn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£18.8bn</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Customer deposits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£53.8bn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£46.5bn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£23.7bn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£20.9bn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£15.8bn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£13.1bn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Client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£186.0bn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£164.2bn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employees (full time equivalent)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7,900 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p>
        </w:tc>
        <w:tc>
          <w:tcPr>
            <w:tcW w:w="202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110"/>
        <w:gridCol w:w="954"/>
        <w:gridCol w:w="954"/>
        <w:gridCol w:w="1162"/>
        <w:gridCol w:w="954"/>
      </w:tblGrid>
      <w:tr w:rsidR="008223EE" w:rsidRPr="008223EE" w:rsidTr="008223EE">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Performance Measures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31.12.11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13.9%</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13.9%</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Return on average 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Cost: income ratio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 loss rate (bps)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21 </w:t>
            </w:r>
          </w:p>
        </w:tc>
      </w:tr>
      <w:tr w:rsidR="008223EE" w:rsidRPr="008223EE" w:rsidTr="008223EE">
        <w:trPr>
          <w:trHeight w:val="240"/>
        </w:trPr>
        <w:tc>
          <w:tcPr>
            <w:tcW w:w="54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420"/>
        </w:trPr>
        <w:tc>
          <w:tcPr>
            <w:tcW w:w="856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i/>
                <w:i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i/>
                <w:iCs/>
                <w:sz w:val="2"/>
                <w:szCs w:val="2"/>
              </w:rPr>
            </w:pPr>
          </w:p>
        </w:tc>
      </w:tr>
    </w:tbl>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p w:rsidR="008223EE" w:rsidRPr="008223EE" w:rsidRDefault="008223EE" w:rsidP="008223EE">
      <w:pPr>
        <w:spacing w:after="12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Wealth and Investment Management</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2012 marked the third year of execution of Wealth and Investment Management's five year strategic investment programme to transform the business into a top tier global wealth manager</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Continued build out of world class infrastructure and significant strengthening of product and service capabilities</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Strong growth in client assets as we continue to build our client proposition  </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Arial" w:eastAsia="Times New Roman" w:hAnsi="Arial" w:cs="Arial"/>
          <w:b/>
          <w:bCs/>
          <w:sz w:val="20"/>
          <w:szCs w:val="20"/>
        </w:rPr>
        <w:t>2012 compared to 2011</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Income improved 4% to £1,815m primarily driven by an increase in the High Net Worth businesses</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Net interest income grew 7% to £853m reflecting growth in deposit and lending balances in the High Net Worth businesses. Net interest margin decreased 7bps to 122bps due to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low interest rate environment and reduced contribution from structural hedges</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Customer deposits increased 16% to £53.8bn </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Loans and advances to customers increased 13% to £21.2bn </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Net fees and commissions income remained broadly in line at £946m (</w:t>
      </w:r>
      <w:proofErr w:type="gramStart"/>
      <w:r w:rsidRPr="008223EE">
        <w:rPr>
          <w:rFonts w:ascii="Arial" w:eastAsia="Times New Roman" w:hAnsi="Arial" w:cs="Arial"/>
          <w:sz w:val="18"/>
          <w:szCs w:val="18"/>
        </w:rPr>
        <w:t>2011 :</w:t>
      </w:r>
      <w:proofErr w:type="gramEnd"/>
      <w:r w:rsidRPr="008223EE">
        <w:rPr>
          <w:rFonts w:ascii="Arial" w:eastAsia="Times New Roman" w:hAnsi="Arial" w:cs="Arial"/>
          <w:sz w:val="18"/>
          <w:szCs w:val="18"/>
        </w:rPr>
        <w:t xml:space="preserve"> £943m) despite challenging market conditions</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Operating expenses decreased 2% to £1,463m as cost control initiatives were partially offset by the continued cost of the strategic investment programme </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Profit before tax increased 52% to £315m and return on average equity increased to 13.9% (2011: 10.9%) </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Client assets increased 13% to £186.0bn (2011: £164.2bn) principally reflecting increase in net new assets in High Net Worth businesses</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Risk weighted assets increased 21% to £15.8bn principally due to growth in lending and an increased operational risk charge</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Arial" w:eastAsia="Times New Roman" w:hAnsi="Arial" w:cs="Arial"/>
          <w:b/>
          <w:bCs/>
          <w:sz w:val="20"/>
          <w:szCs w:val="20"/>
        </w:rPr>
        <w:t>Q4 12 compared to Q3 12</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Profit before tax increased 46% to £115m</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Income increased 9% to £481m primarily driven by strong growth in the High Net Worth businesses and increased client activity during Q4</w:t>
      </w:r>
    </w:p>
    <w:p w:rsidR="008223EE" w:rsidRPr="008223EE" w:rsidRDefault="008223EE" w:rsidP="003F7632">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Costs remained stable at £354m (Q3 12: £358m)</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Client assets increased 5% to £186.0bn (Q3 12: £177.6bn) principally reflecting increased client assets within the High Net Worth businesses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Results by Business</w:t>
      </w:r>
    </w:p>
    <w:tbl>
      <w:tblPr>
        <w:tblW w:w="0" w:type="auto"/>
        <w:tblInd w:w="-36" w:type="dxa"/>
        <w:tblCellMar>
          <w:left w:w="0" w:type="dxa"/>
          <w:right w:w="0" w:type="dxa"/>
        </w:tblCellMar>
        <w:tblLook w:val="04A0" w:firstRow="1" w:lastRow="0" w:firstColumn="1" w:lastColumn="0" w:noHBand="0" w:noVBand="1"/>
      </w:tblPr>
      <w:tblGrid>
        <w:gridCol w:w="6150"/>
        <w:gridCol w:w="959"/>
        <w:gridCol w:w="1101"/>
        <w:gridCol w:w="924"/>
      </w:tblGrid>
      <w:tr w:rsidR="008223EE" w:rsidRPr="008223EE" w:rsidTr="008223EE">
        <w:trPr>
          <w:trHeight w:val="315"/>
        </w:trPr>
        <w:tc>
          <w:tcPr>
            <w:tcW w:w="8535" w:type="dxa"/>
            <w:gridSpan w:val="3"/>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Head Office and Other Operations</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70"/>
        </w:trPr>
        <w:tc>
          <w:tcPr>
            <w:tcW w:w="64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Income Statement Information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Adjusted total expense net of insurance claims</w:t>
            </w:r>
            <w:r w:rsidRPr="008223EE">
              <w:rPr>
                <w:rFonts w:ascii="Arial" w:eastAsia="Times New Roman" w:hAnsi="Arial" w:cs="Arial"/>
                <w:color w:val="000000"/>
                <w:sz w:val="13"/>
                <w:szCs w:val="13"/>
                <w:vertAlign w:val="superscript"/>
              </w:rPr>
              <w:t>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(223)</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Own credit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(4,579)</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2,708 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Gains on debt buy-backs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Gain/(loss) on disposal of investment in BlackRock, Inc.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(expense)/income net of insurance claims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(4,427)</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3,557 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(charges)/release and other provisions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Impairment of investment in BlackRock, Inc.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(1,800)</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(expense)/income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(4,431)</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1,758 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(excluding bank levy)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(686)</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(463)</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bank levy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(345)</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(325)</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Operating expenses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(1,031)</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(788)</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(Loss)/profit before tax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(5,440)</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947 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Adjusted loss before tax</w:t>
            </w:r>
            <w:r w:rsidRPr="008223EE">
              <w:rPr>
                <w:rFonts w:ascii="Arial" w:eastAsia="Times New Roman" w:hAnsi="Arial" w:cs="Arial"/>
                <w:b/>
                <w:bCs/>
                <w:color w:val="000000"/>
                <w:sz w:val="13"/>
                <w:szCs w:val="13"/>
                <w:vertAlign w:val="superscript"/>
              </w:rPr>
              <w:t>2 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(1,088)</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(1,010)</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4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Balance Sheet Information and 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assets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£39.4bn</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£31.9bn</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Risk weighted assets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£2.5bn</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4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employees (full time equivalent)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14" w:lineRule="atLeast"/>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3F7632">
      <w:pPr>
        <w:spacing w:before="120" w:after="120" w:line="240" w:lineRule="auto"/>
        <w:ind w:left="284" w:hanging="284"/>
        <w:jc w:val="both"/>
        <w:rPr>
          <w:rFonts w:ascii="Arial" w:eastAsia="Times New Roman" w:hAnsi="Arial" w:cs="Arial"/>
          <w:b/>
          <w:bCs/>
          <w:sz w:val="18"/>
          <w:szCs w:val="18"/>
        </w:rPr>
      </w:pPr>
      <w:r w:rsidRPr="008223EE">
        <w:rPr>
          <w:rFonts w:ascii="Arial" w:eastAsia="Times New Roman" w:hAnsi="Arial" w:cs="Arial"/>
          <w:b/>
          <w:bCs/>
          <w:sz w:val="20"/>
          <w:szCs w:val="20"/>
        </w:rPr>
        <w:t>2012 compared to 2011</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total expense net of insurance claims reduced to £75m (2011: £223m) principally due to changes in the value of hedges relating to employee share awards which were closed out during Q1 12</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Operating expenses increased 31% to £1,031m mainly from higher regulatory costs, including a charge relating to the allocation to Head Office and Other Operations of the penalty of £97m (2011: £nil) arising from the industry wide investigation into the setting of interbank offered rates, Financial Services Compensation Scheme of £135m (2011: £45m), the increase in the UK bank levy to £345m (2011: £325m) and increased strategic initiative costs</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loss before tax increased by 8% to £1,088m</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Statutory loss before tax increased to £5,440m (2011: profit £947m) including an own credit charge of £4,579m (2011: £2,708m gain) and non-recurrence of gains on debt buy-backs, partially offset by the impact of BlackRock, Inc. investment disposal and income from changes in the value of hedges relating to employee share awards that were closed out during Q1 12</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assets increased to £39.4bn (31 December 2011: £31.9bn) reflecting growth in the liquidity bond portfolio held at Head Office and Other Operations, partially offset by the sale of the strategic investment in BlackRock, Inc.</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Risk weighted assets have increased £3.2bn to £5.7bn, principally reflecting increases in sovereign bonds held for liquidity purposes and a change in approach to loss given default on sovereign exposures</w:t>
      </w:r>
    </w:p>
    <w:p w:rsidR="008223EE" w:rsidRPr="008223EE" w:rsidRDefault="008223EE" w:rsidP="003F7632">
      <w:pPr>
        <w:spacing w:before="120" w:after="120" w:line="240" w:lineRule="auto"/>
        <w:ind w:left="284" w:hanging="284"/>
        <w:jc w:val="both"/>
        <w:rPr>
          <w:rFonts w:ascii="Arial" w:eastAsia="Times New Roman" w:hAnsi="Arial" w:cs="Arial"/>
          <w:b/>
          <w:bCs/>
          <w:sz w:val="18"/>
          <w:szCs w:val="18"/>
        </w:rPr>
      </w:pPr>
      <w:r w:rsidRPr="008223EE">
        <w:rPr>
          <w:rFonts w:ascii="Arial" w:eastAsia="Times New Roman" w:hAnsi="Arial" w:cs="Arial"/>
          <w:b/>
          <w:bCs/>
          <w:sz w:val="20"/>
          <w:szCs w:val="20"/>
        </w:rPr>
        <w:t> Q4 12 compared to Q3 12</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loss before tax increased £537m to £718m principally due to the UK bank levy that is charged in Q4</w:t>
      </w:r>
    </w:p>
    <w:p w:rsidR="008223EE" w:rsidRPr="008223EE" w:rsidRDefault="008223EE" w:rsidP="003F7632">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Statutory loss before tax increased by 2% to £1,278m reflecting the impact of the UK bank levy that is charged in Q4, partially offset by increased total expense net of insurance claims</w:t>
      </w:r>
    </w:p>
    <w:p w:rsidR="008223EE" w:rsidRPr="008223EE" w:rsidRDefault="008223EE" w:rsidP="003F7632">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2"/>
          <w:szCs w:val="2"/>
        </w:rPr>
        <w:t> </w:t>
      </w:r>
    </w:p>
    <w:p w:rsidR="008223EE" w:rsidRPr="008223EE" w:rsidRDefault="008223EE" w:rsidP="003F7632">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2"/>
          <w:szCs w:val="2"/>
        </w:rPr>
        <w:t> </w:t>
      </w:r>
    </w:p>
    <w:p w:rsidR="008223EE" w:rsidRPr="008223EE" w:rsidRDefault="008223EE" w:rsidP="003F7632">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2"/>
          <w:szCs w:val="2"/>
        </w:rPr>
        <w:t>  </w:t>
      </w:r>
    </w:p>
    <w:p w:rsidR="008223EE" w:rsidRPr="008223EE" w:rsidRDefault="008223EE" w:rsidP="003F7632">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2"/>
          <w:szCs w:val="2"/>
        </w:rPr>
        <w:t> </w:t>
      </w:r>
    </w:p>
    <w:p w:rsidR="008223EE" w:rsidRPr="008223EE" w:rsidRDefault="008223EE" w:rsidP="003F7632">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2"/>
          <w:szCs w:val="2"/>
        </w:rPr>
        <w:t> </w:t>
      </w:r>
    </w:p>
    <w:p w:rsidR="008223EE" w:rsidRPr="008223EE" w:rsidRDefault="008223EE" w:rsidP="003F7632">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14"/>
          <w:szCs w:val="14"/>
        </w:rPr>
        <w:t>1        Includes net interest expense of £134m (2011: £965m).</w:t>
      </w:r>
    </w:p>
    <w:p w:rsidR="008223EE" w:rsidRPr="008223EE" w:rsidRDefault="008223EE" w:rsidP="003F7632">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14"/>
          <w:szCs w:val="14"/>
        </w:rPr>
        <w:t>2       Adjusted performance measures and profit before tax exclude the impact of an own credit charge of £4,579m (2011: gain of £2,708m), gains on debt buy-backs (retirement of non-qualifying Tier 1 Capital under Basel 3) of £nil (2011: £1,130m), gain on disposal of strategic investment in BlackRock, Inc. of £227m (2011: loss of £58m), impairment of investment in BlackRock Inc. of £nil (2011: £1,800m) and loss on disposals of £nil (2011: £23m).</w:t>
      </w:r>
    </w:p>
    <w:p w:rsidR="008223EE" w:rsidRPr="008223EE" w:rsidRDefault="008223EE" w:rsidP="003F7632">
      <w:pPr>
        <w:spacing w:after="0" w:line="240" w:lineRule="auto"/>
        <w:ind w:left="284" w:hanging="284"/>
        <w:rPr>
          <w:rFonts w:ascii="Arial" w:eastAsia="Times New Roman" w:hAnsi="Arial" w:cs="Arial"/>
          <w:b/>
          <w:bCs/>
          <w:i/>
          <w:iCs/>
          <w:sz w:val="2"/>
          <w:szCs w:val="2"/>
        </w:rPr>
      </w:pPr>
      <w:r w:rsidRPr="008223EE">
        <w:rPr>
          <w:rFonts w:ascii="Arial" w:eastAsia="Times New Roman" w:hAnsi="Arial" w:cs="Arial"/>
          <w:b/>
          <w:bCs/>
          <w:i/>
          <w:iCs/>
          <w:sz w:val="14"/>
          <w:szCs w:val="1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r>
      <w:r w:rsidRPr="008223EE">
        <w:rPr>
          <w:rFonts w:ascii="Arial" w:eastAsia="Times New Roman" w:hAnsi="Arial" w:cs="Arial"/>
          <w:b/>
          <w:bCs/>
          <w:color w:val="000000"/>
          <w:sz w:val="24"/>
          <w:szCs w:val="24"/>
        </w:rPr>
        <w:br/>
        <w:t>Business Results by Quarter</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8223EE" w:rsidRPr="008223EE" w:rsidTr="008223EE">
        <w:trPr>
          <w:trHeight w:val="240"/>
        </w:trPr>
        <w:tc>
          <w:tcPr>
            <w:tcW w:w="4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UK RBB</w:t>
            </w:r>
            <w:r w:rsidRPr="008223EE">
              <w:rPr>
                <w:rFonts w:ascii="Arial" w:eastAsia="Times New Roman" w:hAnsi="Arial" w:cs="Arial"/>
                <w:color w:val="000000"/>
                <w:sz w:val="20"/>
                <w:szCs w:val="20"/>
                <w:vertAlign w:val="superscript"/>
              </w:rPr>
              <w:t xml:space="preserve"> </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Q412</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Q312</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Q212</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Q112</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Q411</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Q311</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Q211</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Q111</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basis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1,086 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1,130 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1,128 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1,077 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1,129 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1,273 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1,170 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1,084 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(105)</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(144)</w:t>
            </w:r>
          </w:p>
        </w:tc>
      </w:tr>
      <w:tr w:rsidR="008223EE" w:rsidRPr="008223EE" w:rsidTr="008223EE">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1,015 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1,054 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1,082 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1,001 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973 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1,168 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1,039 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940 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(693)</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(654)</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(671)</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(666)</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(752)</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(675)</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(622)</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(653)</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Other net income/(expense)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profit before tax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326 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400 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334 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494 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416 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288 </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  </w:t>
            </w:r>
            <w:r w:rsidRPr="008223EE">
              <w:rPr>
                <w:rFonts w:ascii="Arial" w:eastAsia="Times New Roman" w:hAnsi="Arial" w:cs="Arial"/>
                <w:color w:val="000000"/>
                <w:sz w:val="16"/>
                <w:szCs w:val="16"/>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Adjusting items </w:t>
            </w:r>
            <w:r w:rsidRPr="008223EE">
              <w:rPr>
                <w:rFonts w:ascii="Arial" w:eastAsia="Times New Roman" w:hAnsi="Arial" w:cs="Arial"/>
                <w:color w:val="000000"/>
                <w:sz w:val="16"/>
                <w:szCs w:val="16"/>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PPI redress </w:t>
            </w:r>
            <w:r w:rsidRPr="008223EE">
              <w:rPr>
                <w:rFonts w:ascii="Arial" w:eastAsia="Times New Roman" w:hAnsi="Arial" w:cs="Arial"/>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(330)</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(550)</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(300)</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(400)</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Statutory (loss)/profit before tax </w:t>
            </w:r>
            <w:r w:rsidRPr="008223EE">
              <w:rPr>
                <w:rFonts w:ascii="Arial" w:eastAsia="Times New Roman" w:hAnsi="Arial" w:cs="Arial"/>
                <w:b/>
                <w:bCs/>
                <w:color w:val="000000"/>
                <w:sz w:val="13"/>
                <w:szCs w:val="13"/>
                <w:vertAlign w:val="superscript"/>
              </w:rPr>
              <w:t>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(150)</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412 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34 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222 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494 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288 </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b/>
          <w:bCs/>
          <w:i/>
          <w:iCs/>
          <w:sz w:val="2"/>
          <w:szCs w:val="2"/>
        </w:rPr>
      </w:pPr>
      <w:r w:rsidRPr="008223EE">
        <w:rPr>
          <w:rFonts w:ascii="Arial" w:eastAsia="Times New Roman" w:hAnsi="Arial" w:cs="Arial"/>
          <w:b/>
          <w:bCs/>
          <w:i/>
          <w:iCs/>
          <w:sz w:val="14"/>
          <w:szCs w:val="14"/>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Europe RBB</w:t>
            </w:r>
            <w:r w:rsidRPr="008223EE">
              <w:rPr>
                <w:rFonts w:ascii="Arial" w:eastAsia="Times New Roman" w:hAnsi="Arial" w:cs="Arial"/>
                <w:color w:val="000000"/>
                <w:sz w:val="16"/>
                <w:szCs w:val="16"/>
                <w:vertAlign w:val="superscript"/>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basis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210 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243 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243 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247 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375 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309 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295 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w:t>
            </w:r>
          </w:p>
        </w:tc>
      </w:tr>
      <w:tr w:rsidR="008223EE" w:rsidRPr="008223EE" w:rsidTr="008223EE">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Net operating income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115 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143 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171 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164 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313 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226 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(207)</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(204)</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(211)</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(217)</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(291)</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(263)</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(368)</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(289)</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(loss)/profit before tax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(88)</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(59)</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(125)</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(102)</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(59)</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  </w:t>
            </w:r>
            <w:r w:rsidRPr="008223EE">
              <w:rPr>
                <w:rFonts w:ascii="Arial" w:eastAsia="Times New Roman" w:hAnsi="Arial" w:cs="Arial"/>
                <w:color w:val="000000"/>
                <w:sz w:val="16"/>
                <w:szCs w:val="16"/>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Adjusting items </w:t>
            </w:r>
            <w:r w:rsidRPr="008223EE">
              <w:rPr>
                <w:rFonts w:ascii="Arial" w:eastAsia="Times New Roman" w:hAnsi="Arial" w:cs="Arial"/>
                <w:color w:val="000000"/>
                <w:sz w:val="16"/>
                <w:szCs w:val="16"/>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impairment </w:t>
            </w:r>
            <w:r w:rsidRPr="008223EE">
              <w:rPr>
                <w:rFonts w:ascii="Arial" w:eastAsia="Times New Roman" w:hAnsi="Arial" w:cs="Arial"/>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(427)</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r>
      <w:tr w:rsidR="008223EE" w:rsidRPr="008223EE" w:rsidTr="008223EE">
        <w:trPr>
          <w:trHeight w:val="240"/>
        </w:trPr>
        <w:tc>
          <w:tcPr>
            <w:tcW w:w="4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Statutory (loss)/profit before tax </w:t>
            </w:r>
            <w:r w:rsidRPr="008223EE">
              <w:rPr>
                <w:rFonts w:ascii="Arial" w:eastAsia="Times New Roman" w:hAnsi="Arial" w:cs="Arial"/>
                <w:color w:val="000000"/>
                <w:sz w:val="16"/>
                <w:szCs w:val="16"/>
                <w:vertAlign w:val="superscript"/>
              </w:rPr>
              <w:t>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(88)</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(59)</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(552)</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(102)</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(59)</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b/>
          <w:bCs/>
          <w:i/>
          <w:iCs/>
          <w:sz w:val="2"/>
          <w:szCs w:val="2"/>
        </w:rPr>
      </w:pPr>
      <w:r w:rsidRPr="008223EE">
        <w:rPr>
          <w:rFonts w:ascii="Arial" w:eastAsia="Times New Roman" w:hAnsi="Arial" w:cs="Arial"/>
          <w:b/>
          <w:bCs/>
          <w:i/>
          <w:iCs/>
          <w:sz w:val="14"/>
          <w:szCs w:val="14"/>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Africa RBB</w:t>
            </w:r>
            <w:r w:rsidRPr="008223EE">
              <w:rPr>
                <w:rFonts w:ascii="Arial" w:eastAsia="Times New Roman" w:hAnsi="Arial" w:cs="Arial"/>
                <w:color w:val="000000"/>
                <w:sz w:val="16"/>
                <w:szCs w:val="16"/>
                <w:vertAlign w:val="superscript"/>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basis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767 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765 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795 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830 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861 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940 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906 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864 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(88)</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(144)</w:t>
            </w:r>
          </w:p>
        </w:tc>
      </w:tr>
      <w:tr w:rsidR="008223EE" w:rsidRPr="008223EE" w:rsidTr="008223EE">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585 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581 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723 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773 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832 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780 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720 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(489)</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(531)</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(485)</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(548)</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(505)</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(613)</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(586)</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(575)</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profit before tax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56 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177 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195 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147 </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  </w:t>
            </w:r>
            <w:r w:rsidRPr="008223EE">
              <w:rPr>
                <w:rFonts w:ascii="Arial" w:eastAsia="Times New Roman" w:hAnsi="Arial" w:cs="Arial"/>
                <w:color w:val="000000"/>
                <w:sz w:val="16"/>
                <w:szCs w:val="16"/>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55"/>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Adjusting items </w:t>
            </w:r>
            <w:r w:rsidRPr="008223EE">
              <w:rPr>
                <w:rFonts w:ascii="Arial" w:eastAsia="Times New Roman" w:hAnsi="Arial" w:cs="Arial"/>
                <w:color w:val="000000"/>
                <w:sz w:val="16"/>
                <w:szCs w:val="16"/>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Gains on acquisitions and disposals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Statutory profit before tax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56 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177 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221 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195 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147 </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b/>
          <w:bCs/>
          <w:i/>
          <w:iCs/>
          <w:sz w:val="2"/>
          <w:szCs w:val="2"/>
        </w:rPr>
      </w:pPr>
      <w:r w:rsidRPr="008223EE">
        <w:rPr>
          <w:rFonts w:ascii="Arial" w:eastAsia="Times New Roman" w:hAnsi="Arial" w:cs="Arial"/>
          <w:b/>
          <w:bCs/>
          <w:i/>
          <w:iCs/>
          <w:sz w:val="14"/>
          <w:szCs w:val="14"/>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Barclaycard</w:t>
            </w:r>
            <w:r w:rsidRPr="008223EE">
              <w:rPr>
                <w:rFonts w:ascii="Arial" w:eastAsia="Times New Roman" w:hAnsi="Arial" w:cs="Arial"/>
                <w:color w:val="000000"/>
                <w:sz w:val="16"/>
                <w:szCs w:val="16"/>
                <w:vertAlign w:val="superscript"/>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basis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1,098 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1,046 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1,036 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990 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983 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1,140 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1,012 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960 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(265)</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(228)</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(232)</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(340)</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(304)</w:t>
            </w:r>
          </w:p>
        </w:tc>
      </w:tr>
      <w:tr w:rsidR="008223EE" w:rsidRPr="008223EE" w:rsidTr="008223EE">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833 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792 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808 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758 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712 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800 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668 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656 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(483)</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(402)</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(412)</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(418)</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(458)</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(430)</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(400)</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(371)</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profit before tax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356 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397 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404 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349 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275 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296 </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  </w:t>
            </w:r>
            <w:r w:rsidRPr="008223EE">
              <w:rPr>
                <w:rFonts w:ascii="Arial" w:eastAsia="Times New Roman" w:hAnsi="Arial" w:cs="Arial"/>
                <w:color w:val="000000"/>
                <w:sz w:val="16"/>
                <w:szCs w:val="16"/>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Adjusting items </w:t>
            </w:r>
            <w:r w:rsidRPr="008223EE">
              <w:rPr>
                <w:rFonts w:ascii="Arial" w:eastAsia="Times New Roman" w:hAnsi="Arial" w:cs="Arial"/>
                <w:color w:val="000000"/>
                <w:sz w:val="16"/>
                <w:szCs w:val="16"/>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PPI redress </w:t>
            </w:r>
            <w:r w:rsidRPr="008223EE">
              <w:rPr>
                <w:rFonts w:ascii="Arial" w:eastAsia="Times New Roman" w:hAnsi="Arial" w:cs="Arial"/>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(270)</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(150)</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(600)</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impairment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Statutory profit/(loss) before tax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86 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404 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349 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(372)</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296 </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Business Results by Quarter</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8223EE" w:rsidRPr="008223EE" w:rsidTr="008223EE">
        <w:trPr>
          <w:trHeight w:val="240"/>
        </w:trPr>
        <w:tc>
          <w:tcPr>
            <w:tcW w:w="4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Investment Bank </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Q412</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Q312</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Q212</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Q112</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Q411</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Q311</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Q211</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Q111</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lastRenderedPageBreak/>
              <w:t xml:space="preserve">Adjusted and statutory basis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Fixed Income, Currency and Commodities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1,458 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1,581 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1,968 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2,396 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971 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1,438 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1,715 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2,201 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Equities and Prime Services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484 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534 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423 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550 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305 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338 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563 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545 </w:t>
            </w:r>
          </w:p>
        </w:tc>
      </w:tr>
      <w:tr w:rsidR="008223EE" w:rsidRPr="008223EE" w:rsidTr="008223EE">
        <w:trPr>
          <w:trHeight w:val="225"/>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Investment Banking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626 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487 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501 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509 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506 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389 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520 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612 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Principal Investments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140 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Total income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2,593 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2,633 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3,032 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3,464 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1,818 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2,254 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2,897 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3,366 </w:t>
            </w:r>
          </w:p>
        </w:tc>
      </w:tr>
      <w:tr w:rsidR="008223EE" w:rsidRPr="008223EE" w:rsidTr="008223EE">
        <w:trPr>
          <w:trHeight w:val="48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(charges)/releases and other provisions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(248)</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Net operating income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2,479 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2,610 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2,784 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3,389 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1,728 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2,140 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2,977 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3,397 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(1,636)</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(1,680)</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(1,788)</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(2,145)</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(1,458)</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(1,758)</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(2,006)</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(2,067)</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income/(expense)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Adjusted profit before tax and profit before tax</w:t>
            </w:r>
            <w:r w:rsidRPr="008223EE">
              <w:rPr>
                <w:rFonts w:ascii="Arial" w:eastAsia="Times New Roman" w:hAnsi="Arial" w:cs="Arial"/>
                <w:color w:val="000000"/>
                <w:sz w:val="16"/>
                <w:szCs w:val="16"/>
                <w:vertAlign w:val="superscript"/>
              </w:rPr>
              <w:t xml:space="preserve">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858 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937 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1,002 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1,266 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977 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1,333 </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b/>
          <w:bCs/>
          <w:i/>
          <w:iCs/>
          <w:sz w:val="2"/>
          <w:szCs w:val="2"/>
        </w:rPr>
      </w:pPr>
      <w:r w:rsidRPr="008223EE">
        <w:rPr>
          <w:rFonts w:ascii="Arial" w:eastAsia="Times New Roman" w:hAnsi="Arial" w:cs="Arial"/>
          <w:b/>
          <w:bCs/>
          <w:i/>
          <w:iCs/>
          <w:sz w:val="14"/>
          <w:szCs w:val="14"/>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Corporate Banking</w:t>
            </w:r>
            <w:r w:rsidRPr="008223EE">
              <w:rPr>
                <w:rFonts w:ascii="Arial" w:eastAsia="Times New Roman" w:hAnsi="Arial" w:cs="Arial"/>
                <w:color w:val="000000"/>
                <w:sz w:val="16"/>
                <w:szCs w:val="16"/>
                <w:vertAlign w:val="superscript"/>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basis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713 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678 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703 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824 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710 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830 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817 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751 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(237)</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(210)</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(218)</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(207)</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(252)</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(327)</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(285)</w:t>
            </w:r>
          </w:p>
        </w:tc>
      </w:tr>
      <w:tr w:rsidR="008223EE" w:rsidRPr="008223EE" w:rsidTr="008223EE">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476 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485 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617 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458 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547 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490 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466 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(375)</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(376)</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(357)</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(397)</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(422)</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(436)</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(459)</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(442)</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income/(expense)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profit before tax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219 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113 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21 </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  </w:t>
            </w:r>
            <w:r w:rsidRPr="008223EE">
              <w:rPr>
                <w:rFonts w:ascii="Arial" w:eastAsia="Times New Roman" w:hAnsi="Arial" w:cs="Arial"/>
                <w:color w:val="000000"/>
                <w:sz w:val="16"/>
                <w:szCs w:val="16"/>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Adjusting items </w:t>
            </w:r>
            <w:r w:rsidRPr="008223EE">
              <w:rPr>
                <w:rFonts w:ascii="Arial" w:eastAsia="Times New Roman" w:hAnsi="Arial" w:cs="Arial"/>
                <w:color w:val="000000"/>
                <w:sz w:val="16"/>
                <w:szCs w:val="16"/>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impairment </w:t>
            </w:r>
            <w:r w:rsidRPr="008223EE">
              <w:rPr>
                <w:rFonts w:ascii="Arial" w:eastAsia="Times New Roman" w:hAnsi="Arial" w:cs="Arial"/>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Provision for interest rate hedging products redress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(400)</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(450)</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Losses on disposal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Statutory (loss)/profit before tax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(293)</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(323)</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219 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(95)</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113 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21 </w:t>
            </w:r>
          </w:p>
        </w:tc>
      </w:tr>
      <w:tr w:rsidR="008223EE" w:rsidRPr="008223EE" w:rsidTr="008223EE">
        <w:trPr>
          <w:trHeight w:val="120"/>
        </w:trPr>
        <w:tc>
          <w:tcPr>
            <w:tcW w:w="4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b/>
          <w:bCs/>
          <w:i/>
          <w:iCs/>
          <w:sz w:val="2"/>
          <w:szCs w:val="2"/>
        </w:rPr>
      </w:pPr>
      <w:r w:rsidRPr="008223EE">
        <w:rPr>
          <w:rFonts w:ascii="Arial" w:eastAsia="Times New Roman" w:hAnsi="Arial" w:cs="Arial"/>
          <w:b/>
          <w:bCs/>
          <w:i/>
          <w:iCs/>
          <w:sz w:val="14"/>
          <w:szCs w:val="14"/>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Wealth and Investment Management</w:t>
            </w:r>
            <w:r w:rsidRPr="008223EE">
              <w:rPr>
                <w:rFonts w:ascii="Arial" w:eastAsia="Times New Roman" w:hAnsi="Arial" w:cs="Arial"/>
                <w:color w:val="000000"/>
                <w:sz w:val="16"/>
                <w:szCs w:val="16"/>
                <w:vertAlign w:val="superscript"/>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and statutory basis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481 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442 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441 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451 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449 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447 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426 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422 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w:t>
            </w:r>
          </w:p>
        </w:tc>
      </w:tr>
      <w:tr w:rsidR="008223EE" w:rsidRPr="008223EE" w:rsidTr="008223EE">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468 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436 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444 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435 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417 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412 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(354)</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(358)</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(367)</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(384)</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(384)</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(369)</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(375)</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(365)</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income/(expense)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profit before tax and profit before tax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115 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61 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60 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54 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65 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46 </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b/>
          <w:bCs/>
          <w:i/>
          <w:iCs/>
          <w:sz w:val="2"/>
          <w:szCs w:val="2"/>
        </w:rPr>
      </w:pPr>
      <w:r w:rsidRPr="008223EE">
        <w:rPr>
          <w:rFonts w:ascii="Arial" w:eastAsia="Times New Roman" w:hAnsi="Arial" w:cs="Arial"/>
          <w:b/>
          <w:bCs/>
          <w:i/>
          <w:iCs/>
          <w:sz w:val="14"/>
          <w:szCs w:val="14"/>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Head Office and Other Operations</w:t>
            </w:r>
            <w:r w:rsidRPr="008223EE">
              <w:rPr>
                <w:rFonts w:ascii="Arial" w:eastAsia="Times New Roman" w:hAnsi="Arial" w:cs="Arial"/>
                <w:color w:val="000000"/>
                <w:sz w:val="16"/>
                <w:szCs w:val="16"/>
                <w:vertAlign w:val="superscript"/>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basis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(expense)/income net of insurance claims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(252)</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259 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(258)</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8 </w:t>
            </w:r>
          </w:p>
        </w:tc>
      </w:tr>
      <w:tr w:rsidR="008223EE" w:rsidRPr="008223EE" w:rsidTr="008223EE">
        <w:trPr>
          <w:trHeight w:val="48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releases/(charges) and other provisions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r>
      <w:tr w:rsidR="008223EE" w:rsidRPr="008223EE" w:rsidTr="008223EE">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Net operating (expense)/income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(251)</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257 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(257)</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(excluding UK bank levy)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(136)</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(251)</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(174)</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(144)</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(124)</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bank levy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(345)</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(325)</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net income/(expense)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Adjusted (loss)/profit before tax </w:t>
            </w:r>
            <w:r w:rsidRPr="008223EE">
              <w:rPr>
                <w:rFonts w:ascii="Arial" w:eastAsia="Times New Roman" w:hAnsi="Arial" w:cs="Arial"/>
                <w:color w:val="000000"/>
                <w:sz w:val="16"/>
                <w:szCs w:val="16"/>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(718)</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(181)</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(272)</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83 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(455)</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(372)</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(115)</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(68)</w:t>
            </w:r>
          </w:p>
        </w:tc>
      </w:tr>
      <w:tr w:rsidR="008223EE" w:rsidRPr="008223EE" w:rsidTr="008223EE">
        <w:trPr>
          <w:trHeight w:val="12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  </w:t>
            </w:r>
            <w:r w:rsidRPr="008223EE">
              <w:rPr>
                <w:rFonts w:ascii="Arial" w:eastAsia="Times New Roman" w:hAnsi="Arial" w:cs="Arial"/>
                <w:color w:val="000000"/>
                <w:sz w:val="16"/>
                <w:szCs w:val="16"/>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Adjusting items </w:t>
            </w:r>
            <w:r w:rsidRPr="008223EE">
              <w:rPr>
                <w:rFonts w:ascii="Arial" w:eastAsia="Times New Roman" w:hAnsi="Arial" w:cs="Arial"/>
                <w:color w:val="000000"/>
                <w:sz w:val="16"/>
                <w:szCs w:val="16"/>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Own credit </w:t>
            </w:r>
            <w:r w:rsidRPr="008223EE">
              <w:rPr>
                <w:rFonts w:ascii="Arial" w:eastAsia="Times New Roman" w:hAnsi="Arial" w:cs="Arial"/>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(560)</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(1,074)</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(325)</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(2,620)</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(263)</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2,882 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440 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(351)</w:t>
            </w:r>
          </w:p>
        </w:tc>
      </w:tr>
      <w:tr w:rsidR="008223EE" w:rsidRPr="008223EE" w:rsidTr="008223EE">
        <w:trPr>
          <w:trHeight w:val="48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Gain/(loss) on disposal and Impairment of BlackRock investment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227 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(1,800)</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Gains on debt buy-backs </w:t>
            </w:r>
            <w:r w:rsidRPr="008223EE">
              <w:rPr>
                <w:rFonts w:ascii="Arial" w:eastAsia="Times New Roman" w:hAnsi="Arial" w:cs="Arial"/>
                <w:color w:val="000000"/>
                <w:sz w:val="13"/>
                <w:szCs w:val="13"/>
                <w:vertAlign w:val="superscript"/>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1,130 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(Losses)/gains on acquisitions and disposals </w:t>
            </w:r>
            <w:r w:rsidRPr="008223EE">
              <w:rPr>
                <w:rFonts w:ascii="Arial" w:eastAsia="Times New Roman" w:hAnsi="Arial" w:cs="Arial"/>
                <w:color w:val="000000"/>
                <w:sz w:val="13"/>
                <w:szCs w:val="13"/>
                <w:vertAlign w:val="superscript"/>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r>
      <w:tr w:rsidR="008223EE" w:rsidRPr="008223EE" w:rsidTr="008223EE">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Statutory (loss)/profit before tax </w:t>
            </w:r>
            <w:r w:rsidRPr="008223EE">
              <w:rPr>
                <w:rFonts w:ascii="Arial" w:eastAsia="Times New Roman" w:hAnsi="Arial" w:cs="Arial"/>
                <w:b/>
                <w:bCs/>
                <w:color w:val="000000"/>
                <w:sz w:val="13"/>
                <w:szCs w:val="13"/>
                <w:vertAlign w:val="superscript"/>
              </w:rPr>
              <w:t>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(1,278)</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(1,255)</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(370)</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(2,537)</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389 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711 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264 </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(417)</w:t>
            </w:r>
          </w:p>
        </w:tc>
      </w:tr>
    </w:tbl>
    <w:p w:rsidR="008223EE" w:rsidRPr="008223EE" w:rsidRDefault="008223EE" w:rsidP="008223EE">
      <w:pPr>
        <w:spacing w:after="0" w:line="240" w:lineRule="auto"/>
        <w:rPr>
          <w:rFonts w:ascii="Arial" w:eastAsia="Times New Roman" w:hAnsi="Arial" w:cs="Arial"/>
          <w:b/>
          <w:bCs/>
          <w:i/>
          <w:iCs/>
          <w:sz w:val="2"/>
          <w:szCs w:val="2"/>
        </w:rPr>
      </w:pPr>
      <w:r w:rsidRPr="008223EE">
        <w:rPr>
          <w:rFonts w:ascii="Arial" w:eastAsia="Times New Roman" w:hAnsi="Arial" w:cs="Arial"/>
          <w:b/>
          <w:bCs/>
          <w:i/>
          <w:iCs/>
          <w:sz w:val="14"/>
          <w:szCs w:val="1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Performance Management</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Remuneration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We recognise the importance our stakeholders attach to the judgements that we apply in managing remuneration. Reduced remuneration costs, increasingly robust risk-adjustments and tougher performance conditions will continue to be a focus in how we achieve the right balance between the priorities of our various stakeholders. This requires remuneration to be managed in a way which incentivises employees, ensures pay is linked to performance and is appropriately aligned to risk.</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We will continue to maintain a constructive and transparent dialogue with our shareholders and regulators on remuneration matters, as undertaken during 2012.</w:t>
      </w:r>
    </w:p>
    <w:p w:rsidR="008223EE" w:rsidRPr="008223EE" w:rsidRDefault="008223EE" w:rsidP="008223EE">
      <w:pPr>
        <w:spacing w:before="180" w:after="18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 xml:space="preserve">Incentive awards </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Group incentive awards have been reduced by 16% since 2011, with adjusted Group profit before tax increasing 26%</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Incentive awards at the Investment Bank have been reduced by 20% since 2011, with adjusted profit before tax increasing 37%</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Group incentives have reduced by £1.3bn (38%) since 2010 with adjusted profit before tax up 23% since 2010. In the Investment Bank incentives have reduced by a similar amount, £1.3bn (48%), since 2010 with adjusted profit before tax down 7% since 2010 </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Incentive pools have been reduced whilst adjusted profits have increased since 2011. This is because of actions taken by management to reposition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compensation in the market place and to reflect significant risk events that impacted Barclays in 2012. The significant risk events include LIBOR settlement and redress for PPI and interest rate hedging products</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Compensation to adjusted net operating income is down to 38% in 2012 (2011: 42%). Within aggregate compensation there has been strong differentiation on the basis of individual performance to allow us to manage compensation costs but also to pay competitively for high performers</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proofErr w:type="gramStart"/>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Average value of bonus per Group employee down 13% year on year to £13,300; average value of bonus per Investment Bank employee down 17% year on year to £54,100.</w:t>
      </w:r>
      <w:proofErr w:type="gramEnd"/>
      <w:r w:rsidRPr="008223EE">
        <w:rPr>
          <w:rFonts w:ascii="Arial" w:eastAsia="Times New Roman" w:hAnsi="Arial" w:cs="Arial"/>
          <w:sz w:val="18"/>
          <w:szCs w:val="18"/>
        </w:rPr>
        <w:t xml:space="preserve"> Average value of bonus per Group employee excluding the Investment Bank down 8% year on year to £4,800</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proportion of bonus pool that is deferred significantly exceeds the FSA's Remuneration Code requirements and is expected to remain amongst the highest deferral levels globally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Performance Management</w:t>
      </w:r>
    </w:p>
    <w:tbl>
      <w:tblPr>
        <w:tblW w:w="0" w:type="auto"/>
        <w:tblInd w:w="-36" w:type="dxa"/>
        <w:tblCellMar>
          <w:left w:w="0" w:type="dxa"/>
          <w:right w:w="0" w:type="dxa"/>
        </w:tblCellMar>
        <w:tblLook w:val="04A0" w:firstRow="1" w:lastRow="0" w:firstColumn="1" w:lastColumn="0" w:noHBand="0" w:noVBand="1"/>
      </w:tblPr>
      <w:tblGrid>
        <w:gridCol w:w="3000"/>
        <w:gridCol w:w="947"/>
        <w:gridCol w:w="946"/>
        <w:gridCol w:w="1162"/>
        <w:gridCol w:w="162"/>
        <w:gridCol w:w="878"/>
        <w:gridCol w:w="948"/>
        <w:gridCol w:w="1091"/>
      </w:tblGrid>
      <w:tr w:rsidR="008223EE" w:rsidRPr="008223EE" w:rsidTr="008223EE">
        <w:trPr>
          <w:trHeight w:val="240"/>
        </w:trPr>
        <w:tc>
          <w:tcPr>
            <w:tcW w:w="625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Total Incentive Awards Granted - Current Year and Deferred</w:t>
            </w: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3075" w:type="dxa"/>
            <w:gridSpan w:val="3"/>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Barclays Group</w:t>
            </w:r>
          </w:p>
        </w:tc>
        <w:tc>
          <w:tcPr>
            <w:tcW w:w="16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3000" w:type="dxa"/>
            <w:gridSpan w:val="3"/>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Investment Bank</w:t>
            </w:r>
          </w:p>
        </w:tc>
      </w:tr>
      <w:tr w:rsidR="008223EE" w:rsidRPr="008223EE" w:rsidTr="008223EE">
        <w:tc>
          <w:tcPr>
            <w:tcW w:w="310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20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6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0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12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105"/>
        <w:gridCol w:w="975"/>
        <w:gridCol w:w="975"/>
        <w:gridCol w:w="975"/>
        <w:gridCol w:w="165"/>
        <w:gridCol w:w="900"/>
        <w:gridCol w:w="975"/>
        <w:gridCol w:w="975"/>
      </w:tblGrid>
      <w:tr w:rsidR="008223EE" w:rsidRPr="008223EE" w:rsidTr="008223EE">
        <w:trPr>
          <w:trHeight w:val="48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 31.12.12</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 31.12.11</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6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0"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 31.12.12</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 31.12.11</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c>
          <w:tcPr>
            <w:tcW w:w="16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r w:rsidR="008223EE" w:rsidRPr="008223EE" w:rsidTr="008223EE">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Current year cash bonus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852</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832 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w:t>
            </w:r>
          </w:p>
        </w:tc>
        <w:tc>
          <w:tcPr>
            <w:tcW w:w="1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399</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w:t>
            </w:r>
          </w:p>
        </w:tc>
      </w:tr>
      <w:tr w:rsidR="008223EE" w:rsidRPr="008223EE" w:rsidTr="008223EE">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Current year share bonus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w:t>
            </w:r>
          </w:p>
        </w:tc>
        <w:tc>
          <w:tcPr>
            <w:tcW w:w="16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w:t>
            </w:r>
          </w:p>
        </w:tc>
      </w:tr>
      <w:tr w:rsidR="008223EE" w:rsidRPr="008223EE" w:rsidTr="008223EE">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Total current year bonus</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867</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898 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w:t>
            </w:r>
          </w:p>
        </w:tc>
        <w:tc>
          <w:tcPr>
            <w:tcW w:w="1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5 </w:t>
            </w:r>
          </w:p>
        </w:tc>
      </w:tr>
      <w:tr w:rsidR="008223EE" w:rsidRPr="008223EE" w:rsidTr="008223EE">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Deferred cash bonus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w:t>
            </w:r>
          </w:p>
        </w:tc>
        <w:tc>
          <w:tcPr>
            <w:tcW w:w="1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w:t>
            </w:r>
          </w:p>
        </w:tc>
      </w:tr>
      <w:tr w:rsidR="008223EE" w:rsidRPr="008223EE" w:rsidTr="008223EE">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Deferred share bonus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498 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634 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w:t>
            </w:r>
          </w:p>
        </w:tc>
        <w:tc>
          <w:tcPr>
            <w:tcW w:w="16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446 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576 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w:t>
            </w:r>
          </w:p>
        </w:tc>
      </w:tr>
      <w:tr w:rsidR="008223EE" w:rsidRPr="008223EE" w:rsidTr="008223EE">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Total deferred bonus</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987 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1,252 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w:t>
            </w:r>
          </w:p>
        </w:tc>
        <w:tc>
          <w:tcPr>
            <w:tcW w:w="1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893</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1,152 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w:t>
            </w:r>
          </w:p>
        </w:tc>
      </w:tr>
      <w:tr w:rsidR="008223EE" w:rsidRPr="008223EE" w:rsidTr="008223EE">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Bonus pool</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1,854</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2,150 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w:t>
            </w:r>
          </w:p>
        </w:tc>
        <w:tc>
          <w:tcPr>
            <w:tcW w:w="1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1,298</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1,536 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w:t>
            </w: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48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Commissions, commitments and other incentives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314 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428 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w:t>
            </w: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w:t>
            </w:r>
          </w:p>
        </w:tc>
      </w:tr>
      <w:tr w:rsidR="008223EE" w:rsidRPr="008223EE" w:rsidTr="008223EE">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Total incentive awards granted</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2,168</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2,578 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w:t>
            </w:r>
          </w:p>
        </w:tc>
        <w:tc>
          <w:tcPr>
            <w:tcW w:w="1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1,394 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1,737 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w:t>
            </w: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profit before tax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7,048</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5,590</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w:t>
            </w: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4,063</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2,965 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37 </w:t>
            </w: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Bonus pool as % of adjusted profit before tax (pre bonus)</w:t>
            </w:r>
            <w:r w:rsidRPr="008223EE">
              <w:rPr>
                <w:rFonts w:ascii="Arial" w:eastAsia="Times New Roman" w:hAnsi="Arial" w:cs="Arial"/>
                <w:color w:val="000000"/>
                <w:sz w:val="13"/>
                <w:szCs w:val="13"/>
                <w:vertAlign w:val="superscript"/>
              </w:rPr>
              <w:t>1 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Proportion of bonus that is deferred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employees (full time equivalent)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139,200 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141,100 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24,000 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23,600 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Bonus per employee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£13,300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£15,237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w:t>
            </w:r>
          </w:p>
        </w:tc>
        <w:tc>
          <w:tcPr>
            <w:tcW w:w="1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£54,100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£65,085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w:t>
            </w:r>
          </w:p>
        </w:tc>
      </w:tr>
    </w:tbl>
    <w:p w:rsidR="008223EE" w:rsidRPr="008223EE" w:rsidRDefault="008223EE" w:rsidP="008223EE">
      <w:pPr>
        <w:spacing w:before="180" w:line="240" w:lineRule="auto"/>
        <w:jc w:val="both"/>
        <w:rPr>
          <w:rFonts w:ascii="Arial" w:eastAsia="Times New Roman" w:hAnsi="Arial" w:cs="Arial"/>
          <w:sz w:val="18"/>
          <w:szCs w:val="18"/>
        </w:rPr>
      </w:pPr>
      <w:r w:rsidRPr="008223EE">
        <w:rPr>
          <w:rFonts w:ascii="Arial" w:eastAsia="Times New Roman" w:hAnsi="Arial" w:cs="Arial"/>
          <w:sz w:val="18"/>
          <w:szCs w:val="18"/>
        </w:rPr>
        <w:t>Deferred bonuses are payable only once an employee meets certain conditions, including a specified period of service. This creates a timing difference between the communication of the bonus pool and the charges that appear in the income statement which are reconciled in the table below:</w:t>
      </w:r>
    </w:p>
    <w:tbl>
      <w:tblPr>
        <w:tblW w:w="0" w:type="auto"/>
        <w:tblInd w:w="-36" w:type="dxa"/>
        <w:tblCellMar>
          <w:left w:w="0" w:type="dxa"/>
          <w:right w:w="0" w:type="dxa"/>
        </w:tblCellMar>
        <w:tblLook w:val="04A0" w:firstRow="1" w:lastRow="0" w:firstColumn="1" w:lastColumn="0" w:noHBand="0" w:noVBand="1"/>
      </w:tblPr>
      <w:tblGrid>
        <w:gridCol w:w="2967"/>
        <w:gridCol w:w="956"/>
        <w:gridCol w:w="956"/>
        <w:gridCol w:w="1092"/>
        <w:gridCol w:w="89"/>
        <w:gridCol w:w="1166"/>
        <w:gridCol w:w="956"/>
        <w:gridCol w:w="952"/>
      </w:tblGrid>
      <w:tr w:rsidR="008223EE" w:rsidRPr="008223EE" w:rsidTr="008223EE">
        <w:trPr>
          <w:trHeight w:val="341"/>
        </w:trPr>
        <w:tc>
          <w:tcPr>
            <w:tcW w:w="7470" w:type="dxa"/>
            <w:gridSpan w:val="6"/>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Reconciliation of Total Incentive Awards Granted to Income Statement Charge</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21"/>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3075" w:type="dxa"/>
            <w:gridSpan w:val="3"/>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Barclays Group</w:t>
            </w:r>
          </w:p>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90"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3075" w:type="dxa"/>
            <w:gridSpan w:val="3"/>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Investment Bank</w:t>
            </w:r>
          </w:p>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c>
          <w:tcPr>
            <w:tcW w:w="9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r w:rsidR="008223EE" w:rsidRPr="008223EE" w:rsidTr="008223EE">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incentive awards for 2012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2,168 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2,578 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w:t>
            </w:r>
          </w:p>
        </w:tc>
        <w:tc>
          <w:tcPr>
            <w:tcW w:w="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1,394 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1,737 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w:t>
            </w: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Less: deferred bonuses awarded for 2012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(987)</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(1,252)</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w:t>
            </w:r>
          </w:p>
        </w:tc>
        <w:tc>
          <w:tcPr>
            <w:tcW w:w="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(893)</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(1,152)</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w:t>
            </w:r>
          </w:p>
        </w:tc>
      </w:tr>
      <w:tr w:rsidR="008223EE" w:rsidRPr="008223EE" w:rsidTr="008223EE">
        <w:trPr>
          <w:trHeight w:val="240"/>
        </w:trPr>
        <w:tc>
          <w:tcPr>
            <w:tcW w:w="3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Add: current year charges for deferred bonuses from previous years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1,223 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23 </w:t>
            </w:r>
          </w:p>
        </w:tc>
        <w:tc>
          <w:tcPr>
            <w:tcW w:w="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1,117 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23 </w:t>
            </w:r>
          </w:p>
        </w:tc>
      </w:tr>
      <w:tr w:rsidR="008223EE" w:rsidRPr="008223EE" w:rsidTr="008223EE">
        <w:trPr>
          <w:trHeight w:val="240"/>
        </w:trPr>
        <w:tc>
          <w:tcPr>
            <w:tcW w:w="3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r w:rsidRPr="008223EE">
              <w:rPr>
                <w:rFonts w:ascii="Arial" w:eastAsia="Times New Roman" w:hAnsi="Arial" w:cs="Arial"/>
                <w:color w:val="000000"/>
                <w:sz w:val="13"/>
                <w:szCs w:val="13"/>
                <w:vertAlign w:val="superscript"/>
              </w:rPr>
              <w:t>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w:t>
            </w:r>
          </w:p>
        </w:tc>
        <w:tc>
          <w:tcPr>
            <w:tcW w:w="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248 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w:t>
            </w:r>
          </w:p>
        </w:tc>
      </w:tr>
      <w:tr w:rsidR="008223EE" w:rsidRPr="008223EE" w:rsidTr="008223EE">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Income statement charge for performance costs</w:t>
            </w:r>
            <w:r w:rsidRPr="008223EE">
              <w:rPr>
                <w:rFonts w:ascii="Arial" w:eastAsia="Times New Roman" w:hAnsi="Arial" w:cs="Arial"/>
                <w:color w:val="000000"/>
                <w:sz w:val="16"/>
                <w:szCs w:val="16"/>
                <w:vertAlign w:val="superscript"/>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2,425 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2,527 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w:t>
            </w:r>
          </w:p>
        </w:tc>
        <w:tc>
          <w:tcPr>
            <w:tcW w:w="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1,693</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1,740 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w:t>
            </w:r>
          </w:p>
        </w:tc>
      </w:tr>
    </w:tbl>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Employees only become eligible to receive payment from a deferred bonus once all of the relevant conditions have been fulfilled, including the provision of services to the Group</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The income statement charge for performance costs reflects the charge for employees' actual services provided to the Group during the relevant calendar year (including where those services fulfil performance conditions attached to previously deferred bonuses). It does not include charges for deferred bonuses where performance conditions have not been met</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As a consequence, while the 2012 incentive awards granted were down 16% compared to 2011, the income statement charge for performance costs was down 4%</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14"/>
          <w:szCs w:val="14"/>
        </w:rPr>
        <w:t xml:space="preserve">1        Calculated as bonus awards divided by profit before tax excluding the income statement charge for bonus awards. </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14"/>
          <w:szCs w:val="14"/>
        </w:rPr>
        <w:t>2       Difference between incentive awards granted and income statement charge for sales commissions, commitments and other incentives.</w:t>
      </w:r>
    </w:p>
    <w:p w:rsidR="008223EE" w:rsidRPr="008223EE" w:rsidRDefault="008223EE" w:rsidP="008223EE">
      <w:pPr>
        <w:spacing w:after="0" w:line="240" w:lineRule="auto"/>
        <w:ind w:left="1418"/>
        <w:jc w:val="both"/>
        <w:rPr>
          <w:rFonts w:ascii="Arial" w:eastAsia="Times New Roman" w:hAnsi="Arial" w:cs="Arial"/>
          <w:b/>
          <w:bCs/>
          <w:i/>
          <w:iCs/>
          <w:sz w:val="16"/>
          <w:szCs w:val="16"/>
        </w:rPr>
      </w:pPr>
      <w:r w:rsidRPr="008223EE">
        <w:rPr>
          <w:rFonts w:ascii="Arial" w:eastAsia="Times New Roman" w:hAnsi="Arial" w:cs="Arial"/>
          <w:i/>
          <w:iCs/>
          <w:sz w:val="14"/>
          <w:szCs w:val="14"/>
        </w:rPr>
        <w:t> </w:t>
      </w:r>
    </w:p>
    <w:p w:rsidR="008223EE" w:rsidRPr="008223EE" w:rsidRDefault="008223EE" w:rsidP="008223EE">
      <w:pPr>
        <w:spacing w:after="0" w:line="240" w:lineRule="auto"/>
        <w:ind w:left="1418"/>
        <w:jc w:val="both"/>
        <w:rPr>
          <w:rFonts w:ascii="Arial" w:eastAsia="Times New Roman" w:hAnsi="Arial" w:cs="Arial"/>
          <w:b/>
          <w:bCs/>
          <w:i/>
          <w:iCs/>
          <w:sz w:val="16"/>
          <w:szCs w:val="16"/>
        </w:rPr>
      </w:pPr>
      <w:r w:rsidRPr="008223EE">
        <w:rPr>
          <w:rFonts w:ascii="Arial" w:eastAsia="Times New Roman" w:hAnsi="Arial" w:cs="Arial"/>
          <w:i/>
          <w:iCs/>
          <w:sz w:val="14"/>
          <w:szCs w:val="14"/>
        </w:rPr>
        <w:t> </w:t>
      </w:r>
    </w:p>
    <w:p w:rsidR="008223EE" w:rsidRPr="008223EE" w:rsidRDefault="008223EE" w:rsidP="008223EE">
      <w:pPr>
        <w:spacing w:after="0" w:line="240" w:lineRule="auto"/>
        <w:ind w:left="1418"/>
        <w:jc w:val="both"/>
        <w:rPr>
          <w:rFonts w:ascii="Arial" w:eastAsia="Times New Roman" w:hAnsi="Arial" w:cs="Arial"/>
          <w:b/>
          <w:bCs/>
          <w:i/>
          <w:iCs/>
          <w:sz w:val="16"/>
          <w:szCs w:val="16"/>
        </w:rPr>
      </w:pPr>
      <w:r w:rsidRPr="008223EE">
        <w:rPr>
          <w:rFonts w:ascii="Arial" w:eastAsia="Times New Roman" w:hAnsi="Arial" w:cs="Arial"/>
          <w:b/>
          <w:bCs/>
          <w:i/>
          <w:iCs/>
          <w:sz w:val="16"/>
          <w:szCs w:val="16"/>
        </w:rPr>
        <w:t> </w:t>
      </w:r>
    </w:p>
    <w:p w:rsidR="008223EE" w:rsidRPr="008223EE" w:rsidRDefault="008223EE" w:rsidP="008223EE">
      <w:pPr>
        <w:spacing w:after="0" w:line="240" w:lineRule="auto"/>
        <w:ind w:left="1418"/>
        <w:jc w:val="both"/>
        <w:rPr>
          <w:rFonts w:ascii="Arial" w:eastAsia="Times New Roman" w:hAnsi="Arial" w:cs="Arial"/>
          <w:b/>
          <w:bCs/>
          <w:i/>
          <w:iCs/>
          <w:sz w:val="16"/>
          <w:szCs w:val="16"/>
        </w:rPr>
      </w:pPr>
      <w:r w:rsidRPr="008223EE">
        <w:rPr>
          <w:rFonts w:ascii="Arial" w:eastAsia="Times New Roman" w:hAnsi="Arial" w:cs="Arial"/>
          <w:b/>
          <w:bCs/>
          <w:i/>
          <w:iCs/>
          <w:sz w:val="16"/>
          <w:szCs w:val="16"/>
        </w:rPr>
        <w:t> </w:t>
      </w:r>
    </w:p>
    <w:p w:rsidR="008223EE" w:rsidRPr="008223EE" w:rsidRDefault="008223EE" w:rsidP="008223EE">
      <w:pPr>
        <w:spacing w:after="0" w:line="240" w:lineRule="auto"/>
        <w:ind w:left="1418"/>
        <w:jc w:val="both"/>
        <w:rPr>
          <w:rFonts w:ascii="Arial" w:eastAsia="Times New Roman" w:hAnsi="Arial" w:cs="Arial"/>
          <w:b/>
          <w:bCs/>
          <w:i/>
          <w:iCs/>
          <w:sz w:val="16"/>
          <w:szCs w:val="16"/>
        </w:rPr>
      </w:pPr>
      <w:r w:rsidRPr="008223EE">
        <w:rPr>
          <w:rFonts w:ascii="Arial" w:eastAsia="Times New Roman" w:hAnsi="Arial" w:cs="Arial"/>
          <w:b/>
          <w:bCs/>
          <w:i/>
          <w:iCs/>
          <w:sz w:val="16"/>
          <w:szCs w:val="16"/>
        </w:rPr>
        <w:t> </w:t>
      </w:r>
    </w:p>
    <w:p w:rsidR="008223EE" w:rsidRPr="008223EE" w:rsidRDefault="008223EE" w:rsidP="008223EE">
      <w:pPr>
        <w:spacing w:after="0" w:line="240" w:lineRule="auto"/>
        <w:ind w:left="1418"/>
        <w:jc w:val="both"/>
        <w:rPr>
          <w:rFonts w:ascii="Arial" w:eastAsia="Times New Roman" w:hAnsi="Arial" w:cs="Arial"/>
          <w:b/>
          <w:bCs/>
          <w:i/>
          <w:iCs/>
          <w:sz w:val="16"/>
          <w:szCs w:val="16"/>
        </w:rPr>
      </w:pPr>
      <w:r w:rsidRPr="008223EE">
        <w:rPr>
          <w:rFonts w:ascii="Arial" w:eastAsia="Times New Roman" w:hAnsi="Arial" w:cs="Arial"/>
          <w:i/>
          <w:iCs/>
          <w:sz w:val="14"/>
          <w:szCs w:val="14"/>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627"/>
        <w:gridCol w:w="1306"/>
        <w:gridCol w:w="1040"/>
        <w:gridCol w:w="1161"/>
      </w:tblGrid>
      <w:tr w:rsidR="008223EE" w:rsidRPr="008223EE" w:rsidTr="008223EE">
        <w:trPr>
          <w:trHeight w:val="240"/>
        </w:trPr>
        <w:tc>
          <w:tcPr>
            <w:tcW w:w="5925" w:type="dxa"/>
            <w:tcMar>
              <w:top w:w="0" w:type="dxa"/>
              <w:left w:w="36" w:type="dxa"/>
              <w:bottom w:w="0" w:type="dxa"/>
              <w:right w:w="36" w:type="dxa"/>
            </w:tcMar>
            <w:vAlign w:val="center"/>
            <w:hideMark/>
          </w:tcPr>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Performance Management</w:t>
            </w:r>
          </w:p>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Income Statement Charge</w:t>
            </w:r>
          </w:p>
        </w:tc>
        <w:tc>
          <w:tcPr>
            <w:tcW w:w="3615" w:type="dxa"/>
            <w:gridSpan w:val="3"/>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vertAlign w:val="superscript"/>
              </w:rPr>
              <w:t> </w:t>
            </w:r>
          </w:p>
        </w:tc>
      </w:tr>
      <w:tr w:rsidR="008223EE" w:rsidRPr="008223EE" w:rsidTr="008223EE">
        <w:trPr>
          <w:trHeight w:val="240"/>
        </w:trPr>
        <w:tc>
          <w:tcPr>
            <w:tcW w:w="5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3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3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59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3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Change</w:t>
            </w:r>
          </w:p>
        </w:tc>
      </w:tr>
      <w:tr w:rsidR="008223EE" w:rsidRPr="008223EE" w:rsidTr="008223EE">
        <w:trPr>
          <w:trHeight w:val="240"/>
        </w:trPr>
        <w:tc>
          <w:tcPr>
            <w:tcW w:w="59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Performance costs </w:t>
            </w:r>
          </w:p>
        </w:tc>
        <w:tc>
          <w:tcPr>
            <w:tcW w:w="13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2,425 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2,527 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w:t>
            </w:r>
          </w:p>
        </w:tc>
      </w:tr>
      <w:tr w:rsidR="008223EE" w:rsidRPr="008223EE" w:rsidTr="008223EE">
        <w:trPr>
          <w:trHeight w:val="240"/>
        </w:trPr>
        <w:tc>
          <w:tcPr>
            <w:tcW w:w="5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Salaries </w:t>
            </w:r>
          </w:p>
        </w:tc>
        <w:tc>
          <w:tcPr>
            <w:tcW w:w="13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5,981 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6,277 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w:t>
            </w:r>
          </w:p>
        </w:tc>
      </w:tr>
      <w:tr w:rsidR="008223EE" w:rsidRPr="008223EE" w:rsidTr="008223EE">
        <w:trPr>
          <w:trHeight w:val="240"/>
        </w:trPr>
        <w:tc>
          <w:tcPr>
            <w:tcW w:w="5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Non-performance employee share plans </w:t>
            </w:r>
          </w:p>
        </w:tc>
        <w:tc>
          <w:tcPr>
            <w:tcW w:w="13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105 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167 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w:t>
            </w:r>
          </w:p>
        </w:tc>
      </w:tr>
      <w:tr w:rsidR="008223EE" w:rsidRPr="008223EE" w:rsidTr="008223EE">
        <w:trPr>
          <w:trHeight w:val="240"/>
        </w:trPr>
        <w:tc>
          <w:tcPr>
            <w:tcW w:w="5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Social security costs </w:t>
            </w:r>
          </w:p>
        </w:tc>
        <w:tc>
          <w:tcPr>
            <w:tcW w:w="13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685 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716 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w:t>
            </w:r>
          </w:p>
        </w:tc>
      </w:tr>
      <w:tr w:rsidR="008223EE" w:rsidRPr="008223EE" w:rsidTr="008223EE">
        <w:trPr>
          <w:trHeight w:val="240"/>
        </w:trPr>
        <w:tc>
          <w:tcPr>
            <w:tcW w:w="59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Post retirement benefits </w:t>
            </w:r>
          </w:p>
        </w:tc>
        <w:tc>
          <w:tcPr>
            <w:tcW w:w="13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590 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727 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w:t>
            </w:r>
          </w:p>
        </w:tc>
      </w:tr>
      <w:tr w:rsidR="008223EE" w:rsidRPr="008223EE" w:rsidTr="008223EE">
        <w:trPr>
          <w:trHeight w:val="240"/>
        </w:trPr>
        <w:tc>
          <w:tcPr>
            <w:tcW w:w="59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compensation costs </w:t>
            </w:r>
          </w:p>
        </w:tc>
        <w:tc>
          <w:tcPr>
            <w:tcW w:w="13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9,786 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10,414 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w:t>
            </w:r>
          </w:p>
        </w:tc>
      </w:tr>
      <w:tr w:rsidR="008223EE" w:rsidRPr="008223EE" w:rsidTr="008223EE">
        <w:trPr>
          <w:trHeight w:val="240"/>
        </w:trPr>
        <w:tc>
          <w:tcPr>
            <w:tcW w:w="5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3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5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Bank payroll tax </w:t>
            </w:r>
          </w:p>
        </w:tc>
        <w:tc>
          <w:tcPr>
            <w:tcW w:w="13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w:t>
            </w:r>
          </w:p>
        </w:tc>
      </w:tr>
      <w:tr w:rsidR="008223EE" w:rsidRPr="008223EE" w:rsidTr="008223EE">
        <w:trPr>
          <w:trHeight w:val="240"/>
        </w:trPr>
        <w:tc>
          <w:tcPr>
            <w:tcW w:w="59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r w:rsidRPr="008223EE">
              <w:rPr>
                <w:rFonts w:ascii="Arial" w:eastAsia="Times New Roman" w:hAnsi="Arial" w:cs="Arial"/>
                <w:color w:val="000000"/>
                <w:sz w:val="13"/>
                <w:szCs w:val="13"/>
                <w:vertAlign w:val="superscript"/>
              </w:rPr>
              <w:t>1 </w:t>
            </w:r>
          </w:p>
        </w:tc>
        <w:tc>
          <w:tcPr>
            <w:tcW w:w="13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627 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917 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w:t>
            </w:r>
          </w:p>
        </w:tc>
      </w:tr>
      <w:tr w:rsidR="008223EE" w:rsidRPr="008223EE" w:rsidTr="008223EE">
        <w:trPr>
          <w:trHeight w:val="240"/>
        </w:trPr>
        <w:tc>
          <w:tcPr>
            <w:tcW w:w="59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Non compensation costs </w:t>
            </w:r>
          </w:p>
        </w:tc>
        <w:tc>
          <w:tcPr>
            <w:tcW w:w="13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661 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993 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w:t>
            </w:r>
          </w:p>
        </w:tc>
      </w:tr>
      <w:tr w:rsidR="008223EE" w:rsidRPr="008223EE" w:rsidTr="008223EE">
        <w:trPr>
          <w:trHeight w:val="240"/>
        </w:trPr>
        <w:tc>
          <w:tcPr>
            <w:tcW w:w="59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3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55"/>
        </w:trPr>
        <w:tc>
          <w:tcPr>
            <w:tcW w:w="59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Staff costs </w:t>
            </w:r>
          </w:p>
        </w:tc>
        <w:tc>
          <w:tcPr>
            <w:tcW w:w="13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10,447 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11,407 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750"/>
        <w:gridCol w:w="1315"/>
        <w:gridCol w:w="1040"/>
        <w:gridCol w:w="1029"/>
      </w:tblGrid>
      <w:tr w:rsidR="008223EE" w:rsidRPr="008223EE" w:rsidTr="008223EE">
        <w:trPr>
          <w:trHeight w:val="240"/>
        </w:trPr>
        <w:tc>
          <w:tcPr>
            <w:tcW w:w="59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3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55"/>
        </w:trPr>
        <w:tc>
          <w:tcPr>
            <w:tcW w:w="59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Compensation to adjusted net operating income </w:t>
            </w:r>
          </w:p>
        </w:tc>
        <w:tc>
          <w:tcPr>
            <w:tcW w:w="13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bl>
    <w:p w:rsidR="008223EE" w:rsidRPr="008223EE" w:rsidRDefault="008223EE" w:rsidP="001F6E11">
      <w:pPr>
        <w:spacing w:before="18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staff costs reduced 8% to £10,447m, principally reflecting a 5% reduction in salaries, a 19% reduction in post retirement benefits and reductions in performance costs</w:t>
      </w:r>
    </w:p>
    <w:p w:rsidR="008223EE" w:rsidRPr="008223EE" w:rsidRDefault="008223EE" w:rsidP="001F6E11">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Salaries reduced by 5% to £5,981m, reflecting a moderately declining average headcount </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post retirement benefits charge decreased 19% to £590m, primarily reflecting scheme closures and benefit changes in the US and Spain, and lower interest cost for the UK Retirement Fund</w:t>
      </w:r>
    </w:p>
    <w:p w:rsidR="008223EE" w:rsidRPr="008223EE" w:rsidRDefault="008223EE" w:rsidP="001F6E11">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Performance costs reduced 4% to £2,425m, reflecting a 22% reduction in charges for current year cash and share bonuses and sales commissions, commitments and other incentives of £1,202m, partially offset by a 23% increase in the charge for deferred bonuses from prior years to £1,223m</w:t>
      </w:r>
    </w:p>
    <w:p w:rsidR="008223EE" w:rsidRPr="008223EE" w:rsidRDefault="008223EE" w:rsidP="001F6E11">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compensation to adjusted net operating income ratio fell to 38% (2011: 42%), including charges for bonuses deferred from prior years</w:t>
      </w:r>
    </w:p>
    <w:p w:rsidR="008223EE" w:rsidRPr="008223EE" w:rsidRDefault="008223EE" w:rsidP="001F6E11">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Deferred bonuses awarded are expected to be charged to the income statement in the years outlined in the table that follows</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2"/>
          <w:szCs w:val="2"/>
        </w:rPr>
        <w:t> </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2"/>
          <w:szCs w:val="2"/>
        </w:rPr>
        <w:t>  </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2"/>
          <w:szCs w:val="2"/>
        </w:rPr>
        <w:t> </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2"/>
          <w:szCs w:val="2"/>
        </w:rPr>
        <w:t> </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14"/>
          <w:szCs w:val="14"/>
        </w:rPr>
        <w:t>1        Includes staff training, redundancy and retirement.</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Performance Management</w:t>
      </w:r>
    </w:p>
    <w:p w:rsidR="008223EE" w:rsidRPr="008223EE" w:rsidRDefault="008223EE" w:rsidP="008223EE">
      <w:pPr>
        <w:spacing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Year in which Income Statement charge is expected to be taken for Deferred Bonuses awarded to date</w:t>
      </w:r>
      <w:r w:rsidRPr="008223EE">
        <w:rPr>
          <w:rFonts w:ascii="Arial" w:eastAsia="Times New Roman" w:hAnsi="Arial" w:cs="Arial"/>
          <w:b/>
          <w:bCs/>
          <w:color w:val="000000"/>
          <w:sz w:val="16"/>
          <w:szCs w:val="16"/>
          <w:vertAlign w:val="superscript"/>
        </w:rPr>
        <w:t>1</w:t>
      </w:r>
    </w:p>
    <w:tbl>
      <w:tblPr>
        <w:tblW w:w="0" w:type="auto"/>
        <w:tblInd w:w="-36" w:type="dxa"/>
        <w:tblCellMar>
          <w:left w:w="0" w:type="dxa"/>
          <w:right w:w="0" w:type="dxa"/>
        </w:tblCellMar>
        <w:tblLook w:val="04A0" w:firstRow="1" w:lastRow="0" w:firstColumn="1" w:lastColumn="0" w:noHBand="0" w:noVBand="1"/>
      </w:tblPr>
      <w:tblGrid>
        <w:gridCol w:w="4814"/>
        <w:gridCol w:w="2116"/>
        <w:gridCol w:w="78"/>
        <w:gridCol w:w="2126"/>
      </w:tblGrid>
      <w:tr w:rsidR="008223EE" w:rsidRPr="008223EE" w:rsidTr="008223EE">
        <w:trPr>
          <w:trHeight w:val="240"/>
        </w:trPr>
        <w:tc>
          <w:tcPr>
            <w:tcW w:w="49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217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Actual</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217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Expected</w:t>
            </w:r>
            <w:r w:rsidRPr="008223EE">
              <w:rPr>
                <w:rFonts w:ascii="Arial" w:eastAsia="Times New Roman" w:hAnsi="Arial" w:cs="Arial"/>
                <w:b/>
                <w:bCs/>
                <w:color w:val="000000"/>
                <w:sz w:val="13"/>
                <w:szCs w:val="13"/>
                <w:vertAlign w:val="superscript"/>
              </w:rPr>
              <w:t>2</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893"/>
        <w:gridCol w:w="1041"/>
        <w:gridCol w:w="1041"/>
        <w:gridCol w:w="78"/>
        <w:gridCol w:w="1041"/>
        <w:gridCol w:w="1040"/>
      </w:tblGrid>
      <w:tr w:rsidR="008223EE" w:rsidRPr="008223EE" w:rsidTr="008223EE">
        <w:trPr>
          <w:trHeight w:val="240"/>
        </w:trPr>
        <w:tc>
          <w:tcPr>
            <w:tcW w:w="49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2014 and </w:t>
            </w:r>
          </w:p>
        </w:tc>
      </w:tr>
      <w:tr w:rsidR="008223EE" w:rsidRPr="008223EE" w:rsidTr="008223EE">
        <w:trPr>
          <w:trHeight w:val="240"/>
        </w:trPr>
        <w:tc>
          <w:tcPr>
            <w:tcW w:w="49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Calibri" w:eastAsia="Times New Roman" w:hAnsi="Calibri" w:cs="Calibri"/>
                <w:color w:val="000000"/>
              </w:rPr>
              <w:t> </w:t>
            </w:r>
            <w:r w:rsidRPr="008223EE">
              <w:rPr>
                <w:rFonts w:ascii="Arial" w:eastAsia="Times New Roman" w:hAnsi="Arial" w:cs="Arial"/>
                <w:b/>
                <w:bCs/>
                <w:color w:val="000000"/>
                <w:sz w:val="16"/>
                <w:szCs w:val="16"/>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31.12.13</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beyond </w:t>
            </w:r>
          </w:p>
        </w:tc>
      </w:tr>
      <w:tr w:rsidR="008223EE" w:rsidRPr="008223EE" w:rsidTr="008223EE">
        <w:trPr>
          <w:trHeight w:val="240"/>
        </w:trPr>
        <w:tc>
          <w:tcPr>
            <w:tcW w:w="499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Barclays Group</w:t>
            </w:r>
            <w:r w:rsidRPr="008223EE">
              <w:rPr>
                <w:rFonts w:ascii="Arial" w:eastAsia="Times New Roman" w:hAnsi="Arial" w:cs="Arial"/>
                <w:color w:val="000000"/>
                <w:sz w:val="16"/>
                <w:szCs w:val="16"/>
                <w:vertAlign w:val="superscript"/>
              </w:rPr>
              <w:t xml:space="preserve">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49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Deferred bonuses from 2009 and earlier bonus pools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153 </w:t>
            </w:r>
          </w:p>
        </w:tc>
        <w:tc>
          <w:tcPr>
            <w:tcW w:w="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Calibri" w:eastAsia="Times New Roman" w:hAnsi="Calibri" w:cs="Calibri"/>
                <w:color w:val="000000"/>
              </w:rPr>
              <w:t> -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499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Deferred bonuses from 2010 bonus pool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590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404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21  </w:t>
            </w:r>
          </w:p>
        </w:tc>
      </w:tr>
      <w:tr w:rsidR="008223EE" w:rsidRPr="008223EE" w:rsidTr="008223EE">
        <w:trPr>
          <w:trHeight w:val="240"/>
        </w:trPr>
        <w:tc>
          <w:tcPr>
            <w:tcW w:w="499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Deferred bonuses from 2011 bonus pool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Calibri" w:eastAsia="Times New Roman" w:hAnsi="Calibri" w:cs="Calibri"/>
                <w:color w:val="000000"/>
              </w:rPr>
              <w:t> -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666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386 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183  </w:t>
            </w:r>
          </w:p>
        </w:tc>
      </w:tr>
      <w:tr w:rsidR="008223EE" w:rsidRPr="008223EE" w:rsidTr="008223EE">
        <w:trPr>
          <w:trHeight w:val="240"/>
        </w:trPr>
        <w:tc>
          <w:tcPr>
            <w:tcW w:w="499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Deferred bonuses from 2012 bonus pool </w:t>
            </w:r>
            <w:r w:rsidRPr="008223EE">
              <w:rPr>
                <w:rFonts w:ascii="Arial" w:eastAsia="Times New Roman" w:hAnsi="Arial" w:cs="Arial"/>
                <w:color w:val="000000"/>
                <w:sz w:val="13"/>
                <w:szCs w:val="13"/>
                <w:vertAlign w:val="superscript"/>
              </w:rPr>
              <w:t>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Calibri" w:eastAsia="Times New Roman" w:hAnsi="Calibri" w:cs="Calibri"/>
                <w:color w:val="000000"/>
              </w:rPr>
              <w:t> -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Calibri" w:eastAsia="Times New Roman" w:hAnsi="Calibri" w:cs="Calibri"/>
                <w:color w:val="000000"/>
              </w:rPr>
              <w:t> - </w:t>
            </w:r>
          </w:p>
        </w:tc>
        <w:tc>
          <w:tcPr>
            <w:tcW w:w="1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512 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431 </w:t>
            </w:r>
          </w:p>
        </w:tc>
      </w:tr>
      <w:tr w:rsidR="008223EE" w:rsidRPr="008223EE" w:rsidTr="008223EE">
        <w:trPr>
          <w:trHeight w:val="240"/>
        </w:trPr>
        <w:tc>
          <w:tcPr>
            <w:tcW w:w="49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Income statement charge for deferred bonuses </w:t>
            </w:r>
            <w:r w:rsidRPr="008223EE">
              <w:rPr>
                <w:rFonts w:ascii="Arial" w:eastAsia="Times New Roman" w:hAnsi="Arial" w:cs="Arial"/>
                <w:b/>
                <w:bCs/>
                <w:color w:val="000000"/>
                <w:sz w:val="13"/>
                <w:szCs w:val="13"/>
                <w:vertAlign w:val="superscript"/>
              </w:rPr>
              <w:t>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995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1,223 </w:t>
            </w:r>
          </w:p>
        </w:tc>
        <w:tc>
          <w:tcPr>
            <w:tcW w:w="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1,063</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635  </w:t>
            </w:r>
          </w:p>
        </w:tc>
      </w:tr>
      <w:tr w:rsidR="008223EE" w:rsidRPr="008223EE" w:rsidTr="008223EE">
        <w:trPr>
          <w:trHeight w:val="240"/>
        </w:trPr>
        <w:tc>
          <w:tcPr>
            <w:tcW w:w="499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499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Investment Bank</w:t>
            </w:r>
            <w:r w:rsidRPr="008223EE">
              <w:rPr>
                <w:rFonts w:ascii="Calibri" w:eastAsia="Times New Roman" w:hAnsi="Calibri" w:cs="Calibri"/>
                <w:color w:val="000000"/>
                <w:vertAlign w:val="superscript"/>
              </w:rPr>
              <w:t xml:space="preserve">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Calibri" w:eastAsia="Times New Roman" w:hAnsi="Calibri" w:cs="Calibri"/>
                <w:color w:val="000000"/>
              </w:rPr>
              <w:t> </w:t>
            </w:r>
            <w:r w:rsidRPr="008223EE">
              <w:rPr>
                <w:rFonts w:ascii="Calibri" w:eastAsia="Times New Roman" w:hAnsi="Calibri" w:cs="Calibri"/>
                <w:color w:val="000000"/>
                <w:sz w:val="18"/>
                <w:szCs w:val="18"/>
                <w:vertAlign w:val="superscript"/>
              </w:rPr>
              <w:t> </w:t>
            </w:r>
          </w:p>
        </w:tc>
      </w:tr>
      <w:tr w:rsidR="008223EE" w:rsidRPr="008223EE" w:rsidTr="008223EE">
        <w:trPr>
          <w:trHeight w:val="240"/>
        </w:trPr>
        <w:tc>
          <w:tcPr>
            <w:tcW w:w="49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Deferred bonuses from 2009 and earlier bonus pools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143 </w:t>
            </w:r>
          </w:p>
        </w:tc>
        <w:tc>
          <w:tcPr>
            <w:tcW w:w="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Calibri" w:eastAsia="Times New Roman" w:hAnsi="Calibri" w:cs="Calibri"/>
                <w:color w:val="000000"/>
              </w:rPr>
              <w:t> -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499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Deferred bonuses from 2010 bonus pool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542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374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19  </w:t>
            </w:r>
          </w:p>
        </w:tc>
      </w:tr>
      <w:tr w:rsidR="008223EE" w:rsidRPr="008223EE" w:rsidTr="008223EE">
        <w:trPr>
          <w:trHeight w:val="240"/>
        </w:trPr>
        <w:tc>
          <w:tcPr>
            <w:tcW w:w="499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Deferred bonuses from 2011 bonus pool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Calibri" w:eastAsia="Times New Roman" w:hAnsi="Calibri" w:cs="Calibri"/>
                <w:color w:val="000000"/>
              </w:rPr>
              <w:t> -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600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164  </w:t>
            </w:r>
          </w:p>
        </w:tc>
      </w:tr>
      <w:tr w:rsidR="008223EE" w:rsidRPr="008223EE" w:rsidTr="008223EE">
        <w:trPr>
          <w:trHeight w:val="240"/>
        </w:trPr>
        <w:tc>
          <w:tcPr>
            <w:tcW w:w="499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Deferred bonuses from 2012 bonus pool </w:t>
            </w:r>
            <w:r w:rsidRPr="008223EE">
              <w:rPr>
                <w:rFonts w:ascii="Arial" w:eastAsia="Times New Roman" w:hAnsi="Arial" w:cs="Arial"/>
                <w:color w:val="000000"/>
                <w:sz w:val="13"/>
                <w:szCs w:val="13"/>
                <w:vertAlign w:val="superscript"/>
              </w:rPr>
              <w:t>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Calibri" w:eastAsia="Times New Roman" w:hAnsi="Calibri" w:cs="Calibri"/>
                <w:color w:val="000000"/>
              </w:rPr>
              <w:t> -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Calibri" w:eastAsia="Times New Roman" w:hAnsi="Calibri" w:cs="Calibri"/>
                <w:color w:val="000000"/>
              </w:rPr>
              <w:t> - </w:t>
            </w:r>
          </w:p>
        </w:tc>
        <w:tc>
          <w:tcPr>
            <w:tcW w:w="1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463 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384 </w:t>
            </w:r>
          </w:p>
        </w:tc>
      </w:tr>
      <w:tr w:rsidR="008223EE" w:rsidRPr="008223EE" w:rsidTr="008223EE">
        <w:trPr>
          <w:trHeight w:val="240"/>
        </w:trPr>
        <w:tc>
          <w:tcPr>
            <w:tcW w:w="49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Income statement charge for deferred bonuses </w:t>
            </w:r>
            <w:r w:rsidRPr="008223EE">
              <w:rPr>
                <w:rFonts w:ascii="Arial" w:eastAsia="Times New Roman" w:hAnsi="Arial" w:cs="Arial"/>
                <w:b/>
                <w:bCs/>
                <w:color w:val="000000"/>
                <w:sz w:val="13"/>
                <w:szCs w:val="13"/>
                <w:vertAlign w:val="superscript"/>
              </w:rPr>
              <w:t>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907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1,117 </w:t>
            </w:r>
          </w:p>
        </w:tc>
        <w:tc>
          <w:tcPr>
            <w:tcW w:w="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567  </w:t>
            </w:r>
          </w:p>
        </w:tc>
      </w:tr>
    </w:tbl>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before="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tbl>
      <w:tblPr>
        <w:tblW w:w="0" w:type="auto"/>
        <w:tblInd w:w="-36" w:type="dxa"/>
        <w:tblCellMar>
          <w:left w:w="0" w:type="dxa"/>
          <w:right w:w="0" w:type="dxa"/>
        </w:tblCellMar>
        <w:tblLook w:val="04A0" w:firstRow="1" w:lastRow="0" w:firstColumn="1" w:lastColumn="0" w:noHBand="0" w:noVBand="1"/>
      </w:tblPr>
      <w:tblGrid>
        <w:gridCol w:w="1850"/>
        <w:gridCol w:w="2428"/>
        <w:gridCol w:w="2781"/>
        <w:gridCol w:w="2075"/>
      </w:tblGrid>
      <w:tr w:rsidR="008223EE" w:rsidRPr="008223EE" w:rsidTr="008223EE">
        <w:trPr>
          <w:trHeight w:val="240"/>
        </w:trPr>
        <w:tc>
          <w:tcPr>
            <w:tcW w:w="18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4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8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1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480"/>
        </w:trPr>
        <w:tc>
          <w:tcPr>
            <w:tcW w:w="189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Bonus Pool Component</w:t>
            </w:r>
          </w:p>
        </w:tc>
        <w:tc>
          <w:tcPr>
            <w:tcW w:w="24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Expected Grant Date</w:t>
            </w:r>
          </w:p>
        </w:tc>
        <w:tc>
          <w:tcPr>
            <w:tcW w:w="286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Expected Payment Date(s)</w:t>
            </w:r>
            <w:r w:rsidRPr="008223EE">
              <w:rPr>
                <w:rFonts w:ascii="Arial" w:eastAsia="Times New Roman" w:hAnsi="Arial" w:cs="Arial"/>
                <w:b/>
                <w:bCs/>
                <w:color w:val="000000"/>
                <w:sz w:val="13"/>
                <w:szCs w:val="13"/>
                <w:vertAlign w:val="superscript"/>
              </w:rPr>
              <w:t>3</w:t>
            </w:r>
          </w:p>
        </w:tc>
        <w:tc>
          <w:tcPr>
            <w:tcW w:w="21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Year(s) in which Income Statement Charge Arises</w:t>
            </w:r>
            <w:r w:rsidRPr="008223EE">
              <w:rPr>
                <w:rFonts w:ascii="Arial" w:eastAsia="Times New Roman" w:hAnsi="Arial" w:cs="Arial"/>
                <w:b/>
                <w:bCs/>
                <w:color w:val="000000"/>
                <w:sz w:val="13"/>
                <w:szCs w:val="13"/>
                <w:vertAlign w:val="superscript"/>
              </w:rPr>
              <w:t>4</w:t>
            </w:r>
          </w:p>
        </w:tc>
      </w:tr>
      <w:tr w:rsidR="008223EE" w:rsidRPr="008223EE" w:rsidTr="008223EE">
        <w:trPr>
          <w:trHeight w:val="240"/>
        </w:trPr>
        <w:tc>
          <w:tcPr>
            <w:tcW w:w="189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Current year cash bonus</w:t>
            </w:r>
          </w:p>
        </w:tc>
        <w:tc>
          <w:tcPr>
            <w:tcW w:w="24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February 2013</w:t>
            </w:r>
          </w:p>
        </w:tc>
        <w:tc>
          <w:tcPr>
            <w:tcW w:w="286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February 2013 </w:t>
            </w:r>
          </w:p>
        </w:tc>
        <w:tc>
          <w:tcPr>
            <w:tcW w:w="21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2012 </w:t>
            </w:r>
          </w:p>
        </w:tc>
      </w:tr>
      <w:tr w:rsidR="008223EE" w:rsidRPr="008223EE" w:rsidTr="008223EE">
        <w:trPr>
          <w:trHeight w:val="240"/>
        </w:trPr>
        <w:tc>
          <w:tcPr>
            <w:tcW w:w="189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Current year share bonus</w:t>
            </w:r>
          </w:p>
        </w:tc>
        <w:tc>
          <w:tcPr>
            <w:tcW w:w="24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February/March 2013</w:t>
            </w:r>
          </w:p>
        </w:tc>
        <w:tc>
          <w:tcPr>
            <w:tcW w:w="286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February 2013 to September 2013 </w:t>
            </w:r>
          </w:p>
        </w:tc>
        <w:tc>
          <w:tcPr>
            <w:tcW w:w="21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2012 </w:t>
            </w:r>
          </w:p>
        </w:tc>
      </w:tr>
      <w:tr w:rsidR="008223EE" w:rsidRPr="008223EE" w:rsidTr="008223EE">
        <w:trPr>
          <w:trHeight w:val="240"/>
        </w:trPr>
        <w:tc>
          <w:tcPr>
            <w:tcW w:w="18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Deferred cash bonus</w:t>
            </w:r>
          </w:p>
        </w:tc>
        <w:tc>
          <w:tcPr>
            <w:tcW w:w="24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March 2013</w:t>
            </w:r>
          </w:p>
        </w:tc>
        <w:tc>
          <w:tcPr>
            <w:tcW w:w="28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March 2014 (33.3%) </w:t>
            </w:r>
          </w:p>
        </w:tc>
        <w:tc>
          <w:tcPr>
            <w:tcW w:w="21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2013 (48%) </w:t>
            </w:r>
          </w:p>
        </w:tc>
      </w:tr>
      <w:tr w:rsidR="008223EE" w:rsidRPr="008223EE" w:rsidTr="008223EE">
        <w:trPr>
          <w:trHeight w:val="240"/>
        </w:trPr>
        <w:tc>
          <w:tcPr>
            <w:tcW w:w="18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4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28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March 2015 (33.3%) </w:t>
            </w:r>
          </w:p>
        </w:tc>
        <w:tc>
          <w:tcPr>
            <w:tcW w:w="21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2014 (35%) </w:t>
            </w:r>
          </w:p>
        </w:tc>
      </w:tr>
      <w:tr w:rsidR="008223EE" w:rsidRPr="008223EE" w:rsidTr="008223EE">
        <w:trPr>
          <w:trHeight w:val="240"/>
        </w:trPr>
        <w:tc>
          <w:tcPr>
            <w:tcW w:w="18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4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28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March 2016 (33.3%) </w:t>
            </w:r>
          </w:p>
        </w:tc>
        <w:tc>
          <w:tcPr>
            <w:tcW w:w="21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2015 (15%) </w:t>
            </w:r>
          </w:p>
        </w:tc>
      </w:tr>
      <w:tr w:rsidR="008223EE" w:rsidRPr="008223EE" w:rsidTr="008223EE">
        <w:trPr>
          <w:trHeight w:val="240"/>
        </w:trPr>
        <w:tc>
          <w:tcPr>
            <w:tcW w:w="189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4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86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21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2016 (2%) </w:t>
            </w:r>
          </w:p>
        </w:tc>
      </w:tr>
      <w:tr w:rsidR="008223EE" w:rsidRPr="008223EE" w:rsidTr="008223EE">
        <w:trPr>
          <w:trHeight w:val="240"/>
        </w:trPr>
        <w:tc>
          <w:tcPr>
            <w:tcW w:w="18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Deferred share bonus</w:t>
            </w:r>
          </w:p>
        </w:tc>
        <w:tc>
          <w:tcPr>
            <w:tcW w:w="24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March 2013</w:t>
            </w:r>
          </w:p>
        </w:tc>
        <w:tc>
          <w:tcPr>
            <w:tcW w:w="28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March 2014 (33.3%) </w:t>
            </w:r>
          </w:p>
        </w:tc>
        <w:tc>
          <w:tcPr>
            <w:tcW w:w="21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2013 (48%) </w:t>
            </w:r>
          </w:p>
        </w:tc>
      </w:tr>
      <w:tr w:rsidR="008223EE" w:rsidRPr="008223EE" w:rsidTr="008223EE">
        <w:trPr>
          <w:trHeight w:val="240"/>
        </w:trPr>
        <w:tc>
          <w:tcPr>
            <w:tcW w:w="18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4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8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March 2015 (33.3%) </w:t>
            </w:r>
          </w:p>
        </w:tc>
        <w:tc>
          <w:tcPr>
            <w:tcW w:w="21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2014 (35%) </w:t>
            </w:r>
          </w:p>
        </w:tc>
      </w:tr>
      <w:tr w:rsidR="008223EE" w:rsidRPr="008223EE" w:rsidTr="008223EE">
        <w:trPr>
          <w:trHeight w:val="240"/>
        </w:trPr>
        <w:tc>
          <w:tcPr>
            <w:tcW w:w="18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4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8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March 2016 (33.3%) </w:t>
            </w:r>
          </w:p>
        </w:tc>
        <w:tc>
          <w:tcPr>
            <w:tcW w:w="21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2015 (15%) </w:t>
            </w:r>
          </w:p>
        </w:tc>
      </w:tr>
      <w:tr w:rsidR="008223EE" w:rsidRPr="008223EE" w:rsidTr="008223EE">
        <w:trPr>
          <w:trHeight w:val="240"/>
        </w:trPr>
        <w:tc>
          <w:tcPr>
            <w:tcW w:w="189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4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86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21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2016 (2%)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85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85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85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85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85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85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85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14"/>
          <w:szCs w:val="14"/>
        </w:rPr>
        <w:t>1        The actual amount charged depends upon whether performance conditions have been met and will vary compared with the above expectation.</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14"/>
          <w:szCs w:val="14"/>
        </w:rPr>
        <w:t>2       Does not include the impact of future grants which may be made in 2013 and 2014.</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14"/>
          <w:szCs w:val="14"/>
        </w:rPr>
        <w:t xml:space="preserve">3        Payments are subject to all performance conditions being met prior to the expected payment date. In addition, employees receiving a deferred cash bonus may be awarded a service credit of 10% of the initial value of the award at the time that the final instalment is made, subject to continued employment.  </w:t>
      </w:r>
    </w:p>
    <w:p w:rsidR="008223EE" w:rsidRPr="008223EE" w:rsidRDefault="008223EE" w:rsidP="001F6E11">
      <w:pPr>
        <w:spacing w:after="0" w:line="240" w:lineRule="auto"/>
        <w:ind w:left="284" w:hanging="284"/>
        <w:jc w:val="both"/>
        <w:rPr>
          <w:rFonts w:ascii="Arial" w:eastAsia="Times New Roman" w:hAnsi="Arial" w:cs="Arial"/>
          <w:b/>
          <w:bCs/>
          <w:i/>
          <w:iCs/>
          <w:sz w:val="16"/>
          <w:szCs w:val="16"/>
        </w:rPr>
      </w:pPr>
      <w:r w:rsidRPr="008223EE">
        <w:rPr>
          <w:rFonts w:ascii="Arial" w:eastAsia="Times New Roman" w:hAnsi="Arial" w:cs="Arial"/>
          <w:i/>
          <w:iCs/>
          <w:sz w:val="14"/>
          <w:szCs w:val="14"/>
        </w:rPr>
        <w:t xml:space="preserve">4       The income statement charge is based on the period over which performance conditions are met.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Performance Management</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Returns and Equity by Business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Returns on average equity and average tangible equity are calculated using profit after tax and non-controlling interests for the period, divided by average allocated equity or tangible equity as appropriate. Average allocated equity has been calculated as 10% of average risk weighted assets for each business, adjusted for capital deductions, including goodwill and intangible assets, reflecting the assumptions the Group uses for capital planning purposes. The higher capital level currently held, reflecting the Core Tier 1 capital ratio of 10.9% as at 31 December 2012, is allocated to Head Office and Other Operations. Average allocated tangible equity is calculated using the same method but excludes goodwill and intangible assets.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735" w:type="dxa"/>
        <w:tblInd w:w="-36" w:type="dxa"/>
        <w:tblCellMar>
          <w:left w:w="0" w:type="dxa"/>
          <w:right w:w="0" w:type="dxa"/>
        </w:tblCellMar>
        <w:tblLook w:val="04A0" w:firstRow="1" w:lastRow="0" w:firstColumn="1" w:lastColumn="0" w:noHBand="0" w:noVBand="1"/>
      </w:tblPr>
      <w:tblGrid>
        <w:gridCol w:w="4492"/>
        <w:gridCol w:w="2570"/>
        <w:gridCol w:w="103"/>
        <w:gridCol w:w="2570"/>
      </w:tblGrid>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25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p>
        </w:tc>
        <w:tc>
          <w:tcPr>
            <w:tcW w:w="4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25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735" w:type="dxa"/>
        <w:tblInd w:w="-36" w:type="dxa"/>
        <w:tblCellMar>
          <w:left w:w="0" w:type="dxa"/>
          <w:right w:w="0" w:type="dxa"/>
        </w:tblCellMar>
        <w:tblLook w:val="04A0" w:firstRow="1" w:lastRow="0" w:firstColumn="1" w:lastColumn="0" w:noHBand="0" w:noVBand="1"/>
      </w:tblPr>
      <w:tblGrid>
        <w:gridCol w:w="4494"/>
        <w:gridCol w:w="1246"/>
        <w:gridCol w:w="1323"/>
        <w:gridCol w:w="103"/>
        <w:gridCol w:w="1246"/>
        <w:gridCol w:w="1323"/>
      </w:tblGrid>
      <w:tr w:rsidR="008223EE" w:rsidRPr="008223EE" w:rsidTr="008223EE">
        <w:trPr>
          <w:trHeight w:val="255"/>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w:t>
            </w:r>
          </w:p>
        </w:tc>
        <w:tc>
          <w:tcPr>
            <w:tcW w:w="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w:t>
            </w:r>
          </w:p>
        </w:tc>
      </w:tr>
      <w:tr w:rsidR="008223EE" w:rsidRPr="008223EE" w:rsidTr="008223EE">
        <w:trPr>
          <w:trHeight w:val="240"/>
        </w:trPr>
        <w:tc>
          <w:tcPr>
            <w:tcW w:w="43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8"/>
                <w:szCs w:val="18"/>
              </w:rPr>
              <w:t>Return on Average Equity</w:t>
            </w:r>
            <w:r w:rsidRPr="008223EE">
              <w:rPr>
                <w:rFonts w:ascii="Arial" w:eastAsia="Times New Roman" w:hAnsi="Arial" w:cs="Arial"/>
                <w:color w:val="000000"/>
                <w:sz w:val="18"/>
                <w:szCs w:val="18"/>
                <w:vertAlign w:val="superscript"/>
              </w:rPr>
              <w:t xml:space="preserve"> </w:t>
            </w:r>
          </w:p>
        </w:tc>
        <w:tc>
          <w:tcPr>
            <w:tcW w:w="12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2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31.12.11 </w:t>
            </w:r>
          </w:p>
        </w:tc>
        <w:tc>
          <w:tcPr>
            <w:tcW w:w="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2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31.12.11 </w:t>
            </w:r>
          </w:p>
        </w:tc>
      </w:tr>
      <w:tr w:rsidR="008223EE" w:rsidRPr="008223EE" w:rsidTr="008223EE">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8223EE">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14.9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10.6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Europe RBB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(6.0)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(21.8)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Africa RBB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9.7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9.8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Barclaycard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22.1 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17.4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6.8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Investment Bank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10.4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10.4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Banking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1.7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 </w:t>
            </w:r>
          </w:p>
        </w:tc>
      </w:tr>
      <w:tr w:rsidR="008223EE" w:rsidRPr="008223EE" w:rsidTr="008223EE">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Wealth and Investment Management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13.9 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10.9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13.9 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10.9  </w:t>
            </w:r>
          </w:p>
        </w:tc>
      </w:tr>
      <w:tr w:rsidR="008223EE" w:rsidRPr="008223EE" w:rsidTr="008223EE">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Group excluding Head Office and Other Operations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12.1 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9.4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8.0 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6.4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Head Office and Other Operations Impact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(2.8)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(0.6) </w:t>
            </w:r>
          </w:p>
        </w:tc>
      </w:tr>
      <w:tr w:rsidR="008223EE" w:rsidRPr="008223EE" w:rsidTr="008223EE">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7.8 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6.6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5.8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250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Adjusted</w:t>
            </w:r>
          </w:p>
        </w:tc>
        <w:tc>
          <w:tcPr>
            <w:tcW w:w="4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250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735" w:type="dxa"/>
        <w:tblInd w:w="-36" w:type="dxa"/>
        <w:tblCellMar>
          <w:left w:w="0" w:type="dxa"/>
          <w:right w:w="0" w:type="dxa"/>
        </w:tblCellMar>
        <w:tblLook w:val="04A0" w:firstRow="1" w:lastRow="0" w:firstColumn="1" w:lastColumn="0" w:noHBand="0" w:noVBand="1"/>
      </w:tblPr>
      <w:tblGrid>
        <w:gridCol w:w="4494"/>
        <w:gridCol w:w="1246"/>
        <w:gridCol w:w="1323"/>
        <w:gridCol w:w="103"/>
        <w:gridCol w:w="1246"/>
        <w:gridCol w:w="1323"/>
      </w:tblGrid>
      <w:tr w:rsidR="008223EE" w:rsidRPr="008223EE" w:rsidTr="008223EE">
        <w:trPr>
          <w:trHeight w:val="240"/>
        </w:trPr>
        <w:tc>
          <w:tcPr>
            <w:tcW w:w="43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Return on Average Tangible Equity </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8223EE">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30.5 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28.6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20.3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Europe RBB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(7.9)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(29.0)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Africa RBB</w:t>
            </w:r>
            <w:r w:rsidRPr="008223EE">
              <w:rPr>
                <w:rFonts w:ascii="Arial" w:eastAsia="Times New Roman" w:hAnsi="Arial" w:cs="Arial"/>
                <w:color w:val="000000"/>
                <w:sz w:val="13"/>
                <w:szCs w:val="13"/>
                <w:vertAlign w:val="superscript"/>
              </w:rPr>
              <w:t>1 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16.2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16.3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Barclaycard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29.7 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23.0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20.5 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9.0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Investment Bank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14.2 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10.8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14.2 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10.8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Banking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1.8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 </w:t>
            </w:r>
          </w:p>
        </w:tc>
      </w:tr>
      <w:tr w:rsidR="008223EE" w:rsidRPr="008223EE" w:rsidTr="008223EE">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Wealth and Investment Management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19.2 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15.0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19.2 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15.0  </w:t>
            </w:r>
          </w:p>
        </w:tc>
      </w:tr>
      <w:tr w:rsidR="008223EE" w:rsidRPr="008223EE" w:rsidTr="008223EE">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Group excluding Head Office and Other Operations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14.2 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11.5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9.5 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8.0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Head Office and Other Operations Impact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(3.6)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(11.7)</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 </w:t>
            </w:r>
          </w:p>
        </w:tc>
      </w:tr>
      <w:tr w:rsidR="008223EE" w:rsidRPr="008223EE" w:rsidTr="008223EE">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9.1 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7.9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6.9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250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Average Equity</w:t>
            </w:r>
          </w:p>
        </w:tc>
        <w:tc>
          <w:tcPr>
            <w:tcW w:w="4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250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Average Tangible Equity</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735" w:type="dxa"/>
        <w:tblInd w:w="-36" w:type="dxa"/>
        <w:tblCellMar>
          <w:left w:w="0" w:type="dxa"/>
          <w:right w:w="0" w:type="dxa"/>
        </w:tblCellMar>
        <w:tblLook w:val="04A0" w:firstRow="1" w:lastRow="0" w:firstColumn="1" w:lastColumn="0" w:noHBand="0" w:noVBand="1"/>
      </w:tblPr>
      <w:tblGrid>
        <w:gridCol w:w="4577"/>
        <w:gridCol w:w="1270"/>
        <w:gridCol w:w="1269"/>
        <w:gridCol w:w="81"/>
        <w:gridCol w:w="1269"/>
        <w:gridCol w:w="1269"/>
      </w:tblGrid>
      <w:tr w:rsidR="008223EE" w:rsidRPr="008223EE" w:rsidTr="008223EE">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6,940 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6,821 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3,634 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3,562 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Europe RBB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2,278 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2,703 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1,984 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2,032 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Africa RBB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2,511 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2,625 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1,067 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1,034 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Barclaycard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4,666 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4,634 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3,472 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3,503 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Investment Bank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20,437 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20,501 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19,732 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19,750 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Banking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7,026 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7,450 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6,676 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6,959  </w:t>
            </w:r>
          </w:p>
        </w:tc>
      </w:tr>
      <w:tr w:rsidR="008223EE" w:rsidRPr="008223EE" w:rsidTr="008223EE">
        <w:trPr>
          <w:trHeight w:val="240"/>
        </w:trPr>
        <w:tc>
          <w:tcPr>
            <w:tcW w:w="43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Wealth and Investment Management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1,961 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1,723 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1,415 </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1,259  </w:t>
            </w:r>
          </w:p>
        </w:tc>
      </w:tr>
      <w:tr w:rsidR="008223EE" w:rsidRPr="008223EE" w:rsidTr="008223EE">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Head Office and Other Operations</w:t>
            </w:r>
            <w:r w:rsidRPr="008223EE">
              <w:rPr>
                <w:rFonts w:ascii="Arial" w:eastAsia="Times New Roman" w:hAnsi="Arial" w:cs="Arial"/>
                <w:color w:val="000000"/>
                <w:sz w:val="13"/>
                <w:szCs w:val="13"/>
                <w:vertAlign w:val="superscript"/>
              </w:rPr>
              <w:t>2 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8,939 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5,356 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8,939 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5,352  </w:t>
            </w:r>
          </w:p>
        </w:tc>
      </w:tr>
      <w:tr w:rsidR="008223EE" w:rsidRPr="008223EE" w:rsidTr="008223EE">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r w:rsidRPr="008223EE">
              <w:rPr>
                <w:rFonts w:ascii="Arial" w:eastAsia="Times New Roman" w:hAnsi="Arial" w:cs="Arial"/>
                <w:b/>
                <w:bCs/>
                <w:color w:val="000000"/>
                <w:sz w:val="13"/>
                <w:szCs w:val="13"/>
                <w:vertAlign w:val="superscript"/>
              </w:rPr>
              <w:t>3</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54,758 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51,813 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46,919 </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43,451 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ind w:left="1418" w:hanging="284"/>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color w:val="000000"/>
          <w:sz w:val="2"/>
          <w:szCs w:val="2"/>
        </w:rPr>
        <w:t> </w:t>
      </w:r>
    </w:p>
    <w:p w:rsidR="008223EE" w:rsidRPr="008223EE" w:rsidRDefault="008223EE" w:rsidP="001F6E11">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The return on average tangible equity for Africa RBB has been calculated based on average tangible equity including amounts relating to Absa Group's non-controlling interests.</w:t>
      </w:r>
    </w:p>
    <w:p w:rsidR="008223EE" w:rsidRPr="008223EE" w:rsidRDefault="008223EE" w:rsidP="001F6E11">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Includes risk weighted assets and capital deductions in Head Office and Other Operations, plus the residual balance of average shareholders' equity and tangible equity. </w:t>
      </w:r>
    </w:p>
    <w:p w:rsidR="008223EE" w:rsidRPr="008223EE" w:rsidRDefault="008223EE" w:rsidP="001F6E11">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3        Group average shareholders' equity and average shareholders' tangible equity excludes the cumulative impact of own credit on retained earnings for the calculation of adjusted performance measures.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Performance Management</w:t>
      </w:r>
    </w:p>
    <w:tbl>
      <w:tblPr>
        <w:tblW w:w="0" w:type="auto"/>
        <w:tblInd w:w="-36" w:type="dxa"/>
        <w:tblCellMar>
          <w:left w:w="0" w:type="dxa"/>
          <w:right w:w="0" w:type="dxa"/>
        </w:tblCellMar>
        <w:tblLook w:val="04A0" w:firstRow="1" w:lastRow="0" w:firstColumn="1" w:lastColumn="0" w:noHBand="0" w:noVBand="1"/>
      </w:tblPr>
      <w:tblGrid>
        <w:gridCol w:w="7380"/>
        <w:gridCol w:w="877"/>
        <w:gridCol w:w="877"/>
      </w:tblGrid>
      <w:tr w:rsidR="008223EE" w:rsidRPr="008223EE" w:rsidTr="008223EE">
        <w:trPr>
          <w:trHeight w:val="240"/>
        </w:trPr>
        <w:tc>
          <w:tcPr>
            <w:tcW w:w="76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4"/>
                <w:szCs w:val="24"/>
              </w:rPr>
              <w:t>Margins and Balances</w:t>
            </w:r>
            <w:r w:rsidRPr="008223EE">
              <w:rPr>
                <w:rFonts w:ascii="Calibri" w:eastAsia="Times New Roman" w:hAnsi="Calibri" w:cs="Calibri"/>
                <w:color w:val="000000"/>
                <w:vertAlign w:val="superscript"/>
              </w:rPr>
              <w:t xml:space="preserve"> </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76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Calibri" w:eastAsia="Times New Roman" w:hAnsi="Calibri" w:cs="Calibri"/>
                <w:color w:val="000000"/>
              </w:rPr>
              <w:t> </w:t>
            </w:r>
            <w:r w:rsidRPr="008223EE">
              <w:rPr>
                <w:rFonts w:ascii="Arial" w:eastAsia="Times New Roman" w:hAnsi="Arial" w:cs="Arial"/>
                <w:b/>
                <w:bCs/>
                <w:color w:val="000000"/>
                <w:sz w:val="20"/>
                <w:szCs w:val="20"/>
                <w:vertAlign w:val="superscript"/>
              </w:rPr>
              <w:t> </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r>
      <w:tr w:rsidR="008223EE" w:rsidRPr="008223EE" w:rsidTr="008223EE">
        <w:trPr>
          <w:trHeight w:val="240"/>
        </w:trPr>
        <w:tc>
          <w:tcPr>
            <w:tcW w:w="76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Analysis of Net Interest Income</w:t>
            </w:r>
            <w:r w:rsidRPr="008223EE">
              <w:rPr>
                <w:rFonts w:ascii="Arial" w:eastAsia="Times New Roman" w:hAnsi="Arial" w:cs="Arial"/>
                <w:color w:val="000000"/>
                <w:sz w:val="16"/>
                <w:szCs w:val="16"/>
                <w:vertAlign w:val="superscript"/>
              </w:rPr>
              <w:t xml:space="preserve"> </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76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76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RBB, Corporate Banking and Wealth and Investment Management Customer Income:</w:t>
            </w:r>
            <w:r w:rsidRPr="008223EE">
              <w:rPr>
                <w:rFonts w:ascii="Arial" w:eastAsia="Times New Roman" w:hAnsi="Arial" w:cs="Arial"/>
                <w:color w:val="000000"/>
                <w:sz w:val="16"/>
                <w:szCs w:val="16"/>
                <w:vertAlign w:val="superscript"/>
              </w:rPr>
              <w:t xml:space="preserve">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6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Customer assets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6,723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6,983 </w:t>
            </w:r>
          </w:p>
        </w:tc>
      </w:tr>
      <w:tr w:rsidR="008223EE" w:rsidRPr="008223EE" w:rsidTr="008223EE">
        <w:trPr>
          <w:trHeight w:val="240"/>
        </w:trPr>
        <w:tc>
          <w:tcPr>
            <w:tcW w:w="76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Customer liabilities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3,093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2,866 </w:t>
            </w:r>
          </w:p>
        </w:tc>
      </w:tr>
      <w:tr w:rsidR="008223EE" w:rsidRPr="008223EE" w:rsidTr="008223EE">
        <w:trPr>
          <w:trHeight w:val="240"/>
        </w:trPr>
        <w:tc>
          <w:tcPr>
            <w:tcW w:w="76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Total</w:t>
            </w:r>
            <w:r w:rsidRPr="008223EE">
              <w:rPr>
                <w:rFonts w:ascii="Arial" w:eastAsia="Times New Roman" w:hAnsi="Arial" w:cs="Arial"/>
                <w:color w:val="000000"/>
                <w:sz w:val="16"/>
                <w:szCs w:val="16"/>
                <w:vertAlign w:val="superscript"/>
              </w:rPr>
              <w:t xml:space="preserve">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9,816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9,849 </w:t>
            </w:r>
          </w:p>
        </w:tc>
      </w:tr>
      <w:tr w:rsidR="008223EE" w:rsidRPr="008223EE" w:rsidTr="008223EE">
        <w:trPr>
          <w:trHeight w:val="240"/>
        </w:trPr>
        <w:tc>
          <w:tcPr>
            <w:tcW w:w="76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RBB, Corporate Banking and Wealth and Investment Management Non-customer Income:</w:t>
            </w:r>
            <w:r w:rsidRPr="008223EE">
              <w:rPr>
                <w:rFonts w:ascii="Arial" w:eastAsia="Times New Roman" w:hAnsi="Arial" w:cs="Arial"/>
                <w:color w:val="000000"/>
                <w:sz w:val="16"/>
                <w:szCs w:val="16"/>
                <w:vertAlign w:val="superscript"/>
              </w:rPr>
              <w:t xml:space="preserve">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6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Product structural hedge</w:t>
            </w:r>
            <w:r w:rsidRPr="008223EE">
              <w:rPr>
                <w:rFonts w:ascii="Arial" w:eastAsia="Times New Roman" w:hAnsi="Arial" w:cs="Arial"/>
                <w:color w:val="000000"/>
                <w:sz w:val="13"/>
                <w:szCs w:val="13"/>
                <w:vertAlign w:val="superscript"/>
              </w:rPr>
              <w:t>1 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989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1,168 </w:t>
            </w:r>
          </w:p>
        </w:tc>
      </w:tr>
      <w:tr w:rsidR="008223EE" w:rsidRPr="008223EE" w:rsidTr="008223EE">
        <w:trPr>
          <w:trHeight w:val="240"/>
        </w:trPr>
        <w:tc>
          <w:tcPr>
            <w:tcW w:w="76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Equity structural hedge</w:t>
            </w:r>
            <w:r w:rsidRPr="008223EE">
              <w:rPr>
                <w:rFonts w:ascii="Arial" w:eastAsia="Times New Roman" w:hAnsi="Arial" w:cs="Arial"/>
                <w:color w:val="000000"/>
                <w:sz w:val="13"/>
                <w:szCs w:val="13"/>
                <w:vertAlign w:val="superscript"/>
              </w:rPr>
              <w:t>2 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231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824 </w:t>
            </w:r>
          </w:p>
        </w:tc>
      </w:tr>
      <w:tr w:rsidR="008223EE" w:rsidRPr="008223EE" w:rsidTr="008223EE">
        <w:trPr>
          <w:trHeight w:val="240"/>
        </w:trPr>
        <w:tc>
          <w:tcPr>
            <w:tcW w:w="76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Other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118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148 </w:t>
            </w:r>
          </w:p>
        </w:tc>
      </w:tr>
      <w:tr w:rsidR="008223EE" w:rsidRPr="008223EE" w:rsidTr="008223EE">
        <w:trPr>
          <w:trHeight w:val="240"/>
        </w:trPr>
        <w:tc>
          <w:tcPr>
            <w:tcW w:w="76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RBB, Corporate Banking and Wealth and Investment Management Net Interest Income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11,154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11,989 </w:t>
            </w:r>
          </w:p>
        </w:tc>
      </w:tr>
      <w:tr w:rsidR="008223EE" w:rsidRPr="008223EE" w:rsidTr="008223EE">
        <w:trPr>
          <w:trHeight w:val="240"/>
        </w:trPr>
        <w:tc>
          <w:tcPr>
            <w:tcW w:w="76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Investment Bank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619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1,177 </w:t>
            </w:r>
          </w:p>
        </w:tc>
      </w:tr>
      <w:tr w:rsidR="008223EE" w:rsidRPr="008223EE" w:rsidTr="008223EE">
        <w:trPr>
          <w:trHeight w:val="240"/>
        </w:trPr>
        <w:tc>
          <w:tcPr>
            <w:tcW w:w="76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Head Office and Other Operations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(134)</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(965)</w:t>
            </w:r>
          </w:p>
        </w:tc>
      </w:tr>
      <w:tr w:rsidR="008223EE" w:rsidRPr="008223EE" w:rsidTr="008223EE">
        <w:trPr>
          <w:trHeight w:val="240"/>
        </w:trPr>
        <w:tc>
          <w:tcPr>
            <w:tcW w:w="76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Group net interest income </w:t>
            </w:r>
            <w:r w:rsidRPr="008223EE">
              <w:rPr>
                <w:rFonts w:ascii="Arial" w:eastAsia="Times New Roman" w:hAnsi="Arial" w:cs="Arial"/>
                <w:b/>
                <w:bCs/>
                <w:color w:val="000000"/>
                <w:sz w:val="13"/>
                <w:szCs w:val="13"/>
                <w:vertAlign w:val="superscript"/>
              </w:rPr>
              <w:t>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11,639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12,201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Group net interest income decreased by £562m to £11,639m (2011: £12,201m) principally due to reduced contributions from structural hedges. </w:t>
      </w:r>
      <w:proofErr w:type="gramStart"/>
      <w:r w:rsidRPr="008223EE">
        <w:rPr>
          <w:rFonts w:ascii="Arial" w:eastAsia="Times New Roman" w:hAnsi="Arial" w:cs="Arial"/>
          <w:sz w:val="18"/>
          <w:szCs w:val="18"/>
        </w:rPr>
        <w:t>The overall contribution to Group income from structural hedges decreased by £1,540m to £1,737m.</w:t>
      </w:r>
      <w:proofErr w:type="gramEnd"/>
      <w:r w:rsidRPr="008223EE">
        <w:rPr>
          <w:rFonts w:ascii="Arial" w:eastAsia="Times New Roman" w:hAnsi="Arial" w:cs="Arial"/>
          <w:sz w:val="18"/>
          <w:szCs w:val="18"/>
        </w:rPr>
        <w:t> Of this decrease, £1,061m related to the non-recurrence of gains from the sale of hedging instruments in H2 11, which did not contribute to Group net interest income in 2011 as it was recognised as non-interest income, but a proportion of which is reflected in the net interest income of RBB, Corporate Banking</w:t>
      </w:r>
      <w:proofErr w:type="gramStart"/>
      <w:r w:rsidRPr="008223EE">
        <w:rPr>
          <w:rFonts w:ascii="Arial" w:eastAsia="Times New Roman" w:hAnsi="Arial" w:cs="Arial"/>
          <w:sz w:val="18"/>
          <w:szCs w:val="18"/>
        </w:rPr>
        <w:t>  and</w:t>
      </w:r>
      <w:proofErr w:type="gramEnd"/>
      <w:r w:rsidRPr="008223EE">
        <w:rPr>
          <w:rFonts w:ascii="Arial" w:eastAsia="Times New Roman" w:hAnsi="Arial" w:cs="Arial"/>
          <w:sz w:val="18"/>
          <w:szCs w:val="18"/>
        </w:rPr>
        <w:t xml:space="preserve"> Wealth and Investment Management, shown above</w:t>
      </w:r>
    </w:p>
    <w:p w:rsidR="008223EE" w:rsidRPr="008223EE" w:rsidRDefault="008223EE" w:rsidP="008223EE">
      <w:pPr>
        <w:spacing w:before="180" w:after="18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RBB, Corporate Banking and Wealth and Investment Management Net Interest Income (NII)</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Barclays distinguishes the relative net interest contribution from customer assets and customer liabilities, and separates this from the contribution delivered by non-customer income, which principally arises from Group hedging activities.</w:t>
      </w:r>
    </w:p>
    <w:p w:rsidR="008223EE" w:rsidRPr="008223EE" w:rsidRDefault="008223EE" w:rsidP="008223EE">
      <w:pPr>
        <w:spacing w:before="180" w:after="180" w:line="240" w:lineRule="auto"/>
        <w:jc w:val="both"/>
        <w:rPr>
          <w:rFonts w:ascii="Arial" w:eastAsia="Times New Roman" w:hAnsi="Arial" w:cs="Arial"/>
          <w:b/>
          <w:bCs/>
          <w:sz w:val="18"/>
          <w:szCs w:val="18"/>
        </w:rPr>
      </w:pPr>
      <w:r w:rsidRPr="008223EE">
        <w:rPr>
          <w:rFonts w:ascii="Arial" w:eastAsia="Times New Roman" w:hAnsi="Arial" w:cs="Arial"/>
          <w:b/>
          <w:bCs/>
          <w:sz w:val="18"/>
          <w:szCs w:val="18"/>
        </w:rPr>
        <w:t>Customer Interest Income</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Customer NII decreased marginally to £9,816m (2011: £9,849m), principally due to reductions in the customer asset margin across the majority of businesses partially offset by growth in average customer assets and liabilities</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customer asset margin declined to 2.11% (2011: 2.19%), reflecting an increase in funding rates across RBB, Corporate Banking and Wealth and Investment Management businesses. This was partially offset by a move towards higher margin business in Africa RBB</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customer liability margin increased to 1.09%</w:t>
      </w:r>
      <w:r w:rsidR="001F6E11">
        <w:rPr>
          <w:rFonts w:ascii="Arial" w:eastAsia="Times New Roman" w:hAnsi="Arial" w:cs="Arial"/>
          <w:sz w:val="18"/>
          <w:szCs w:val="18"/>
        </w:rPr>
        <w:t xml:space="preserve"> </w:t>
      </w:r>
      <w:r w:rsidRPr="008223EE">
        <w:rPr>
          <w:rFonts w:ascii="Arial" w:eastAsia="Times New Roman" w:hAnsi="Arial" w:cs="Arial"/>
          <w:sz w:val="18"/>
          <w:szCs w:val="18"/>
        </w:rPr>
        <w:t>(2011: 1.06%) reflecting increased funding rates and therefore value generated from RBB, Corporate Banking and Wealth and Investment Management customer liabilities</w:t>
      </w:r>
    </w:p>
    <w:p w:rsidR="008223EE" w:rsidRPr="008223EE" w:rsidRDefault="008223EE" w:rsidP="008223EE">
      <w:pPr>
        <w:spacing w:before="180" w:after="180" w:line="240" w:lineRule="auto"/>
        <w:jc w:val="both"/>
        <w:rPr>
          <w:rFonts w:ascii="Arial" w:eastAsia="Times New Roman" w:hAnsi="Arial" w:cs="Arial"/>
          <w:b/>
          <w:bCs/>
          <w:sz w:val="18"/>
          <w:szCs w:val="18"/>
        </w:rPr>
      </w:pPr>
      <w:r w:rsidRPr="008223EE">
        <w:rPr>
          <w:rFonts w:ascii="Arial" w:eastAsia="Times New Roman" w:hAnsi="Arial" w:cs="Arial"/>
          <w:b/>
          <w:bCs/>
          <w:sz w:val="18"/>
          <w:szCs w:val="18"/>
        </w:rPr>
        <w:t>Non-customer Interest Income</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Non-customer NII decreased 37% to £1,338m reflecting a reduction in the benefits from Group hedging activities. Group hedging activities utilise structural interest rate hedges to mitigate the impact of the low interest rate environment on customer liabilities and the Group's equity</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Product structural hedges generated a lower contribution of £989m (2011: £1,168m). Hedge durations were maintained throughout the period. Based on current interest rate curves and the on-going hedging strategy, fixed rate returns on product structural hedges are expected to continue to make a significant but declining contribution in 2013</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contribution from equity structural hedges in RBB, Corporate Banking and Wealth and Investment Management decreased to £231m (2011: £824m) following the sale of hedging instruments in H2 11 and the continued low interest rate environment</w:t>
      </w:r>
    </w:p>
    <w:p w:rsidR="008223EE" w:rsidRPr="008223EE" w:rsidRDefault="008223EE" w:rsidP="001F6E11">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Product structural hedges convert short term interest margin volatility on product balances (such as non-interest bearing current accounts and managed rate deposits) into a more stable medium term rate and are built on a monthly basis to achieve a targeted maturity profile.</w:t>
      </w:r>
    </w:p>
    <w:p w:rsidR="008223EE" w:rsidRPr="008223EE" w:rsidRDefault="008223EE" w:rsidP="001F6E11">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Equity structural hedges are in place to manage the volatility in net earnings generated by businesses on the Group's equity, with the impact allocated to businesses in line with their economic capital usage.</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Performance Management</w:t>
      </w:r>
    </w:p>
    <w:p w:rsidR="008223EE" w:rsidRPr="008223EE" w:rsidRDefault="008223EE" w:rsidP="008223EE">
      <w:pPr>
        <w:spacing w:after="180" w:line="240" w:lineRule="auto"/>
        <w:jc w:val="both"/>
        <w:rPr>
          <w:rFonts w:ascii="Arial" w:eastAsia="Times New Roman" w:hAnsi="Arial" w:cs="Arial"/>
          <w:b/>
          <w:bCs/>
          <w:sz w:val="18"/>
          <w:szCs w:val="18"/>
        </w:rPr>
      </w:pPr>
      <w:r w:rsidRPr="008223EE">
        <w:rPr>
          <w:rFonts w:ascii="Arial" w:eastAsia="Times New Roman" w:hAnsi="Arial" w:cs="Arial"/>
          <w:b/>
          <w:bCs/>
          <w:sz w:val="18"/>
          <w:szCs w:val="18"/>
        </w:rPr>
        <w:t>Other Group Interest Income</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Head Office and Other Operations net interest expense decreased to £134m (2011: £965m), principally reflecting the non-recurrence of transfer of gains from the sale of hedging instruments to businesses</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Investment Bank NII decreased 47% to £619m, due to a reduction in interest income from equity structural hedges and credit market exposures</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Group income from equity structural hedges decreased to £748m (2011: £2,109m) including £517m (2011: £1,285m) that was allocated to the Investment Bank and Head Office </w:t>
      </w:r>
    </w:p>
    <w:p w:rsidR="008223EE" w:rsidRPr="008223EE" w:rsidRDefault="008223EE" w:rsidP="001F6E11">
      <w:pPr>
        <w:spacing w:before="180" w:after="180" w:line="240" w:lineRule="auto"/>
        <w:ind w:left="284" w:hanging="284"/>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Net Interest Margin</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net interest margin for RBB, Corporate Banking and Wealth and Investment Management decreased to 1.85% (2011: 2.03%), reflecting the reduction in contribution from Group hedging activities. Consistent with prior periods the net interest margin is expressed as a percentage of the sum of average customer assets and liabilities, to reflect the impact of the margin generated on retail and commercial banking liabilities</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net interest margin expressed as a percentage of average customer assets only, declined to 3.50% (2011: 3.77%)</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2643"/>
        <w:gridCol w:w="947"/>
        <w:gridCol w:w="871"/>
        <w:gridCol w:w="870"/>
        <w:gridCol w:w="989"/>
        <w:gridCol w:w="882"/>
        <w:gridCol w:w="1050"/>
        <w:gridCol w:w="882"/>
      </w:tblGrid>
      <w:tr w:rsidR="008223EE" w:rsidRPr="008223EE" w:rsidTr="008223EE">
        <w:trPr>
          <w:trHeight w:val="240"/>
        </w:trPr>
        <w:tc>
          <w:tcPr>
            <w:tcW w:w="370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Analysis of Net Interest Margin</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Calibri" w:eastAsia="Times New Roman" w:hAnsi="Calibri" w:cs="Calibri"/>
                <w:color w:val="000000"/>
              </w:rPr>
              <w:t> </w:t>
            </w:r>
            <w:r w:rsidRPr="008223EE">
              <w:rPr>
                <w:rFonts w:ascii="Calibri" w:eastAsia="Times New Roman" w:hAnsi="Calibri" w:cs="Calibri"/>
                <w:color w:val="000000"/>
                <w:sz w:val="18"/>
                <w:szCs w:val="18"/>
                <w:vertAlign w:val="superscript"/>
              </w:rPr>
              <w:t> </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Calibri" w:eastAsia="Times New Roman" w:hAnsi="Calibri" w:cs="Calibri"/>
                <w:color w:val="000000"/>
              </w:rPr>
              <w:t> </w:t>
            </w:r>
            <w:r w:rsidRPr="008223EE">
              <w:rPr>
                <w:rFonts w:ascii="Calibri" w:eastAsia="Times New Roman" w:hAnsi="Calibri" w:cs="Calibri"/>
                <w:color w:val="000000"/>
                <w:sz w:val="18"/>
                <w:szCs w:val="18"/>
                <w:vertAlign w:val="superscript"/>
              </w:rPr>
              <w:t> </w:t>
            </w:r>
          </w:p>
        </w:tc>
        <w:tc>
          <w:tcPr>
            <w:tcW w:w="99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630"/>
        </w:trPr>
        <w:tc>
          <w:tcPr>
            <w:tcW w:w="27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UK RBB</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Europe RBB</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Africa RBB</w:t>
            </w:r>
            <w:r w:rsidRPr="008223EE">
              <w:rPr>
                <w:rFonts w:ascii="Arial" w:eastAsia="Times New Roman" w:hAnsi="Arial" w:cs="Arial"/>
                <w:b/>
                <w:bCs/>
                <w:color w:val="000000"/>
                <w:sz w:val="13"/>
                <w:szCs w:val="13"/>
                <w:vertAlign w:val="superscript"/>
              </w:rPr>
              <w:t>1 </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Barclaycard</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Corporate Banking</w:t>
            </w:r>
            <w:r w:rsidRPr="008223EE">
              <w:rPr>
                <w:rFonts w:ascii="Arial" w:eastAsia="Times New Roman" w:hAnsi="Arial" w:cs="Arial"/>
                <w:b/>
                <w:bCs/>
                <w:color w:val="000000"/>
                <w:sz w:val="13"/>
                <w:szCs w:val="13"/>
                <w:vertAlign w:val="superscript"/>
              </w:rPr>
              <w:t>1 </w:t>
            </w:r>
          </w:p>
        </w:tc>
        <w:tc>
          <w:tcPr>
            <w:tcW w:w="99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Wealth and Investment Management</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 RBB, Corporate and Wealth</w:t>
            </w:r>
          </w:p>
        </w:tc>
      </w:tr>
      <w:tr w:rsidR="008223EE" w:rsidRPr="008223EE" w:rsidTr="008223EE">
        <w:trPr>
          <w:trHeight w:val="240"/>
        </w:trPr>
        <w:tc>
          <w:tcPr>
            <w:tcW w:w="274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Year Ended 31.12.12</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9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2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Customer asset margin</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0.83 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3.26 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9.39 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1.14  </w:t>
            </w:r>
          </w:p>
        </w:tc>
        <w:tc>
          <w:tcPr>
            <w:tcW w:w="9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0.65 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2.11 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Customer liability margin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0.97 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0.38 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2.34 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(0.60)</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1.09 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1.12 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Customer net interest margin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1.03 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0.71 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2.90 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9.01 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1.11 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0.99 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1.63 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Non-customer generated margin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0.34 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0.37 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0.22 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(0.55)</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0.13 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0.23 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0.22 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Net interest margin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3.12 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8.46 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1.24 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1.22 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1.85 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Average customer assets (£m)</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124,275 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40,790 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34,108 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32,452 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67,494 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19,670 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318,789 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Average customer liabilities (£m)</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111,753 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14,824 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22,085 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1,286 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83,149 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50,155 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283,252 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274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Year Ended 31.12.11</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9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7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Customer asset margin</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1.22 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0.87 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2.92 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9.52 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1.46  </w:t>
            </w:r>
          </w:p>
        </w:tc>
        <w:tc>
          <w:tcPr>
            <w:tcW w:w="9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0.77 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Customer liability margin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0.87 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0.65 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2.76 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0.94 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0.99 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1.06 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Customer net interest margin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1.05 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0.81 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2.86 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9.52 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1.19 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0.93 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1.67 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Non-customer generated margin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0.46 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0.47 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0.36 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(0.08)</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0.27 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0.36 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0.36 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Net interest margin</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1.51 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1.28 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3.22 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9.44 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1.46 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1.29 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2.03 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Average customer assets (£m)</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118,503 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43,749 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37,944 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30,289 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70,398 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17,546 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318,429 </w:t>
            </w:r>
          </w:p>
        </w:tc>
      </w:tr>
      <w:tr w:rsidR="008223EE" w:rsidRPr="008223EE" w:rsidTr="008223EE">
        <w:trPr>
          <w:trHeight w:val="240"/>
        </w:trPr>
        <w:tc>
          <w:tcPr>
            <w:tcW w:w="27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Average customer liabilities (£m)</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107,761 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17,702 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23,531 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77,372 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44,536 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270,902 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Customer asset and liability margins reflect a year on year increase in the Group's internal funding rates which are based on the cost to the Group of alternative funding in the wholesale market. The increase in funding rates has had an adverse impact to customer asset margins and a benefit to customer liability margins</w:t>
      </w:r>
    </w:p>
    <w:p w:rsidR="008223EE" w:rsidRPr="008223EE" w:rsidRDefault="008223EE" w:rsidP="001F6E11">
      <w:pPr>
        <w:spacing w:before="180" w:after="0" w:line="240" w:lineRule="auto"/>
        <w:ind w:left="284" w:hanging="284"/>
        <w:jc w:val="both"/>
        <w:rPr>
          <w:rFonts w:ascii="Arial" w:eastAsia="Times New Roman" w:hAnsi="Arial" w:cs="Arial"/>
          <w:sz w:val="18"/>
          <w:szCs w:val="18"/>
        </w:rPr>
      </w:pPr>
      <w:proofErr w:type="gramStart"/>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Group's internal funding rate prices intra-group funding and liquidity to give credit to businesses with net surplus liquidity and to charge those businesses in need of wholesale funding at a rate that is driven by prevailing market rates and includes a term premium.</w:t>
      </w:r>
      <w:proofErr w:type="gramEnd"/>
      <w:r w:rsidRPr="008223EE">
        <w:rPr>
          <w:rFonts w:ascii="Arial" w:eastAsia="Times New Roman" w:hAnsi="Arial" w:cs="Arial"/>
          <w:sz w:val="18"/>
          <w:szCs w:val="18"/>
        </w:rPr>
        <w:t xml:space="preserve"> The objective is to price internal funding for assets and liabilities in line with the cost of alternative funding, which ensures there is consistency between retail and wholesale sources</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F6E11">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2011 comparatives have been revised to reflect certain corporate banking activities previously reported in Africa RBB which are now included within Corporate Banking. Corporate Banking average customer assets, average customer liabilities and net interest income have therefore been adjusted by £1,731m, £6,740m and £118m respectively although the net interest margin remains at 1.46%. Africa RBB comparatives have additionally been revised to include gross cheque advances and cheque deposits of £798m within average assets and average liabilities respectively where these were previously reported net. The Africa RBB net interest margin is therefore revised to 3.22% (previously reported as 3.07%) and the Group 2011 net interest margin is revised to 2.03% (previously reported as 2.04%).</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Performance Management</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Overview</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Pr="008223EE">
        <w:rPr>
          <w:rFonts w:ascii="Symbol" w:eastAsia="Times New Roman" w:hAnsi="Symbol" w:cs="Arial"/>
          <w:sz w:val="20"/>
          <w:szCs w:val="20"/>
        </w:rPr>
        <w:t></w:t>
      </w:r>
      <w:r w:rsidRPr="008223EE">
        <w:rPr>
          <w:rFonts w:ascii="Arial" w:eastAsia="Times New Roman" w:hAnsi="Arial" w:cs="Arial"/>
          <w:sz w:val="18"/>
          <w:szCs w:val="18"/>
        </w:rPr>
        <w:t>Barclays has clearly defined its risk management objectives, with an established strategy and framework for managing risk. The approach to identifying, assessing, controlling, reporting and managing risks is formalised in the Principal Risks Policy, which is implemented through relevant control frameworks. Further detail on how these risks are managed will be provided in the 2012 Annual Report and Accounts</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Pr="008223EE">
        <w:rPr>
          <w:rFonts w:ascii="Symbol" w:eastAsia="Times New Roman" w:hAnsi="Symbol" w:cs="Arial"/>
          <w:sz w:val="20"/>
          <w:szCs w:val="20"/>
        </w:rPr>
        <w:t></w:t>
      </w:r>
      <w:r w:rsidRPr="008223EE">
        <w:rPr>
          <w:rFonts w:ascii="Arial" w:eastAsia="Times New Roman" w:hAnsi="Arial" w:cs="Arial"/>
          <w:sz w:val="18"/>
          <w:szCs w:val="18"/>
        </w:rPr>
        <w:t>The topics and associated specific key risks, by Principal Risk, covered in this report are described below.</w:t>
      </w:r>
    </w:p>
    <w:p w:rsidR="008223EE" w:rsidRPr="008223EE" w:rsidRDefault="009B0C46" w:rsidP="008223EE">
      <w:pPr>
        <w:spacing w:line="240" w:lineRule="auto"/>
        <w:ind w:left="1352" w:hanging="142"/>
        <w:rPr>
          <w:rFonts w:ascii="Arial" w:eastAsia="Times New Roman" w:hAnsi="Arial" w:cs="Arial"/>
          <w:sz w:val="2"/>
          <w:szCs w:val="2"/>
        </w:rPr>
      </w:pPr>
      <w:r>
        <w:rPr>
          <w:rFonts w:ascii="Symbol" w:eastAsia="Times New Roman" w:hAnsi="Symbol" w:cs="Arial"/>
          <w:color w:val="000000"/>
          <w:sz w:val="18"/>
          <w:szCs w:val="18"/>
        </w:rPr>
        <w:t></w:t>
      </w:r>
      <w:r w:rsidR="008223EE" w:rsidRPr="008223EE">
        <w:rPr>
          <w:rFonts w:ascii="Symbol" w:eastAsia="Times New Roman" w:hAnsi="Symbol" w:cs="Arial"/>
          <w:color w:val="000000"/>
          <w:sz w:val="18"/>
          <w:szCs w:val="18"/>
        </w:rPr>
        <w:t></w:t>
      </w:r>
    </w:p>
    <w:tbl>
      <w:tblPr>
        <w:tblW w:w="9645" w:type="dxa"/>
        <w:tblInd w:w="-36" w:type="dxa"/>
        <w:tblCellMar>
          <w:left w:w="0" w:type="dxa"/>
          <w:right w:w="0" w:type="dxa"/>
        </w:tblCellMar>
        <w:tblLook w:val="04A0" w:firstRow="1" w:lastRow="0" w:firstColumn="1" w:lastColumn="0" w:noHBand="0" w:noVBand="1"/>
      </w:tblPr>
      <w:tblGrid>
        <w:gridCol w:w="4605"/>
        <w:gridCol w:w="4254"/>
        <w:gridCol w:w="786"/>
      </w:tblGrid>
      <w:tr w:rsidR="008223EE" w:rsidRPr="008223EE" w:rsidTr="008223EE">
        <w:trPr>
          <w:trHeight w:val="240"/>
        </w:trPr>
        <w:tc>
          <w:tcPr>
            <w:tcW w:w="45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Principal Risks and Key Specific Risks </w:t>
            </w:r>
          </w:p>
        </w:tc>
        <w:tc>
          <w:tcPr>
            <w:tcW w:w="41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Topics Covered</w:t>
            </w: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8"/>
                <w:szCs w:val="18"/>
              </w:rPr>
              <w:t>Page</w:t>
            </w:r>
          </w:p>
        </w:tc>
      </w:tr>
      <w:tr w:rsidR="008223EE" w:rsidRPr="008223EE" w:rsidTr="008223EE">
        <w:trPr>
          <w:trHeight w:val="240"/>
        </w:trPr>
        <w:tc>
          <w:tcPr>
            <w:tcW w:w="453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Funding Risk</w:t>
            </w:r>
          </w:p>
        </w:tc>
        <w:tc>
          <w:tcPr>
            <w:tcW w:w="418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0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tcBorders>
              <w:top w:val="nil"/>
              <w:left w:val="nil"/>
              <w:bottom w:val="nil"/>
              <w:right w:val="nil"/>
            </w:tcBorders>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Increasing capital requirements</w:t>
            </w:r>
          </w:p>
        </w:tc>
        <w:tc>
          <w:tcPr>
            <w:tcW w:w="4185" w:type="dxa"/>
            <w:vMerge w:val="restart"/>
            <w:tcBorders>
              <w:top w:val="nil"/>
              <w:left w:val="nil"/>
              <w:bottom w:val="nil"/>
              <w:right w:val="nil"/>
            </w:tcBorders>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Capital resources, risk weighted assets, balance sheet leverage and significant regulatory changes</w:t>
            </w:r>
          </w:p>
        </w:tc>
        <w:tc>
          <w:tcPr>
            <w:tcW w:w="70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43</w:t>
            </w:r>
          </w:p>
        </w:tc>
      </w:tr>
      <w:tr w:rsidR="008223EE" w:rsidRPr="008223EE" w:rsidTr="008223EE">
        <w:trPr>
          <w:trHeight w:val="240"/>
        </w:trPr>
        <w:tc>
          <w:tcPr>
            <w:tcW w:w="4530" w:type="dxa"/>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Maintaining capital strength</w:t>
            </w:r>
          </w:p>
        </w:tc>
        <w:tc>
          <w:tcPr>
            <w:tcW w:w="0" w:type="auto"/>
            <w:vMerge/>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Changes in funding availability and costs</w:t>
            </w:r>
          </w:p>
        </w:tc>
        <w:tc>
          <w:tcPr>
            <w:tcW w:w="4185" w:type="dxa"/>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Liquidity pool and funding structure</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49</w:t>
            </w:r>
          </w:p>
        </w:tc>
      </w:tr>
      <w:tr w:rsidR="008223EE" w:rsidRPr="008223EE" w:rsidTr="008223EE">
        <w:trPr>
          <w:trHeight w:val="240"/>
        </w:trPr>
        <w:tc>
          <w:tcPr>
            <w:tcW w:w="4530" w:type="dxa"/>
            <w:vMerge w:val="restart"/>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Local balance sheet management and redenomination risk</w:t>
            </w:r>
          </w:p>
        </w:tc>
        <w:tc>
          <w:tcPr>
            <w:tcW w:w="4185" w:type="dxa"/>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Eurozone balance sheet redenomination risk</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81</w:t>
            </w:r>
          </w:p>
        </w:tc>
      </w:tr>
      <w:tr w:rsidR="008223EE" w:rsidRPr="008223EE" w:rsidTr="008223EE">
        <w:trPr>
          <w:trHeight w:val="240"/>
        </w:trPr>
        <w:tc>
          <w:tcPr>
            <w:tcW w:w="0" w:type="auto"/>
            <w:vMerge/>
            <w:tcBorders>
              <w:top w:val="nil"/>
              <w:left w:val="nil"/>
              <w:bottom w:val="single" w:sz="8" w:space="0" w:color="969696"/>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185"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336"/>
        </w:trPr>
        <w:tc>
          <w:tcPr>
            <w:tcW w:w="4530" w:type="dxa"/>
            <w:tcBorders>
              <w:top w:val="nil"/>
              <w:left w:val="nil"/>
              <w:bottom w:val="single" w:sz="8" w:space="0" w:color="808080"/>
              <w:right w:val="nil"/>
            </w:tcBorders>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Credit Risk</w:t>
            </w:r>
          </w:p>
        </w:tc>
        <w:tc>
          <w:tcPr>
            <w:tcW w:w="418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0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vMerge w:val="restart"/>
            <w:tcBorders>
              <w:top w:val="nil"/>
              <w:left w:val="nil"/>
              <w:bottom w:val="nil"/>
              <w:right w:val="nil"/>
            </w:tcBorders>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 xml:space="preserve">Extent and sustainability of economic recovery, </w:t>
            </w:r>
            <w:r w:rsidRPr="008223EE">
              <w:rPr>
                <w:rFonts w:ascii="Arial" w:eastAsia="Times New Roman" w:hAnsi="Arial" w:cs="Arial"/>
                <w:color w:val="000000"/>
                <w:sz w:val="18"/>
                <w:szCs w:val="18"/>
              </w:rPr>
              <w:lastRenderedPageBreak/>
              <w:t xml:space="preserve">including impact of austerity measures on the European economies </w:t>
            </w:r>
          </w:p>
        </w:tc>
        <w:tc>
          <w:tcPr>
            <w:tcW w:w="4185" w:type="dxa"/>
            <w:vMerge w:val="restart"/>
            <w:tcBorders>
              <w:top w:val="nil"/>
              <w:left w:val="nil"/>
              <w:bottom w:val="nil"/>
              <w:right w:val="nil"/>
            </w:tcBorders>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lastRenderedPageBreak/>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 xml:space="preserve">Total assets by valuation basis and underlying </w:t>
            </w:r>
            <w:r w:rsidRPr="008223EE">
              <w:rPr>
                <w:rFonts w:ascii="Arial" w:eastAsia="Times New Roman" w:hAnsi="Arial" w:cs="Arial"/>
                <w:color w:val="000000"/>
                <w:sz w:val="18"/>
                <w:szCs w:val="18"/>
              </w:rPr>
              <w:lastRenderedPageBreak/>
              <w:t>asset class</w:t>
            </w:r>
          </w:p>
        </w:tc>
        <w:tc>
          <w:tcPr>
            <w:tcW w:w="70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lastRenderedPageBreak/>
              <w:t>56</w:t>
            </w:r>
          </w:p>
        </w:tc>
      </w:tr>
      <w:tr w:rsidR="008223EE" w:rsidRPr="008223EE" w:rsidTr="008223EE">
        <w:trPr>
          <w:trHeight w:val="457"/>
        </w:trPr>
        <w:tc>
          <w:tcPr>
            <w:tcW w:w="0" w:type="auto"/>
            <w:vMerge/>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0" w:type="auto"/>
            <w:vMerge/>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rPr>
                <w:rFonts w:ascii="Times New Roman" w:eastAsia="Times New Roman" w:hAnsi="Times New Roman" w:cs="Times New Roman"/>
                <w:sz w:val="24"/>
                <w:szCs w:val="24"/>
              </w:rPr>
            </w:pPr>
            <w:r w:rsidRPr="008223EE">
              <w:rPr>
                <w:rFonts w:ascii="Times New Roman" w:eastAsia="Times New Roman" w:hAnsi="Times New Roman" w:cs="Times New Roman"/>
                <w:color w:val="000000"/>
                <w:sz w:val="18"/>
                <w:szCs w:val="18"/>
              </w:rPr>
              <w:t> </w:t>
            </w:r>
          </w:p>
        </w:tc>
      </w:tr>
      <w:tr w:rsidR="008223EE" w:rsidRPr="008223EE" w:rsidTr="008223EE">
        <w:trPr>
          <w:trHeight w:val="240"/>
        </w:trPr>
        <w:tc>
          <w:tcPr>
            <w:tcW w:w="4530" w:type="dxa"/>
            <w:vMerge w:val="restart"/>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lastRenderedPageBreak/>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Increase in unemployment due to weaker economies in a number of countries in which the Group operates</w:t>
            </w:r>
          </w:p>
        </w:tc>
        <w:tc>
          <w:tcPr>
            <w:tcW w:w="4185" w:type="dxa"/>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Loans and advances to customers and banks</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          57</w:t>
            </w:r>
          </w:p>
        </w:tc>
      </w:tr>
      <w:tr w:rsidR="008223EE" w:rsidRPr="008223EE" w:rsidTr="008223EE">
        <w:trPr>
          <w:trHeight w:val="240"/>
        </w:trPr>
        <w:tc>
          <w:tcPr>
            <w:tcW w:w="0" w:type="auto"/>
            <w:vMerge/>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185" w:type="dxa"/>
            <w:vMerge w:val="restart"/>
            <w:tcMar>
              <w:top w:w="0" w:type="dxa"/>
              <w:left w:w="36" w:type="dxa"/>
              <w:bottom w:w="0" w:type="dxa"/>
              <w:right w:w="36" w:type="dxa"/>
            </w:tcMar>
            <w:hideMark/>
          </w:tcPr>
          <w:p w:rsidR="008223EE" w:rsidRPr="008223EE" w:rsidRDefault="008223EE" w:rsidP="00A171D2">
            <w:pPr>
              <w:spacing w:after="0" w:line="240" w:lineRule="auto"/>
              <w:ind w:left="216" w:hanging="142"/>
              <w:rPr>
                <w:rFonts w:ascii="Times New Roman" w:eastAsia="Times New Roman" w:hAnsi="Times New Roman" w:cs="Times New Roman"/>
                <w:sz w:val="24"/>
                <w:szCs w:val="24"/>
              </w:rPr>
            </w:pPr>
            <w:r w:rsidRPr="008223EE">
              <w:rPr>
                <w:rFonts w:ascii="Symbol" w:eastAsia="Times New Roman" w:hAnsi="Symbol" w:cs="Times New Roman"/>
                <w:color w:val="000000"/>
                <w:sz w:val="18"/>
                <w:szCs w:val="18"/>
              </w:rPr>
              <w:t></w:t>
            </w:r>
            <w:r w:rsidR="009B0C46">
              <w:rPr>
                <w:rFonts w:ascii="Symbol" w:eastAsia="Times New Roman" w:hAnsi="Symbol" w:cs="Times New Roman"/>
                <w:color w:val="000000"/>
                <w:sz w:val="18"/>
                <w:szCs w:val="18"/>
              </w:rPr>
              <w:t></w:t>
            </w:r>
            <w:r w:rsidRPr="008223EE">
              <w:rPr>
                <w:rFonts w:ascii="Symbol" w:eastAsia="Times New Roman" w:hAnsi="Symbol" w:cs="Times New Roman"/>
                <w:color w:val="000000"/>
                <w:sz w:val="18"/>
                <w:szCs w:val="18"/>
              </w:rPr>
              <w:t></w:t>
            </w:r>
            <w:r w:rsidRPr="00A171D2">
              <w:rPr>
                <w:rFonts w:ascii="Arial" w:eastAsia="Times New Roman" w:hAnsi="Arial" w:cs="Arial"/>
                <w:color w:val="000000"/>
                <w:sz w:val="18"/>
                <w:szCs w:val="18"/>
              </w:rPr>
              <w:t>Impairment, potential credit risk loans and coverage ratios</w:t>
            </w:r>
            <w:r w:rsidRPr="008223EE">
              <w:rPr>
                <w:rFonts w:ascii="Times New Roman" w:eastAsia="Times New Roman" w:hAnsi="Times New Roman" w:cs="Times New Roman"/>
                <w:color w:val="000000"/>
                <w:sz w:val="18"/>
                <w:szCs w:val="18"/>
              </w:rPr>
              <w:t xml:space="preserve"> </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color w:val="000000"/>
                <w:sz w:val="18"/>
                <w:szCs w:val="18"/>
              </w:rPr>
              <w:t>          58</w:t>
            </w:r>
          </w:p>
        </w:tc>
      </w:tr>
      <w:tr w:rsidR="008223EE" w:rsidRPr="008223EE" w:rsidTr="008223EE">
        <w:trPr>
          <w:trHeight w:val="240"/>
        </w:trPr>
        <w:tc>
          <w:tcPr>
            <w:tcW w:w="4530" w:type="dxa"/>
            <w:vMerge w:val="restart"/>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Impact of rising inflation and potential interest rate rises on consumer debt affordability and corporate profitability</w:t>
            </w:r>
          </w:p>
        </w:tc>
        <w:tc>
          <w:tcPr>
            <w:tcW w:w="0" w:type="auto"/>
            <w:vMerge/>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rPr>
                <w:rFonts w:ascii="Times New Roman" w:eastAsia="Times New Roman" w:hAnsi="Times New Roman" w:cs="Times New Roman"/>
                <w:sz w:val="24"/>
                <w:szCs w:val="24"/>
              </w:rPr>
            </w:pPr>
            <w:r w:rsidRPr="008223EE">
              <w:rPr>
                <w:rFonts w:ascii="Times New Roman" w:eastAsia="Times New Roman" w:hAnsi="Times New Roman" w:cs="Times New Roman"/>
                <w:color w:val="000000"/>
                <w:sz w:val="18"/>
                <w:szCs w:val="18"/>
              </w:rPr>
              <w:t> </w:t>
            </w:r>
          </w:p>
        </w:tc>
      </w:tr>
      <w:tr w:rsidR="008223EE" w:rsidRPr="008223EE" w:rsidTr="008223EE">
        <w:trPr>
          <w:trHeight w:val="233"/>
        </w:trPr>
        <w:tc>
          <w:tcPr>
            <w:tcW w:w="0" w:type="auto"/>
            <w:vMerge/>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185" w:type="dxa"/>
            <w:tcMar>
              <w:top w:w="0" w:type="dxa"/>
              <w:left w:w="36" w:type="dxa"/>
              <w:bottom w:w="0" w:type="dxa"/>
              <w:right w:w="36" w:type="dxa"/>
            </w:tcMar>
            <w:hideMark/>
          </w:tcPr>
          <w:p w:rsidR="008223EE" w:rsidRPr="008223EE" w:rsidRDefault="008223EE" w:rsidP="0091196F">
            <w:pPr>
              <w:spacing w:after="0" w:line="240" w:lineRule="auto"/>
              <w:ind w:left="216" w:hanging="142"/>
              <w:rPr>
                <w:rFonts w:ascii="Times New Roman" w:eastAsia="Times New Roman" w:hAnsi="Times New Roman" w:cs="Times New Roman"/>
                <w:sz w:val="24"/>
                <w:szCs w:val="24"/>
              </w:rPr>
            </w:pPr>
            <w:r w:rsidRPr="008223EE">
              <w:rPr>
                <w:rFonts w:ascii="Symbol" w:eastAsia="Times New Roman" w:hAnsi="Symbol" w:cs="Times New Roman"/>
                <w:color w:val="000000"/>
                <w:sz w:val="18"/>
                <w:szCs w:val="18"/>
              </w:rPr>
              <w:t></w:t>
            </w:r>
            <w:r w:rsidR="009B0C46">
              <w:rPr>
                <w:rFonts w:ascii="Symbol" w:eastAsia="Times New Roman" w:hAnsi="Symbol" w:cs="Times New Roman"/>
                <w:color w:val="000000"/>
                <w:sz w:val="18"/>
                <w:szCs w:val="18"/>
              </w:rPr>
              <w:t></w:t>
            </w:r>
            <w:r w:rsidRPr="008223EE">
              <w:rPr>
                <w:rFonts w:ascii="Symbol" w:eastAsia="Times New Roman" w:hAnsi="Symbol" w:cs="Times New Roman"/>
                <w:color w:val="000000"/>
                <w:sz w:val="18"/>
                <w:szCs w:val="18"/>
              </w:rPr>
              <w:t></w:t>
            </w:r>
            <w:r w:rsidRPr="0091196F">
              <w:rPr>
                <w:rFonts w:ascii="Arial" w:eastAsia="Times New Roman" w:hAnsi="Arial" w:cs="Arial"/>
                <w:color w:val="000000"/>
                <w:sz w:val="18"/>
                <w:szCs w:val="18"/>
              </w:rPr>
              <w:t>Retail credit risk</w:t>
            </w:r>
            <w:r w:rsidRPr="008223EE">
              <w:rPr>
                <w:rFonts w:ascii="Times New Roman" w:eastAsia="Times New Roman" w:hAnsi="Times New Roman" w:cs="Times New Roman"/>
                <w:color w:val="000000"/>
                <w:sz w:val="18"/>
                <w:szCs w:val="18"/>
              </w:rPr>
              <w:t xml:space="preserve"> </w:t>
            </w:r>
          </w:p>
        </w:tc>
        <w:tc>
          <w:tcPr>
            <w:tcW w:w="70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61</w:t>
            </w:r>
          </w:p>
        </w:tc>
      </w:tr>
      <w:tr w:rsidR="008223EE" w:rsidRPr="008223EE" w:rsidTr="008223EE">
        <w:trPr>
          <w:trHeight w:val="232"/>
        </w:trPr>
        <w:tc>
          <w:tcPr>
            <w:tcW w:w="0" w:type="auto"/>
            <w:vMerge/>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185" w:type="dxa"/>
            <w:tcMar>
              <w:top w:w="0" w:type="dxa"/>
              <w:left w:w="36" w:type="dxa"/>
              <w:bottom w:w="0" w:type="dxa"/>
              <w:right w:w="36" w:type="dxa"/>
            </w:tcMar>
            <w:hideMark/>
          </w:tcPr>
          <w:p w:rsidR="008223EE" w:rsidRPr="008223EE" w:rsidRDefault="008223EE" w:rsidP="0091196F">
            <w:pPr>
              <w:spacing w:after="0" w:line="240" w:lineRule="auto"/>
              <w:ind w:left="216" w:hanging="142"/>
              <w:rPr>
                <w:rFonts w:ascii="Times New Roman" w:eastAsia="Times New Roman" w:hAnsi="Times New Roman" w:cs="Times New Roman"/>
                <w:sz w:val="24"/>
                <w:szCs w:val="24"/>
              </w:rPr>
            </w:pPr>
            <w:r w:rsidRPr="008223EE">
              <w:rPr>
                <w:rFonts w:ascii="Symbol" w:eastAsia="Times New Roman" w:hAnsi="Symbol" w:cs="Times New Roman"/>
                <w:color w:val="000000"/>
                <w:sz w:val="18"/>
                <w:szCs w:val="18"/>
              </w:rPr>
              <w:t></w:t>
            </w:r>
            <w:r w:rsidR="009B0C46">
              <w:rPr>
                <w:rFonts w:ascii="Symbol" w:eastAsia="Times New Roman" w:hAnsi="Symbol" w:cs="Times New Roman"/>
                <w:color w:val="000000"/>
                <w:sz w:val="18"/>
                <w:szCs w:val="18"/>
              </w:rPr>
              <w:t></w:t>
            </w:r>
            <w:r w:rsidRPr="008223EE">
              <w:rPr>
                <w:rFonts w:ascii="Symbol" w:eastAsia="Times New Roman" w:hAnsi="Symbol" w:cs="Times New Roman"/>
                <w:color w:val="000000"/>
                <w:sz w:val="18"/>
                <w:szCs w:val="18"/>
              </w:rPr>
              <w:t></w:t>
            </w:r>
            <w:r w:rsidRPr="0091196F">
              <w:rPr>
                <w:rFonts w:ascii="Arial" w:eastAsia="Times New Roman" w:hAnsi="Arial" w:cs="Arial"/>
                <w:color w:val="000000"/>
                <w:sz w:val="18"/>
                <w:szCs w:val="18"/>
              </w:rPr>
              <w:t>Wholesale credit risk</w:t>
            </w:r>
          </w:p>
        </w:tc>
        <w:tc>
          <w:tcPr>
            <w:tcW w:w="70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68</w:t>
            </w:r>
          </w:p>
        </w:tc>
      </w:tr>
      <w:tr w:rsidR="008223EE" w:rsidRPr="008223EE" w:rsidTr="008223EE">
        <w:trPr>
          <w:trHeight w:val="240"/>
        </w:trPr>
        <w:tc>
          <w:tcPr>
            <w:tcW w:w="4530" w:type="dxa"/>
            <w:vMerge w:val="restart"/>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Possibility of further falls in residential property prices in the UK, South Africa and Western Europe</w:t>
            </w:r>
          </w:p>
        </w:tc>
        <w:tc>
          <w:tcPr>
            <w:tcW w:w="4185" w:type="dxa"/>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Barclays credit market exposures</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82</w:t>
            </w:r>
          </w:p>
        </w:tc>
      </w:tr>
      <w:tr w:rsidR="008223EE" w:rsidRPr="008223EE" w:rsidTr="008223EE">
        <w:trPr>
          <w:trHeight w:val="240"/>
        </w:trPr>
        <w:tc>
          <w:tcPr>
            <w:tcW w:w="0" w:type="auto"/>
            <w:vMerge/>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185" w:type="dxa"/>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Group exposures to Eurozone countries</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72</w:t>
            </w:r>
          </w:p>
        </w:tc>
      </w:tr>
      <w:tr w:rsidR="008223EE" w:rsidRPr="008223EE" w:rsidTr="008223EE">
        <w:trPr>
          <w:trHeight w:val="240"/>
        </w:trPr>
        <w:tc>
          <w:tcPr>
            <w:tcW w:w="4530" w:type="dxa"/>
            <w:vMerge w:val="restart"/>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Impact of potentially deteriorating sovereign credit quality, particularly debt servicing and refinancing capability</w:t>
            </w:r>
          </w:p>
        </w:tc>
        <w:tc>
          <w:tcPr>
            <w:tcW w:w="4185" w:type="dxa"/>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Credit derivatives referencing Eurozone sovereign debt</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81</w:t>
            </w:r>
          </w:p>
        </w:tc>
      </w:tr>
      <w:tr w:rsidR="008223EE" w:rsidRPr="008223EE" w:rsidTr="008223EE">
        <w:trPr>
          <w:trHeight w:val="240"/>
        </w:trPr>
        <w:tc>
          <w:tcPr>
            <w:tcW w:w="0" w:type="auto"/>
            <w:vMerge/>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185" w:type="dxa"/>
            <w:tcMar>
              <w:top w:w="0" w:type="dxa"/>
              <w:left w:w="36" w:type="dxa"/>
              <w:bottom w:w="0" w:type="dxa"/>
              <w:right w:w="36" w:type="dxa"/>
            </w:tcMar>
            <w:hideMark/>
          </w:tcPr>
          <w:p w:rsidR="008223EE" w:rsidRPr="008223EE" w:rsidRDefault="008223EE" w:rsidP="008223EE">
            <w:pPr>
              <w:spacing w:after="0" w:line="240" w:lineRule="auto"/>
              <w:rPr>
                <w:rFonts w:ascii="Times New Roman" w:eastAsia="Times New Roman" w:hAnsi="Times New Roman" w:cs="Times New Roman"/>
                <w:sz w:val="24"/>
                <w:szCs w:val="24"/>
              </w:rPr>
            </w:pPr>
            <w:r w:rsidRPr="008223EE">
              <w:rPr>
                <w:rFonts w:ascii="Times New Roman" w:eastAsia="Times New Roman" w:hAnsi="Times New Roman" w:cs="Times New Roman"/>
                <w:color w:val="000000"/>
                <w:sz w:val="18"/>
                <w:szCs w:val="18"/>
              </w:rPr>
              <w:t> </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vMerge w:val="restart"/>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Potential exit of one or more countries from the Euro as a result of the European debt crisis</w:t>
            </w:r>
          </w:p>
        </w:tc>
        <w:tc>
          <w:tcPr>
            <w:tcW w:w="4185" w:type="dxa"/>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0" w:type="auto"/>
            <w:vMerge/>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185" w:type="dxa"/>
            <w:tcMar>
              <w:top w:w="0" w:type="dxa"/>
              <w:left w:w="36" w:type="dxa"/>
              <w:bottom w:w="0" w:type="dxa"/>
              <w:right w:w="36" w:type="dxa"/>
            </w:tcMar>
            <w:hideMark/>
          </w:tcPr>
          <w:p w:rsidR="008223EE" w:rsidRPr="008223EE" w:rsidRDefault="008223EE" w:rsidP="008223EE">
            <w:pPr>
              <w:spacing w:after="0" w:line="240" w:lineRule="auto"/>
              <w:rPr>
                <w:rFonts w:ascii="Times New Roman" w:eastAsia="Times New Roman" w:hAnsi="Times New Roman" w:cs="Times New Roman"/>
                <w:sz w:val="24"/>
                <w:szCs w:val="24"/>
              </w:rPr>
            </w:pPr>
            <w:r w:rsidRPr="008223EE">
              <w:rPr>
                <w:rFonts w:ascii="Times New Roman" w:eastAsia="Times New Roman" w:hAnsi="Times New Roman" w:cs="Times New Roman"/>
                <w:color w:val="000000"/>
                <w:sz w:val="18"/>
                <w:szCs w:val="18"/>
              </w:rPr>
              <w:t> </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Possible deterioration in remaining Credit Market Exposures</w:t>
            </w:r>
          </w:p>
        </w:tc>
        <w:tc>
          <w:tcPr>
            <w:tcW w:w="4185" w:type="dxa"/>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vMerge w:val="restart"/>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Large single name losses and deterioration in specific sectors and geographies</w:t>
            </w:r>
          </w:p>
        </w:tc>
        <w:tc>
          <w:tcPr>
            <w:tcW w:w="4185" w:type="dxa"/>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0" w:type="auto"/>
            <w:vMerge/>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185" w:type="dxa"/>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p>
        </w:tc>
        <w:tc>
          <w:tcPr>
            <w:tcW w:w="4185"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tcBorders>
              <w:top w:val="nil"/>
              <w:left w:val="nil"/>
              <w:bottom w:val="single" w:sz="8" w:space="0" w:color="808080"/>
              <w:right w:val="nil"/>
            </w:tcBorders>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Market Risk</w:t>
            </w:r>
          </w:p>
        </w:tc>
        <w:tc>
          <w:tcPr>
            <w:tcW w:w="418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0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tcBorders>
              <w:top w:val="nil"/>
              <w:left w:val="nil"/>
              <w:bottom w:val="nil"/>
              <w:right w:val="nil"/>
            </w:tcBorders>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Reduced client activity and decreased market liquidity</w:t>
            </w:r>
          </w:p>
        </w:tc>
        <w:tc>
          <w:tcPr>
            <w:tcW w:w="4185" w:type="dxa"/>
            <w:tcBorders>
              <w:top w:val="nil"/>
              <w:left w:val="nil"/>
              <w:bottom w:val="nil"/>
              <w:right w:val="nil"/>
            </w:tcBorders>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 xml:space="preserve">Analysis of Investment Bank's </w:t>
            </w:r>
            <w:proofErr w:type="spellStart"/>
            <w:r w:rsidRPr="008223EE">
              <w:rPr>
                <w:rFonts w:ascii="Arial" w:eastAsia="Times New Roman" w:hAnsi="Arial" w:cs="Arial"/>
                <w:color w:val="000000"/>
                <w:sz w:val="18"/>
                <w:szCs w:val="18"/>
              </w:rPr>
              <w:t>DvaR</w:t>
            </w:r>
            <w:proofErr w:type="spellEnd"/>
          </w:p>
        </w:tc>
        <w:tc>
          <w:tcPr>
            <w:tcW w:w="70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83</w:t>
            </w:r>
          </w:p>
        </w:tc>
      </w:tr>
      <w:tr w:rsidR="008223EE" w:rsidRPr="008223EE" w:rsidTr="008223EE">
        <w:trPr>
          <w:trHeight w:val="240"/>
        </w:trPr>
        <w:tc>
          <w:tcPr>
            <w:tcW w:w="4530" w:type="dxa"/>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Uncertain interest and exchange rate environment</w:t>
            </w:r>
          </w:p>
        </w:tc>
        <w:tc>
          <w:tcPr>
            <w:tcW w:w="4185" w:type="dxa"/>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Analysis of interest margins</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40</w:t>
            </w:r>
          </w:p>
        </w:tc>
      </w:tr>
      <w:tr w:rsidR="008223EE" w:rsidRPr="008223EE" w:rsidTr="008223EE">
        <w:trPr>
          <w:trHeight w:val="240"/>
        </w:trPr>
        <w:tc>
          <w:tcPr>
            <w:tcW w:w="4530" w:type="dxa"/>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Pension fund risk</w:t>
            </w:r>
          </w:p>
        </w:tc>
        <w:tc>
          <w:tcPr>
            <w:tcW w:w="4185" w:type="dxa"/>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Retirement benefit liabilities</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92</w:t>
            </w:r>
          </w:p>
        </w:tc>
      </w:tr>
      <w:tr w:rsidR="008223EE" w:rsidRPr="008223EE" w:rsidTr="008223EE">
        <w:trPr>
          <w:trHeight w:val="240"/>
        </w:trPr>
        <w:tc>
          <w:tcPr>
            <w:tcW w:w="4530"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p>
        </w:tc>
        <w:tc>
          <w:tcPr>
            <w:tcW w:w="4185"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sz w:val="2"/>
                <w:szCs w:val="2"/>
              </w:rPr>
            </w:pP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tcBorders>
              <w:top w:val="nil"/>
              <w:left w:val="nil"/>
              <w:bottom w:val="single" w:sz="8" w:space="0" w:color="808080"/>
              <w:right w:val="nil"/>
            </w:tcBorders>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Operational Risk</w:t>
            </w:r>
          </w:p>
        </w:tc>
        <w:tc>
          <w:tcPr>
            <w:tcW w:w="418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0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530" w:type="dxa"/>
            <w:tcBorders>
              <w:top w:val="nil"/>
              <w:left w:val="nil"/>
              <w:bottom w:val="nil"/>
              <w:right w:val="nil"/>
            </w:tcBorders>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Regulatory Risk</w:t>
            </w:r>
          </w:p>
        </w:tc>
        <w:tc>
          <w:tcPr>
            <w:tcW w:w="4185" w:type="dxa"/>
            <w:tcBorders>
              <w:top w:val="nil"/>
              <w:left w:val="nil"/>
              <w:bottom w:val="nil"/>
              <w:right w:val="nil"/>
            </w:tcBorders>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Significant litigation matters</w:t>
            </w:r>
          </w:p>
        </w:tc>
        <w:tc>
          <w:tcPr>
            <w:tcW w:w="70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94</w:t>
            </w:r>
          </w:p>
        </w:tc>
      </w:tr>
      <w:tr w:rsidR="008223EE" w:rsidRPr="008223EE" w:rsidTr="008223EE">
        <w:trPr>
          <w:trHeight w:val="240"/>
        </w:trPr>
        <w:tc>
          <w:tcPr>
            <w:tcW w:w="4530" w:type="dxa"/>
            <w:tcMar>
              <w:top w:w="0" w:type="dxa"/>
              <w:left w:w="36" w:type="dxa"/>
              <w:bottom w:w="0" w:type="dxa"/>
              <w:right w:w="36" w:type="dxa"/>
            </w:tcMar>
            <w:hideMark/>
          </w:tcPr>
          <w:p w:rsidR="008223EE" w:rsidRPr="008223EE" w:rsidRDefault="008223EE" w:rsidP="008223EE">
            <w:pPr>
              <w:spacing w:after="0" w:line="240" w:lineRule="auto"/>
              <w:ind w:left="142" w:hanging="142"/>
              <w:rPr>
                <w:rFonts w:ascii="Arial" w:eastAsia="Times New Roman" w:hAnsi="Arial" w:cs="Arial"/>
                <w:sz w:val="2"/>
                <w:szCs w:val="2"/>
              </w:rPr>
            </w:pPr>
            <w:r w:rsidRPr="008223EE">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Legal Risk</w:t>
            </w:r>
          </w:p>
        </w:tc>
        <w:tc>
          <w:tcPr>
            <w:tcW w:w="4185" w:type="dxa"/>
            <w:tcMar>
              <w:top w:w="0" w:type="dxa"/>
              <w:left w:w="36" w:type="dxa"/>
              <w:bottom w:w="0" w:type="dxa"/>
              <w:right w:w="36" w:type="dxa"/>
            </w:tcMar>
            <w:hideMark/>
          </w:tcPr>
          <w:p w:rsidR="008223EE" w:rsidRPr="008223EE" w:rsidRDefault="008223EE" w:rsidP="008223EE">
            <w:pPr>
              <w:spacing w:after="0" w:line="240" w:lineRule="auto"/>
              <w:ind w:left="218" w:hanging="142"/>
              <w:rPr>
                <w:rFonts w:ascii="Arial" w:eastAsia="Times New Roman" w:hAnsi="Arial" w:cs="Arial"/>
                <w:sz w:val="2"/>
                <w:szCs w:val="2"/>
              </w:rPr>
            </w:pPr>
            <w:r w:rsidRPr="008223EE">
              <w:rPr>
                <w:rFonts w:ascii="Symbol" w:eastAsia="Times New Roman" w:hAnsi="Symbol" w:cs="Arial"/>
                <w:color w:val="000000"/>
                <w:sz w:val="18"/>
                <w:szCs w:val="18"/>
              </w:rPr>
              <w:t></w:t>
            </w:r>
            <w:r w:rsidR="009B0C46">
              <w:rPr>
                <w:rFonts w:ascii="Symbol" w:eastAsia="Times New Roman" w:hAnsi="Symbol" w:cs="Arial"/>
                <w:color w:val="000000"/>
                <w:sz w:val="18"/>
                <w:szCs w:val="18"/>
              </w:rPr>
              <w:t></w:t>
            </w:r>
            <w:r w:rsidRPr="008223EE">
              <w:rPr>
                <w:rFonts w:ascii="Symbol" w:eastAsia="Times New Roman" w:hAnsi="Symbol" w:cs="Arial"/>
                <w:color w:val="000000"/>
                <w:sz w:val="18"/>
                <w:szCs w:val="18"/>
              </w:rPr>
              <w:t></w:t>
            </w:r>
            <w:r w:rsidRPr="008223EE">
              <w:rPr>
                <w:rFonts w:ascii="Arial" w:eastAsia="Times New Roman" w:hAnsi="Arial" w:cs="Arial"/>
                <w:color w:val="000000"/>
                <w:sz w:val="18"/>
                <w:szCs w:val="18"/>
              </w:rPr>
              <w:t xml:space="preserve">Significant competition and regulatory matters </w:t>
            </w:r>
          </w:p>
        </w:tc>
        <w:tc>
          <w:tcPr>
            <w:tcW w:w="7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8"/>
                <w:szCs w:val="18"/>
              </w:rPr>
              <w:t>97</w:t>
            </w:r>
          </w:p>
        </w:tc>
      </w:tr>
    </w:tbl>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Capital</w:t>
      </w:r>
    </w:p>
    <w:tbl>
      <w:tblPr>
        <w:tblW w:w="0" w:type="auto"/>
        <w:tblInd w:w="-36" w:type="dxa"/>
        <w:tblCellMar>
          <w:left w:w="0" w:type="dxa"/>
          <w:right w:w="0" w:type="dxa"/>
        </w:tblCellMar>
        <w:tblLook w:val="04A0" w:firstRow="1" w:lastRow="0" w:firstColumn="1" w:lastColumn="0" w:noHBand="0" w:noVBand="1"/>
      </w:tblPr>
      <w:tblGrid>
        <w:gridCol w:w="6937"/>
        <w:gridCol w:w="1028"/>
        <w:gridCol w:w="1169"/>
      </w:tblGrid>
      <w:tr w:rsidR="008223EE" w:rsidRPr="008223EE" w:rsidTr="008223EE">
        <w:trPr>
          <w:trHeight w:val="240"/>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 xml:space="preserve">Key Capital Ratios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Core Tier 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11.0%</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Tier 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13.3%</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12.9%</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capital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16.4%</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Capital Resources</w:t>
            </w:r>
            <w:r w:rsidRPr="008223EE">
              <w:rPr>
                <w:rFonts w:ascii="Arial" w:eastAsia="Times New Roman" w:hAnsi="Arial" w:cs="Arial"/>
                <w:color w:val="000000"/>
                <w:sz w:val="16"/>
                <w:szCs w:val="16"/>
                <w:vertAlign w:val="superscript"/>
              </w:rPr>
              <w:t xml:space="preserve">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Shareholders' equity (excluding non-controlling interests) per balance sheet</w:t>
            </w:r>
            <w:r w:rsidRPr="008223EE">
              <w:rPr>
                <w:rFonts w:ascii="Arial" w:eastAsia="Times New Roman" w:hAnsi="Arial" w:cs="Arial"/>
                <w:color w:val="000000"/>
                <w:sz w:val="16"/>
                <w:szCs w:val="16"/>
                <w:vertAlign w:val="superscript"/>
              </w:rPr>
              <w:t xml:space="preserve">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53,586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55,589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Own credit cumulative loss/(gain)</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(2,680)</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Unrealised (gains)/losses on available for sale debt securities</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(417)</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803 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Unrealised gains on available for sale equity (recognised as tier 2 capital)</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(110)</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(828)</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Cash flow hedging reserve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(2,099)</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(1,442)</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Non-controlling interests per balance sheet</w:t>
            </w:r>
            <w:r w:rsidRPr="008223EE">
              <w:rPr>
                <w:rFonts w:ascii="Arial" w:eastAsia="Times New Roman" w:hAnsi="Arial" w:cs="Arial"/>
                <w:color w:val="000000"/>
                <w:sz w:val="16"/>
                <w:szCs w:val="16"/>
                <w:vertAlign w:val="superscript"/>
              </w:rPr>
              <w:t xml:space="preserve">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9,371 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9,607 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Less: Other Tier 1 capital - preference shares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(6,203)</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(6,235)</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Less: Non-controlling Tier 2 capital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(547)</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(573)</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regulatory adjustments to non-controlling interests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(138)</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Other regulatory adjustments and deductions:</w:t>
            </w:r>
            <w:r w:rsidRPr="008223EE">
              <w:rPr>
                <w:rFonts w:ascii="Arial" w:eastAsia="Times New Roman" w:hAnsi="Arial" w:cs="Arial"/>
                <w:color w:val="000000"/>
                <w:sz w:val="16"/>
                <w:szCs w:val="16"/>
                <w:vertAlign w:val="superscript"/>
              </w:rPr>
              <w:t xml:space="preserve">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Defined benefit pension adjustment</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(2,445)</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(1,241)</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Goodwill and intangible assets</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(7,622)</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(7,560)</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50% excess of expected losses over impairment</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(648)</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(506)</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50% of securitisation positions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(1,206)</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(1,577)</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regulatory adjustments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(172)</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(153)</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Core Tier 1 capital</w:t>
            </w:r>
            <w:r w:rsidRPr="008223EE">
              <w:rPr>
                <w:rFonts w:ascii="Arial" w:eastAsia="Times New Roman" w:hAnsi="Arial" w:cs="Arial"/>
                <w:color w:val="000000"/>
                <w:sz w:val="16"/>
                <w:szCs w:val="16"/>
                <w:vertAlign w:val="superscript"/>
              </w:rPr>
              <w:t xml:space="preserve">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42,121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43,066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Other Tier 1 capital:</w:t>
            </w:r>
            <w:r w:rsidRPr="008223EE">
              <w:rPr>
                <w:rFonts w:ascii="Arial" w:eastAsia="Times New Roman" w:hAnsi="Arial" w:cs="Arial"/>
                <w:color w:val="000000"/>
                <w:sz w:val="16"/>
                <w:szCs w:val="16"/>
                <w:vertAlign w:val="superscript"/>
              </w:rPr>
              <w:t xml:space="preserve">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Preference shares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6,203 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6,235 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Tier 1 notes</w:t>
            </w:r>
            <w:r w:rsidRPr="008223EE">
              <w:rPr>
                <w:rFonts w:ascii="Arial" w:eastAsia="Times New Roman" w:hAnsi="Arial" w:cs="Arial"/>
                <w:color w:val="000000"/>
                <w:sz w:val="13"/>
                <w:szCs w:val="13"/>
                <w:vertAlign w:val="superscript"/>
              </w:rPr>
              <w:t>2</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530 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Reserve Capital Instruments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2,866 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2,895 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Regulatory adjustments and deductions:</w:t>
            </w:r>
            <w:r w:rsidRPr="008223EE">
              <w:rPr>
                <w:rFonts w:ascii="Arial" w:eastAsia="Times New Roman" w:hAnsi="Arial" w:cs="Arial"/>
                <w:color w:val="000000"/>
                <w:sz w:val="16"/>
                <w:szCs w:val="16"/>
                <w:vertAlign w:val="superscript"/>
              </w:rPr>
              <w:t xml:space="preserve">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50% of material holdings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(2,382)</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50% of the tax on excess of expected losses over impairment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129 </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Total Tier 1 capital</w:t>
            </w:r>
            <w:r w:rsidRPr="008223EE">
              <w:rPr>
                <w:rFonts w:ascii="Arial" w:eastAsia="Times New Roman" w:hAnsi="Arial" w:cs="Arial"/>
                <w:color w:val="000000"/>
                <w:sz w:val="16"/>
                <w:szCs w:val="16"/>
                <w:vertAlign w:val="superscript"/>
              </w:rPr>
              <w:t xml:space="preserve">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51,634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50,473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Tier 2 capital:</w:t>
            </w:r>
            <w:r w:rsidRPr="008223EE">
              <w:rPr>
                <w:rFonts w:ascii="Arial" w:eastAsia="Times New Roman" w:hAnsi="Arial" w:cs="Arial"/>
                <w:color w:val="000000"/>
                <w:sz w:val="16"/>
                <w:szCs w:val="16"/>
                <w:vertAlign w:val="superscript"/>
              </w:rPr>
              <w:t xml:space="preserve">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Undated subordinated liabilities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1,625 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1,657 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Dated subordinated liabilities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14,066 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15,189 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Non-controlling Tier 2 capital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573 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Reserves arising on revaluation of property</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Unrealised gains on available for sale equity</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110 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828 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Collectively assessed impairment allowances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2,002 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2,385 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Tier 2 deductions:</w:t>
            </w:r>
            <w:r w:rsidRPr="008223EE">
              <w:rPr>
                <w:rFonts w:ascii="Arial" w:eastAsia="Times New Roman" w:hAnsi="Arial" w:cs="Arial"/>
                <w:color w:val="000000"/>
                <w:sz w:val="16"/>
                <w:szCs w:val="16"/>
                <w:vertAlign w:val="superscript"/>
              </w:rPr>
              <w:t xml:space="preserve">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50% of material holdings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(2,382)</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50% excess of expected losses over impairment (gross of tax)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(824)</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(635)</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50% of securitisation positions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(1,206)</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(1,577)</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Total capital regulatory adjustments and deductions:</w:t>
            </w:r>
            <w:r w:rsidRPr="008223EE">
              <w:rPr>
                <w:rFonts w:ascii="Arial" w:eastAsia="Times New Roman" w:hAnsi="Arial" w:cs="Arial"/>
                <w:color w:val="000000"/>
                <w:sz w:val="16"/>
                <w:szCs w:val="16"/>
                <w:vertAlign w:val="superscript"/>
              </w:rPr>
              <w:t xml:space="preserve">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Investments that are not material holdings or qualifying holdings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(1,139)</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(1,991)</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deductions from total capital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(597)</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Total regulatory capital </w:t>
            </w:r>
            <w:r w:rsidRPr="008223EE">
              <w:rPr>
                <w:rFonts w:ascii="Arial" w:eastAsia="Times New Roman" w:hAnsi="Arial" w:cs="Arial"/>
                <w:color w:val="000000"/>
                <w:sz w:val="16"/>
                <w:szCs w:val="16"/>
                <w:vertAlign w:val="superscript"/>
              </w:rPr>
              <w:t>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66,063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63,948 </w:t>
            </w:r>
          </w:p>
        </w:tc>
      </w:tr>
      <w:tr w:rsidR="008223EE" w:rsidRPr="008223EE" w:rsidTr="008223EE">
        <w:trPr>
          <w:trHeight w:val="255"/>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656"/>
        </w:trPr>
        <w:tc>
          <w:tcPr>
            <w:tcW w:w="9570" w:type="dxa"/>
            <w:gridSpan w:val="3"/>
            <w:tcMar>
              <w:top w:w="0" w:type="dxa"/>
              <w:left w:w="36" w:type="dxa"/>
              <w:bottom w:w="0" w:type="dxa"/>
              <w:right w:w="36" w:type="dxa"/>
            </w:tcMar>
            <w:vAlign w:val="bottom"/>
            <w:hideMark/>
          </w:tcPr>
          <w:p w:rsidR="008223EE" w:rsidRPr="008223EE" w:rsidRDefault="008223EE" w:rsidP="008223EE">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The capital impacts of these items are net of tax.</w:t>
            </w:r>
          </w:p>
          <w:p w:rsidR="008223EE" w:rsidRPr="008223EE" w:rsidRDefault="008223EE" w:rsidP="008223EE">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2       Tier 1 </w:t>
            </w:r>
            <w:proofErr w:type="gramStart"/>
            <w:r w:rsidRPr="008223EE">
              <w:rPr>
                <w:rFonts w:ascii="Arial" w:eastAsia="Times New Roman" w:hAnsi="Arial" w:cs="Arial"/>
                <w:i/>
                <w:iCs/>
                <w:sz w:val="14"/>
                <w:szCs w:val="14"/>
              </w:rPr>
              <w:t>notes</w:t>
            </w:r>
            <w:proofErr w:type="gramEnd"/>
            <w:r w:rsidRPr="008223EE">
              <w:rPr>
                <w:rFonts w:ascii="Arial" w:eastAsia="Times New Roman" w:hAnsi="Arial" w:cs="Arial"/>
                <w:i/>
                <w:iCs/>
                <w:sz w:val="14"/>
                <w:szCs w:val="14"/>
              </w:rPr>
              <w:t xml:space="preserve"> are included in subordinated liabilities in the consolidated balance sheet.</w:t>
            </w:r>
          </w:p>
        </w:tc>
      </w:tr>
    </w:tbl>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Capital</w:t>
      </w:r>
    </w:p>
    <w:tbl>
      <w:tblPr>
        <w:tblW w:w="0" w:type="auto"/>
        <w:tblInd w:w="-36" w:type="dxa"/>
        <w:tblCellMar>
          <w:left w:w="0" w:type="dxa"/>
          <w:right w:w="0" w:type="dxa"/>
        </w:tblCellMar>
        <w:tblLook w:val="04A0" w:firstRow="1" w:lastRow="0" w:firstColumn="1" w:lastColumn="0" w:noHBand="0" w:noVBand="1"/>
      </w:tblPr>
      <w:tblGrid>
        <w:gridCol w:w="7070"/>
        <w:gridCol w:w="1032"/>
        <w:gridCol w:w="1032"/>
      </w:tblGrid>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Movement in Core Tier 1 Capital</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r>
      <w:tr w:rsidR="008223EE" w:rsidRPr="008223EE" w:rsidTr="008223EE">
        <w:trPr>
          <w:trHeight w:val="240"/>
        </w:trPr>
        <w:tc>
          <w:tcPr>
            <w:tcW w:w="7320"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Core Tier 1 capital as at 1 January</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43,066 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42,861 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(Loss)/profit for the year</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(236)</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3,951 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Removal of own credit</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3,484 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(2,059)</w:t>
            </w:r>
          </w:p>
        </w:tc>
      </w:tr>
      <w:tr w:rsidR="008223EE" w:rsidRPr="008223EE" w:rsidTr="008223EE">
        <w:trPr>
          <w:trHeight w:val="240"/>
        </w:trPr>
        <w:tc>
          <w:tcPr>
            <w:tcW w:w="732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Dividends paid</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(1,427)</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(1,387)</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Retained capital generated from earnings</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1,821 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505 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Movement in reserves - impact of share schemes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(165)</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714 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Movement in currency translation reserves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(1,578)</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(1,607)</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Movement in qualifying available for sale equity reserves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Calibri" w:eastAsia="Times New Roman" w:hAnsi="Calibri" w:cs="Calibri"/>
                <w:color w:val="000000"/>
              </w:rPr>
              <w:t>- </w:t>
            </w:r>
            <w:r w:rsidRPr="008223EE">
              <w:rPr>
                <w:rFonts w:ascii="Arial" w:eastAsia="Times New Roman" w:hAnsi="Arial" w:cs="Arial"/>
                <w:color w:val="000000"/>
                <w:sz w:val="16"/>
                <w:szCs w:val="16"/>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749 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reserves movement</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128</w:t>
            </w:r>
          </w:p>
        </w:tc>
      </w:tr>
      <w:tr w:rsidR="008223EE" w:rsidRPr="008223EE" w:rsidTr="008223EE">
        <w:trPr>
          <w:trHeight w:val="240"/>
        </w:trPr>
        <w:tc>
          <w:tcPr>
            <w:tcW w:w="7320" w:type="dxa"/>
            <w:tcBorders>
              <w:top w:val="single" w:sz="8" w:space="0" w:color="7F7F7F"/>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Movement in other qualifying reserves</w:t>
            </w:r>
          </w:p>
        </w:tc>
        <w:tc>
          <w:tcPr>
            <w:tcW w:w="1050" w:type="dxa"/>
            <w:tcBorders>
              <w:top w:val="single" w:sz="8" w:space="0" w:color="7F7F7F"/>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(1,710)</w:t>
            </w:r>
          </w:p>
        </w:tc>
        <w:tc>
          <w:tcPr>
            <w:tcW w:w="1050" w:type="dxa"/>
            <w:tcBorders>
              <w:top w:val="single" w:sz="8" w:space="0" w:color="7F7F7F"/>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Movement in regulatory adjustments and deductions: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Defined benefit pension adjustment</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(1,204)</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(1,340)</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Goodwill and intangible asset balances</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766 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50% excess of expected losses over impairment</w:t>
            </w:r>
            <w:r w:rsidRPr="008223EE">
              <w:rPr>
                <w:rFonts w:ascii="Arial" w:eastAsia="Times New Roman" w:hAnsi="Arial" w:cs="Arial"/>
                <w:color w:val="000000"/>
                <w:sz w:val="13"/>
                <w:szCs w:val="13"/>
                <w:vertAlign w:val="superscript"/>
              </w:rPr>
              <w:t>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(142)</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(238)</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50% of securitisation positions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783 </w:t>
            </w:r>
          </w:p>
        </w:tc>
      </w:tr>
      <w:tr w:rsidR="008223EE" w:rsidRPr="008223EE" w:rsidTr="008223EE">
        <w:trPr>
          <w:trHeight w:val="240"/>
        </w:trPr>
        <w:tc>
          <w:tcPr>
            <w:tcW w:w="732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regulatory adjustments</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(255)</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Core Tier 1 capital as at 31 December</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42,121</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43,066 </w:t>
            </w:r>
          </w:p>
        </w:tc>
      </w:tr>
    </w:tbl>
    <w:p w:rsidR="008223EE" w:rsidRPr="008223EE" w:rsidRDefault="008223EE" w:rsidP="001F6E11">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Core Tier 1 ratio decreased to 10.9% (2011: 11.0%) reflecting a reduction in Core Tier 1 capital of £0.9bn to £42.1bn, partially offset by a 1% reduction in risk weighted assets to £386.9bn </w:t>
      </w:r>
    </w:p>
    <w:p w:rsidR="008223EE" w:rsidRPr="008223EE" w:rsidRDefault="008223EE" w:rsidP="0096290B">
      <w:pPr>
        <w:spacing w:before="180" w:after="180" w:line="240" w:lineRule="auto"/>
        <w:ind w:left="284"/>
        <w:jc w:val="both"/>
        <w:rPr>
          <w:rFonts w:ascii="Arial" w:eastAsia="Times New Roman" w:hAnsi="Arial" w:cs="Arial"/>
          <w:sz w:val="18"/>
          <w:szCs w:val="18"/>
        </w:rPr>
      </w:pPr>
      <w:r w:rsidRPr="008223EE">
        <w:rPr>
          <w:rFonts w:ascii="Arial" w:eastAsia="Times New Roman" w:hAnsi="Arial" w:cs="Arial"/>
          <w:sz w:val="18"/>
          <w:szCs w:val="18"/>
        </w:rPr>
        <w:t>Barclays generated £1.8bn Core Tier 1 capital from earnings, which excludes movements in own credit, after absorbing the impact of dividends paid and provisions for PPI and interest rate hedging product redress. The increase from earnings was more than offset by other movements in Core Tier 1 capital, principally:</w:t>
      </w:r>
    </w:p>
    <w:p w:rsidR="008223EE" w:rsidRPr="008223EE" w:rsidRDefault="008223EE" w:rsidP="0096290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£1.2bn increase in the adjustment for defined benefit pensions, driven by an additional contribution made to the UK Retirement Fund in April 2012 and deducting expected future deficit contributions over the next five years </w:t>
      </w:r>
    </w:p>
    <w:p w:rsidR="008223EE" w:rsidRPr="008223EE" w:rsidRDefault="008223EE" w:rsidP="0096290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£1.6bn reduction due to foreign currency movements, primarily due to depreciation of USD, EUR, and ZAR against GBP which was broadly offset by foreign currency movements in risk weighted assets</w:t>
      </w:r>
    </w:p>
    <w:p w:rsidR="008223EE" w:rsidRPr="008223EE" w:rsidRDefault="008223EE" w:rsidP="001F6E11">
      <w:pPr>
        <w:spacing w:before="180" w:after="180" w:line="240" w:lineRule="auto"/>
        <w:ind w:left="284" w:hanging="284"/>
        <w:jc w:val="both"/>
        <w:rPr>
          <w:rFonts w:ascii="Arial" w:eastAsia="Times New Roman" w:hAnsi="Arial" w:cs="Arial"/>
          <w:sz w:val="18"/>
          <w:szCs w:val="18"/>
        </w:rPr>
      </w:pPr>
      <w:proofErr w:type="gramStart"/>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Capital Resources increased by £2.1bn reflecting lower deductions for material holdings principally as a result of the sale of the stake in BlackRock, Inc.</w:t>
      </w:r>
      <w:proofErr w:type="gramEnd"/>
      <w:r w:rsidRPr="008223EE">
        <w:rPr>
          <w:rFonts w:ascii="Arial" w:eastAsia="Times New Roman" w:hAnsi="Arial" w:cs="Arial"/>
          <w:sz w:val="18"/>
          <w:szCs w:val="18"/>
        </w:rPr>
        <w:t xml:space="preserve"> Within Tier 2 capital, the redemption of £2.7bn dated subordinated liabilities was partially offset by the issuance of $3bn of Contingent Capital Notes (CCNs)</w:t>
      </w:r>
    </w:p>
    <w:p w:rsidR="008223EE" w:rsidRPr="008223EE" w:rsidRDefault="008223EE" w:rsidP="001F6E11">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1F6E11">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1F6E11">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1F6E11">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1F6E11">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1F6E11">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The capital impacts of these items are net of tax.</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647"/>
        <w:gridCol w:w="1939"/>
        <w:gridCol w:w="78"/>
        <w:gridCol w:w="1237"/>
        <w:gridCol w:w="78"/>
        <w:gridCol w:w="909"/>
        <w:gridCol w:w="666"/>
        <w:gridCol w:w="794"/>
        <w:gridCol w:w="78"/>
        <w:gridCol w:w="962"/>
        <w:gridCol w:w="746"/>
      </w:tblGrid>
      <w:tr w:rsidR="008223EE" w:rsidRPr="008223EE" w:rsidTr="008223EE">
        <w:trPr>
          <w:trHeight w:val="240"/>
        </w:trPr>
        <w:tc>
          <w:tcPr>
            <w:tcW w:w="6000" w:type="dxa"/>
            <w:gridSpan w:val="6"/>
            <w:tcMar>
              <w:top w:w="0" w:type="dxa"/>
              <w:left w:w="36" w:type="dxa"/>
              <w:bottom w:w="0" w:type="dxa"/>
              <w:right w:w="36" w:type="dxa"/>
            </w:tcMar>
            <w:vAlign w:val="center"/>
            <w:hideMark/>
          </w:tcPr>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Capital</w:t>
            </w:r>
          </w:p>
          <w:p w:rsidR="008223EE" w:rsidRPr="008223EE" w:rsidRDefault="008223EE" w:rsidP="008223EE">
            <w:pPr>
              <w:spacing w:after="18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Risk Weighted Assets by Risk Type and Business</w:t>
            </w:r>
          </w:p>
        </w:tc>
        <w:tc>
          <w:tcPr>
            <w:tcW w:w="69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480"/>
        </w:trPr>
        <w:tc>
          <w:tcPr>
            <w:tcW w:w="17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201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Credit Risk</w:t>
            </w:r>
          </w:p>
        </w:tc>
        <w:tc>
          <w:tcPr>
            <w:tcW w:w="30"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24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Counterparty Credit Risk</w:t>
            </w:r>
          </w:p>
        </w:tc>
        <w:tc>
          <w:tcPr>
            <w:tcW w:w="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25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Market Risk</w:t>
            </w:r>
          </w:p>
        </w:tc>
        <w:tc>
          <w:tcPr>
            <w:tcW w:w="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Operational Risk</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c>
          <w:tcPr>
            <w:tcW w:w="172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201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24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4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9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82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4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8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43"/>
        <w:gridCol w:w="651"/>
        <w:gridCol w:w="651"/>
        <w:gridCol w:w="803"/>
        <w:gridCol w:w="78"/>
        <w:gridCol w:w="651"/>
        <w:gridCol w:w="655"/>
        <w:gridCol w:w="78"/>
        <w:gridCol w:w="651"/>
        <w:gridCol w:w="766"/>
        <w:gridCol w:w="922"/>
        <w:gridCol w:w="78"/>
        <w:gridCol w:w="815"/>
        <w:gridCol w:w="792"/>
      </w:tblGrid>
      <w:tr w:rsidR="008223EE" w:rsidRPr="008223EE" w:rsidTr="008223EE">
        <w:trPr>
          <w:trHeight w:val="960"/>
        </w:trPr>
        <w:tc>
          <w:tcPr>
            <w:tcW w:w="17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STD</w:t>
            </w:r>
          </w:p>
        </w:tc>
        <w:tc>
          <w:tcPr>
            <w:tcW w:w="5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F-IRB</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A-IRB</w:t>
            </w:r>
          </w:p>
        </w:tc>
        <w:tc>
          <w:tcPr>
            <w:tcW w:w="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IMM</w:t>
            </w:r>
          </w:p>
        </w:tc>
        <w:tc>
          <w:tcPr>
            <w:tcW w:w="5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Non Model Method</w:t>
            </w:r>
          </w:p>
        </w:tc>
        <w:tc>
          <w:tcPr>
            <w:tcW w:w="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STD</w:t>
            </w:r>
          </w:p>
        </w:tc>
        <w:tc>
          <w:tcPr>
            <w:tcW w:w="69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Modelled - </w:t>
            </w:r>
            <w:proofErr w:type="spellStart"/>
            <w:r w:rsidRPr="008223EE">
              <w:rPr>
                <w:rFonts w:ascii="Arial" w:eastAsia="Times New Roman" w:hAnsi="Arial" w:cs="Arial"/>
                <w:b/>
                <w:bCs/>
                <w:color w:val="000000"/>
                <w:sz w:val="16"/>
                <w:szCs w:val="16"/>
              </w:rPr>
              <w:t>VaR</w:t>
            </w:r>
            <w:proofErr w:type="spellEnd"/>
          </w:p>
        </w:tc>
        <w:tc>
          <w:tcPr>
            <w:tcW w:w="82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Charges Add-on and Non-</w:t>
            </w:r>
            <w:proofErr w:type="spellStart"/>
            <w:r w:rsidRPr="008223EE">
              <w:rPr>
                <w:rFonts w:ascii="Arial" w:eastAsia="Times New Roman" w:hAnsi="Arial" w:cs="Arial"/>
                <w:b/>
                <w:bCs/>
                <w:color w:val="000000"/>
                <w:sz w:val="16"/>
                <w:szCs w:val="16"/>
              </w:rPr>
              <w:t>VaR</w:t>
            </w:r>
            <w:proofErr w:type="spellEnd"/>
            <w:r w:rsidRPr="008223EE">
              <w:rPr>
                <w:rFonts w:ascii="Arial" w:eastAsia="Times New Roman" w:hAnsi="Arial" w:cs="Arial"/>
                <w:b/>
                <w:bCs/>
                <w:color w:val="000000"/>
                <w:sz w:val="16"/>
                <w:szCs w:val="16"/>
              </w:rPr>
              <w:t xml:space="preserve"> Modelled</w:t>
            </w:r>
          </w:p>
        </w:tc>
        <w:tc>
          <w:tcPr>
            <w:tcW w:w="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 Risk Weighted Assets</w:t>
            </w:r>
          </w:p>
        </w:tc>
      </w:tr>
      <w:tr w:rsidR="008223EE" w:rsidRPr="008223EE" w:rsidTr="008223EE">
        <w:trPr>
          <w:trHeight w:val="240"/>
        </w:trPr>
        <w:tc>
          <w:tcPr>
            <w:tcW w:w="172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0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9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2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7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17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RBB</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1,163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31,096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6,524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38,783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Europe RBB</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5,727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9,157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2,225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17,112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Africa RBB</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6,217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5,778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10,580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4,426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27,008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Barclaycard</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16,641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13,442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6,381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36,464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Investment Bank</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9,530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3,055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47,991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25,127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4,264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25,396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22,497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15,429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24,730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178,019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25,744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3,430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31,743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500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6,556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67,973 </w:t>
            </w:r>
          </w:p>
        </w:tc>
      </w:tr>
      <w:tr w:rsidR="008223EE" w:rsidRPr="008223EE" w:rsidTr="008223EE">
        <w:trPr>
          <w:trHeight w:val="48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11,540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317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593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199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3,184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15,833 </w:t>
            </w:r>
          </w:p>
        </w:tc>
      </w:tr>
      <w:tr w:rsidR="008223EE" w:rsidRPr="008223EE" w:rsidTr="008223EE">
        <w:trPr>
          <w:trHeight w:val="480"/>
        </w:trPr>
        <w:tc>
          <w:tcPr>
            <w:tcW w:w="172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Head Office Functions and Other Operations</w:t>
            </w:r>
          </w:p>
        </w:tc>
        <w:tc>
          <w:tcPr>
            <w:tcW w:w="60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205 </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5,301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160 </w:t>
            </w:r>
          </w:p>
        </w:tc>
        <w:tc>
          <w:tcPr>
            <w:tcW w:w="7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5,666 </w:t>
            </w:r>
          </w:p>
        </w:tc>
      </w:tr>
      <w:tr w:rsidR="008223EE" w:rsidRPr="008223EE" w:rsidTr="008223EE">
        <w:trPr>
          <w:trHeight w:val="480"/>
        </w:trPr>
        <w:tc>
          <w:tcPr>
            <w:tcW w:w="17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Risk Weighted Assets</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76,767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12,580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149,903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25,627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4,473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25,396 </w:t>
            </w:r>
          </w:p>
        </w:tc>
        <w:tc>
          <w:tcPr>
            <w:tcW w:w="6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22,497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15,429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54,186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386,858 </w:t>
            </w:r>
          </w:p>
        </w:tc>
      </w:tr>
      <w:tr w:rsidR="008223EE" w:rsidRPr="008223EE" w:rsidTr="008223EE">
        <w:trPr>
          <w:trHeight w:val="240"/>
        </w:trPr>
        <w:tc>
          <w:tcPr>
            <w:tcW w:w="17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9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72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2010" w:type="dxa"/>
            <w:gridSpan w:val="3"/>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30"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245" w:type="dxa"/>
            <w:gridSpan w:val="2"/>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30"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250" w:type="dxa"/>
            <w:gridSpan w:val="3"/>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30"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70"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780"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17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RBB</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1,193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27,896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4,867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33,956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Europe RBB</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6,147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9,691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1,596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17,436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Africa RBB</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8,840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6,615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11,452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3,376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30,289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Barclaycard</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15,262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14,167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4,757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34,186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Investment Bank</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11,395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2,882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47,937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32,570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4,792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27,823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26,568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17,560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15,173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186,700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30,826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2,926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34,338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561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4,191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72,842 </w:t>
            </w:r>
          </w:p>
        </w:tc>
      </w:tr>
      <w:tr w:rsidR="008223EE" w:rsidRPr="008223EE" w:rsidTr="008223EE">
        <w:trPr>
          <w:trHeight w:val="48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p>
        </w:tc>
        <w:tc>
          <w:tcPr>
            <w:tcW w:w="6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10,262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297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834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153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1,530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13,076 </w:t>
            </w:r>
          </w:p>
        </w:tc>
      </w:tr>
      <w:tr w:rsidR="008223EE" w:rsidRPr="008223EE" w:rsidTr="008223EE">
        <w:trPr>
          <w:trHeight w:val="480"/>
        </w:trPr>
        <w:tc>
          <w:tcPr>
            <w:tcW w:w="172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Head Office Functions and Other Operations</w:t>
            </w:r>
          </w:p>
        </w:tc>
        <w:tc>
          <w:tcPr>
            <w:tcW w:w="60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833 </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7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1,431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250 </w:t>
            </w:r>
          </w:p>
        </w:tc>
        <w:tc>
          <w:tcPr>
            <w:tcW w:w="7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2,514 </w:t>
            </w:r>
          </w:p>
        </w:tc>
      </w:tr>
      <w:tr w:rsidR="008223EE" w:rsidRPr="008223EE" w:rsidTr="008223EE">
        <w:trPr>
          <w:trHeight w:val="480"/>
        </w:trPr>
        <w:tc>
          <w:tcPr>
            <w:tcW w:w="17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Total Risk Weighted Assets</w:t>
            </w:r>
          </w:p>
        </w:tc>
        <w:tc>
          <w:tcPr>
            <w:tcW w:w="6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84,758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12,720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147,746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33,131 </w:t>
            </w: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4,953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27,823 </w:t>
            </w:r>
          </w:p>
        </w:tc>
        <w:tc>
          <w:tcPr>
            <w:tcW w:w="6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26,568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17,560 </w:t>
            </w:r>
          </w:p>
        </w:tc>
        <w:tc>
          <w:tcPr>
            <w:tcW w:w="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35,740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390,999 </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7582"/>
        <w:gridCol w:w="1552"/>
      </w:tblGrid>
      <w:tr w:rsidR="008223EE" w:rsidRPr="008223EE" w:rsidTr="008223EE">
        <w:trPr>
          <w:trHeight w:val="255"/>
        </w:trPr>
        <w:tc>
          <w:tcPr>
            <w:tcW w:w="79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59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9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Movement in Risk Weighted Assets</w:t>
            </w:r>
          </w:p>
        </w:tc>
        <w:tc>
          <w:tcPr>
            <w:tcW w:w="15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Risk Weighted Assets</w:t>
            </w:r>
          </w:p>
        </w:tc>
      </w:tr>
      <w:tr w:rsidR="008223EE" w:rsidRPr="008223EE" w:rsidTr="008223EE">
        <w:trPr>
          <w:trHeight w:val="240"/>
        </w:trPr>
        <w:tc>
          <w:tcPr>
            <w:tcW w:w="79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59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r>
      <w:tr w:rsidR="008223EE" w:rsidRPr="008223EE" w:rsidTr="008223EE">
        <w:trPr>
          <w:trHeight w:val="240"/>
        </w:trPr>
        <w:tc>
          <w:tcPr>
            <w:tcW w:w="79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1 January 2012</w:t>
            </w:r>
          </w:p>
        </w:tc>
        <w:tc>
          <w:tcPr>
            <w:tcW w:w="15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391.0 </w:t>
            </w:r>
          </w:p>
        </w:tc>
      </w:tr>
      <w:tr w:rsidR="008223EE" w:rsidRPr="008223EE" w:rsidTr="008223EE">
        <w:trPr>
          <w:trHeight w:val="240"/>
        </w:trPr>
        <w:tc>
          <w:tcPr>
            <w:tcW w:w="79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Methodology and model changes</w:t>
            </w:r>
          </w:p>
        </w:tc>
        <w:tc>
          <w:tcPr>
            <w:tcW w:w="15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38.7 </w:t>
            </w:r>
          </w:p>
        </w:tc>
      </w:tr>
      <w:tr w:rsidR="008223EE" w:rsidRPr="008223EE" w:rsidTr="008223EE">
        <w:trPr>
          <w:trHeight w:val="240"/>
        </w:trPr>
        <w:tc>
          <w:tcPr>
            <w:tcW w:w="79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Business risk reduction</w:t>
            </w:r>
          </w:p>
        </w:tc>
        <w:tc>
          <w:tcPr>
            <w:tcW w:w="15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(28.4)</w:t>
            </w:r>
          </w:p>
        </w:tc>
      </w:tr>
      <w:tr w:rsidR="008223EE" w:rsidRPr="008223EE" w:rsidTr="008223EE">
        <w:trPr>
          <w:trHeight w:val="240"/>
        </w:trPr>
        <w:tc>
          <w:tcPr>
            <w:tcW w:w="79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Foreign Exchange</w:t>
            </w:r>
          </w:p>
        </w:tc>
        <w:tc>
          <w:tcPr>
            <w:tcW w:w="15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w:t>
            </w:r>
          </w:p>
        </w:tc>
      </w:tr>
      <w:tr w:rsidR="008223EE" w:rsidRPr="008223EE" w:rsidTr="008223EE">
        <w:trPr>
          <w:trHeight w:val="240"/>
        </w:trPr>
        <w:tc>
          <w:tcPr>
            <w:tcW w:w="790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Change in risk parameters</w:t>
            </w:r>
          </w:p>
        </w:tc>
        <w:tc>
          <w:tcPr>
            <w:tcW w:w="159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 </w:t>
            </w:r>
          </w:p>
        </w:tc>
      </w:tr>
      <w:tr w:rsidR="008223EE" w:rsidRPr="008223EE" w:rsidTr="008223EE">
        <w:trPr>
          <w:trHeight w:val="240"/>
        </w:trPr>
        <w:tc>
          <w:tcPr>
            <w:tcW w:w="79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 December 2012</w:t>
            </w:r>
          </w:p>
        </w:tc>
        <w:tc>
          <w:tcPr>
            <w:tcW w:w="15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386.9 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Methodology and model changes: the £38.7bn increase is primarily driven by:</w:t>
      </w:r>
    </w:p>
    <w:p w:rsidR="008223EE" w:rsidRPr="008223EE" w:rsidRDefault="008223EE" w:rsidP="0096290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£18.4bn increase in operational risk driven by a recalibration of risk scenarios taking into account operational risk events impacting the banking industry</w:t>
      </w:r>
    </w:p>
    <w:p w:rsidR="008223EE" w:rsidRPr="008223EE" w:rsidRDefault="008223EE" w:rsidP="0096290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£12.0bn increase in market risk within Investment Bank, principally relating to the </w:t>
      </w:r>
      <w:proofErr w:type="spellStart"/>
      <w:r w:rsidRPr="008223EE">
        <w:rPr>
          <w:rFonts w:ascii="Arial" w:eastAsia="Times New Roman" w:hAnsi="Arial" w:cs="Arial"/>
          <w:sz w:val="18"/>
          <w:szCs w:val="18"/>
        </w:rPr>
        <w:t>VaR</w:t>
      </w:r>
      <w:proofErr w:type="spellEnd"/>
      <w:r w:rsidRPr="008223EE">
        <w:rPr>
          <w:rFonts w:ascii="Arial" w:eastAsia="Times New Roman" w:hAnsi="Arial" w:cs="Arial"/>
          <w:sz w:val="18"/>
          <w:szCs w:val="18"/>
        </w:rPr>
        <w:t xml:space="preserve"> model scope and the sovereign incremental risk charge</w:t>
      </w:r>
    </w:p>
    <w:p w:rsidR="008223EE" w:rsidRPr="008223EE" w:rsidRDefault="008223EE" w:rsidP="0096290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£4.7bn increase due to the introduction of minimum loss given default parameters for sovereign exposures</w:t>
      </w:r>
    </w:p>
    <w:p w:rsidR="008223EE" w:rsidRPr="008223EE" w:rsidRDefault="008223EE" w:rsidP="0096290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£2.8bn increase in credit risk as a result of changes to the treatment of real estate exposures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before="180" w:after="180" w:line="240" w:lineRule="auto"/>
        <w:jc w:val="both"/>
        <w:rPr>
          <w:rFonts w:ascii="Arial" w:eastAsia="Times New Roman" w:hAnsi="Arial" w:cs="Arial"/>
          <w:b/>
          <w:bCs/>
          <w:sz w:val="18"/>
          <w:szCs w:val="18"/>
        </w:rPr>
      </w:pPr>
      <w:r w:rsidRPr="008223EE">
        <w:rPr>
          <w:rFonts w:ascii="Arial" w:eastAsia="Times New Roman" w:hAnsi="Arial" w:cs="Arial"/>
          <w:b/>
          <w:bCs/>
          <w:color w:val="000000"/>
          <w:sz w:val="24"/>
          <w:szCs w:val="24"/>
        </w:rPr>
        <w:t>Funding Risk - Capital</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Business risk reduction: the £28.4bn decrease is primarily driven by:</w:t>
      </w:r>
    </w:p>
    <w:p w:rsidR="008223EE" w:rsidRPr="008223EE" w:rsidRDefault="008223EE" w:rsidP="0096290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£24.6bn decrease as a result of business risk reduction in the Investment Bank, including a £4.2bn decrease as a result of the sell down of legacy assets (in addition to £1.0bn lower capital deductions related to legacy business) </w:t>
      </w:r>
    </w:p>
    <w:p w:rsidR="008223EE" w:rsidRPr="008223EE" w:rsidRDefault="008223EE" w:rsidP="0096290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£6.9bn credit risk decrease within Corporate Banking, reflecting business risk reduction and the strategic exit from non-core international portfolios offset by</w:t>
      </w:r>
    </w:p>
    <w:p w:rsidR="008223EE" w:rsidRPr="008223EE" w:rsidRDefault="008223EE" w:rsidP="0096290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£2.2bn increase within UK RBB predominantly driven by mortgage balance growth</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Foreign exchange: £11.3bn decrease is primarily due to the depreciation of USD, EUR and ZAR against GBP</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Change in risk parameters: the £3.1bn decrease is primarily driven by improvements in underlying risk profiles and market conditions</w:t>
      </w:r>
    </w:p>
    <w:p w:rsidR="008223EE" w:rsidRPr="008223EE" w:rsidRDefault="008223EE" w:rsidP="008223EE">
      <w:pPr>
        <w:spacing w:before="180" w:after="18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Implementation of Basel 3 - Impact on Regulatory Capital</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new capital requirements regulation and capital requirements directive that implement Basel 3 proposals within the EU (collectively known as CRD IV) are still under consideration. The requirements are expected to be finalised during 2013, however the implementation date is uncertain</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CRD IV includes the requirement for a 'minimum' Common Equity Tier 1 (CET1) ratio of 4.5%, an additional Capital Conservation buffer (CCB) of 2.5% and Counter-Cyclical Capital buffer (CCCB) of up to 2.5% to be applied when macro-economic conditions indicate areas of the economy are over-heating. Our working assumption is that the CCCB would be zero if implemented today</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 addition globally systemically important banks are expected to hold a buffer of up to 2.5%. For Barclays, this was confirmed in November 2012 by the Financial Stability Board (FSB) to be 2.0% resulting in an expected regulatory target CET1 ratio of 9.0%. This regulatory target capital requirement will phase in between adoption of CRD IV and 2019</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proposed changes to the definition of CET1 also include transitional provisions that are in line with the FSA's statement on CRD IV transitional provisions in October 2012</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Given the phasing of both capital requirements and target levels, in advance of needing to comply with the fully loaded end state requirements Barclays will have the opportunity to continue to generate additional capital from earnings and take management actions to mitigate the impact of CRD IV</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To provide an indication of the potential impact on Barclays, we have estimated our </w:t>
      </w:r>
      <w:proofErr w:type="spellStart"/>
      <w:r w:rsidRPr="008223EE">
        <w:rPr>
          <w:rFonts w:ascii="Arial" w:eastAsia="Times New Roman" w:hAnsi="Arial" w:cs="Arial"/>
          <w:sz w:val="18"/>
          <w:szCs w:val="18"/>
        </w:rPr>
        <w:t>proforma</w:t>
      </w:r>
      <w:proofErr w:type="spellEnd"/>
      <w:r w:rsidRPr="008223EE">
        <w:rPr>
          <w:rFonts w:ascii="Arial" w:eastAsia="Times New Roman" w:hAnsi="Arial" w:cs="Arial"/>
          <w:sz w:val="18"/>
          <w:szCs w:val="18"/>
        </w:rPr>
        <w:t xml:space="preserve"> RWAs and CET1 ratio on </w:t>
      </w:r>
      <w:proofErr w:type="gramStart"/>
      <w:r w:rsidRPr="008223EE">
        <w:rPr>
          <w:rFonts w:ascii="Arial" w:eastAsia="Times New Roman" w:hAnsi="Arial" w:cs="Arial"/>
          <w:sz w:val="18"/>
          <w:szCs w:val="18"/>
        </w:rPr>
        <w:t>both a</w:t>
      </w:r>
      <w:proofErr w:type="gramEnd"/>
      <w:r w:rsidRPr="008223EE">
        <w:rPr>
          <w:rFonts w:ascii="Arial" w:eastAsia="Times New Roman" w:hAnsi="Arial" w:cs="Arial"/>
          <w:sz w:val="18"/>
          <w:szCs w:val="18"/>
        </w:rPr>
        <w:t xml:space="preserve"> transitional and fully loaded basis, reflecting our current interpretation of the rules and assuming they were applied as at 1 January 2013. As at that date Barclays </w:t>
      </w:r>
      <w:proofErr w:type="spellStart"/>
      <w:r w:rsidRPr="008223EE">
        <w:rPr>
          <w:rFonts w:ascii="Arial" w:eastAsia="Times New Roman" w:hAnsi="Arial" w:cs="Arial"/>
          <w:sz w:val="18"/>
          <w:szCs w:val="18"/>
        </w:rPr>
        <w:t>proforma</w:t>
      </w:r>
      <w:proofErr w:type="spellEnd"/>
      <w:r w:rsidRPr="008223EE">
        <w:rPr>
          <w:rFonts w:ascii="Arial" w:eastAsia="Times New Roman" w:hAnsi="Arial" w:cs="Arial"/>
          <w:sz w:val="18"/>
          <w:szCs w:val="18"/>
        </w:rPr>
        <w:t xml:space="preserve"> RWAs on a CRD IV basis would have been estimated at approximately £468bn, with a resultant transitional CET1 ratio of approximately 10.6% and a fully loaded CET1 ratio of approximately 8.2%</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actual impact of CRD IV on capital ratios may be materially different as the requirements and related technical standards have not yet been finalised, for example provisions relating to the scope of application of the CVA volatility charge and restrictions on short hedges relating to insignificant financial holdings. The actual impact will also be dependent on required regulatory approvals and the extent to which further management action is taken prior to implementation</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Basel 3 guidelines include a proposed leverage metric to be implemented by national supervisors initially under a parallel run for disclosure purposes only, and migrating to a mandatory limit over a period of 5 years. Based on our interpretation of the current proposals, the Group's CRD IV leverage ratio as at 31 December 2012 would be within the proposed limit of 33x, allowing for transitional relief to Tier 1 capital</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Capital</w:t>
      </w:r>
    </w:p>
    <w:tbl>
      <w:tblPr>
        <w:tblW w:w="0" w:type="auto"/>
        <w:tblInd w:w="-36" w:type="dxa"/>
        <w:tblCellMar>
          <w:left w:w="0" w:type="dxa"/>
          <w:right w:w="0" w:type="dxa"/>
        </w:tblCellMar>
        <w:tblLook w:val="04A0" w:firstRow="1" w:lastRow="0" w:firstColumn="1" w:lastColumn="0" w:noHBand="0" w:noVBand="1"/>
      </w:tblPr>
      <w:tblGrid>
        <w:gridCol w:w="7054"/>
        <w:gridCol w:w="1040"/>
        <w:gridCol w:w="1040"/>
      </w:tblGrid>
      <w:tr w:rsidR="008223EE" w:rsidRPr="008223EE" w:rsidTr="008223EE">
        <w:trPr>
          <w:trHeight w:val="48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Balance Sheet Leverage</w:t>
            </w:r>
            <w:r w:rsidRPr="008223EE">
              <w:rPr>
                <w:rFonts w:ascii="Arial" w:eastAsia="Times New Roman" w:hAnsi="Arial" w:cs="Arial"/>
                <w:b/>
                <w:bCs/>
                <w:color w:val="000000"/>
                <w:sz w:val="16"/>
                <w:szCs w:val="16"/>
                <w:vertAlign w:val="superscript"/>
              </w:rPr>
              <w:t xml:space="preserve">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55"/>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Total assets</w:t>
            </w:r>
            <w:r w:rsidRPr="008223EE">
              <w:rPr>
                <w:rFonts w:ascii="Arial" w:eastAsia="Times New Roman" w:hAnsi="Arial" w:cs="Arial"/>
                <w:color w:val="000000"/>
                <w:sz w:val="13"/>
                <w:szCs w:val="13"/>
                <w:vertAlign w:val="superscript"/>
              </w:rPr>
              <w:t>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1,490,321 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1,563,527 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Counterparty netting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(387,672)</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(440,592)</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Collateral on derivatives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(46,855)</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(51,124)</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 settlement balances and cash collateral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(71,718)</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(61,913)</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Goodwill and intangible assets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(7,915)</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(7,846)</w:t>
            </w:r>
          </w:p>
        </w:tc>
      </w:tr>
      <w:tr w:rsidR="008223EE" w:rsidRPr="008223EE" w:rsidTr="008223EE">
        <w:trPr>
          <w:trHeight w:val="255"/>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Customer assets held under investment contracts</w:t>
            </w:r>
            <w:r w:rsidRPr="008223EE">
              <w:rPr>
                <w:rFonts w:ascii="Arial" w:eastAsia="Times New Roman" w:hAnsi="Arial" w:cs="Arial"/>
                <w:color w:val="000000"/>
                <w:sz w:val="13"/>
                <w:szCs w:val="13"/>
                <w:vertAlign w:val="superscript"/>
              </w:rPr>
              <w:t>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(1,494)</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(1,681)</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total tangible assets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974,667 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1,000,371 </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qualifying Tier 1 capital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51,634 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50,473 </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gross leverage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19x</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20x</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Adjusted gross leverage (excluding liquidity pool)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16x</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17x</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Ratio of total assets to shareholders' equity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24x</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24x</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Ratio of total assets to shareholders' equity (excluding liquidity pool)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21x</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22x</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Barclays continues to manage its balance sheet within limits and targets for balance sheet usage </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gross leverage reduced to 19x (2011: 20x) reflecting a 2.3% increase in qualifying Tier 1 capital to £51.6bn and a 2.6% decrease in adjusted total tangible assets to £975bn</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At month ends during 2012, the ratio moved in a range from </w:t>
      </w:r>
      <w:proofErr w:type="gramStart"/>
      <w:r w:rsidRPr="008223EE">
        <w:rPr>
          <w:rFonts w:ascii="Arial" w:eastAsia="Times New Roman" w:hAnsi="Arial" w:cs="Arial"/>
          <w:sz w:val="18"/>
          <w:szCs w:val="18"/>
        </w:rPr>
        <w:t>19x</w:t>
      </w:r>
      <w:proofErr w:type="gramEnd"/>
      <w:r w:rsidRPr="008223EE">
        <w:rPr>
          <w:rFonts w:ascii="Arial" w:eastAsia="Times New Roman" w:hAnsi="Arial" w:cs="Arial"/>
          <w:sz w:val="18"/>
          <w:szCs w:val="18"/>
        </w:rPr>
        <w:t xml:space="preserve"> to 23x (2011: 20x to 23x) primarily due to fluctuations in collateralised reverse repurchase lending and high quality trading portfolio assets </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Adjusted total tangible assets include cash and balances at central banks of £86.2bn (2011: £106.9bn). Excluding these balances, the balance sheet leverage would be 17x (2011:18x). Excluding the whole liquidity pool, leverage would be 16x (2011: 17x)</w:t>
      </w:r>
    </w:p>
    <w:p w:rsidR="008223EE" w:rsidRPr="008223EE" w:rsidRDefault="008223EE" w:rsidP="009629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ratio of total assets to total shareholders' equity remained flat at 24x (2011: 24x) and moved within a month end range of 24x to 28x (2011: 24x to 28x), driven by fluctuations noted above and changes in gross interest rate derivatives and settlement balances</w:t>
      </w:r>
      <w:r w:rsidRPr="008223EE">
        <w:rPr>
          <w:rFonts w:ascii="Arial" w:eastAsia="Times New Roman" w:hAnsi="Arial" w:cs="Arial"/>
          <w:sz w:val="2"/>
          <w:szCs w:val="2"/>
        </w:rPr>
        <w:t> </w:t>
      </w:r>
    </w:p>
    <w:p w:rsidR="008223EE" w:rsidRPr="008223EE" w:rsidRDefault="008223EE" w:rsidP="0096290B">
      <w:pPr>
        <w:spacing w:after="0" w:line="240" w:lineRule="auto"/>
        <w:ind w:left="284" w:hanging="284"/>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96290B">
      <w:pPr>
        <w:spacing w:after="0" w:line="240" w:lineRule="auto"/>
        <w:ind w:left="284" w:hanging="284"/>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96290B">
      <w:pPr>
        <w:spacing w:after="0" w:line="240" w:lineRule="auto"/>
        <w:ind w:left="284" w:hanging="284"/>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96290B">
      <w:pPr>
        <w:spacing w:after="0" w:line="240" w:lineRule="auto"/>
        <w:ind w:left="284" w:hanging="284"/>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9629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Includes Liquidity Pool £150bn (31 December 2011: £152bn).</w:t>
      </w:r>
    </w:p>
    <w:p w:rsidR="008223EE" w:rsidRPr="008223EE" w:rsidRDefault="008223EE" w:rsidP="009629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Comprising financial assets designated at fair value and associated cash balances.</w:t>
      </w:r>
    </w:p>
    <w:p w:rsidR="008223EE" w:rsidRPr="008223EE" w:rsidRDefault="008223EE" w:rsidP="008223EE">
      <w:pPr>
        <w:spacing w:before="180" w:after="180" w:line="240" w:lineRule="auto"/>
        <w:ind w:left="1418" w:hanging="284"/>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Capital</w:t>
      </w:r>
    </w:p>
    <w:p w:rsidR="008223EE" w:rsidRPr="008223EE" w:rsidRDefault="008223EE" w:rsidP="008223EE">
      <w:pPr>
        <w:spacing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4"/>
          <w:szCs w:val="24"/>
        </w:rPr>
        <w:lastRenderedPageBreak/>
        <w:t>Liquidity Risk Management Framework</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Barclays has a comprehensive Liquidity Risk Management Framework (the Liquidity Framework) for managing the Group's liquidity risk. The Liquidity Framework meets the FSA's standards and is designed to ensure that the Group maintains sufficient financial resources of appropriate quality for the Group's funding profile. This is achieved via a combination of policy formation, review and governance, analysis, stress testing, limit setting and monitoring. Together, these meet internal and regulatory requirements.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Liquidity risk is managed separately at Absa Group due to local currency and funding requirements. Unless stated otherwise, all disclosures in this section exclude Absa. For details of liquidity risk management at Absa, see page 55.</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Under the Liquidity Framework, the Group has established a Liquidity Risk Appetite (LRA), which is measured with reference to the liquidity pool compared to anticipated stressed net contractual and contingent outflows under a variety of stress scenarios. These scenarios are aligned to the FSA's prescribed stresses and cover a market-wide stress event, a Barclays-specific stress event and a combination of the two. Under normal market conditions, the liquidity pool is managed to be at least 100% of three months' anticipated outflows for a market-wide stress and one month's anticipated outflows for each of the Barclays-specific and combined stresses. Of these, the one month Barclays-specific scenario is the most constraining.</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Since June 2010 the Group has reported its liquidity position against Individual Liquidity Guidance (ILG) provided by the FSA. The Group also monitors its position against anticipated Basel 3 metrics, including the Liquidity Coverage Ratio (LCR) and the Net Stable Funding Ratio (NSFR). Based on the latest standards published by the Basel Committee Barclays had a surplus to both of these requirements, with an estimated LCR of 126% and an estimated NSFR of 104% (2011: 97%</w:t>
      </w:r>
      <w:proofErr w:type="gramStart"/>
      <w:r w:rsidRPr="008223EE">
        <w:rPr>
          <w:rFonts w:ascii="Arial" w:eastAsia="Times New Roman" w:hAnsi="Arial" w:cs="Arial"/>
          <w:sz w:val="18"/>
          <w:szCs w:val="18"/>
        </w:rPr>
        <w:t>)</w:t>
      </w:r>
      <w:r w:rsidRPr="008223EE">
        <w:rPr>
          <w:rFonts w:ascii="Arial" w:eastAsia="Times New Roman" w:hAnsi="Arial" w:cs="Arial"/>
          <w:sz w:val="14"/>
          <w:szCs w:val="14"/>
          <w:vertAlign w:val="superscript"/>
        </w:rPr>
        <w:t>1,2</w:t>
      </w:r>
      <w:proofErr w:type="gramEnd"/>
      <w:r w:rsidRPr="008223EE">
        <w:rPr>
          <w:rFonts w:ascii="Arial" w:eastAsia="Times New Roman" w:hAnsi="Arial" w:cs="Arial"/>
          <w:sz w:val="18"/>
          <w:szCs w:val="18"/>
        </w:rPr>
        <w:t>.</w:t>
      </w:r>
    </w:p>
    <w:p w:rsidR="008223EE" w:rsidRPr="008223EE" w:rsidRDefault="008223EE" w:rsidP="008223EE">
      <w:pPr>
        <w:spacing w:before="180" w:line="240" w:lineRule="auto"/>
        <w:jc w:val="both"/>
        <w:rPr>
          <w:rFonts w:ascii="Arial" w:eastAsia="Times New Roman" w:hAnsi="Arial" w:cs="Arial"/>
          <w:sz w:val="18"/>
          <w:szCs w:val="18"/>
        </w:rPr>
      </w:pPr>
      <w:r w:rsidRPr="008223EE">
        <w:rPr>
          <w:rFonts w:ascii="Arial" w:eastAsia="Times New Roman" w:hAnsi="Arial" w:cs="Arial"/>
          <w:sz w:val="18"/>
          <w:szCs w:val="18"/>
        </w:rPr>
        <w:t>As at 31 December 2012, the Group held eligible liquid assets significantly in excess of 100% of stress requirements for each of the one month Barclays-specific LRA scenario and the Basel 3 LCR requirement:</w:t>
      </w:r>
    </w:p>
    <w:tbl>
      <w:tblPr>
        <w:tblW w:w="0" w:type="auto"/>
        <w:tblInd w:w="-36" w:type="dxa"/>
        <w:tblCellMar>
          <w:left w:w="0" w:type="dxa"/>
          <w:right w:w="0" w:type="dxa"/>
        </w:tblCellMar>
        <w:tblLook w:val="04A0" w:firstRow="1" w:lastRow="0" w:firstColumn="1" w:lastColumn="0" w:noHBand="0" w:noVBand="1"/>
      </w:tblPr>
      <w:tblGrid>
        <w:gridCol w:w="4948"/>
        <w:gridCol w:w="1397"/>
        <w:gridCol w:w="1385"/>
        <w:gridCol w:w="1404"/>
      </w:tblGrid>
      <w:tr w:rsidR="008223EE" w:rsidRPr="008223EE" w:rsidTr="008223EE">
        <w:trPr>
          <w:trHeight w:val="557"/>
        </w:trPr>
        <w:tc>
          <w:tcPr>
            <w:tcW w:w="51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Compliance with Internal and Regulatory Stress Requirements</w:t>
            </w:r>
          </w:p>
        </w:tc>
        <w:tc>
          <w:tcPr>
            <w:tcW w:w="1410" w:type="dxa"/>
            <w:tcMar>
              <w:top w:w="0" w:type="dxa"/>
              <w:left w:w="36" w:type="dxa"/>
              <w:bottom w:w="0" w:type="dxa"/>
              <w:right w:w="36" w:type="dxa"/>
            </w:tcMar>
            <w:vAlign w:val="bottom"/>
            <w:hideMark/>
          </w:tcPr>
          <w:p w:rsidR="008223EE" w:rsidRPr="008223EE" w:rsidRDefault="008223EE" w:rsidP="0091196F">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Barclays LRA</w:t>
            </w:r>
            <w:r w:rsidR="0091196F">
              <w:rPr>
                <w:rFonts w:ascii="Arial" w:eastAsia="Times New Roman" w:hAnsi="Arial" w:cs="Arial"/>
                <w:b/>
                <w:bCs/>
                <w:color w:val="000000"/>
                <w:sz w:val="16"/>
                <w:szCs w:val="16"/>
              </w:rPr>
              <w:br/>
            </w:r>
            <w:r w:rsidRPr="008223EE">
              <w:rPr>
                <w:rFonts w:ascii="Arial" w:eastAsia="Times New Roman" w:hAnsi="Arial" w:cs="Arial"/>
                <w:b/>
                <w:bCs/>
                <w:color w:val="000000"/>
                <w:sz w:val="16"/>
                <w:szCs w:val="16"/>
              </w:rPr>
              <w:t> (one month Barclays specific requirement)</w:t>
            </w:r>
            <w:r w:rsidRPr="008223EE">
              <w:rPr>
                <w:rFonts w:ascii="Arial" w:eastAsia="Times New Roman" w:hAnsi="Arial" w:cs="Arial"/>
                <w:b/>
                <w:bCs/>
                <w:color w:val="000000"/>
                <w:sz w:val="13"/>
                <w:szCs w:val="13"/>
                <w:vertAlign w:val="superscript"/>
              </w:rPr>
              <w:t>3 </w:t>
            </w:r>
          </w:p>
        </w:tc>
        <w:tc>
          <w:tcPr>
            <w:tcW w:w="141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Estimated Basel 3 LCR (revised text January 2013)</w:t>
            </w:r>
          </w:p>
        </w:tc>
        <w:tc>
          <w:tcPr>
            <w:tcW w:w="141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Estimated Basel 3 LCR (earlier text   December 2010)</w:t>
            </w:r>
          </w:p>
        </w:tc>
      </w:tr>
      <w:tr w:rsidR="008223EE" w:rsidRPr="008223EE" w:rsidTr="008223EE">
        <w:trPr>
          <w:trHeight w:val="240"/>
        </w:trPr>
        <w:tc>
          <w:tcPr>
            <w:tcW w:w="51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r w:rsidRPr="008223EE">
              <w:rPr>
                <w:rFonts w:ascii="Arial" w:eastAsia="Times New Roman" w:hAnsi="Arial" w:cs="Arial"/>
                <w:color w:val="000000"/>
                <w:sz w:val="16"/>
                <w:szCs w:val="16"/>
              </w:rPr>
              <w:t xml:space="preserve"> </w:t>
            </w: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r>
      <w:tr w:rsidR="008223EE" w:rsidRPr="008223EE" w:rsidTr="008223EE">
        <w:trPr>
          <w:trHeight w:val="240"/>
        </w:trPr>
        <w:tc>
          <w:tcPr>
            <w:tcW w:w="51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Eligible liquidity buffer</w:t>
            </w:r>
          </w:p>
        </w:tc>
        <w:tc>
          <w:tcPr>
            <w:tcW w:w="1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150  </w:t>
            </w:r>
          </w:p>
        </w:tc>
        <w:tc>
          <w:tcPr>
            <w:tcW w:w="1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155 </w:t>
            </w:r>
          </w:p>
        </w:tc>
        <w:tc>
          <w:tcPr>
            <w:tcW w:w="1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150 </w:t>
            </w:r>
          </w:p>
        </w:tc>
      </w:tr>
      <w:tr w:rsidR="008223EE" w:rsidRPr="008223EE" w:rsidTr="008223EE">
        <w:trPr>
          <w:trHeight w:val="240"/>
        </w:trPr>
        <w:tc>
          <w:tcPr>
            <w:tcW w:w="51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Stress requirement</w:t>
            </w: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116  </w:t>
            </w: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123 </w:t>
            </w: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145 </w:t>
            </w:r>
          </w:p>
        </w:tc>
      </w:tr>
      <w:tr w:rsidR="008223EE" w:rsidRPr="008223EE" w:rsidTr="008223EE">
        <w:trPr>
          <w:trHeight w:val="240"/>
        </w:trPr>
        <w:tc>
          <w:tcPr>
            <w:tcW w:w="51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Surplus</w:t>
            </w:r>
          </w:p>
        </w:tc>
        <w:tc>
          <w:tcPr>
            <w:tcW w:w="1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34  </w:t>
            </w:r>
          </w:p>
        </w:tc>
        <w:tc>
          <w:tcPr>
            <w:tcW w:w="1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32 </w:t>
            </w:r>
          </w:p>
        </w:tc>
        <w:tc>
          <w:tcPr>
            <w:tcW w:w="14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 </w:t>
            </w:r>
          </w:p>
        </w:tc>
      </w:tr>
      <w:tr w:rsidR="008223EE" w:rsidRPr="008223EE" w:rsidTr="008223EE">
        <w:trPr>
          <w:trHeight w:val="240"/>
        </w:trPr>
        <w:tc>
          <w:tcPr>
            <w:tcW w:w="51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Liquidity pool as a percentage of anticipated net outflows</w:t>
            </w:r>
          </w:p>
        </w:tc>
        <w:tc>
          <w:tcPr>
            <w:tcW w:w="14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129% </w:t>
            </w:r>
          </w:p>
        </w:tc>
        <w:tc>
          <w:tcPr>
            <w:tcW w:w="14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w:t>
            </w:r>
          </w:p>
        </w:tc>
        <w:tc>
          <w:tcPr>
            <w:tcW w:w="14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103%</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Barclays plans to maintain its surplus to the internal and regulatory stress requirements at an efficient level. Barclays will continue to monitor the money markets closely, in particular for early indications of the tightening of available funding. In these conditions, the nature and severity of the stress scenarios are reassessed and appropriate action taken with respect to the liquidity pool. This may include further increasing the size of the pool or monetising the pool to meet stress outflow</w:t>
      </w:r>
      <w:r w:rsidRPr="008223EE">
        <w:rPr>
          <w:rFonts w:ascii="Arial" w:eastAsia="Times New Roman" w:hAnsi="Arial" w:cs="Arial"/>
          <w:sz w:val="2"/>
          <w:szCs w:val="2"/>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9629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In January 2013, the Basel Committee published revised standards for the LCR. Under the previous version of the Basel standards published in December 2010 the Group LCR estimate as of 31 December 2012 was 103% (2011: 82%). The revised LCR standards published in January 2013 result in a significantly lower liquidity requirement and allow for the inclusion in the liquidity pool of an additional category of high-quality liquid assets (referred to as Level 2B assets). The methodology for estimating the LCR is based on an interpretation of the published Basel standards and includes a number of assumptions which are subject to change prior to the implementation of the LCR standards in 2015.</w:t>
      </w:r>
    </w:p>
    <w:p w:rsidR="008223EE" w:rsidRPr="008223EE" w:rsidRDefault="008223EE" w:rsidP="009629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The LCR and NSFR estimates are calculated for the Group on a consolidated basis including Absa.</w:t>
      </w:r>
    </w:p>
    <w:p w:rsidR="008223EE" w:rsidRPr="008223EE" w:rsidRDefault="008223EE" w:rsidP="0096290B">
      <w:pPr>
        <w:spacing w:before="20"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3        Of the three stress scenarios monitored as part of the LRA, the one month </w:t>
      </w:r>
      <w:proofErr w:type="gramStart"/>
      <w:r w:rsidRPr="008223EE">
        <w:rPr>
          <w:rFonts w:ascii="Arial" w:eastAsia="Times New Roman" w:hAnsi="Arial" w:cs="Arial"/>
          <w:i/>
          <w:iCs/>
          <w:sz w:val="14"/>
          <w:szCs w:val="14"/>
        </w:rPr>
        <w:t>Barclays</w:t>
      </w:r>
      <w:proofErr w:type="gramEnd"/>
      <w:r w:rsidRPr="008223EE">
        <w:rPr>
          <w:rFonts w:ascii="Arial" w:eastAsia="Times New Roman" w:hAnsi="Arial" w:cs="Arial"/>
          <w:i/>
          <w:iCs/>
          <w:sz w:val="14"/>
          <w:szCs w:val="14"/>
        </w:rPr>
        <w:t xml:space="preserve"> specific scenario results in the lowest ratio at 129% (2011: 107%). This compares to 141% (2011: 127%) under the three month market-wide scenario and 145% (2011: 118%) under the one month combined scenario.</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Liquidity</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Liquidity Pool</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Group liquidity pool as at 31 December 2012 was £150bn (2011: £152bn). During 2012 the month-end liquidity pool ranged from of £150bn to £173bn, and the month-end average balance was £162bn (2011: £156bn). The liquidity pool is held unencumbered and is not used to support payment or clearing requirements.  It is intended to offset stress outflows and comprises the following cash and unencumbered assets.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338"/>
        <w:gridCol w:w="937"/>
        <w:gridCol w:w="937"/>
        <w:gridCol w:w="926"/>
        <w:gridCol w:w="996"/>
      </w:tblGrid>
      <w:tr w:rsidR="008223EE" w:rsidRPr="008223EE" w:rsidTr="008223EE">
        <w:trPr>
          <w:trHeight w:val="240"/>
        </w:trPr>
        <w:tc>
          <w:tcPr>
            <w:tcW w:w="5490" w:type="dxa"/>
            <w:tcMar>
              <w:top w:w="0" w:type="dxa"/>
              <w:left w:w="36" w:type="dxa"/>
              <w:bottom w:w="0" w:type="dxa"/>
              <w:right w:w="36" w:type="dxa"/>
            </w:tcMar>
            <w:vAlign w:val="bottom"/>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20"/>
                <w:szCs w:val="20"/>
              </w:rPr>
              <w:t xml:space="preserve">Composition of the Group Liquidity Pool </w:t>
            </w:r>
            <w:r w:rsidRPr="008223EE">
              <w:rPr>
                <w:rFonts w:ascii="Arial" w:eastAsia="Times New Roman" w:hAnsi="Arial" w:cs="Arial"/>
                <w:b/>
                <w:bCs/>
                <w:color w:val="000000"/>
                <w:sz w:val="16"/>
                <w:szCs w:val="16"/>
                <w:vertAlign w:val="superscript"/>
              </w:rPr>
              <w:t> </w:t>
            </w: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720"/>
        </w:trPr>
        <w:tc>
          <w:tcPr>
            <w:tcW w:w="5490" w:type="dxa"/>
            <w:tcMar>
              <w:top w:w="0" w:type="dxa"/>
              <w:left w:w="36" w:type="dxa"/>
              <w:bottom w:w="0" w:type="dxa"/>
              <w:right w:w="36" w:type="dxa"/>
            </w:tcMar>
            <w:vAlign w:val="bottom"/>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20"/>
                <w:szCs w:val="20"/>
              </w:rPr>
              <w:lastRenderedPageBreak/>
              <w:t> </w:t>
            </w:r>
            <w:r w:rsidRPr="008223EE">
              <w:rPr>
                <w:rFonts w:ascii="Arial" w:eastAsia="Times New Roman" w:hAnsi="Arial" w:cs="Arial"/>
                <w:b/>
                <w:bCs/>
                <w:color w:val="000000"/>
                <w:sz w:val="16"/>
                <w:szCs w:val="16"/>
                <w:vertAlign w:val="superscript"/>
              </w:rPr>
              <w:t> </w:t>
            </w: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Liquidity Pool</w:t>
            </w: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Liquidity pool of which FSA eligible</w:t>
            </w:r>
          </w:p>
        </w:tc>
        <w:tc>
          <w:tcPr>
            <w:tcW w:w="196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Liquidity pool of which Basel III Liquidity Coverage Ratio-eligible</w:t>
            </w:r>
            <w:r w:rsidRPr="008223EE">
              <w:rPr>
                <w:rFonts w:ascii="Arial" w:eastAsia="Times New Roman" w:hAnsi="Arial" w:cs="Arial"/>
                <w:color w:val="000000"/>
                <w:sz w:val="16"/>
                <w:szCs w:val="16"/>
                <w:vertAlign w:val="superscript"/>
              </w:rPr>
              <w:t>1 </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396"/>
        <w:gridCol w:w="934"/>
        <w:gridCol w:w="934"/>
        <w:gridCol w:w="935"/>
        <w:gridCol w:w="935"/>
      </w:tblGrid>
      <w:tr w:rsidR="008223EE" w:rsidRPr="008223EE" w:rsidTr="008223EE">
        <w:trPr>
          <w:trHeight w:val="240"/>
        </w:trPr>
        <w:tc>
          <w:tcPr>
            <w:tcW w:w="549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4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4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4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Level 1</w:t>
            </w:r>
          </w:p>
        </w:tc>
        <w:tc>
          <w:tcPr>
            <w:tcW w:w="94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Level 2A </w:t>
            </w:r>
          </w:p>
        </w:tc>
      </w:tr>
      <w:tr w:rsidR="008223EE" w:rsidRPr="008223EE" w:rsidTr="008223EE">
        <w:trPr>
          <w:trHeight w:val="240"/>
        </w:trPr>
        <w:tc>
          <w:tcPr>
            <w:tcW w:w="54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31.12.12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r w:rsidRPr="008223EE">
              <w:rPr>
                <w:rFonts w:ascii="Arial" w:eastAsia="Times New Roman" w:hAnsi="Arial" w:cs="Arial"/>
                <w:color w:val="000000"/>
                <w:sz w:val="16"/>
                <w:szCs w:val="16"/>
              </w:rPr>
              <w:t xml:space="preserve"> </w:t>
            </w:r>
          </w:p>
        </w:tc>
      </w:tr>
      <w:tr w:rsidR="008223EE" w:rsidRPr="008223EE" w:rsidTr="008223EE">
        <w:trPr>
          <w:trHeight w:val="240"/>
        </w:trPr>
        <w:tc>
          <w:tcPr>
            <w:tcW w:w="54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Cash and deposits with central banks</w:t>
            </w:r>
            <w:r w:rsidRPr="008223EE">
              <w:rPr>
                <w:rFonts w:ascii="Arial" w:eastAsia="Times New Roman" w:hAnsi="Arial" w:cs="Arial"/>
                <w:color w:val="000000"/>
                <w:sz w:val="16"/>
                <w:szCs w:val="16"/>
                <w:vertAlign w:val="superscript"/>
              </w:rPr>
              <w:t>2 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85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82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82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135"/>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6"/>
                <w:szCs w:val="16"/>
                <w:vertAlign w:val="superscript"/>
              </w:rPr>
              <w:t> </w:t>
            </w:r>
          </w:p>
        </w:tc>
      </w:tr>
      <w:tr w:rsidR="008223EE" w:rsidRPr="008223EE" w:rsidTr="008223EE">
        <w:trPr>
          <w:trHeight w:val="240"/>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Government bonds</w:t>
            </w:r>
            <w:r w:rsidRPr="008223EE">
              <w:rPr>
                <w:rFonts w:ascii="Arial" w:eastAsia="Times New Roman" w:hAnsi="Arial" w:cs="Arial"/>
                <w:color w:val="000000"/>
                <w:sz w:val="16"/>
                <w:szCs w:val="16"/>
                <w:vertAlign w:val="superscript"/>
              </w:rPr>
              <w:t>3 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6"/>
                <w:szCs w:val="16"/>
                <w:vertAlign w:val="superscript"/>
              </w:rPr>
              <w:t> </w:t>
            </w:r>
          </w:p>
        </w:tc>
      </w:tr>
      <w:tr w:rsidR="008223EE" w:rsidRPr="008223EE" w:rsidTr="008223EE">
        <w:trPr>
          <w:trHeight w:val="240"/>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AAA rated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40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39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40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AA+ to AA- rated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 to A- rated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549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Total Government bonds</w:t>
            </w:r>
            <w:r w:rsidRPr="008223EE">
              <w:rPr>
                <w:rFonts w:ascii="Arial" w:eastAsia="Times New Roman" w:hAnsi="Arial" w:cs="Arial"/>
                <w:color w:val="000000"/>
                <w:sz w:val="16"/>
                <w:szCs w:val="16"/>
                <w:vertAlign w:val="superscript"/>
              </w:rPr>
              <w:t xml:space="preserve"> </w:t>
            </w:r>
          </w:p>
        </w:tc>
        <w:tc>
          <w:tcPr>
            <w:tcW w:w="94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46 </w:t>
            </w:r>
          </w:p>
        </w:tc>
        <w:tc>
          <w:tcPr>
            <w:tcW w:w="94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43 </w:t>
            </w:r>
          </w:p>
        </w:tc>
        <w:tc>
          <w:tcPr>
            <w:tcW w:w="94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45 </w:t>
            </w:r>
          </w:p>
        </w:tc>
        <w:tc>
          <w:tcPr>
            <w:tcW w:w="94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1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135"/>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6"/>
                <w:szCs w:val="16"/>
                <w:vertAlign w:val="superscript"/>
              </w:rPr>
              <w:t> </w:t>
            </w:r>
          </w:p>
        </w:tc>
      </w:tr>
      <w:tr w:rsidR="008223EE" w:rsidRPr="008223EE" w:rsidTr="008223EE">
        <w:trPr>
          <w:trHeight w:val="255"/>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Other </w:t>
            </w:r>
            <w:r w:rsidRPr="008223EE">
              <w:rPr>
                <w:rFonts w:ascii="Arial" w:eastAsia="Times New Roman" w:hAnsi="Arial" w:cs="Arial"/>
                <w:color w:val="000000"/>
                <w:sz w:val="16"/>
                <w:szCs w:val="16"/>
                <w:vertAlign w:val="superscript"/>
              </w:rPr>
              <w:t>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6"/>
                <w:szCs w:val="16"/>
                <w:vertAlign w:val="superscript"/>
              </w:rPr>
              <w:t> </w:t>
            </w:r>
          </w:p>
        </w:tc>
      </w:tr>
      <w:tr w:rsidR="008223EE" w:rsidRPr="008223EE" w:rsidTr="008223EE">
        <w:trPr>
          <w:trHeight w:val="255"/>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Supranational bonds and multilateral development banks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55"/>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Agencies and agency mortgage-backed securities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Covered bonds (rated AA- and above)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54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54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Other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19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9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7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r>
      <w:tr w:rsidR="008223EE" w:rsidRPr="008223EE" w:rsidTr="008223EE">
        <w:trPr>
          <w:trHeight w:val="240"/>
        </w:trPr>
        <w:tc>
          <w:tcPr>
            <w:tcW w:w="54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Total </w:t>
            </w:r>
            <w:r w:rsidRPr="008223EE">
              <w:rPr>
                <w:rFonts w:ascii="Arial" w:eastAsia="Times New Roman" w:hAnsi="Arial" w:cs="Arial"/>
                <w:color w:val="000000"/>
                <w:sz w:val="16"/>
                <w:szCs w:val="16"/>
                <w:vertAlign w:val="superscript"/>
              </w:rPr>
              <w:t>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150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129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136 </w:t>
            </w:r>
          </w:p>
        </w:tc>
        <w:tc>
          <w:tcPr>
            <w:tcW w:w="9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8 </w:t>
            </w:r>
            <w:r w:rsidRPr="008223EE">
              <w:rPr>
                <w:rFonts w:ascii="Arial" w:eastAsia="Times New Roman" w:hAnsi="Arial" w:cs="Arial"/>
                <w:color w:val="000000"/>
                <w:sz w:val="16"/>
                <w:szCs w:val="16"/>
                <w:vertAlign w:val="superscript"/>
              </w:rPr>
              <w:t xml:space="preserve">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As at 31 December 2012 the portion of the Group liquidity pool comprised of cash and deposits with central banks reduced to £85bn (2011: £105bn) as a result of a reallocation to government bonds and other liquid assets. This reflects the efficient management of the composition of the Group liquidity pool without compromising the liquidity position of the Group.</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Barclays manages the liquidity pool on a centralised basis. As at 31 December 2012, 90% of the liquidity pool was located in Barclays Bank PLC (2011: 94%) and was available to meet liquidity needs across the Barclays Group. The residual liquidity pool is held predominantly within Barclays Capital Inc. (BCI). The portion of the liquidity pool outside of Barclays Bank PLC is held against entity-specific stressed outflows and regulatory requirements.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Group's liquidity pool is well diversified by major currency and the Group monitors the LRA stress scenarios for major currencies: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433"/>
        <w:gridCol w:w="940"/>
        <w:gridCol w:w="940"/>
        <w:gridCol w:w="940"/>
        <w:gridCol w:w="941"/>
        <w:gridCol w:w="940"/>
      </w:tblGrid>
      <w:tr w:rsidR="008223EE" w:rsidRPr="008223EE" w:rsidTr="008223EE">
        <w:trPr>
          <w:trHeight w:val="240"/>
        </w:trPr>
        <w:tc>
          <w:tcPr>
            <w:tcW w:w="44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Liquidity Pool by Currency</w:t>
            </w: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USD</w:t>
            </w: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EUR</w:t>
            </w: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GBP</w:t>
            </w: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Other</w:t>
            </w:r>
          </w:p>
        </w:tc>
        <w:tc>
          <w:tcPr>
            <w:tcW w:w="9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44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r>
      <w:tr w:rsidR="008223EE" w:rsidRPr="008223EE" w:rsidTr="008223EE">
        <w:trPr>
          <w:trHeight w:val="240"/>
        </w:trPr>
        <w:tc>
          <w:tcPr>
            <w:tcW w:w="44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Liquidity pool</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66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33 </w:t>
            </w:r>
          </w:p>
        </w:tc>
        <w:tc>
          <w:tcPr>
            <w:tcW w:w="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150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20" w:after="2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BB5E29">
      <w:pPr>
        <w:spacing w:before="20" w:after="20" w:line="240" w:lineRule="auto"/>
        <w:ind w:left="284" w:hanging="284"/>
        <w:rPr>
          <w:rFonts w:ascii="Arial" w:eastAsia="Times New Roman" w:hAnsi="Arial" w:cs="Arial"/>
          <w:i/>
          <w:iCs/>
          <w:sz w:val="14"/>
          <w:szCs w:val="14"/>
        </w:rPr>
      </w:pPr>
      <w:r w:rsidRPr="008223EE">
        <w:rPr>
          <w:rFonts w:ascii="Arial" w:eastAsia="Times New Roman" w:hAnsi="Arial" w:cs="Arial"/>
          <w:i/>
          <w:iCs/>
          <w:sz w:val="14"/>
          <w:szCs w:val="14"/>
        </w:rPr>
        <w:t>1        The Liquidity Coverage Ratio-eligible assets presented in this table represent only those assets which are also eligible for the Group liquidity pool and do not include any Level 2B assets as a result.</w:t>
      </w:r>
    </w:p>
    <w:p w:rsidR="008223EE" w:rsidRPr="008223EE" w:rsidRDefault="008223EE" w:rsidP="00BB5E29">
      <w:pPr>
        <w:spacing w:before="20" w:after="20" w:line="240" w:lineRule="auto"/>
        <w:ind w:left="284" w:hanging="284"/>
        <w:rPr>
          <w:rFonts w:ascii="Arial" w:eastAsia="Times New Roman" w:hAnsi="Arial" w:cs="Arial"/>
          <w:i/>
          <w:iCs/>
          <w:sz w:val="14"/>
          <w:szCs w:val="14"/>
        </w:rPr>
      </w:pPr>
      <w:r w:rsidRPr="008223EE">
        <w:rPr>
          <w:rFonts w:ascii="Arial" w:eastAsia="Times New Roman" w:hAnsi="Arial" w:cs="Arial"/>
          <w:i/>
          <w:iCs/>
          <w:sz w:val="14"/>
          <w:szCs w:val="14"/>
        </w:rPr>
        <w:t>2       Of which over 95% (2011: over 95%) was placed with the Bank of England, US Federal Reserve, European Central Bank, Bank of Japan and Swiss National Bank.</w:t>
      </w:r>
    </w:p>
    <w:p w:rsidR="008223EE" w:rsidRPr="008223EE" w:rsidRDefault="008223EE" w:rsidP="00BB5E29">
      <w:pPr>
        <w:spacing w:before="20" w:after="20" w:line="240" w:lineRule="auto"/>
        <w:ind w:left="284" w:hanging="284"/>
        <w:rPr>
          <w:rFonts w:ascii="Arial" w:eastAsia="Times New Roman" w:hAnsi="Arial" w:cs="Arial"/>
          <w:i/>
          <w:iCs/>
          <w:sz w:val="14"/>
          <w:szCs w:val="14"/>
        </w:rPr>
      </w:pPr>
      <w:r w:rsidRPr="008223EE">
        <w:rPr>
          <w:rFonts w:ascii="Arial" w:eastAsia="Times New Roman" w:hAnsi="Arial" w:cs="Arial"/>
          <w:i/>
          <w:iCs/>
          <w:sz w:val="14"/>
          <w:szCs w:val="14"/>
        </w:rPr>
        <w:t>3        Of which over 80% (2011: over 80%) of securities are comprised of United Kingdom, United States, Japan, France, Germany, Denmark and the Netherlands.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Liquidity</w:t>
      </w:r>
    </w:p>
    <w:p w:rsidR="008223EE" w:rsidRPr="008223EE" w:rsidRDefault="008223EE" w:rsidP="008223EE">
      <w:pPr>
        <w:spacing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Contingent Liquidity</w:t>
      </w:r>
    </w:p>
    <w:p w:rsidR="008223EE" w:rsidRPr="008223EE" w:rsidRDefault="008223EE" w:rsidP="008223EE">
      <w:pPr>
        <w:spacing w:before="180" w:after="0" w:line="240" w:lineRule="auto"/>
        <w:jc w:val="both"/>
        <w:rPr>
          <w:rFonts w:ascii="Arial" w:eastAsia="Times New Roman" w:hAnsi="Arial" w:cs="Arial"/>
          <w:b/>
          <w:bCs/>
          <w:color w:val="000000"/>
          <w:sz w:val="20"/>
          <w:szCs w:val="20"/>
        </w:rPr>
      </w:pPr>
      <w:r w:rsidRPr="008223EE">
        <w:rPr>
          <w:rFonts w:ascii="Arial" w:eastAsia="Times New Roman" w:hAnsi="Arial" w:cs="Arial"/>
          <w:color w:val="000000"/>
          <w:sz w:val="18"/>
          <w:szCs w:val="18"/>
        </w:rPr>
        <w:t xml:space="preserve">In addition to the Group liquidity pool, Barclays has access to other unencumbered assets which provide a source of contingent liquidity. Whilst these are not relied on in the Group's LRA, a portion of these assets may be monetised in a stress to generate liquidity through use as collateral for secured funding or through outright sale. </w:t>
      </w:r>
    </w:p>
    <w:p w:rsidR="008223EE" w:rsidRPr="008223EE" w:rsidRDefault="008223EE" w:rsidP="008223EE">
      <w:pPr>
        <w:spacing w:after="0" w:line="240" w:lineRule="auto"/>
        <w:rPr>
          <w:rFonts w:ascii="Times New Roman" w:eastAsia="Times New Roman" w:hAnsi="Times New Roman" w:cs="Times New Roman"/>
          <w:sz w:val="24"/>
          <w:szCs w:val="24"/>
        </w:rPr>
      </w:pPr>
      <w:r w:rsidRPr="008223EE">
        <w:rPr>
          <w:rFonts w:ascii="Arial" w:eastAsia="Times New Roman" w:hAnsi="Arial" w:cs="Arial"/>
          <w:color w:val="000000"/>
          <w:sz w:val="18"/>
          <w:szCs w:val="18"/>
        </w:rPr>
        <w:t> </w:t>
      </w:r>
    </w:p>
    <w:p w:rsidR="008223EE" w:rsidRPr="008223EE" w:rsidRDefault="008223EE" w:rsidP="008223EE">
      <w:pPr>
        <w:spacing w:after="0" w:line="240" w:lineRule="auto"/>
        <w:rPr>
          <w:rFonts w:ascii="Times New Roman" w:eastAsia="Times New Roman" w:hAnsi="Times New Roman" w:cs="Times New Roman"/>
          <w:sz w:val="24"/>
          <w:szCs w:val="24"/>
        </w:rPr>
      </w:pPr>
      <w:r w:rsidRPr="008223EE">
        <w:rPr>
          <w:rFonts w:ascii="Arial" w:eastAsia="Times New Roman" w:hAnsi="Arial" w:cs="Arial"/>
          <w:color w:val="000000"/>
          <w:sz w:val="18"/>
          <w:szCs w:val="18"/>
        </w:rPr>
        <w:t xml:space="preserve">These contingent sources of liquidity are primarily comprised of unencumbered trading portfolio assets and other securities as well as unencumbered loans and advances. </w:t>
      </w:r>
    </w:p>
    <w:p w:rsidR="008223EE" w:rsidRPr="008223EE" w:rsidRDefault="008223EE" w:rsidP="008223EE">
      <w:pPr>
        <w:spacing w:after="0" w:line="240" w:lineRule="auto"/>
        <w:rPr>
          <w:rFonts w:ascii="Times New Roman" w:eastAsia="Times New Roman" w:hAnsi="Times New Roman" w:cs="Times New Roman"/>
          <w:sz w:val="24"/>
          <w:szCs w:val="24"/>
        </w:rPr>
      </w:pPr>
      <w:r w:rsidRPr="008223EE">
        <w:rPr>
          <w:rFonts w:ascii="Times New Roman" w:eastAsia="Times New Roman" w:hAnsi="Times New Roman" w:cs="Times New Roman"/>
          <w:sz w:val="18"/>
          <w:szCs w:val="18"/>
        </w:rPr>
        <w:t> </w:t>
      </w:r>
    </w:p>
    <w:p w:rsidR="008223EE" w:rsidRPr="008223EE" w:rsidRDefault="008223EE" w:rsidP="008223EE">
      <w:pPr>
        <w:spacing w:after="0" w:line="240" w:lineRule="auto"/>
        <w:rPr>
          <w:rFonts w:ascii="Times New Roman" w:eastAsia="Times New Roman" w:hAnsi="Times New Roman" w:cs="Times New Roman"/>
          <w:sz w:val="24"/>
          <w:szCs w:val="24"/>
        </w:rPr>
      </w:pPr>
      <w:r w:rsidRPr="008223EE">
        <w:rPr>
          <w:rFonts w:ascii="Arial" w:eastAsia="Times New Roman" w:hAnsi="Arial" w:cs="Arial"/>
          <w:color w:val="000000"/>
          <w:sz w:val="18"/>
          <w:szCs w:val="18"/>
        </w:rPr>
        <w:t xml:space="preserve">As at 31 December 2012, only 17% of customer loans and advances were used to secure external sources of funds. Of the unencumbered loans and advances, </w:t>
      </w:r>
      <w:proofErr w:type="gramStart"/>
      <w:r w:rsidRPr="008223EE">
        <w:rPr>
          <w:rFonts w:ascii="Arial" w:eastAsia="Times New Roman" w:hAnsi="Arial" w:cs="Arial"/>
          <w:color w:val="000000"/>
          <w:sz w:val="18"/>
          <w:szCs w:val="18"/>
        </w:rPr>
        <w:t>a further portion are</w:t>
      </w:r>
      <w:proofErr w:type="gramEnd"/>
      <w:r w:rsidRPr="008223EE">
        <w:rPr>
          <w:rFonts w:ascii="Arial" w:eastAsia="Times New Roman" w:hAnsi="Arial" w:cs="Arial"/>
          <w:color w:val="000000"/>
          <w:sz w:val="18"/>
          <w:szCs w:val="18"/>
        </w:rPr>
        <w:t xml:space="preserve"> suitable for use in secured issuance or in repurchase agreements with market counterparts.</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color w:val="000000"/>
          <w:sz w:val="18"/>
          <w:szCs w:val="18"/>
        </w:rPr>
        <w:lastRenderedPageBreak/>
        <w:t xml:space="preserve">In either an idiosyncratic or market wide liquidity stress, liquidity available via market sources could be severely disrupted.  In circumstances where market liquidity </w:t>
      </w:r>
      <w:proofErr w:type="gramStart"/>
      <w:r w:rsidRPr="008223EE">
        <w:rPr>
          <w:rFonts w:ascii="Arial" w:eastAsia="Times New Roman" w:hAnsi="Arial" w:cs="Arial"/>
          <w:color w:val="000000"/>
          <w:sz w:val="18"/>
          <w:szCs w:val="18"/>
        </w:rPr>
        <w:t>were</w:t>
      </w:r>
      <w:proofErr w:type="gramEnd"/>
      <w:r w:rsidRPr="008223EE">
        <w:rPr>
          <w:rFonts w:ascii="Arial" w:eastAsia="Times New Roman" w:hAnsi="Arial" w:cs="Arial"/>
          <w:color w:val="000000"/>
          <w:sz w:val="18"/>
          <w:szCs w:val="18"/>
        </w:rPr>
        <w:t xml:space="preserve"> unavailable or available only at heavily discounted prices, Barclays may alternatively generate liquidity via central bank facilities. The Group maintains a significant amount of collateral pre-positioned at central banks and available to </w:t>
      </w:r>
      <w:proofErr w:type="gramStart"/>
      <w:r w:rsidRPr="008223EE">
        <w:rPr>
          <w:rFonts w:ascii="Arial" w:eastAsia="Times New Roman" w:hAnsi="Arial" w:cs="Arial"/>
          <w:color w:val="000000"/>
          <w:sz w:val="18"/>
          <w:szCs w:val="18"/>
        </w:rPr>
        <w:t>raise</w:t>
      </w:r>
      <w:proofErr w:type="gramEnd"/>
      <w:r w:rsidRPr="008223EE">
        <w:rPr>
          <w:rFonts w:ascii="Arial" w:eastAsia="Times New Roman" w:hAnsi="Arial" w:cs="Arial"/>
          <w:color w:val="000000"/>
          <w:sz w:val="18"/>
          <w:szCs w:val="18"/>
        </w:rPr>
        <w:t xml:space="preserve"> funding.</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Funding Structure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basis for sound liquidity risk management is a solid and diverse funding structure that reduces the probability of a liquidity stress leading to an inability to meet funding obligations as they fall due.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Group's overall funding strategy aims to align the sources and uses of funding:</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 xml:space="preserve">Retail and commercial customer loans and advances are largely funded by customer deposits </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 xml:space="preserve">Trading portfolio assets are largely funded by repurchase agreements </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Reverse repurchase agreements are largely matched by repurchase agreements and the remainder are used to settle trading portfolio liabilities</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Derivative assets are largely matched by derivatives liabilities</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 xml:space="preserve">The liquidity pool is predominantly funded through wholesale markets </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Other assets together with other loans and advances are funded by long term wholesale debt and equity</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Liquidity</w:t>
      </w:r>
    </w:p>
    <w:tbl>
      <w:tblPr>
        <w:tblW w:w="0" w:type="auto"/>
        <w:tblInd w:w="-36" w:type="dxa"/>
        <w:tblCellMar>
          <w:left w:w="0" w:type="dxa"/>
          <w:right w:w="0" w:type="dxa"/>
        </w:tblCellMar>
        <w:tblLook w:val="04A0" w:firstRow="1" w:lastRow="0" w:firstColumn="1" w:lastColumn="0" w:noHBand="0" w:noVBand="1"/>
      </w:tblPr>
      <w:tblGrid>
        <w:gridCol w:w="4797"/>
        <w:gridCol w:w="1026"/>
        <w:gridCol w:w="1025"/>
        <w:gridCol w:w="1169"/>
        <w:gridCol w:w="78"/>
        <w:gridCol w:w="1039"/>
      </w:tblGrid>
      <w:tr w:rsidR="008223EE" w:rsidRPr="008223EE" w:rsidTr="008223EE">
        <w:trPr>
          <w:trHeight w:val="240"/>
        </w:trPr>
        <w:tc>
          <w:tcPr>
            <w:tcW w:w="4920" w:type="dxa"/>
            <w:tcMar>
              <w:top w:w="0" w:type="dxa"/>
              <w:left w:w="36" w:type="dxa"/>
              <w:bottom w:w="0" w:type="dxa"/>
              <w:right w:w="36" w:type="dxa"/>
            </w:tcMar>
            <w:vAlign w:val="bottom"/>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20"/>
                <w:szCs w:val="20"/>
              </w:rPr>
              <w:t>Deposit Funding</w:t>
            </w:r>
            <w:r w:rsidRPr="008223EE">
              <w:rPr>
                <w:rFonts w:ascii="Arial" w:eastAsia="Times New Roman" w:hAnsi="Arial" w:cs="Arial"/>
                <w:b/>
                <w:bCs/>
                <w:color w:val="000000"/>
                <w:sz w:val="16"/>
                <w:szCs w:val="16"/>
                <w:vertAlign w:val="superscript"/>
              </w:rPr>
              <w:t>1</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4920" w:type="dxa"/>
            <w:tcMar>
              <w:top w:w="0" w:type="dxa"/>
              <w:left w:w="36" w:type="dxa"/>
              <w:bottom w:w="0" w:type="dxa"/>
              <w:right w:w="36" w:type="dxa"/>
            </w:tcMar>
            <w:vAlign w:val="bottom"/>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b/>
                <w:bCs/>
                <w:color w:val="000000"/>
                <w:sz w:val="16"/>
                <w:szCs w:val="16"/>
                <w:vertAlign w:val="superscript"/>
              </w:rPr>
              <w:t> </w:t>
            </w:r>
          </w:p>
        </w:tc>
        <w:tc>
          <w:tcPr>
            <w:tcW w:w="3300" w:type="dxa"/>
            <w:gridSpan w:val="3"/>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871"/>
        <w:gridCol w:w="1048"/>
        <w:gridCol w:w="1047"/>
        <w:gridCol w:w="1045"/>
        <w:gridCol w:w="78"/>
        <w:gridCol w:w="1045"/>
      </w:tblGrid>
      <w:tr w:rsidR="008223EE" w:rsidRPr="008223EE" w:rsidTr="008223EE">
        <w:trPr>
          <w:trHeight w:val="655"/>
        </w:trPr>
        <w:tc>
          <w:tcPr>
            <w:tcW w:w="49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Funding of Loans and Advances to Customers </w:t>
            </w:r>
          </w:p>
        </w:tc>
        <w:tc>
          <w:tcPr>
            <w:tcW w:w="1050" w:type="dxa"/>
            <w:tcBorders>
              <w:top w:val="single" w:sz="8" w:space="0" w:color="A5A5A5"/>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Loans and Advances to Customers</w:t>
            </w:r>
          </w:p>
        </w:tc>
        <w:tc>
          <w:tcPr>
            <w:tcW w:w="1050" w:type="dxa"/>
            <w:tcBorders>
              <w:top w:val="single" w:sz="8" w:space="0" w:color="A5A5A5"/>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Customer Deposits</w:t>
            </w:r>
          </w:p>
        </w:tc>
        <w:tc>
          <w:tcPr>
            <w:tcW w:w="1050" w:type="dxa"/>
            <w:tcBorders>
              <w:top w:val="single" w:sz="8" w:space="0" w:color="A5A5A5"/>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Loan to Deposit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Ratio</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single" w:sz="8" w:space="0" w:color="A5A5A5"/>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Loan to Deposit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Ratio</w:t>
            </w:r>
          </w:p>
        </w:tc>
      </w:tr>
      <w:tr w:rsidR="008223EE" w:rsidRPr="008223EE" w:rsidTr="008223EE">
        <w:trPr>
          <w:trHeight w:val="240"/>
        </w:trPr>
        <w:tc>
          <w:tcPr>
            <w:tcW w:w="49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49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RBB</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232.8 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158.4 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147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146 </w:t>
            </w:r>
          </w:p>
        </w:tc>
      </w:tr>
      <w:tr w:rsidR="008223EE" w:rsidRPr="008223EE" w:rsidTr="008223EE">
        <w:trPr>
          <w:trHeight w:val="240"/>
        </w:trPr>
        <w:tc>
          <w:tcPr>
            <w:tcW w:w="49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Banking</w:t>
            </w:r>
            <w:r w:rsidRPr="008223EE">
              <w:rPr>
                <w:rFonts w:ascii="Arial" w:eastAsia="Times New Roman" w:hAnsi="Arial" w:cs="Arial"/>
                <w:color w:val="000000"/>
                <w:sz w:val="13"/>
                <w:szCs w:val="13"/>
                <w:vertAlign w:val="superscript"/>
              </w:rPr>
              <w:t>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65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83 </w:t>
            </w:r>
          </w:p>
        </w:tc>
      </w:tr>
      <w:tr w:rsidR="008223EE" w:rsidRPr="008223EE" w:rsidTr="008223EE">
        <w:trPr>
          <w:trHeight w:val="240"/>
        </w:trPr>
        <w:tc>
          <w:tcPr>
            <w:tcW w:w="49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Wealth and Investment Management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39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40 </w:t>
            </w:r>
          </w:p>
        </w:tc>
      </w:tr>
      <w:tr w:rsidR="008223EE" w:rsidRPr="008223EE" w:rsidTr="008223EE">
        <w:trPr>
          <w:trHeight w:val="240"/>
        </w:trPr>
        <w:tc>
          <w:tcPr>
            <w:tcW w:w="49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Total funding excluding secured</w:t>
            </w:r>
            <w:r w:rsidRPr="008223EE">
              <w:rPr>
                <w:rFonts w:ascii="Arial" w:eastAsia="Times New Roman" w:hAnsi="Arial" w:cs="Arial"/>
                <w:color w:val="000000"/>
                <w:sz w:val="16"/>
                <w:szCs w:val="16"/>
                <w:vertAlign w:val="superscript"/>
              </w:rPr>
              <w:t xml:space="preserve">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316.9 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309.3 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102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111 </w:t>
            </w:r>
          </w:p>
        </w:tc>
      </w:tr>
      <w:tr w:rsidR="008223EE" w:rsidRPr="008223EE" w:rsidTr="008223EE">
        <w:trPr>
          <w:trHeight w:val="240"/>
        </w:trPr>
        <w:tc>
          <w:tcPr>
            <w:tcW w:w="49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Secured funding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9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Sub-total including secured funding</w:t>
            </w:r>
            <w:r w:rsidRPr="008223EE">
              <w:rPr>
                <w:rFonts w:ascii="Arial" w:eastAsia="Times New Roman" w:hAnsi="Arial" w:cs="Arial"/>
                <w:color w:val="000000"/>
                <w:sz w:val="16"/>
                <w:szCs w:val="16"/>
                <w:vertAlign w:val="superscript"/>
              </w:rPr>
              <w:t xml:space="preserve">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316.9 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358.1 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88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101 </w:t>
            </w:r>
          </w:p>
        </w:tc>
      </w:tr>
      <w:tr w:rsidR="008223EE" w:rsidRPr="008223EE" w:rsidTr="008223EE">
        <w:trPr>
          <w:trHeight w:val="240"/>
        </w:trPr>
        <w:tc>
          <w:tcPr>
            <w:tcW w:w="49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55"/>
        </w:trPr>
        <w:tc>
          <w:tcPr>
            <w:tcW w:w="49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RBB, Corporate Banking &amp; Wealth and Investment Management</w:t>
            </w:r>
            <w:r w:rsidRPr="008223EE">
              <w:rPr>
                <w:rFonts w:ascii="Arial" w:eastAsia="Times New Roman" w:hAnsi="Arial" w:cs="Arial"/>
                <w:color w:val="000000"/>
                <w:sz w:val="13"/>
                <w:szCs w:val="13"/>
                <w:vertAlign w:val="superscript"/>
              </w:rPr>
              <w:t>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316.9 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309.3 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102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111 </w:t>
            </w:r>
          </w:p>
        </w:tc>
      </w:tr>
      <w:tr w:rsidR="008223EE" w:rsidRPr="008223EE" w:rsidTr="008223EE">
        <w:trPr>
          <w:trHeight w:val="240"/>
        </w:trPr>
        <w:tc>
          <w:tcPr>
            <w:tcW w:w="49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Investment Bank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177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138 </w:t>
            </w:r>
          </w:p>
        </w:tc>
      </w:tr>
      <w:tr w:rsidR="008223EE" w:rsidRPr="008223EE" w:rsidTr="008223EE">
        <w:trPr>
          <w:trHeight w:val="240"/>
        </w:trPr>
        <w:tc>
          <w:tcPr>
            <w:tcW w:w="49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Head Office and Other Operations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49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Trading settlement balances and cash collateral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123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142 </w:t>
            </w:r>
          </w:p>
        </w:tc>
      </w:tr>
      <w:tr w:rsidR="008223EE" w:rsidRPr="008223EE" w:rsidTr="008223EE">
        <w:trPr>
          <w:trHeight w:val="240"/>
        </w:trPr>
        <w:tc>
          <w:tcPr>
            <w:tcW w:w="49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425.7 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385.7 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110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118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Group loan to deposit ratio as at 31 December 2012 was 110% (2011: 118%).</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RBB, Corporate Banking and Wealth and Investment Management activities are largely funded with customer deposits. As at 31 December 2012, the loan to deposit ratio for these businesses was 102% (2011: 111%) and the loan to deposit and secured funding ratio was 88% (2011: 101%). The customer funding gap for these businesses is met using asset backed securities and covered bonds secured primarily over customer loans and advances such as residential mortgages and credit card receivables.</w:t>
      </w:r>
    </w:p>
    <w:p w:rsidR="008223EE" w:rsidRPr="008223EE" w:rsidRDefault="008223EE" w:rsidP="008223EE">
      <w:pPr>
        <w:spacing w:after="100" w:line="240" w:lineRule="auto"/>
        <w:rPr>
          <w:rFonts w:ascii="Arial" w:eastAsia="Times New Roman" w:hAnsi="Arial" w:cs="Arial"/>
          <w:sz w:val="18"/>
          <w:szCs w:val="18"/>
        </w:rPr>
      </w:pPr>
      <w:r w:rsidRPr="008223EE">
        <w:rPr>
          <w:rFonts w:ascii="Arial" w:eastAsia="Times New Roman" w:hAnsi="Arial" w:cs="Arial"/>
          <w:sz w:val="18"/>
          <w:szCs w:val="18"/>
        </w:rPr>
        <w:t>The excess of the Investment Bank's loans and advances over customer deposits is funded with long-term debt and equity. The Investment Bank does not rely on customer deposit funding from RBB, Corporate Banking and Wealth and Investment Management.</w:t>
      </w:r>
    </w:p>
    <w:p w:rsidR="008223EE" w:rsidRPr="008223EE" w:rsidRDefault="008223EE" w:rsidP="008223EE">
      <w:pPr>
        <w:spacing w:after="100" w:line="240" w:lineRule="auto"/>
        <w:rPr>
          <w:rFonts w:ascii="Arial" w:eastAsia="Times New Roman" w:hAnsi="Arial" w:cs="Arial"/>
          <w:sz w:val="18"/>
          <w:szCs w:val="18"/>
        </w:rPr>
      </w:pPr>
      <w:r w:rsidRPr="008223EE">
        <w:rPr>
          <w:rFonts w:ascii="Arial" w:eastAsia="Times New Roman" w:hAnsi="Arial" w:cs="Arial"/>
          <w:sz w:val="18"/>
          <w:szCs w:val="18"/>
        </w:rPr>
        <w:t xml:space="preserve">As at 31 December 2012, £112bn of total customer deposits </w:t>
      </w:r>
      <w:proofErr w:type="gramStart"/>
      <w:r w:rsidRPr="008223EE">
        <w:rPr>
          <w:rFonts w:ascii="Arial" w:eastAsia="Times New Roman" w:hAnsi="Arial" w:cs="Arial"/>
          <w:sz w:val="18"/>
          <w:szCs w:val="18"/>
        </w:rPr>
        <w:t>were</w:t>
      </w:r>
      <w:proofErr w:type="gramEnd"/>
      <w:r w:rsidRPr="008223EE">
        <w:rPr>
          <w:rFonts w:ascii="Arial" w:eastAsia="Times New Roman" w:hAnsi="Arial" w:cs="Arial"/>
          <w:sz w:val="18"/>
          <w:szCs w:val="18"/>
        </w:rPr>
        <w:t xml:space="preserve"> insured through the UK Financial Services Compensation Scheme and other similar schemes. In addition to these customer deposits, there </w:t>
      </w:r>
      <w:proofErr w:type="gramStart"/>
      <w:r w:rsidRPr="008223EE">
        <w:rPr>
          <w:rFonts w:ascii="Arial" w:eastAsia="Times New Roman" w:hAnsi="Arial" w:cs="Arial"/>
          <w:sz w:val="18"/>
          <w:szCs w:val="18"/>
        </w:rPr>
        <w:t>were</w:t>
      </w:r>
      <w:proofErr w:type="gramEnd"/>
      <w:r w:rsidRPr="008223EE">
        <w:rPr>
          <w:rFonts w:ascii="Arial" w:eastAsia="Times New Roman" w:hAnsi="Arial" w:cs="Arial"/>
          <w:sz w:val="18"/>
          <w:szCs w:val="18"/>
        </w:rPr>
        <w:t xml:space="preserve"> £3bn of other liabilities insured by governments.</w:t>
      </w:r>
      <w:r w:rsidRPr="008223EE">
        <w:rPr>
          <w:rFonts w:ascii="Arial" w:eastAsia="Times New Roman" w:hAnsi="Arial" w:cs="Arial"/>
          <w:sz w:val="2"/>
          <w:szCs w:val="2"/>
        </w:rPr>
        <w:t>  </w:t>
      </w:r>
    </w:p>
    <w:p w:rsidR="008223EE" w:rsidRPr="008223EE" w:rsidRDefault="008223EE" w:rsidP="008223EE">
      <w:pPr>
        <w:spacing w:after="0" w:line="240" w:lineRule="auto"/>
        <w:ind w:left="1418"/>
        <w:rPr>
          <w:rFonts w:ascii="Arial" w:eastAsia="Times New Roman" w:hAnsi="Arial" w:cs="Arial"/>
          <w:sz w:val="2"/>
          <w:szCs w:val="2"/>
        </w:rPr>
      </w:pPr>
      <w:r w:rsidRPr="008223EE">
        <w:rPr>
          <w:rFonts w:ascii="Arial" w:eastAsia="Times New Roman" w:hAnsi="Arial" w:cs="Arial"/>
          <w:sz w:val="2"/>
          <w:szCs w:val="2"/>
        </w:rPr>
        <w:lastRenderedPageBreak/>
        <w:t> </w:t>
      </w:r>
    </w:p>
    <w:p w:rsidR="008223EE" w:rsidRPr="008223EE" w:rsidRDefault="008223EE" w:rsidP="008223EE">
      <w:pPr>
        <w:spacing w:after="0" w:line="240" w:lineRule="auto"/>
        <w:ind w:left="1418"/>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ind w:left="1418"/>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ind w:left="1418"/>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BB5E29">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Included within RBB, Corporate Banking and the Investment Bank are Absa Group related balances totalling £37bn of loans and advances to customers funded by £33bn of customer deposits.</w:t>
      </w:r>
    </w:p>
    <w:p w:rsidR="008223EE" w:rsidRPr="008223EE" w:rsidRDefault="008223EE" w:rsidP="00BB5E29">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In addition, Corporate Banking holds £17.6bn (2011: £17.2bn) loans and advances as financial assets held at fair value.</w:t>
      </w:r>
    </w:p>
    <w:p w:rsidR="008223EE" w:rsidRPr="008223EE" w:rsidRDefault="008223EE" w:rsidP="00BB5E29">
      <w:pPr>
        <w:spacing w:after="24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Liquidity</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0"/>
          <w:szCs w:val="20"/>
        </w:rPr>
        <w:t>Wholesale Funding</w:t>
      </w:r>
    </w:p>
    <w:p w:rsidR="008223EE" w:rsidRPr="008223EE" w:rsidRDefault="008223EE" w:rsidP="008223EE">
      <w:pPr>
        <w:spacing w:before="18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18"/>
          <w:szCs w:val="18"/>
        </w:rPr>
        <w:t>Funding of Other Assets as at 31 December 2012</w:t>
      </w:r>
    </w:p>
    <w:tbl>
      <w:tblPr>
        <w:tblW w:w="0" w:type="auto"/>
        <w:tblInd w:w="-36" w:type="dxa"/>
        <w:tblCellMar>
          <w:left w:w="0" w:type="dxa"/>
          <w:right w:w="0" w:type="dxa"/>
        </w:tblCellMar>
        <w:tblLook w:val="04A0" w:firstRow="1" w:lastRow="0" w:firstColumn="1" w:lastColumn="0" w:noHBand="0" w:noVBand="1"/>
      </w:tblPr>
      <w:tblGrid>
        <w:gridCol w:w="3558"/>
        <w:gridCol w:w="861"/>
        <w:gridCol w:w="295"/>
        <w:gridCol w:w="3559"/>
        <w:gridCol w:w="861"/>
      </w:tblGrid>
      <w:tr w:rsidR="008223EE" w:rsidRPr="008223EE" w:rsidTr="008223EE">
        <w:trPr>
          <w:trHeight w:val="255"/>
        </w:trPr>
        <w:tc>
          <w:tcPr>
            <w:tcW w:w="36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Assets </w:t>
            </w:r>
          </w:p>
        </w:tc>
        <w:tc>
          <w:tcPr>
            <w:tcW w:w="8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36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Liabilities</w:t>
            </w:r>
          </w:p>
        </w:tc>
        <w:tc>
          <w:tcPr>
            <w:tcW w:w="8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r>
      <w:tr w:rsidR="008223EE" w:rsidRPr="008223EE" w:rsidTr="008223EE">
        <w:trPr>
          <w:trHeight w:val="165"/>
        </w:trPr>
        <w:tc>
          <w:tcPr>
            <w:tcW w:w="361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7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361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87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55"/>
        </w:trPr>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Trading Portfolio Assets and Other Securities </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85 </w:t>
            </w:r>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Repurchase agreements</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217 </w:t>
            </w:r>
          </w:p>
        </w:tc>
      </w:tr>
      <w:tr w:rsidR="008223EE" w:rsidRPr="008223EE" w:rsidTr="008223EE">
        <w:trPr>
          <w:trHeight w:val="255"/>
        </w:trPr>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Reverse repurchase agreements </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132 </w:t>
            </w:r>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55"/>
        </w:trPr>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55"/>
        </w:trPr>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Reverse repurchase agreements </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44 </w:t>
            </w:r>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Trading Portfolio Liabilities</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44 </w:t>
            </w:r>
          </w:p>
        </w:tc>
      </w:tr>
      <w:tr w:rsidR="008223EE" w:rsidRPr="008223EE" w:rsidTr="008223EE">
        <w:trPr>
          <w:trHeight w:val="255"/>
        </w:trPr>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55"/>
        </w:trPr>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Derivative financial instruments </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466 </w:t>
            </w:r>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 financial instruments</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460 </w:t>
            </w:r>
          </w:p>
        </w:tc>
      </w:tr>
      <w:tr w:rsidR="008223EE" w:rsidRPr="008223EE" w:rsidTr="008223EE">
        <w:trPr>
          <w:trHeight w:val="255"/>
        </w:trPr>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55"/>
        </w:trPr>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Liquidity pool </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150 </w:t>
            </w:r>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Less than 1 year wholesale debt</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101 </w:t>
            </w:r>
          </w:p>
        </w:tc>
      </w:tr>
      <w:tr w:rsidR="008223EE" w:rsidRPr="008223EE" w:rsidTr="008223EE">
        <w:trPr>
          <w:trHeight w:val="255"/>
        </w:trPr>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assets </w:t>
            </w:r>
            <w:r w:rsidRPr="008223EE">
              <w:rPr>
                <w:rFonts w:ascii="Arial" w:eastAsia="Times New Roman" w:hAnsi="Arial" w:cs="Arial"/>
                <w:color w:val="000000"/>
                <w:sz w:val="13"/>
                <w:szCs w:val="13"/>
                <w:vertAlign w:val="superscript"/>
              </w:rPr>
              <w:t>1 </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148 </w:t>
            </w:r>
          </w:p>
        </w:tc>
        <w:tc>
          <w:tcPr>
            <w:tcW w:w="3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36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Greater than 1 year wholesale debt and equity</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197 </w:t>
            </w:r>
          </w:p>
        </w:tc>
      </w:tr>
    </w:tbl>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Trading portfolio assets are largely funded by repurchase agreements. As at 31 December 2012, 74% of this activity was secured against highly liquid assets</w:t>
      </w:r>
      <w:r w:rsidRPr="008223EE">
        <w:rPr>
          <w:rFonts w:ascii="Arial" w:eastAsia="Times New Roman" w:hAnsi="Arial" w:cs="Arial"/>
          <w:sz w:val="14"/>
          <w:szCs w:val="14"/>
          <w:vertAlign w:val="superscript"/>
        </w:rPr>
        <w:t>2</w:t>
      </w:r>
      <w:r w:rsidRPr="008223EE">
        <w:rPr>
          <w:rFonts w:ascii="Arial" w:eastAsia="Times New Roman" w:hAnsi="Arial" w:cs="Arial"/>
          <w:sz w:val="14"/>
          <w:szCs w:val="14"/>
          <w:vertAlign w:val="subscript"/>
        </w:rPr>
        <w:t>.</w:t>
      </w:r>
      <w:r w:rsidRPr="008223EE">
        <w:rPr>
          <w:rFonts w:ascii="Arial" w:eastAsia="Times New Roman" w:hAnsi="Arial" w:cs="Arial"/>
          <w:sz w:val="18"/>
          <w:szCs w:val="18"/>
        </w:rPr>
        <w:t xml:space="preserve"> The weighted average maturity of these repurchase agreements secured against less liquid assets was 98 days</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majority of reverse repurchase agreements are matched by repurchase agreements. As at 31 December 2012, 75% of matchbook activity was secured against highly liquid assets</w:t>
      </w:r>
      <w:r w:rsidRPr="008223EE">
        <w:rPr>
          <w:rFonts w:ascii="Arial" w:eastAsia="Times New Roman" w:hAnsi="Arial" w:cs="Arial"/>
          <w:sz w:val="14"/>
          <w:szCs w:val="14"/>
          <w:vertAlign w:val="superscript"/>
        </w:rPr>
        <w:t>2</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remainder of reverse repurchase agreements are used to settle trading portfolio liabilities</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Derivative assets and liabilities are largely matched. A substantial proportion of balance sheet derivative positions qualify for counterparty netting and the remaining portions are largely offset once netted against cash collateral received and paid</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liquidity pool is funded by wholesale debt, the majority of which matures in less than one year</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Other assets are largely matched by term wholesale debt and equity.</w:t>
      </w:r>
      <w:r w:rsidRPr="008223EE">
        <w:rPr>
          <w:rFonts w:ascii="Arial" w:eastAsia="Times New Roman" w:hAnsi="Arial" w:cs="Arial"/>
          <w:sz w:val="2"/>
          <w:szCs w:val="2"/>
        </w:rPr>
        <w:t> </w:t>
      </w:r>
    </w:p>
    <w:p w:rsidR="008223EE" w:rsidRPr="008223EE" w:rsidRDefault="008223EE" w:rsidP="00BB5E29">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BB5E29">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BB5E29">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BB5E29">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Predominantly available for sale investments, trading portfolio assets, financial assets designated at fair value and loans and advances to banks.</w:t>
      </w:r>
    </w:p>
    <w:p w:rsidR="008223EE" w:rsidRPr="008223EE" w:rsidRDefault="008223EE" w:rsidP="00BB5E29">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Highly liquid assets are limited to government bonds, US agency securities and US agency mortgage-backed securities.</w:t>
      </w:r>
    </w:p>
    <w:p w:rsidR="008223EE" w:rsidRPr="008223EE" w:rsidRDefault="008223EE" w:rsidP="00BB5E29">
      <w:pPr>
        <w:spacing w:after="24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Liquidity</w:t>
      </w:r>
    </w:p>
    <w:p w:rsidR="008223EE" w:rsidRPr="008223EE" w:rsidRDefault="008223EE" w:rsidP="008223EE">
      <w:pPr>
        <w:spacing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Composition of Wholesale Funding</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Group maintains access to a variety of sources of wholesale funds in major currencies, including those available from money markets, repo markets and from term investors, across a variety of distribution channels and geographies. The Group is an active participant in money markets and have direct access to US, European and Asian capital markets through our global investment banking operations and long-term investors through our clients worldwide. As a result, wholesale funding is well diversified by product, maturity, geography and major currency.</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As at 31 December 2012 total wholesale funding outstanding (excluding repurchase agreements) was £240bn (2011: £265bn). £101bn of wholesale funding matures in less than one year (2011: £130bn) of which £18bn relates to term funding (2011: £27bn</w:t>
      </w:r>
      <w:proofErr w:type="gramStart"/>
      <w:r w:rsidRPr="008223EE">
        <w:rPr>
          <w:rFonts w:ascii="Arial" w:eastAsia="Times New Roman" w:hAnsi="Arial" w:cs="Arial"/>
          <w:sz w:val="18"/>
          <w:szCs w:val="18"/>
        </w:rPr>
        <w:t>)</w:t>
      </w:r>
      <w:r w:rsidRPr="008223EE">
        <w:rPr>
          <w:rFonts w:ascii="Arial" w:eastAsia="Times New Roman" w:hAnsi="Arial" w:cs="Arial"/>
          <w:sz w:val="14"/>
          <w:szCs w:val="14"/>
          <w:vertAlign w:val="superscript"/>
        </w:rPr>
        <w:t>1</w:t>
      </w:r>
      <w:proofErr w:type="gramEnd"/>
      <w:r w:rsidRPr="008223EE">
        <w:rPr>
          <w:rFonts w:ascii="Arial" w:eastAsia="Times New Roman" w:hAnsi="Arial" w:cs="Arial"/>
          <w:sz w:val="14"/>
          <w:szCs w:val="14"/>
          <w:vertAlign w:val="subscript"/>
        </w:rPr>
        <w:t>.</w:t>
      </w:r>
      <w:r w:rsidRPr="008223EE">
        <w:rPr>
          <w:rFonts w:ascii="Arial" w:eastAsia="Times New Roman" w:hAnsi="Arial" w:cs="Arial"/>
          <w:sz w:val="18"/>
          <w:szCs w:val="18"/>
        </w:rPr>
        <w:t xml:space="preserve"> £138bn of wholesale funding has a residual maturity of over one year (2011: £135bn).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As at 31 December 2012, outstanding wholesale funding comprised of £39bn secured funding (2011: £39bn) and £201bn unsecured funding (2011: £227bn).</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2925"/>
        <w:gridCol w:w="750"/>
        <w:gridCol w:w="750"/>
        <w:gridCol w:w="795"/>
        <w:gridCol w:w="750"/>
        <w:gridCol w:w="750"/>
        <w:gridCol w:w="750"/>
        <w:gridCol w:w="750"/>
        <w:gridCol w:w="750"/>
      </w:tblGrid>
      <w:tr w:rsidR="008223EE" w:rsidRPr="008223EE" w:rsidTr="008223EE">
        <w:trPr>
          <w:trHeight w:val="225"/>
        </w:trPr>
        <w:tc>
          <w:tcPr>
            <w:tcW w:w="29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lastRenderedPageBreak/>
              <w:t>Maturity Profile</w:t>
            </w:r>
            <w:r w:rsidRPr="008223EE">
              <w:rPr>
                <w:rFonts w:ascii="Arial" w:eastAsia="Times New Roman" w:hAnsi="Arial" w:cs="Arial"/>
                <w:color w:val="000000"/>
                <w:sz w:val="16"/>
                <w:szCs w:val="16"/>
                <w:vertAlign w:val="superscript"/>
              </w:rPr>
              <w:t>2 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1200"/>
        </w:trPr>
        <w:tc>
          <w:tcPr>
            <w:tcW w:w="29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8"/>
                <w:szCs w:val="18"/>
              </w:rPr>
              <w:t>Maturity of Wholesale Funding</w:t>
            </w:r>
            <w:r w:rsidRPr="008223EE">
              <w:rPr>
                <w:rFonts w:ascii="Arial" w:eastAsia="Times New Roman" w:hAnsi="Arial" w:cs="Arial"/>
                <w:color w:val="000000"/>
                <w:sz w:val="18"/>
                <w:szCs w:val="18"/>
                <w:vertAlign w:val="superscript"/>
              </w:rPr>
              <w:t xml:space="preserve">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Not more than one month</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Over one month but not more than three months</w:t>
            </w: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Over three months but not more than six months</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Over six months but not more than one year</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Sub-total less than one year</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Over one year but not more than two years</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Over two years</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29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r>
      <w:tr w:rsidR="008223EE" w:rsidRPr="008223EE" w:rsidTr="008223EE">
        <w:trPr>
          <w:trHeight w:val="240"/>
        </w:trPr>
        <w:tc>
          <w:tcPr>
            <w:tcW w:w="29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Deposits from Banks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8.7 </w:t>
            </w: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0.7 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21.7 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30.5 </w:t>
            </w:r>
          </w:p>
        </w:tc>
      </w:tr>
      <w:tr w:rsidR="008223EE" w:rsidRPr="008223EE" w:rsidTr="008223EE">
        <w:trPr>
          <w:trHeight w:val="240"/>
        </w:trPr>
        <w:tc>
          <w:tcPr>
            <w:tcW w:w="2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CDs and CP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23.4 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45.1 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48.4 </w:t>
            </w:r>
          </w:p>
        </w:tc>
      </w:tr>
      <w:tr w:rsidR="008223EE" w:rsidRPr="008223EE" w:rsidTr="008223EE">
        <w:trPr>
          <w:trHeight w:val="240"/>
        </w:trPr>
        <w:tc>
          <w:tcPr>
            <w:tcW w:w="2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Asset Backed Commercial Paper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5.4 </w:t>
            </w:r>
          </w:p>
        </w:tc>
      </w:tr>
      <w:tr w:rsidR="008223EE" w:rsidRPr="008223EE" w:rsidTr="008223EE">
        <w:trPr>
          <w:trHeight w:val="240"/>
        </w:trPr>
        <w:tc>
          <w:tcPr>
            <w:tcW w:w="2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Senior unsecured (Public benchmark)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14.4 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26.1 </w:t>
            </w:r>
          </w:p>
        </w:tc>
      </w:tr>
      <w:tr w:rsidR="008223EE" w:rsidRPr="008223EE" w:rsidTr="008223EE">
        <w:trPr>
          <w:trHeight w:val="240"/>
        </w:trPr>
        <w:tc>
          <w:tcPr>
            <w:tcW w:w="2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Senior unsecured (Privately placed)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0.7 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14.1 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38.5 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63.4 </w:t>
            </w:r>
          </w:p>
        </w:tc>
      </w:tr>
      <w:tr w:rsidR="008223EE" w:rsidRPr="008223EE" w:rsidTr="008223EE">
        <w:trPr>
          <w:trHeight w:val="240"/>
        </w:trPr>
        <w:tc>
          <w:tcPr>
            <w:tcW w:w="2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Covered bonds/ABS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0.4 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0.4 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20.8 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27.6 </w:t>
            </w:r>
          </w:p>
        </w:tc>
      </w:tr>
      <w:tr w:rsidR="008223EE" w:rsidRPr="008223EE" w:rsidTr="008223EE">
        <w:trPr>
          <w:trHeight w:val="240"/>
        </w:trPr>
        <w:tc>
          <w:tcPr>
            <w:tcW w:w="2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Subordinated liabilities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0.1 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0.7 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22.0 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22.7 </w:t>
            </w:r>
          </w:p>
        </w:tc>
      </w:tr>
      <w:tr w:rsidR="008223EE" w:rsidRPr="008223EE" w:rsidTr="008223EE">
        <w:trPr>
          <w:trHeight w:val="240"/>
        </w:trPr>
        <w:tc>
          <w:tcPr>
            <w:tcW w:w="29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r w:rsidRPr="008223EE">
              <w:rPr>
                <w:rFonts w:ascii="Arial" w:eastAsia="Times New Roman" w:hAnsi="Arial" w:cs="Arial"/>
                <w:color w:val="000000"/>
                <w:sz w:val="13"/>
                <w:szCs w:val="13"/>
                <w:vertAlign w:val="superscript"/>
              </w:rPr>
              <w:t>3 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15.4 </w:t>
            </w:r>
          </w:p>
        </w:tc>
      </w:tr>
      <w:tr w:rsidR="008223EE" w:rsidRPr="008223EE" w:rsidTr="008223EE">
        <w:trPr>
          <w:trHeight w:val="240"/>
        </w:trPr>
        <w:tc>
          <w:tcPr>
            <w:tcW w:w="292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as at 31.12.2012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27.3 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41.1 </w:t>
            </w:r>
          </w:p>
        </w:tc>
        <w:tc>
          <w:tcPr>
            <w:tcW w:w="79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17.7 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15.2 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101.3 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28.1 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110.1 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239.5 </w:t>
            </w:r>
          </w:p>
        </w:tc>
      </w:tr>
      <w:tr w:rsidR="008223EE" w:rsidRPr="008223EE" w:rsidTr="008223EE">
        <w:trPr>
          <w:trHeight w:val="240"/>
        </w:trPr>
        <w:tc>
          <w:tcPr>
            <w:tcW w:w="29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Of which secured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4.0 </w:t>
            </w: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12.3 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21.5 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39.0 </w:t>
            </w:r>
          </w:p>
        </w:tc>
      </w:tr>
      <w:tr w:rsidR="008223EE" w:rsidRPr="008223EE" w:rsidTr="008223EE">
        <w:trPr>
          <w:trHeight w:val="240"/>
        </w:trPr>
        <w:tc>
          <w:tcPr>
            <w:tcW w:w="2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Of which unsecured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22.7 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37.1 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15.3 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13.9 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89.0 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22.9 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88.6 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200.5 </w:t>
            </w:r>
          </w:p>
        </w:tc>
      </w:tr>
      <w:tr w:rsidR="008223EE" w:rsidRPr="008223EE" w:rsidTr="008223EE">
        <w:trPr>
          <w:trHeight w:val="240"/>
        </w:trPr>
        <w:tc>
          <w:tcPr>
            <w:tcW w:w="2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292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as at 31.12.2011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9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130.3 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265.2 </w:t>
            </w:r>
          </w:p>
        </w:tc>
      </w:tr>
      <w:tr w:rsidR="008223EE" w:rsidRPr="008223EE" w:rsidTr="008223EE">
        <w:trPr>
          <w:trHeight w:val="240"/>
        </w:trPr>
        <w:tc>
          <w:tcPr>
            <w:tcW w:w="29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Of which secured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16.9 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38.7 </w:t>
            </w:r>
          </w:p>
        </w:tc>
      </w:tr>
      <w:tr w:rsidR="008223EE" w:rsidRPr="008223EE" w:rsidTr="008223EE">
        <w:trPr>
          <w:trHeight w:val="240"/>
        </w:trPr>
        <w:tc>
          <w:tcPr>
            <w:tcW w:w="29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Of which unsecured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113.4 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226.5 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Group has £63bn of privately placed senior unsecured notes in issue. These notes are issued through a variety of distribution channels including intermediaries and private banks. A large proportion of end users of these products are individual retail investors.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liquidity risk of wholesale funding is carefully managed primarily through the LRA stress tests, against which the liquidity pool is held. Although not a requirement, the liquidity pool exceeded wholesale funding maturing in less than one year by £49bn as at 31 December 2012 (2011: £22bn).</w:t>
      </w:r>
    </w:p>
    <w:p w:rsidR="008223EE" w:rsidRPr="008223EE" w:rsidRDefault="008223EE" w:rsidP="00BB5E29">
      <w:pPr>
        <w:spacing w:before="180" w:after="180" w:line="240" w:lineRule="auto"/>
        <w:ind w:left="284" w:hanging="284"/>
        <w:jc w:val="both"/>
        <w:rPr>
          <w:rFonts w:ascii="Arial" w:eastAsia="Times New Roman" w:hAnsi="Arial" w:cs="Arial"/>
          <w:sz w:val="18"/>
          <w:szCs w:val="18"/>
        </w:rPr>
      </w:pPr>
      <w:r w:rsidRPr="008223EE">
        <w:rPr>
          <w:rFonts w:ascii="Arial" w:eastAsia="Times New Roman" w:hAnsi="Arial" w:cs="Arial"/>
          <w:sz w:val="18"/>
          <w:szCs w:val="18"/>
        </w:rPr>
        <w:t>The average maturity of wholesale funding net of the liquidity pool was at least 61 months (2011: 58 months).</w:t>
      </w:r>
      <w:r w:rsidRPr="008223EE">
        <w:rPr>
          <w:rFonts w:ascii="Arial" w:eastAsia="Times New Roman" w:hAnsi="Arial" w:cs="Arial"/>
          <w:sz w:val="2"/>
          <w:szCs w:val="2"/>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BB5E29">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1        Term funding maturities comprise public benchmark and privately placed senior unsecured notes, covered bonds/ABS and subordinated debt where the original maturity of the instrument was more than 1 year. In addition, at 31 December 2012, £3bn of these instruments </w:t>
      </w:r>
      <w:proofErr w:type="gramStart"/>
      <w:r w:rsidRPr="008223EE">
        <w:rPr>
          <w:rFonts w:ascii="Arial" w:eastAsia="Times New Roman" w:hAnsi="Arial" w:cs="Arial"/>
          <w:i/>
          <w:iCs/>
          <w:sz w:val="14"/>
          <w:szCs w:val="14"/>
        </w:rPr>
        <w:t>were</w:t>
      </w:r>
      <w:proofErr w:type="gramEnd"/>
      <w:r w:rsidRPr="008223EE">
        <w:rPr>
          <w:rFonts w:ascii="Arial" w:eastAsia="Times New Roman" w:hAnsi="Arial" w:cs="Arial"/>
          <w:i/>
          <w:iCs/>
          <w:sz w:val="14"/>
          <w:szCs w:val="14"/>
        </w:rPr>
        <w:t xml:space="preserve"> not counted towards term financing as they had an original maturity of less than 1 year.</w:t>
      </w:r>
    </w:p>
    <w:p w:rsidR="008223EE" w:rsidRPr="008223EE" w:rsidRDefault="008223EE" w:rsidP="00BB5E29">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2       The composition of wholesale funds comprises the balance sheet reported Deposits from Banks, Financial liabilities at Fair Value, Debt Securities in Issue and Subordinated Liabilities, excluding cash collateral and settlement balances. It does not include collateral swaps, including participation in the Bank of England's Funding for Lending Scheme. Included within deposits from banks </w:t>
      </w:r>
      <w:proofErr w:type="gramStart"/>
      <w:r w:rsidRPr="008223EE">
        <w:rPr>
          <w:rFonts w:ascii="Arial" w:eastAsia="Times New Roman" w:hAnsi="Arial" w:cs="Arial"/>
          <w:i/>
          <w:iCs/>
          <w:sz w:val="14"/>
          <w:szCs w:val="14"/>
        </w:rPr>
        <w:t>are</w:t>
      </w:r>
      <w:proofErr w:type="gramEnd"/>
      <w:r w:rsidRPr="008223EE">
        <w:rPr>
          <w:rFonts w:ascii="Arial" w:eastAsia="Times New Roman" w:hAnsi="Arial" w:cs="Arial"/>
          <w:i/>
          <w:iCs/>
          <w:sz w:val="14"/>
          <w:szCs w:val="14"/>
        </w:rPr>
        <w:t xml:space="preserve"> £6.7bn of liabilities drawn in the European Central Bank's 3 year long-term refinancing operation (LTRO).</w:t>
      </w:r>
    </w:p>
    <w:p w:rsidR="008223EE" w:rsidRPr="008223EE" w:rsidRDefault="008223EE" w:rsidP="00BB5E29">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3        Primarily comprised of Fair Value Deposits (£7.1bn) and secured financing of physical gold (£6.0bn).</w:t>
      </w:r>
    </w:p>
    <w:p w:rsidR="008223EE" w:rsidRPr="008223EE" w:rsidRDefault="008223EE" w:rsidP="008223EE">
      <w:pPr>
        <w:spacing w:after="24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Liquidity</w:t>
      </w:r>
    </w:p>
    <w:p w:rsidR="008223EE" w:rsidRPr="008223EE" w:rsidRDefault="008223EE" w:rsidP="008223EE">
      <w:pPr>
        <w:spacing w:before="18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 xml:space="preserve">Currency Profile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As at 31 December 2012, the proportion of wholesale funding by major currencies was as follows: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987"/>
        <w:gridCol w:w="1036"/>
        <w:gridCol w:w="1036"/>
        <w:gridCol w:w="1037"/>
        <w:gridCol w:w="1038"/>
      </w:tblGrid>
      <w:tr w:rsidR="008223EE" w:rsidRPr="008223EE" w:rsidTr="008223EE">
        <w:trPr>
          <w:trHeight w:val="240"/>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USD</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EUR</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GBP</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Other</w:t>
            </w:r>
          </w:p>
        </w:tc>
      </w:tr>
      <w:tr w:rsidR="008223EE" w:rsidRPr="008223EE" w:rsidTr="008223EE">
        <w:trPr>
          <w:trHeight w:val="24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Currency composition of wholesale funds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5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Deposits from Banks</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w:t>
            </w:r>
          </w:p>
        </w:tc>
      </w:tr>
      <w:tr w:rsidR="008223EE" w:rsidRPr="008223EE" w:rsidTr="008223EE">
        <w:trPr>
          <w:trHeight w:val="240"/>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CDs and CP</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Asset Backed Commercial Paper</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Senior unsecured</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w:t>
            </w:r>
          </w:p>
        </w:tc>
      </w:tr>
      <w:tr w:rsidR="008223EE" w:rsidRPr="008223EE" w:rsidTr="008223EE">
        <w:trPr>
          <w:trHeight w:val="240"/>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Covered bonds/ABS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r>
      <w:tr w:rsidR="008223EE" w:rsidRPr="008223EE" w:rsidTr="008223EE">
        <w:trPr>
          <w:trHeight w:val="24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Subordinated Liabilities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r>
      <w:tr w:rsidR="008223EE" w:rsidRPr="008223EE" w:rsidTr="008223EE">
        <w:trPr>
          <w:trHeight w:val="240"/>
        </w:trPr>
        <w:tc>
          <w:tcPr>
            <w:tcW w:w="5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9225DA">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To manage cross-currency refinancing risk Barclays manages to FX cash-flow limits, which limit the risk at specific maturities</w:t>
      </w:r>
    </w:p>
    <w:p w:rsidR="008223EE" w:rsidRPr="008223EE" w:rsidRDefault="008223EE" w:rsidP="008223EE">
      <w:pPr>
        <w:spacing w:before="180" w:after="18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Term Financing</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The Group continues to attract deposits in unsecured money markets and to </w:t>
      </w:r>
      <w:proofErr w:type="gramStart"/>
      <w:r w:rsidRPr="008223EE">
        <w:rPr>
          <w:rFonts w:ascii="Arial" w:eastAsia="Times New Roman" w:hAnsi="Arial" w:cs="Arial"/>
          <w:sz w:val="18"/>
          <w:szCs w:val="18"/>
        </w:rPr>
        <w:t>raise</w:t>
      </w:r>
      <w:proofErr w:type="gramEnd"/>
      <w:r w:rsidRPr="008223EE">
        <w:rPr>
          <w:rFonts w:ascii="Arial" w:eastAsia="Times New Roman" w:hAnsi="Arial" w:cs="Arial"/>
          <w:sz w:val="18"/>
          <w:szCs w:val="18"/>
        </w:rPr>
        <w:t xml:space="preserve"> additional secured and unsecured term funding in a variety of markets. During 2012, the Group issued approximately £28bn of term funding, comprising:</w:t>
      </w:r>
    </w:p>
    <w:p w:rsidR="008223EE" w:rsidRPr="008223EE" w:rsidRDefault="008223EE" w:rsidP="009225DA">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£3.4bn equivalent of public benchmark senior unsecured </w:t>
      </w:r>
    </w:p>
    <w:p w:rsidR="008223EE" w:rsidRPr="008223EE" w:rsidRDefault="008223EE" w:rsidP="009225DA">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£6.2bn equivalent of net privately placed senior unsecured </w:t>
      </w:r>
    </w:p>
    <w:p w:rsidR="008223EE" w:rsidRPr="008223EE" w:rsidRDefault="008223EE" w:rsidP="009225DA">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£16.8bn equivalent of secured</w:t>
      </w:r>
    </w:p>
    <w:p w:rsidR="008223EE" w:rsidRPr="008223EE" w:rsidRDefault="008223EE" w:rsidP="009225DA">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£1.9bn equivalent of subordinated debt</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Included within secured funding issued during 2012 is £6bn of funding raised through participation in the Bank of England's Funding for Lending </w:t>
      </w:r>
      <w:proofErr w:type="gramStart"/>
      <w:r w:rsidRPr="008223EE">
        <w:rPr>
          <w:rFonts w:ascii="Arial" w:eastAsia="Times New Roman" w:hAnsi="Arial" w:cs="Arial"/>
          <w:sz w:val="18"/>
          <w:szCs w:val="18"/>
        </w:rPr>
        <w:t>Scheme.</w:t>
      </w:r>
      <w:proofErr w:type="gramEnd"/>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Subordinated debt issued during 2012 comprises a Tier 2 issue of £1.9bn equivalent of contingent capital notes which includes a write-off feature should the Group's CT1 or CET1 capital, as appropriate, fall below 7%.</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As previously disclosed, in addition to the above issuance, Euro funding gaps in Spain and Portugal were reduced through accessing €8.2bn of the European Central Bank's long-term refinancing operation in February 2012 (see page 81 for more detail of local Eurozone balance sheet redenomination risk).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Total 2012 issuance was sufficient to cover the Group's needs for 2012 and also to pre-fund a large portion of the Group's needs for 2013. The Group's needs in 2012 were significantly lower than the £27bn of term funding maturing in that year due to the improvement in the customer loan to deposit ratio and a sell down in legacy assets.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Group has £18bn of term debt maturing in 2013 and a further £24bn maturing in 2014. However, when considering expected deposit growth and reduction in legacy assets, the Group's funding needs would be considerably lower. The Group continues to recognise the importance of a diversified funding base, and therefore monitors opportunities across a variety of funding markets.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Liquidity</w:t>
      </w:r>
    </w:p>
    <w:p w:rsidR="008223EE" w:rsidRPr="008223EE" w:rsidRDefault="008223EE" w:rsidP="008223EE">
      <w:pPr>
        <w:spacing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Credit Rating</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963"/>
        <w:gridCol w:w="1044"/>
        <w:gridCol w:w="1044"/>
        <w:gridCol w:w="1039"/>
        <w:gridCol w:w="1044"/>
      </w:tblGrid>
      <w:tr w:rsidR="008223EE" w:rsidRPr="008223EE" w:rsidTr="008223EE">
        <w:trPr>
          <w:trHeight w:val="225"/>
        </w:trPr>
        <w:tc>
          <w:tcPr>
            <w:tcW w:w="50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Credit Rating as at 31 December 2012</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Standard &amp; Poor's</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Moody's</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Fitch</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DBRS</w:t>
            </w:r>
          </w:p>
        </w:tc>
      </w:tr>
      <w:tr w:rsidR="008223EE" w:rsidRPr="008223EE" w:rsidTr="008223EE">
        <w:trPr>
          <w:trHeight w:val="225"/>
        </w:trPr>
        <w:tc>
          <w:tcPr>
            <w:tcW w:w="5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Barclays Bank PLC</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2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Long Term</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A+ (Negative)</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A2 (Negative)</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A (Stable)</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AA (Negative)</w:t>
            </w:r>
          </w:p>
        </w:tc>
      </w:tr>
      <w:tr w:rsidR="008223EE" w:rsidRPr="008223EE" w:rsidTr="008223EE">
        <w:trPr>
          <w:trHeight w:val="22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Short Term</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A-1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P-1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F1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R-1 (High)</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During 2012, Barclays Bank PLC rating was downgraded by Moody's, from Aa3/P-1 to A2/P-1, as a result of the agency's rating repositioning of banks and securities firms with global capital market operations, and by DBRS, from AA High/ R-1 High to AA/R-1 High, as the result of the resignation of senior management during the summer. Barclays was fully reserving for maximum contractual outflows as a result of the ratings actions in the liquidity pool. There has been no significant change in deposit funding or wholesale funding in relation to the rating actions</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below table shows contractual collateral requirements and contingent obligations following one and two notch long-term and associated short-term simultaneous downgrades across all credit rating agencies, which are fully reserved for in the liquidity pool.  These numbers do not assume any management or restructuring actions that could be taken to reduce posting requirements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7076"/>
        <w:gridCol w:w="1029"/>
        <w:gridCol w:w="1029"/>
      </w:tblGrid>
      <w:tr w:rsidR="008223EE" w:rsidRPr="008223EE" w:rsidTr="008223EE">
        <w:trPr>
          <w:trHeight w:val="255"/>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Contractual Credit Rating Downgrade Exposure</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One-notch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Two-notch</w:t>
            </w:r>
          </w:p>
        </w:tc>
      </w:tr>
      <w:tr w:rsidR="008223EE" w:rsidRPr="008223EE" w:rsidTr="008223EE">
        <w:trPr>
          <w:trHeight w:val="255"/>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(cumulative cash flow)</w:t>
            </w:r>
          </w:p>
        </w:tc>
        <w:tc>
          <w:tcPr>
            <w:tcW w:w="1050"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c>
          <w:tcPr>
            <w:tcW w:w="1050"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roofErr w:type="spellStart"/>
            <w:r w:rsidRPr="008223EE">
              <w:rPr>
                <w:rFonts w:ascii="Arial" w:eastAsia="Times New Roman" w:hAnsi="Arial" w:cs="Arial"/>
                <w:color w:val="000000"/>
                <w:sz w:val="16"/>
                <w:szCs w:val="16"/>
              </w:rPr>
              <w:t>bn</w:t>
            </w:r>
            <w:proofErr w:type="spellEnd"/>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Securitisation derivatives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Contingent liabilities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Derivatives margining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r>
      <w:tr w:rsidR="008223EE" w:rsidRPr="008223EE" w:rsidTr="008223EE">
        <w:trPr>
          <w:trHeight w:val="240"/>
        </w:trPr>
        <w:tc>
          <w:tcPr>
            <w:tcW w:w="732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Liquidity facilities </w:t>
            </w:r>
          </w:p>
        </w:tc>
        <w:tc>
          <w:tcPr>
            <w:tcW w:w="10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c>
          <w:tcPr>
            <w:tcW w:w="10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17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Beyond these contractual requirements, these outflows do not include the potential liquidity impact from loss of unsecured funding, such as from money market funds, or loss of secured funding capacity. However, unsecured and secured funding stresses are included in the LRA stress scenarios and a portion of the liquidity pool is held against these risks</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Credit rating downgrades could also result in increased costs or reduced capacity to </w:t>
      </w:r>
      <w:proofErr w:type="gramStart"/>
      <w:r w:rsidRPr="008223EE">
        <w:rPr>
          <w:rFonts w:ascii="Arial" w:eastAsia="Times New Roman" w:hAnsi="Arial" w:cs="Arial"/>
          <w:sz w:val="18"/>
          <w:szCs w:val="18"/>
        </w:rPr>
        <w:t>raise</w:t>
      </w:r>
      <w:proofErr w:type="gramEnd"/>
      <w:r w:rsidRPr="008223EE">
        <w:rPr>
          <w:rFonts w:ascii="Arial" w:eastAsia="Times New Roman" w:hAnsi="Arial" w:cs="Arial"/>
          <w:sz w:val="18"/>
          <w:szCs w:val="18"/>
        </w:rPr>
        <w:t xml:space="preserve"> funding  </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Absa Group</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Liquidity risk is managed separately at Absa Group due to local currency, funding and regulatory requirements</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 addition to the Group liquidity pool, as at 31 December 2012, Absa Group held £4.6bn of liquidity pool assets against Absa-specific anticipated stressed outflows. The liquidity pool consists of South African government bonds and Treasury bills. The Absa loan to deposit ratio as at 31 December 2012 was 112% (2011: 115%). The improvement in the loan to deposit ratio was driven by a reduction in loans and advances as a result of exchange rate movements combined with lower demand for credit across the South African economy in general, as well as a continued focus on ensuring that high credit standards continue to be applied. Absa has also seen an increase in the term of customer deposits over the period</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As at 31 December 2012, Absa had £12bn of wholesale funding outstanding (2011: £15bn), of which £6bn matures in less than 12 months (2011: £9bn). Issuance of term debt during 2012 included £0.5bn of senior unsecured debt and £0.4bn of subordinated debt, further extending the term and diversity of the funding base</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r>
      <w:r w:rsidRPr="008223EE">
        <w:rPr>
          <w:rFonts w:ascii="Arial" w:eastAsia="Times New Roman" w:hAnsi="Arial" w:cs="Arial"/>
          <w:sz w:val="2"/>
          <w:szCs w:val="2"/>
        </w:rPr>
        <w:b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Liquidity</w:t>
      </w:r>
    </w:p>
    <w:tbl>
      <w:tblPr>
        <w:tblW w:w="0" w:type="auto"/>
        <w:tblInd w:w="-36" w:type="dxa"/>
        <w:tblCellMar>
          <w:left w:w="0" w:type="dxa"/>
          <w:right w:w="0" w:type="dxa"/>
        </w:tblCellMar>
        <w:tblLook w:val="04A0" w:firstRow="1" w:lastRow="0" w:firstColumn="1" w:lastColumn="0" w:noHBand="0" w:noVBand="1"/>
      </w:tblPr>
      <w:tblGrid>
        <w:gridCol w:w="5226"/>
        <w:gridCol w:w="796"/>
        <w:gridCol w:w="190"/>
        <w:gridCol w:w="1798"/>
        <w:gridCol w:w="142"/>
        <w:gridCol w:w="982"/>
      </w:tblGrid>
      <w:tr w:rsidR="008223EE" w:rsidRPr="008223EE" w:rsidTr="0091196F">
        <w:trPr>
          <w:trHeight w:val="240"/>
        </w:trPr>
        <w:tc>
          <w:tcPr>
            <w:tcW w:w="8010" w:type="dxa"/>
            <w:gridSpan w:val="4"/>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Analysis of Total Assets by Valuation Basis</w:t>
            </w:r>
          </w:p>
        </w:tc>
        <w:tc>
          <w:tcPr>
            <w:tcW w:w="142"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82"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r>
      <w:tr w:rsidR="008223EE" w:rsidRPr="008223EE" w:rsidTr="0091196F">
        <w:trPr>
          <w:trHeight w:val="240"/>
        </w:trPr>
        <w:tc>
          <w:tcPr>
            <w:tcW w:w="5226"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96"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9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798"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Accounting Basis</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982"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Sub Analysis</w:t>
            </w:r>
          </w:p>
        </w:tc>
      </w:tr>
      <w:tr w:rsidR="008223EE" w:rsidRPr="008223EE" w:rsidTr="0091196F">
        <w:tc>
          <w:tcPr>
            <w:tcW w:w="5226"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96"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9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798"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42"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82"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175"/>
        <w:gridCol w:w="851"/>
        <w:gridCol w:w="142"/>
        <w:gridCol w:w="1000"/>
        <w:gridCol w:w="819"/>
        <w:gridCol w:w="190"/>
        <w:gridCol w:w="957"/>
      </w:tblGrid>
      <w:tr w:rsidR="008223EE" w:rsidRPr="008223EE" w:rsidTr="0091196F">
        <w:trPr>
          <w:trHeight w:val="587"/>
        </w:trPr>
        <w:tc>
          <w:tcPr>
            <w:tcW w:w="51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Assets as at 31.12.12 </w:t>
            </w:r>
          </w:p>
        </w:tc>
        <w:tc>
          <w:tcPr>
            <w:tcW w:w="851"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 Assets</w:t>
            </w:r>
          </w:p>
        </w:tc>
        <w:tc>
          <w:tcPr>
            <w:tcW w:w="142"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0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Cost Based</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Measure</w:t>
            </w:r>
          </w:p>
        </w:tc>
        <w:tc>
          <w:tcPr>
            <w:tcW w:w="819"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Fair Value </w:t>
            </w:r>
          </w:p>
        </w:tc>
        <w:tc>
          <w:tcPr>
            <w:tcW w:w="19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57"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Credit Market Exposures</w:t>
            </w:r>
            <w:r w:rsidRPr="008223EE">
              <w:rPr>
                <w:rFonts w:ascii="Arial" w:eastAsia="Times New Roman" w:hAnsi="Arial" w:cs="Arial"/>
                <w:b/>
                <w:bCs/>
                <w:color w:val="000000"/>
                <w:sz w:val="13"/>
                <w:szCs w:val="13"/>
                <w:vertAlign w:val="superscript"/>
              </w:rPr>
              <w:t>1 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Cash and balances at central banks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86,175 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86,175 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Items in the course of collection from other banks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1,456 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1,456 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Debt securities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114,759 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114,759 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420  </w:t>
            </w:r>
          </w:p>
        </w:tc>
      </w:tr>
      <w:tr w:rsidR="008223EE" w:rsidRPr="008223EE" w:rsidTr="0091196F">
        <w:trPr>
          <w:trHeight w:val="240"/>
        </w:trPr>
        <w:tc>
          <w:tcPr>
            <w:tcW w:w="51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Equity securities </w:t>
            </w:r>
          </w:p>
        </w:tc>
        <w:tc>
          <w:tcPr>
            <w:tcW w:w="85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24,751 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24,751 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91196F">
        <w:trPr>
          <w:trHeight w:val="240"/>
        </w:trPr>
        <w:tc>
          <w:tcPr>
            <w:tcW w:w="51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Traded loans </w:t>
            </w:r>
          </w:p>
        </w:tc>
        <w:tc>
          <w:tcPr>
            <w:tcW w:w="85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2,404 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2,404 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Commodities</w:t>
            </w:r>
            <w:r w:rsidRPr="008223EE">
              <w:rPr>
                <w:rFonts w:ascii="Arial" w:eastAsia="Times New Roman" w:hAnsi="Arial" w:cs="Arial"/>
                <w:color w:val="000000"/>
                <w:sz w:val="13"/>
                <w:szCs w:val="13"/>
                <w:vertAlign w:val="superscript"/>
              </w:rPr>
              <w:t>2 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3,116 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3,116 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Trading portfolio assets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145,030 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145,030 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420 </w:t>
            </w:r>
            <w:r w:rsidRPr="008223EE">
              <w:rPr>
                <w:rFonts w:ascii="Arial" w:eastAsia="Times New Roman" w:hAnsi="Arial" w:cs="Arial"/>
                <w:color w:val="000000"/>
                <w:sz w:val="16"/>
                <w:szCs w:val="16"/>
                <w:vertAlign w:val="superscript"/>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21,996 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21,996 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1,368  </w:t>
            </w:r>
          </w:p>
        </w:tc>
      </w:tr>
      <w:tr w:rsidR="008223EE" w:rsidRPr="008223EE" w:rsidTr="0091196F">
        <w:trPr>
          <w:trHeight w:val="240"/>
        </w:trPr>
        <w:tc>
          <w:tcPr>
            <w:tcW w:w="51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Debt securities </w:t>
            </w:r>
          </w:p>
        </w:tc>
        <w:tc>
          <w:tcPr>
            <w:tcW w:w="85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6,118 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6,118 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91196F">
        <w:trPr>
          <w:trHeight w:val="240"/>
        </w:trPr>
        <w:tc>
          <w:tcPr>
            <w:tcW w:w="51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Equity securities </w:t>
            </w:r>
          </w:p>
        </w:tc>
        <w:tc>
          <w:tcPr>
            <w:tcW w:w="85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8,957 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8,957 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3  </w:t>
            </w:r>
          </w:p>
        </w:tc>
      </w:tr>
      <w:tr w:rsidR="008223EE" w:rsidRPr="008223EE" w:rsidTr="0091196F">
        <w:trPr>
          <w:trHeight w:val="240"/>
        </w:trPr>
        <w:tc>
          <w:tcPr>
            <w:tcW w:w="51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financial assets</w:t>
            </w:r>
            <w:r w:rsidRPr="008223EE">
              <w:rPr>
                <w:rFonts w:ascii="Arial" w:eastAsia="Times New Roman" w:hAnsi="Arial" w:cs="Arial"/>
                <w:color w:val="000000"/>
                <w:sz w:val="13"/>
                <w:szCs w:val="13"/>
                <w:vertAlign w:val="superscript"/>
              </w:rPr>
              <w:t>3 </w:t>
            </w:r>
          </w:p>
        </w:tc>
        <w:tc>
          <w:tcPr>
            <w:tcW w:w="85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7,727 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7,727 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Held in respect of linked liabilities to customers under investment contracts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1,263 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1,263 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Financial assets designated at fair value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46,061 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46,061 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1,371 </w:t>
            </w:r>
            <w:r w:rsidRPr="008223EE">
              <w:rPr>
                <w:rFonts w:ascii="Arial" w:eastAsia="Times New Roman" w:hAnsi="Arial" w:cs="Arial"/>
                <w:color w:val="000000"/>
                <w:sz w:val="16"/>
                <w:szCs w:val="16"/>
                <w:vertAlign w:val="superscript"/>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Derivative financial instruments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469,146 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469,146 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672 </w:t>
            </w:r>
            <w:r w:rsidRPr="008223EE">
              <w:rPr>
                <w:rFonts w:ascii="Arial" w:eastAsia="Times New Roman" w:hAnsi="Arial" w:cs="Arial"/>
                <w:color w:val="000000"/>
                <w:sz w:val="16"/>
                <w:szCs w:val="16"/>
                <w:vertAlign w:val="superscript"/>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Loans and advances to banks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40,489 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40,489 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 xml:space="preserve">Loans and advances to customers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425,729 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425,729 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4,763 </w:t>
            </w:r>
            <w:r w:rsidRPr="008223EE">
              <w:rPr>
                <w:rFonts w:ascii="Arial" w:eastAsia="Times New Roman" w:hAnsi="Arial" w:cs="Arial"/>
                <w:color w:val="000000"/>
                <w:sz w:val="16"/>
                <w:szCs w:val="16"/>
                <w:vertAlign w:val="superscript"/>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Reverse repurchase agreements and other similar secured lending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176,956 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176,956 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Debt securities </w:t>
            </w:r>
            <w:r w:rsidRPr="008223EE">
              <w:rPr>
                <w:rFonts w:ascii="Arial" w:eastAsia="Times New Roman" w:hAnsi="Arial" w:cs="Arial"/>
                <w:color w:val="000000"/>
                <w:sz w:val="13"/>
                <w:szCs w:val="13"/>
                <w:vertAlign w:val="superscript"/>
              </w:rPr>
              <w:t>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74,677 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74,677 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257 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Equity securities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432 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432 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Available for sale financial investments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75,109 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75,109 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257 </w:t>
            </w:r>
            <w:r w:rsidRPr="008223EE">
              <w:rPr>
                <w:rFonts w:ascii="Arial" w:eastAsia="Times New Roman" w:hAnsi="Arial" w:cs="Arial"/>
                <w:color w:val="000000"/>
                <w:sz w:val="16"/>
                <w:szCs w:val="16"/>
                <w:vertAlign w:val="superscript"/>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Other assets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24,170 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22,484 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1,686 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1,625 </w:t>
            </w:r>
            <w:r w:rsidRPr="008223EE">
              <w:rPr>
                <w:rFonts w:ascii="Arial" w:eastAsia="Times New Roman" w:hAnsi="Arial" w:cs="Arial"/>
                <w:color w:val="000000"/>
                <w:sz w:val="16"/>
                <w:szCs w:val="16"/>
                <w:vertAlign w:val="superscript"/>
              </w:rPr>
              <w:t xml:space="preserve">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assets as at 31.12.12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1,490,321 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753,289 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737,032 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9,108  </w:t>
            </w:r>
          </w:p>
        </w:tc>
      </w:tr>
      <w:tr w:rsidR="008223EE" w:rsidRPr="008223EE" w:rsidTr="0091196F">
        <w:trPr>
          <w:trHeight w:val="240"/>
        </w:trPr>
        <w:tc>
          <w:tcPr>
            <w:tcW w:w="51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51"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19"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5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91196F">
        <w:trPr>
          <w:trHeight w:val="240"/>
        </w:trPr>
        <w:tc>
          <w:tcPr>
            <w:tcW w:w="51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assets as at 31.12.11 </w:t>
            </w:r>
          </w:p>
        </w:tc>
        <w:tc>
          <w:tcPr>
            <w:tcW w:w="85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1,563,527 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764,012 </w:t>
            </w:r>
          </w:p>
        </w:tc>
        <w:tc>
          <w:tcPr>
            <w:tcW w:w="8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799,515 </w:t>
            </w:r>
          </w:p>
        </w:tc>
        <w:tc>
          <w:tcPr>
            <w:tcW w:w="1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5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14,981 </w:t>
            </w:r>
            <w:r w:rsidRPr="008223EE">
              <w:rPr>
                <w:rFonts w:ascii="Arial" w:eastAsia="Times New Roman" w:hAnsi="Arial" w:cs="Arial"/>
                <w:color w:val="000000"/>
                <w:sz w:val="16"/>
                <w:szCs w:val="16"/>
                <w:vertAlign w:val="superscript"/>
              </w:rPr>
              <w:t xml:space="preserve">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20" w:after="20" w:line="240" w:lineRule="auto"/>
        <w:ind w:left="1418" w:hanging="284"/>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1        Further analysis of </w:t>
      </w:r>
      <w:proofErr w:type="gramStart"/>
      <w:r w:rsidRPr="008223EE">
        <w:rPr>
          <w:rFonts w:ascii="Arial" w:eastAsia="Times New Roman" w:hAnsi="Arial" w:cs="Arial"/>
          <w:i/>
          <w:iCs/>
          <w:sz w:val="14"/>
          <w:szCs w:val="14"/>
        </w:rPr>
        <w:t>Barclays</w:t>
      </w:r>
      <w:proofErr w:type="gramEnd"/>
      <w:r w:rsidRPr="008223EE">
        <w:rPr>
          <w:rFonts w:ascii="Arial" w:eastAsia="Times New Roman" w:hAnsi="Arial" w:cs="Arial"/>
          <w:i/>
          <w:iCs/>
          <w:sz w:val="14"/>
          <w:szCs w:val="14"/>
        </w:rPr>
        <w:t xml:space="preserve"> credit market exposures is on page 82. Undrawn commitments of £202m (2011: £180m) are off-balance sheet and therefore not included in the table above.</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Commodities primarily consist of physical inventory positions.</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3        These instruments consist primarily of reverse repurchase agreements designated at fair value.</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Funding Risk - Liquidity</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Analysis of Loans and Advances to Customers and Banks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459"/>
        <w:gridCol w:w="875"/>
        <w:gridCol w:w="875"/>
        <w:gridCol w:w="875"/>
        <w:gridCol w:w="875"/>
        <w:gridCol w:w="874"/>
        <w:gridCol w:w="1301"/>
      </w:tblGrid>
      <w:tr w:rsidR="008223EE" w:rsidRPr="008223EE" w:rsidTr="008223EE">
        <w:trPr>
          <w:trHeight w:val="240"/>
        </w:trPr>
        <w:tc>
          <w:tcPr>
            <w:tcW w:w="3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9570" w:type="dxa"/>
            <w:gridSpan w:val="7"/>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Loans and Advances at Amortised Cost Net of Impairment Allowances, by Industry Sector and Geography</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451"/>
        <w:gridCol w:w="905"/>
        <w:gridCol w:w="900"/>
        <w:gridCol w:w="906"/>
        <w:gridCol w:w="1158"/>
        <w:gridCol w:w="900"/>
        <w:gridCol w:w="900"/>
        <w:gridCol w:w="14"/>
      </w:tblGrid>
      <w:tr w:rsidR="008223EE" w:rsidRPr="008223EE" w:rsidTr="008223EE">
        <w:trPr>
          <w:trHeight w:val="480"/>
        </w:trPr>
        <w:tc>
          <w:tcPr>
            <w:tcW w:w="3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United Kingdom</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Europe</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Americas</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Africa and Middle East</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Asia</w:t>
            </w:r>
          </w:p>
        </w:tc>
        <w:tc>
          <w:tcPr>
            <w:tcW w:w="91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Banks</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7,134 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14,475 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12,050 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3,405 </w:t>
            </w:r>
          </w:p>
        </w:tc>
        <w:tc>
          <w:tcPr>
            <w:tcW w:w="91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38,870 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financial institutions</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17,113 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20,986 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42,277 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4,490 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3,124 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87,990 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Manufacturing</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6,041 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2,533 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1,225 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487 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11,518 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Construction</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3,077 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3,650 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Property</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15,167 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2,411 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3,101 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247 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21,603 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Government</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2,985 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1,012 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1,734 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253 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6,542 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Energy and water</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2,286 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2,365 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1,757 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393 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7,622 </w:t>
            </w:r>
          </w:p>
        </w:tc>
      </w:tr>
      <w:tr w:rsidR="008223EE" w:rsidRPr="008223EE" w:rsidTr="008223EE">
        <w:trPr>
          <w:trHeight w:val="255"/>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Wholesale and retail distribution and leisure</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9,567 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2,463 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734 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1,748 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91 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14,603 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Business and other services</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15,754 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2,754 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2,360 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2,654 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630 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24,152 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Home loans</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119,652 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36,659 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17,553 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270 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174,614 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Cards, unsecured loans and other personal lending</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29,716 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5,887 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11,725 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5,172 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1,147 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53,647 </w:t>
            </w:r>
          </w:p>
        </w:tc>
      </w:tr>
      <w:tr w:rsidR="008223EE" w:rsidRPr="008223EE" w:rsidTr="008223EE">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9,448 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2,390 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1,232 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7,817 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520 </w:t>
            </w:r>
          </w:p>
        </w:tc>
        <w:tc>
          <w:tcPr>
            <w:tcW w:w="91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21,407 </w:t>
            </w:r>
          </w:p>
        </w:tc>
      </w:tr>
      <w:tr w:rsidR="008223EE" w:rsidRPr="008223EE" w:rsidTr="008223EE">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Net loans and advances to customers and banks</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235,513 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96,384 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75,530 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48,203 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10,588 </w:t>
            </w:r>
          </w:p>
        </w:tc>
        <w:tc>
          <w:tcPr>
            <w:tcW w:w="91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466,218 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Impairment allowance</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(3,270)</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(2,775)</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(2,180)</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(1,381)</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(70)</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(9,676)</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Banks</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9,251 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13,503 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13,349 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2,956 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5,648 </w:t>
            </w:r>
          </w:p>
        </w:tc>
        <w:tc>
          <w:tcPr>
            <w:tcW w:w="91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44,707 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financial institutions</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18,474 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20,059 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44,965 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2,264 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3,888 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89,650 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Manufacturing</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6,185 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3,341 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1,396 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1,439 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543 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12,904 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Construction</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3,391 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4,607 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Property</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16,230 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3,193 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3,600 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212 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24,104 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Government</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3,365 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3,072 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1,031 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8,868 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Energy and water</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1,599 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2,448 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2,165 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384 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7,414 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Wholesale and retail distribution and leisure</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10,308 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3,008 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2,073 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161 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16,206 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Business and other services</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16,473 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4,981 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1,584 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2,907 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355 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26,300 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Home loans</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112,260 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38,508 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19,437 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501 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171,272 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Cards, unsecured loans and other personal lending</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27,409 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6,417 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9,293 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6,158 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785 </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50,062 </w:t>
            </w:r>
          </w:p>
        </w:tc>
      </w:tr>
      <w:tr w:rsidR="008223EE" w:rsidRPr="008223EE" w:rsidTr="008223EE">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8,363 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5,554 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1,312 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7,471 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586 </w:t>
            </w:r>
          </w:p>
        </w:tc>
        <w:tc>
          <w:tcPr>
            <w:tcW w:w="91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23,286 </w:t>
            </w:r>
          </w:p>
        </w:tc>
      </w:tr>
      <w:tr w:rsidR="008223EE" w:rsidRPr="008223EE" w:rsidTr="008223EE">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Net loans and advances to customers and banks</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230,436 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105,148 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77,094 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52,543 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14,159 </w:t>
            </w:r>
          </w:p>
        </w:tc>
        <w:tc>
          <w:tcPr>
            <w:tcW w:w="91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479,380 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Impairment allowance</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(4,005)</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(2,920)</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(2,128)</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(1,446)</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(98)</w:t>
            </w:r>
          </w:p>
        </w:tc>
        <w:tc>
          <w:tcPr>
            <w:tcW w:w="91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(10,597)</w:t>
            </w:r>
          </w:p>
        </w:tc>
      </w:tr>
      <w:tr w:rsidR="008223EE" w:rsidRPr="008223EE" w:rsidTr="008223EE">
        <w:trPr>
          <w:trHeight w:val="240"/>
        </w:trPr>
        <w:tc>
          <w:tcPr>
            <w:tcW w:w="7575" w:type="dxa"/>
            <w:gridSpan w:val="5"/>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Impairment Allowance</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At beginning of period</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10,597 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12,432 </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Acquisitions and disposals</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Exchange and other adjustments</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(286)</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(440)</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Unwind of discount</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(211)</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(243)</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Amounts written off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(4,119)</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(5,165)</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Recoveries</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265 </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Amounts charged against profit</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3,563 </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3,766 </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At end of period</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9,676 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10,597 </w:t>
            </w: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0"/>
        </w:trPr>
        <w:tc>
          <w:tcPr>
            <w:tcW w:w="7575" w:type="dxa"/>
            <w:gridSpan w:val="5"/>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bl>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tbl>
      <w:tblPr>
        <w:tblW w:w="0" w:type="auto"/>
        <w:tblInd w:w="-36" w:type="dxa"/>
        <w:tblCellMar>
          <w:left w:w="0" w:type="dxa"/>
          <w:right w:w="0" w:type="dxa"/>
        </w:tblCellMar>
        <w:tblLook w:val="04A0" w:firstRow="1" w:lastRow="0" w:firstColumn="1" w:lastColumn="0" w:noHBand="0" w:noVBand="1"/>
      </w:tblPr>
      <w:tblGrid>
        <w:gridCol w:w="7362"/>
        <w:gridCol w:w="886"/>
        <w:gridCol w:w="886"/>
      </w:tblGrid>
      <w:tr w:rsidR="008223EE" w:rsidRPr="008223EE" w:rsidTr="008223EE">
        <w:trPr>
          <w:trHeight w:val="240"/>
        </w:trPr>
        <w:tc>
          <w:tcPr>
            <w:tcW w:w="75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Loans and Advances Held at Fair Value, by Industry Sector and Geography</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630"/>
        <w:gridCol w:w="915"/>
        <w:gridCol w:w="915"/>
        <w:gridCol w:w="915"/>
        <w:gridCol w:w="915"/>
        <w:gridCol w:w="915"/>
        <w:gridCol w:w="915"/>
      </w:tblGrid>
      <w:tr w:rsidR="008223EE" w:rsidRPr="008223EE" w:rsidTr="008223EE">
        <w:trPr>
          <w:trHeight w:val="510"/>
        </w:trPr>
        <w:tc>
          <w:tcPr>
            <w:tcW w:w="3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31.12.12 </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United Kingdom</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Europe</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Americas</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Africa and Middle East</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Asia</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Banks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493 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120 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422 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1,035 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financial institutions</w:t>
            </w:r>
            <w:r w:rsidRPr="008223EE">
              <w:rPr>
                <w:rFonts w:ascii="Arial" w:eastAsia="Times New Roman" w:hAnsi="Arial" w:cs="Arial"/>
                <w:color w:val="000000"/>
                <w:sz w:val="13"/>
                <w:szCs w:val="13"/>
                <w:vertAlign w:val="superscript"/>
              </w:rPr>
              <w:t>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1,293 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Manufacturing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676 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Construction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194 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Property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8,668 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9,914 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Government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5,759 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6,101 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Energy and water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173 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Wholesale and retail distribution and leisure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328 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Business and other services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3,404 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4,123 </w:t>
            </w:r>
          </w:p>
        </w:tc>
      </w:tr>
      <w:tr w:rsidR="008223EE" w:rsidRPr="008223EE" w:rsidTr="008223EE">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105 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132 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224 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563 </w:t>
            </w:r>
          </w:p>
        </w:tc>
      </w:tr>
      <w:tr w:rsidR="008223EE" w:rsidRPr="008223EE" w:rsidTr="008223EE">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18,159 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2,206 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2,944 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968 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123 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24,400 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31.12.11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Banks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364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512 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financial institutions</w:t>
            </w:r>
            <w:r w:rsidRPr="008223EE">
              <w:rPr>
                <w:rFonts w:ascii="Arial" w:eastAsia="Times New Roman" w:hAnsi="Arial" w:cs="Arial"/>
                <w:color w:val="000000"/>
                <w:sz w:val="13"/>
                <w:szCs w:val="13"/>
                <w:vertAlign w:val="superscript"/>
              </w:rPr>
              <w:t>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892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1,265 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Manufacturing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211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406 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Construction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179 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Property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8,443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1,147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575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10,301 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Government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5,609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5,636 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Energy and water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385 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Wholesale and retail distribution and leisure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359 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Business and other services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3,381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3,692 </w:t>
            </w:r>
          </w:p>
        </w:tc>
      </w:tr>
      <w:tr w:rsidR="008223EE" w:rsidRPr="008223EE" w:rsidTr="008223EE">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90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55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317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71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599 </w:t>
            </w:r>
          </w:p>
        </w:tc>
      </w:tr>
      <w:tr w:rsidR="008223EE" w:rsidRPr="008223EE" w:rsidTr="008223EE">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17,945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2,158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2,176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929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126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23,334 </w:t>
            </w:r>
          </w:p>
        </w:tc>
      </w:tr>
      <w:tr w:rsidR="008223EE" w:rsidRPr="008223EE" w:rsidTr="008223EE">
        <w:trPr>
          <w:trHeight w:val="240"/>
        </w:trPr>
        <w:tc>
          <w:tcPr>
            <w:tcW w:w="3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7072"/>
        <w:gridCol w:w="1030"/>
        <w:gridCol w:w="1032"/>
      </w:tblGrid>
      <w:tr w:rsidR="008223EE" w:rsidRPr="008223EE" w:rsidTr="008223EE">
        <w:trPr>
          <w:trHeight w:val="255"/>
        </w:trPr>
        <w:tc>
          <w:tcPr>
            <w:tcW w:w="73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Credit Impairment Charges and other Provisions by Business</w:t>
            </w:r>
            <w:r w:rsidRPr="008223EE">
              <w:rPr>
                <w:rFonts w:ascii="Arial" w:eastAsia="Times New Roman" w:hAnsi="Arial" w:cs="Arial"/>
                <w:color w:val="000000"/>
                <w:sz w:val="16"/>
                <w:szCs w:val="16"/>
                <w:vertAlign w:val="superscript"/>
              </w:rPr>
              <w:t xml:space="preserve">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55"/>
        </w:trPr>
        <w:tc>
          <w:tcPr>
            <w:tcW w:w="73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r>
      <w:tr w:rsidR="008223EE" w:rsidRPr="008223EE" w:rsidTr="008223EE">
        <w:trPr>
          <w:trHeight w:val="255"/>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Loan Impairment</w:t>
            </w:r>
            <w:r w:rsidRPr="008223EE">
              <w:rPr>
                <w:rFonts w:ascii="Arial" w:eastAsia="Times New Roman" w:hAnsi="Arial" w:cs="Arial"/>
                <w:color w:val="000000"/>
                <w:sz w:val="16"/>
                <w:szCs w:val="16"/>
                <w:vertAlign w:val="superscript"/>
              </w:rPr>
              <w:t xml:space="preserve">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55"/>
        </w:trPr>
        <w:tc>
          <w:tcPr>
            <w:tcW w:w="73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RBB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269 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536 </w:t>
            </w:r>
          </w:p>
        </w:tc>
      </w:tr>
      <w:tr w:rsidR="008223EE" w:rsidRPr="008223EE" w:rsidTr="008223EE">
        <w:trPr>
          <w:trHeight w:val="255"/>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Europe RBB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241 </w:t>
            </w:r>
          </w:p>
        </w:tc>
      </w:tr>
      <w:tr w:rsidR="008223EE" w:rsidRPr="008223EE" w:rsidTr="008223EE">
        <w:trPr>
          <w:trHeight w:val="255"/>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Africa RBB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646 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466 </w:t>
            </w:r>
          </w:p>
        </w:tc>
      </w:tr>
      <w:tr w:rsidR="008223EE" w:rsidRPr="008223EE" w:rsidTr="008223EE">
        <w:trPr>
          <w:trHeight w:val="255"/>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Barclaycard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1,259 </w:t>
            </w:r>
          </w:p>
        </w:tc>
      </w:tr>
      <w:tr w:rsidR="008223EE" w:rsidRPr="008223EE" w:rsidTr="008223EE">
        <w:trPr>
          <w:trHeight w:val="255"/>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Investment Bank</w:t>
            </w:r>
            <w:r w:rsidRPr="008223EE">
              <w:rPr>
                <w:rFonts w:ascii="Arial" w:eastAsia="Times New Roman" w:hAnsi="Arial" w:cs="Arial"/>
                <w:color w:val="000000"/>
                <w:sz w:val="13"/>
                <w:szCs w:val="13"/>
                <w:vertAlign w:val="superscript"/>
              </w:rPr>
              <w:t>2</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129 </w:t>
            </w:r>
          </w:p>
        </w:tc>
      </w:tr>
      <w:tr w:rsidR="008223EE" w:rsidRPr="008223EE" w:rsidTr="008223EE">
        <w:trPr>
          <w:trHeight w:val="255"/>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Banking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1,120 </w:t>
            </w:r>
          </w:p>
        </w:tc>
      </w:tr>
      <w:tr w:rsidR="008223EE" w:rsidRPr="008223EE" w:rsidTr="008223EE">
        <w:trPr>
          <w:trHeight w:val="255"/>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Wealth and Investment Management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41 </w:t>
            </w:r>
          </w:p>
        </w:tc>
      </w:tr>
      <w:tr w:rsidR="008223EE" w:rsidRPr="008223EE" w:rsidTr="008223EE">
        <w:trPr>
          <w:trHeight w:val="255"/>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Head Office and Other Operations </w:t>
            </w:r>
            <w:r w:rsidRPr="008223EE">
              <w:rPr>
                <w:rFonts w:ascii="Arial" w:eastAsia="Times New Roman" w:hAnsi="Arial" w:cs="Arial"/>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w:t>
            </w:r>
          </w:p>
        </w:tc>
      </w:tr>
      <w:tr w:rsidR="008223EE" w:rsidRPr="008223EE" w:rsidTr="008223EE">
        <w:trPr>
          <w:trHeight w:val="255"/>
        </w:trPr>
        <w:tc>
          <w:tcPr>
            <w:tcW w:w="73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Loan Impairment Charges</w:t>
            </w:r>
            <w:r w:rsidRPr="008223EE">
              <w:rPr>
                <w:rFonts w:ascii="Arial" w:eastAsia="Times New Roman" w:hAnsi="Arial" w:cs="Arial"/>
                <w:b/>
                <w:bCs/>
                <w:color w:val="000000"/>
                <w:sz w:val="13"/>
                <w:szCs w:val="13"/>
                <w:vertAlign w:val="superscript"/>
              </w:rPr>
              <w:t>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3,559 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3,790 </w:t>
            </w:r>
          </w:p>
        </w:tc>
      </w:tr>
      <w:tr w:rsidR="008223EE" w:rsidRPr="008223EE" w:rsidTr="008223EE">
        <w:trPr>
          <w:trHeight w:val="255"/>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Impairment charges on Available for Sale Financial Investments (excluding BlackRock, Inc.)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60 </w:t>
            </w:r>
          </w:p>
        </w:tc>
      </w:tr>
      <w:tr w:rsidR="008223EE" w:rsidRPr="008223EE" w:rsidTr="008223EE">
        <w:trPr>
          <w:trHeight w:val="255"/>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Impairment of Reverse Repurchase agreements </w:t>
            </w:r>
            <w:r w:rsidRPr="008223EE">
              <w:rPr>
                <w:rFonts w:ascii="Arial" w:eastAsia="Times New Roman" w:hAnsi="Arial" w:cs="Arial"/>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w:t>
            </w:r>
          </w:p>
        </w:tc>
      </w:tr>
      <w:tr w:rsidR="008223EE" w:rsidRPr="008223EE" w:rsidTr="008223EE">
        <w:trPr>
          <w:trHeight w:val="255"/>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Credit Impairment Charges and other Provisions </w:t>
            </w:r>
            <w:r w:rsidRPr="008223EE">
              <w:rPr>
                <w:rFonts w:ascii="Arial" w:eastAsia="Times New Roman" w:hAnsi="Arial" w:cs="Arial"/>
                <w:b/>
                <w:bCs/>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3,596 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3,802 </w:t>
            </w:r>
          </w:p>
        </w:tc>
      </w:tr>
      <w:tr w:rsidR="008223EE" w:rsidRPr="008223EE" w:rsidTr="008223EE">
        <w:trPr>
          <w:trHeight w:val="255"/>
        </w:trPr>
        <w:tc>
          <w:tcPr>
            <w:tcW w:w="73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Impairment of Investment in BlackRock, Inc. </w:t>
            </w:r>
            <w:r w:rsidRPr="008223EE">
              <w:rPr>
                <w:rFonts w:ascii="Arial" w:eastAsia="Times New Roman" w:hAnsi="Arial" w:cs="Arial"/>
                <w:b/>
                <w:bCs/>
                <w:color w:val="000000"/>
                <w:sz w:val="13"/>
                <w:szCs w:val="13"/>
                <w:vertAlign w:val="superscript"/>
              </w:rPr>
              <w:t>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1,800 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Included within Other financial institutions (Americas) are £427m (2011: £693m) of loans backed by retail mortgage collateral.</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Credit market related charges within Investment Bank comprised a net £243m charge (2011: £14m write back) against loans and advances and £6m write back (2011: £35m write back) against available for sale assets.</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3        Includes write back of £4m (2011: £24m charge) in respect of undrawn facilities and guarantees.</w:t>
      </w:r>
    </w:p>
    <w:p w:rsidR="008223EE" w:rsidRPr="008223EE" w:rsidRDefault="008223EE" w:rsidP="00351E2D">
      <w:pPr>
        <w:spacing w:after="18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Credit Risk</w:t>
      </w:r>
    </w:p>
    <w:p w:rsidR="008223EE" w:rsidRPr="008223EE" w:rsidRDefault="008223EE" w:rsidP="00351E2D">
      <w:pPr>
        <w:spacing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Impairment charges on loans and advances were 6% lower than 2011 reflecting lower impairment in UK RBB, Barclaycard and Corporate Banking partially offset by higher charges in some international businesses, notably in Europe and South Africa, and a higher charge in Investment Bank. The increase in Investment Bank was primarily related to ABS CDO Super Senior positions and losses on a small number of single name exposures, also the prior year included a non-recurring release of £223m</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Further detail can be found in the Retail and Wholesale Credit Risk sections on pages 61 and 68 respectively</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2998"/>
        <w:gridCol w:w="948"/>
        <w:gridCol w:w="1092"/>
        <w:gridCol w:w="78"/>
        <w:gridCol w:w="949"/>
        <w:gridCol w:w="1019"/>
        <w:gridCol w:w="78"/>
        <w:gridCol w:w="952"/>
        <w:gridCol w:w="1020"/>
      </w:tblGrid>
      <w:tr w:rsidR="008223EE" w:rsidRPr="008223EE" w:rsidTr="008223EE">
        <w:trPr>
          <w:trHeight w:val="240"/>
        </w:trPr>
        <w:tc>
          <w:tcPr>
            <w:tcW w:w="5190" w:type="dxa"/>
            <w:gridSpan w:val="3"/>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Potential Credit Risk Loans and Coverage Ratios</w:t>
            </w:r>
            <w:r w:rsidRPr="008223EE">
              <w:rPr>
                <w:rFonts w:ascii="Arial" w:eastAsia="Times New Roman" w:hAnsi="Arial" w:cs="Arial"/>
                <w:b/>
                <w:bCs/>
                <w:color w:val="000000"/>
                <w:sz w:val="16"/>
                <w:szCs w:val="16"/>
                <w:vertAlign w:val="superscript"/>
              </w:rPr>
              <w:t>1</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40"/>
        </w:trPr>
        <w:tc>
          <w:tcPr>
            <w:tcW w:w="30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30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202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CRLs</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02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PPLs</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02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PCRLs</w:t>
            </w:r>
          </w:p>
        </w:tc>
      </w:tr>
      <w:tr w:rsidR="008223EE" w:rsidRPr="008223EE" w:rsidTr="008223EE">
        <w:tc>
          <w:tcPr>
            <w:tcW w:w="309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12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090"/>
        <w:gridCol w:w="975"/>
        <w:gridCol w:w="975"/>
        <w:gridCol w:w="78"/>
        <w:gridCol w:w="975"/>
        <w:gridCol w:w="975"/>
        <w:gridCol w:w="78"/>
        <w:gridCol w:w="975"/>
        <w:gridCol w:w="975"/>
      </w:tblGrid>
      <w:tr w:rsidR="008223EE" w:rsidRPr="008223EE" w:rsidTr="008223EE">
        <w:trPr>
          <w:trHeight w:val="240"/>
        </w:trPr>
        <w:tc>
          <w:tcPr>
            <w:tcW w:w="30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 December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r>
      <w:tr w:rsidR="008223EE" w:rsidRPr="008223EE" w:rsidTr="008223EE">
        <w:trPr>
          <w:trHeight w:val="240"/>
        </w:trPr>
        <w:tc>
          <w:tcPr>
            <w:tcW w:w="30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30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Retail</w:t>
            </w:r>
            <w:r w:rsidRPr="008223EE">
              <w:rPr>
                <w:rFonts w:ascii="Arial" w:eastAsia="Times New Roman" w:hAnsi="Arial" w:cs="Arial"/>
                <w:color w:val="000000"/>
                <w:sz w:val="13"/>
                <w:szCs w:val="13"/>
                <w:vertAlign w:val="superscript"/>
              </w:rPr>
              <w:t>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8,821 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10,410 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9,477 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11,010 </w:t>
            </w:r>
          </w:p>
        </w:tc>
      </w:tr>
      <w:tr w:rsidR="008223EE" w:rsidRPr="008223EE" w:rsidTr="008223EE">
        <w:trPr>
          <w:trHeight w:val="240"/>
        </w:trPr>
        <w:tc>
          <w:tcPr>
            <w:tcW w:w="30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Wholesale</w:t>
            </w:r>
            <w:r w:rsidRPr="008223EE">
              <w:rPr>
                <w:rFonts w:ascii="Arial" w:eastAsia="Times New Roman" w:hAnsi="Arial" w:cs="Arial"/>
                <w:color w:val="000000"/>
                <w:sz w:val="13"/>
                <w:szCs w:val="13"/>
                <w:vertAlign w:val="superscript"/>
              </w:rPr>
              <w:t>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9,744 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10,932 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1,102 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10,846 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12,304 </w:t>
            </w:r>
          </w:p>
        </w:tc>
      </w:tr>
      <w:tr w:rsidR="008223EE" w:rsidRPr="008223EE" w:rsidTr="008223EE">
        <w:trPr>
          <w:trHeight w:val="240"/>
        </w:trPr>
        <w:tc>
          <w:tcPr>
            <w:tcW w:w="30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Group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18,565 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21,342 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1,758 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1,972 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20,323 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23,314 </w:t>
            </w:r>
          </w:p>
        </w:tc>
      </w:tr>
      <w:tr w:rsidR="008223EE" w:rsidRPr="008223EE" w:rsidTr="008223EE">
        <w:trPr>
          <w:trHeight w:val="240"/>
        </w:trPr>
        <w:tc>
          <w:tcPr>
            <w:tcW w:w="30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006"/>
        <w:gridCol w:w="1994"/>
        <w:gridCol w:w="78"/>
        <w:gridCol w:w="1989"/>
        <w:gridCol w:w="78"/>
        <w:gridCol w:w="1989"/>
      </w:tblGrid>
      <w:tr w:rsidR="008223EE" w:rsidRPr="008223EE" w:rsidTr="008223EE">
        <w:trPr>
          <w:trHeight w:val="240"/>
        </w:trPr>
        <w:tc>
          <w:tcPr>
            <w:tcW w:w="30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20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Impairment allowance</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0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CRL coverage</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02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PCRL coverage</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090"/>
        <w:gridCol w:w="975"/>
        <w:gridCol w:w="975"/>
        <w:gridCol w:w="78"/>
        <w:gridCol w:w="975"/>
        <w:gridCol w:w="975"/>
        <w:gridCol w:w="78"/>
        <w:gridCol w:w="975"/>
        <w:gridCol w:w="975"/>
      </w:tblGrid>
      <w:tr w:rsidR="008223EE" w:rsidRPr="008223EE" w:rsidTr="008223EE">
        <w:trPr>
          <w:trHeight w:val="240"/>
        </w:trPr>
        <w:tc>
          <w:tcPr>
            <w:tcW w:w="30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 December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r>
      <w:tr w:rsidR="008223EE" w:rsidRPr="008223EE" w:rsidTr="008223EE">
        <w:trPr>
          <w:trHeight w:val="240"/>
        </w:trPr>
        <w:tc>
          <w:tcPr>
            <w:tcW w:w="30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30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Retail </w:t>
            </w:r>
            <w:r w:rsidRPr="008223EE">
              <w:rPr>
                <w:rFonts w:ascii="Arial" w:eastAsia="Times New Roman" w:hAnsi="Arial" w:cs="Arial"/>
                <w:color w:val="000000"/>
                <w:sz w:val="13"/>
                <w:szCs w:val="13"/>
                <w:vertAlign w:val="superscript"/>
              </w:rPr>
              <w:t>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4,635 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5,386 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48.9 </w:t>
            </w:r>
          </w:p>
        </w:tc>
      </w:tr>
      <w:tr w:rsidR="008223EE" w:rsidRPr="008223EE" w:rsidTr="008223EE">
        <w:trPr>
          <w:trHeight w:val="255"/>
        </w:trPr>
        <w:tc>
          <w:tcPr>
            <w:tcW w:w="30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Wholesale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5,041 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5,211 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51.7 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46.5 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42.4 </w:t>
            </w:r>
          </w:p>
        </w:tc>
      </w:tr>
      <w:tr w:rsidR="008223EE" w:rsidRPr="008223EE" w:rsidTr="008223EE">
        <w:trPr>
          <w:trHeight w:val="255"/>
        </w:trPr>
        <w:tc>
          <w:tcPr>
            <w:tcW w:w="30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Group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9,676 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10,597 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47.6 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45.5 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51E2D">
      <w:pPr>
        <w:spacing w:before="24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Overall, Credit Risk Loan (CRL) balances decreased by 13% reflecting improvements in both the retail and wholesale portfolios</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The CRL coverage ratio increased to 52.1% (2011: 49.7%)</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Overall Potential Problem Loans decreased 11% principally reflecting lower balances in the wholesale portfolios</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PCRL coverage ratio increased to 47.6% (2011: 45.5%) </w:t>
      </w:r>
    </w:p>
    <w:p w:rsidR="008223EE" w:rsidRPr="008223EE" w:rsidRDefault="008223EE" w:rsidP="00351E2D">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Further detail can be found in the Retail and Wholesale Credit Risk sections on pages 61 and 68 respectively</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For December 2012 reporting UK RBB Medium Business lending and Barclaycard's Global Payment Acceptance, Global Commercial Payments and Business Cards portfolios have been reclassified from wholesale to retail, whilst Wealth and Investment Management's Private Bank portfolio has been reclassified from retail to wholesale. This has resulted in a net increase in retail PCRLs of £9m and impairment allowance of £12m with a corresponding decrease in wholesale PCRLs and impairment allowance in 2011. These reclassifications (including comparatives) better reflect the way in which risk in these portfolios is managed.</w:t>
      </w:r>
    </w:p>
    <w:p w:rsidR="008223EE" w:rsidRPr="008223EE" w:rsidRDefault="008223EE" w:rsidP="00351E2D">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Includes all forbearance accounts that are over 90 days+ and/or impaired.</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tbl>
      <w:tblPr>
        <w:tblW w:w="9720" w:type="dxa"/>
        <w:tblInd w:w="-36" w:type="dxa"/>
        <w:tblCellMar>
          <w:left w:w="0" w:type="dxa"/>
          <w:right w:w="0" w:type="dxa"/>
        </w:tblCellMar>
        <w:tblLook w:val="04A0" w:firstRow="1" w:lastRow="0" w:firstColumn="1" w:lastColumn="0" w:noHBand="0" w:noVBand="1"/>
      </w:tblPr>
      <w:tblGrid>
        <w:gridCol w:w="7785"/>
        <w:gridCol w:w="998"/>
        <w:gridCol w:w="937"/>
      </w:tblGrid>
      <w:tr w:rsidR="008223EE" w:rsidRPr="008223EE" w:rsidTr="008223EE">
        <w:trPr>
          <w:trHeight w:val="240"/>
        </w:trPr>
        <w:tc>
          <w:tcPr>
            <w:tcW w:w="76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Retail and Wholesale Loans and Advances to Customers and Banks</w:t>
            </w:r>
            <w:r w:rsidRPr="008223EE">
              <w:rPr>
                <w:rFonts w:ascii="Arial" w:eastAsia="Times New Roman" w:hAnsi="Arial" w:cs="Arial"/>
                <w:color w:val="000000"/>
                <w:sz w:val="16"/>
                <w:szCs w:val="16"/>
                <w:vertAlign w:val="superscript"/>
              </w:rPr>
              <w:t>1 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720" w:type="dxa"/>
        <w:tblInd w:w="-36" w:type="dxa"/>
        <w:tblCellMar>
          <w:left w:w="0" w:type="dxa"/>
          <w:right w:w="0" w:type="dxa"/>
        </w:tblCellMar>
        <w:tblLook w:val="04A0" w:firstRow="1" w:lastRow="0" w:firstColumn="1" w:lastColumn="0" w:noHBand="0" w:noVBand="1"/>
      </w:tblPr>
      <w:tblGrid>
        <w:gridCol w:w="2159"/>
        <w:gridCol w:w="1151"/>
        <w:gridCol w:w="1151"/>
        <w:gridCol w:w="1151"/>
        <w:gridCol w:w="1151"/>
        <w:gridCol w:w="943"/>
        <w:gridCol w:w="1039"/>
        <w:gridCol w:w="975"/>
      </w:tblGrid>
      <w:tr w:rsidR="008223EE" w:rsidRPr="008223EE" w:rsidTr="008223EE">
        <w:trPr>
          <w:trHeight w:val="720"/>
        </w:trPr>
        <w:tc>
          <w:tcPr>
            <w:tcW w:w="20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L&amp;A</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Impairment Allowance</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L&amp;A Net of Impairment</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Credit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Risk Loans </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CRLs % of Gross L&amp;A </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Loan Impairment Charges </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Loan Loss Rates </w:t>
            </w:r>
          </w:p>
        </w:tc>
      </w:tr>
      <w:tr w:rsidR="008223EE" w:rsidRPr="008223EE" w:rsidTr="008223EE">
        <w:trPr>
          <w:trHeight w:val="240"/>
        </w:trPr>
        <w:tc>
          <w:tcPr>
            <w:tcW w:w="20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bps </w:t>
            </w:r>
          </w:p>
        </w:tc>
      </w:tr>
      <w:tr w:rsidR="008223EE" w:rsidRPr="008223EE" w:rsidTr="008223EE">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retail</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232,672 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4,635 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228,037 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8,821 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2,075 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89  </w:t>
            </w:r>
          </w:p>
        </w:tc>
      </w:tr>
      <w:tr w:rsidR="008223EE" w:rsidRPr="008223EE" w:rsidTr="008223EE">
        <w:trPr>
          <w:trHeight w:val="24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6"/>
                <w:szCs w:val="16"/>
                <w:vertAlign w:val="superscript"/>
              </w:rPr>
              <w:t> </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Wholesale </w:t>
            </w:r>
            <w:r w:rsidR="0091196F">
              <w:rPr>
                <w:rFonts w:ascii="Arial" w:eastAsia="Times New Roman" w:hAnsi="Arial" w:cs="Arial"/>
                <w:color w:val="000000"/>
                <w:sz w:val="16"/>
                <w:szCs w:val="16"/>
              </w:rPr>
              <w:t>–</w:t>
            </w:r>
            <w:r w:rsidRPr="008223EE">
              <w:rPr>
                <w:rFonts w:ascii="Arial" w:eastAsia="Times New Roman" w:hAnsi="Arial" w:cs="Arial"/>
                <w:color w:val="000000"/>
                <w:sz w:val="16"/>
                <w:szCs w:val="16"/>
              </w:rPr>
              <w:t xml:space="preserve"> customers</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203,123 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5,000 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198,123 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9,693 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4.8 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1,507 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74  </w:t>
            </w:r>
          </w:p>
        </w:tc>
      </w:tr>
      <w:tr w:rsidR="008223EE" w:rsidRPr="008223EE" w:rsidTr="008223EE">
        <w:trPr>
          <w:trHeight w:val="24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Wholesale </w:t>
            </w:r>
            <w:r w:rsidR="0091196F">
              <w:rPr>
                <w:rFonts w:ascii="Arial" w:eastAsia="Times New Roman" w:hAnsi="Arial" w:cs="Arial"/>
                <w:color w:val="000000"/>
                <w:sz w:val="16"/>
                <w:szCs w:val="16"/>
              </w:rPr>
              <w:t>–</w:t>
            </w:r>
            <w:r w:rsidRPr="008223EE">
              <w:rPr>
                <w:rFonts w:ascii="Arial" w:eastAsia="Times New Roman" w:hAnsi="Arial" w:cs="Arial"/>
                <w:color w:val="000000"/>
                <w:sz w:val="16"/>
                <w:szCs w:val="16"/>
              </w:rPr>
              <w:t xml:space="preserve"> banks</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40,099 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40,058 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51 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0.1  </w:t>
            </w:r>
          </w:p>
        </w:tc>
        <w:tc>
          <w:tcPr>
            <w:tcW w:w="97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(23) </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 </w:t>
            </w:r>
          </w:p>
        </w:tc>
      </w:tr>
      <w:tr w:rsidR="008223EE" w:rsidRPr="008223EE" w:rsidTr="008223EE">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wholesale</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243,222 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5,041 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238,181 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9,744 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4.0 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1,484 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61  </w:t>
            </w:r>
          </w:p>
        </w:tc>
      </w:tr>
      <w:tr w:rsidR="008223EE" w:rsidRPr="008223EE" w:rsidTr="008223EE">
        <w:trPr>
          <w:trHeight w:val="24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EAEAEA"/>
                <w:sz w:val="16"/>
                <w:szCs w:val="16"/>
              </w:rPr>
              <w:t>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r>
      <w:tr w:rsidR="008223EE" w:rsidRPr="008223EE" w:rsidTr="008223EE">
        <w:trPr>
          <w:trHeight w:val="255"/>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Loans and advances at</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475,894 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9,676 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466,218 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18,565 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3,559 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75  </w:t>
            </w:r>
          </w:p>
        </w:tc>
      </w:tr>
      <w:tr w:rsidR="008223EE" w:rsidRPr="008223EE" w:rsidTr="008223EE">
        <w:trPr>
          <w:trHeight w:val="255"/>
        </w:trPr>
        <w:tc>
          <w:tcPr>
            <w:tcW w:w="20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amortised cost</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20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20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Traded loans</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2,404 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2,404 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51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Loans and advances designated at fair value</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21,996 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21,996 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510"/>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Loans and advances held at fair value</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24,400 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n/a</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24,400 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202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loans and advances</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500,294 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9,676 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490,618 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20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8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8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2025"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p>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1080"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15" w:type="dxa"/>
            <w:tcBorders>
              <w:top w:val="nil"/>
              <w:left w:val="nil"/>
              <w:bottom w:val="single" w:sz="8" w:space="0" w:color="969696"/>
              <w:right w:val="nil"/>
            </w:tcBorders>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55"/>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retail</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229,671 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5,386 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224,285 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10,410 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4.5 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2,477 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108  </w:t>
            </w:r>
          </w:p>
        </w:tc>
      </w:tr>
      <w:tr w:rsidR="008223EE" w:rsidRPr="008223EE" w:rsidTr="008223EE">
        <w:trPr>
          <w:trHeight w:val="24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6"/>
                <w:szCs w:val="16"/>
                <w:vertAlign w:val="superscript"/>
              </w:rPr>
              <w:t> </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Wholesale </w:t>
            </w:r>
            <w:r w:rsidR="0091196F">
              <w:rPr>
                <w:rFonts w:ascii="Arial" w:eastAsia="Times New Roman" w:hAnsi="Arial" w:cs="Arial"/>
                <w:color w:val="000000"/>
                <w:sz w:val="16"/>
                <w:szCs w:val="16"/>
              </w:rPr>
              <w:t>–</w:t>
            </w:r>
            <w:r w:rsidRPr="008223EE">
              <w:rPr>
                <w:rFonts w:ascii="Arial" w:eastAsia="Times New Roman" w:hAnsi="Arial" w:cs="Arial"/>
                <w:color w:val="000000"/>
                <w:sz w:val="16"/>
                <w:szCs w:val="16"/>
              </w:rPr>
              <w:t xml:space="preserve"> customers</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212,992 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5,166 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207,826 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10,898 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5.1 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1,307 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61  </w:t>
            </w:r>
          </w:p>
        </w:tc>
      </w:tr>
      <w:tr w:rsidR="008223EE" w:rsidRPr="008223EE" w:rsidTr="008223EE">
        <w:trPr>
          <w:trHeight w:val="24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Wholesale </w:t>
            </w:r>
            <w:r w:rsidR="0091196F">
              <w:rPr>
                <w:rFonts w:ascii="Arial" w:eastAsia="Times New Roman" w:hAnsi="Arial" w:cs="Arial"/>
                <w:color w:val="000000"/>
                <w:sz w:val="16"/>
                <w:szCs w:val="16"/>
              </w:rPr>
              <w:t>–</w:t>
            </w:r>
            <w:r w:rsidRPr="008223EE">
              <w:rPr>
                <w:rFonts w:ascii="Arial" w:eastAsia="Times New Roman" w:hAnsi="Arial" w:cs="Arial"/>
                <w:color w:val="000000"/>
                <w:sz w:val="16"/>
                <w:szCs w:val="16"/>
              </w:rPr>
              <w:t xml:space="preserve"> banks</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47,314 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47,269 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34 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0.1  </w:t>
            </w:r>
          </w:p>
        </w:tc>
        <w:tc>
          <w:tcPr>
            <w:tcW w:w="97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6  </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r>
      <w:tr w:rsidR="008223EE" w:rsidRPr="008223EE" w:rsidTr="008223EE">
        <w:trPr>
          <w:trHeight w:val="255"/>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wholesale</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260,306 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5,211 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255,095 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10,932 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4.2 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1,313 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50  </w:t>
            </w:r>
          </w:p>
        </w:tc>
      </w:tr>
      <w:tr w:rsidR="008223EE" w:rsidRPr="008223EE" w:rsidTr="008223EE">
        <w:trPr>
          <w:trHeight w:val="255"/>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EAEAEA"/>
                <w:sz w:val="16"/>
                <w:szCs w:val="16"/>
              </w:rPr>
              <w:t>-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EAEAEA"/>
                <w:sz w:val="16"/>
                <w:szCs w:val="16"/>
              </w:rPr>
              <w:t>-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Times New Roman" w:eastAsia="Times New Roman" w:hAnsi="Times New Roman" w:cs="Times New Roman"/>
                <w:sz w:val="24"/>
                <w:szCs w:val="24"/>
              </w:rPr>
            </w:pPr>
          </w:p>
        </w:tc>
      </w:tr>
      <w:tr w:rsidR="008223EE" w:rsidRPr="008223EE" w:rsidTr="008223EE">
        <w:trPr>
          <w:trHeight w:val="255"/>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Loans and advances at</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489,977 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10,597 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479,380 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21,342 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3,790 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77  </w:t>
            </w:r>
          </w:p>
        </w:tc>
      </w:tr>
      <w:tr w:rsidR="008223EE" w:rsidRPr="008223EE" w:rsidTr="008223EE">
        <w:trPr>
          <w:trHeight w:val="255"/>
        </w:trPr>
        <w:tc>
          <w:tcPr>
            <w:tcW w:w="20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amortised cost</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55"/>
        </w:trPr>
        <w:tc>
          <w:tcPr>
            <w:tcW w:w="20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20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Traded loans</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1,374 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1,374 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51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Loans and advances designated at fair value</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21,960 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21,960 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Loans and advances held at fair value</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23,334 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23,334 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2025"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loans and advances</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513,311 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10,597 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502,714 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0D0C0B">
      <w:pPr>
        <w:spacing w:before="24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Loans and advances to customers and banks at amortised cost net of impairment decreased 3%, reflecting a £16.9bn reduction in the wholesale portfolios principally due to lower interbank and corporate lending in the Investment Bank</w:t>
      </w:r>
    </w:p>
    <w:p w:rsidR="008223EE" w:rsidRPr="008223EE" w:rsidRDefault="008223EE" w:rsidP="000D0C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This was offset partially by a £3.7bn increase in the retail portfolios, driven by increased mortgage lending in UK RBB and unsecured lending in Barclaycard, offset by reductions in Europe and Africa</w:t>
      </w:r>
    </w:p>
    <w:p w:rsidR="008223EE" w:rsidRPr="008223EE" w:rsidRDefault="008223EE" w:rsidP="000D0C0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This overall contraction in lending, when combined with lower impairment charges on loans and advances, resulted in a lower annualised loan loss rate of 75bps (2011: 77bps) </w:t>
      </w:r>
    </w:p>
    <w:p w:rsidR="008223EE" w:rsidRPr="008223EE" w:rsidRDefault="008223EE" w:rsidP="000D0C0B">
      <w:pPr>
        <w:spacing w:before="12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Further detail can be found in the Retail and Wholesale Credit Risk sections on pages 61 and 68</w:t>
      </w:r>
    </w:p>
    <w:p w:rsidR="008223EE" w:rsidRPr="008223EE" w:rsidRDefault="008223EE" w:rsidP="008223EE">
      <w:pPr>
        <w:spacing w:before="20" w:after="2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0D0C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For December 2012 reporting UK RBB Medium Business lending (2011: £2,680m) and Barclaycard's Global Payment Acceptance, Global Commercial Payments and Business Cards portfolios (2011: £468m) have been reclassified from wholesale to retail. Wealth and Investment Management's Private Bank portfolio (2011: £14,627m) has been reclassified from retail to wholesale. These reclassifications (including comparatives) better reflect the way in which risk in these portfolios is managed.</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br/>
      </w:r>
      <w:r w:rsidRPr="008223EE">
        <w:rPr>
          <w:rFonts w:ascii="Arial" w:eastAsia="Times New Roman" w:hAnsi="Arial" w:cs="Arial"/>
          <w:i/>
          <w:iCs/>
          <w:sz w:val="14"/>
          <w:szCs w:val="14"/>
        </w:rPr>
        <w:b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tbl>
      <w:tblPr>
        <w:tblW w:w="0" w:type="auto"/>
        <w:tblInd w:w="-36" w:type="dxa"/>
        <w:tblCellMar>
          <w:left w:w="0" w:type="dxa"/>
          <w:right w:w="0" w:type="dxa"/>
        </w:tblCellMar>
        <w:tblLook w:val="04A0" w:firstRow="1" w:lastRow="0" w:firstColumn="1" w:lastColumn="0" w:noHBand="0" w:noVBand="1"/>
      </w:tblPr>
      <w:tblGrid>
        <w:gridCol w:w="1709"/>
        <w:gridCol w:w="1031"/>
        <w:gridCol w:w="1030"/>
        <w:gridCol w:w="1250"/>
        <w:gridCol w:w="1028"/>
        <w:gridCol w:w="1028"/>
        <w:gridCol w:w="1030"/>
        <w:gridCol w:w="1028"/>
      </w:tblGrid>
      <w:tr w:rsidR="008223EE" w:rsidRPr="008223EE" w:rsidTr="008223EE">
        <w:trPr>
          <w:trHeight w:val="240"/>
        </w:trPr>
        <w:tc>
          <w:tcPr>
            <w:tcW w:w="511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Retail Credit Risk</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113"/>
        </w:trPr>
        <w:tc>
          <w:tcPr>
            <w:tcW w:w="17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c>
          <w:tcPr>
            <w:tcW w:w="174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2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7111"/>
        <w:gridCol w:w="1013"/>
        <w:gridCol w:w="1010"/>
      </w:tblGrid>
      <w:tr w:rsidR="008223EE" w:rsidRPr="008223EE" w:rsidTr="008223EE">
        <w:trPr>
          <w:trHeight w:val="240"/>
        </w:trPr>
        <w:tc>
          <w:tcPr>
            <w:tcW w:w="73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Retail Loans and Advances to Customers and Banks at Amortised Cost</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740"/>
        <w:gridCol w:w="1050"/>
        <w:gridCol w:w="1050"/>
        <w:gridCol w:w="1050"/>
        <w:gridCol w:w="1050"/>
        <w:gridCol w:w="1050"/>
        <w:gridCol w:w="1050"/>
        <w:gridCol w:w="1050"/>
      </w:tblGrid>
      <w:tr w:rsidR="008223EE" w:rsidRPr="008223EE" w:rsidTr="008223EE">
        <w:trPr>
          <w:trHeight w:val="720"/>
        </w:trPr>
        <w:tc>
          <w:tcPr>
            <w:tcW w:w="17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31.12.12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 L&amp;A</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Impairment Allowance</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L&amp;A Net of Impairment</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Credit Risk Loans</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CRLs % of Gross L&amp;A</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Loan Impairment Charges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Loan Loss  Rates</w:t>
            </w:r>
          </w:p>
        </w:tc>
      </w:tr>
      <w:tr w:rsidR="008223EE" w:rsidRPr="008223EE" w:rsidTr="008223EE">
        <w:trPr>
          <w:trHeight w:val="24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bps</w:t>
            </w:r>
          </w:p>
        </w:tc>
      </w:tr>
      <w:tr w:rsidR="008223EE" w:rsidRPr="008223EE" w:rsidTr="008223EE">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RBB</w:t>
            </w:r>
            <w:r w:rsidRPr="008223EE">
              <w:rPr>
                <w:rFonts w:ascii="Arial" w:eastAsia="Times New Roman" w:hAnsi="Arial" w:cs="Arial"/>
                <w:color w:val="000000"/>
                <w:sz w:val="13"/>
                <w:szCs w:val="13"/>
                <w:vertAlign w:val="superscript"/>
              </w:rPr>
              <w:t>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129,682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1,369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128,313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2,883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269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21 </w:t>
            </w:r>
          </w:p>
        </w:tc>
      </w:tr>
      <w:tr w:rsidR="008223EE" w:rsidRPr="008223EE" w:rsidTr="008223EE">
        <w:trPr>
          <w:trHeight w:val="240"/>
        </w:trPr>
        <w:tc>
          <w:tcPr>
            <w:tcW w:w="17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Europe RBB</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41,035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714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40,321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1,901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328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80 </w:t>
            </w:r>
          </w:p>
        </w:tc>
      </w:tr>
      <w:tr w:rsidR="008223EE" w:rsidRPr="008223EE" w:rsidTr="008223EE">
        <w:trPr>
          <w:trHeight w:val="240"/>
        </w:trPr>
        <w:tc>
          <w:tcPr>
            <w:tcW w:w="17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Africa RBB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23,987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700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23,287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1,790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472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197 </w:t>
            </w:r>
          </w:p>
        </w:tc>
      </w:tr>
      <w:tr w:rsidR="008223EE" w:rsidRPr="008223EE" w:rsidTr="008223EE">
        <w:trPr>
          <w:trHeight w:val="240"/>
        </w:trPr>
        <w:tc>
          <w:tcPr>
            <w:tcW w:w="17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Barclaycard</w:t>
            </w:r>
            <w:r w:rsidRPr="008223EE">
              <w:rPr>
                <w:rFonts w:ascii="Arial" w:eastAsia="Times New Roman" w:hAnsi="Arial" w:cs="Arial"/>
                <w:color w:val="000000"/>
                <w:sz w:val="13"/>
                <w:szCs w:val="13"/>
                <w:vertAlign w:val="superscript"/>
              </w:rPr>
              <w:t>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34,694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1,757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32,937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2,121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979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282 </w:t>
            </w:r>
          </w:p>
        </w:tc>
      </w:tr>
      <w:tr w:rsidR="008223EE" w:rsidRPr="008223EE" w:rsidTr="008223EE">
        <w:trPr>
          <w:trHeight w:val="240"/>
        </w:trPr>
        <w:tc>
          <w:tcPr>
            <w:tcW w:w="17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Banking</w:t>
            </w:r>
            <w:r w:rsidRPr="008223EE">
              <w:rPr>
                <w:rFonts w:ascii="Arial" w:eastAsia="Times New Roman" w:hAnsi="Arial" w:cs="Arial"/>
                <w:color w:val="000000"/>
                <w:sz w:val="13"/>
                <w:szCs w:val="13"/>
                <w:vertAlign w:val="superscript"/>
              </w:rPr>
              <w:t>3 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739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660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365 </w:t>
            </w:r>
          </w:p>
        </w:tc>
      </w:tr>
      <w:tr w:rsidR="008223EE" w:rsidRPr="008223EE" w:rsidTr="008223EE">
        <w:trPr>
          <w:trHeight w:val="465"/>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r w:rsidRPr="008223EE">
              <w:rPr>
                <w:rFonts w:ascii="Arial" w:eastAsia="Times New Roman" w:hAnsi="Arial" w:cs="Arial"/>
                <w:color w:val="000000"/>
                <w:sz w:val="13"/>
                <w:szCs w:val="13"/>
                <w:vertAlign w:val="superscript"/>
              </w:rPr>
              <w:t>4</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2,535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2,519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r>
      <w:tr w:rsidR="008223EE" w:rsidRPr="008223EE" w:rsidTr="008223EE">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232,672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4,635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228,037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8,821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2,075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89 </w:t>
            </w:r>
          </w:p>
        </w:tc>
      </w:tr>
      <w:tr w:rsidR="008223EE" w:rsidRPr="008223EE" w:rsidTr="008223EE">
        <w:trPr>
          <w:trHeight w:val="240"/>
        </w:trPr>
        <w:tc>
          <w:tcPr>
            <w:tcW w:w="17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55"/>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RBB</w:t>
            </w:r>
            <w:r w:rsidRPr="008223EE">
              <w:rPr>
                <w:rFonts w:ascii="Arial" w:eastAsia="Times New Roman" w:hAnsi="Arial" w:cs="Arial"/>
                <w:color w:val="000000"/>
                <w:sz w:val="13"/>
                <w:szCs w:val="13"/>
                <w:vertAlign w:val="superscript"/>
              </w:rPr>
              <w:t>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123,055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1,686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121,369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3,299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536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44 </w:t>
            </w:r>
          </w:p>
        </w:tc>
      </w:tr>
      <w:tr w:rsidR="008223EE" w:rsidRPr="008223EE" w:rsidTr="008223EE">
        <w:trPr>
          <w:trHeight w:val="240"/>
        </w:trPr>
        <w:tc>
          <w:tcPr>
            <w:tcW w:w="17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Europe RBB</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44,488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684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43,804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1,708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241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54 </w:t>
            </w:r>
          </w:p>
        </w:tc>
      </w:tr>
      <w:tr w:rsidR="008223EE" w:rsidRPr="008223EE" w:rsidTr="008223EE">
        <w:trPr>
          <w:trHeight w:val="240"/>
        </w:trPr>
        <w:tc>
          <w:tcPr>
            <w:tcW w:w="17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Africa RBB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26,363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731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25,632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2,362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386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146 </w:t>
            </w:r>
          </w:p>
        </w:tc>
      </w:tr>
      <w:tr w:rsidR="008223EE" w:rsidRPr="008223EE" w:rsidTr="008223EE">
        <w:trPr>
          <w:trHeight w:val="240"/>
        </w:trPr>
        <w:tc>
          <w:tcPr>
            <w:tcW w:w="17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Barclaycard</w:t>
            </w:r>
            <w:r w:rsidRPr="008223EE">
              <w:rPr>
                <w:rFonts w:ascii="Arial" w:eastAsia="Times New Roman" w:hAnsi="Arial" w:cs="Arial"/>
                <w:color w:val="000000"/>
                <w:sz w:val="13"/>
                <w:szCs w:val="13"/>
                <w:vertAlign w:val="superscript"/>
              </w:rPr>
              <w:t>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32,214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2,077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30,137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2,824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1,259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391 </w:t>
            </w:r>
          </w:p>
        </w:tc>
      </w:tr>
      <w:tr w:rsidR="008223EE" w:rsidRPr="008223EE" w:rsidTr="008223EE">
        <w:trPr>
          <w:trHeight w:val="240"/>
        </w:trPr>
        <w:tc>
          <w:tcPr>
            <w:tcW w:w="17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Banking</w:t>
            </w:r>
            <w:r w:rsidRPr="008223EE">
              <w:rPr>
                <w:rFonts w:ascii="Arial" w:eastAsia="Times New Roman" w:hAnsi="Arial" w:cs="Arial"/>
                <w:color w:val="000000"/>
                <w:sz w:val="13"/>
                <w:szCs w:val="13"/>
                <w:vertAlign w:val="superscript"/>
              </w:rPr>
              <w:t>3 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1,453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1,265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49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337 </w:t>
            </w:r>
          </w:p>
        </w:tc>
      </w:tr>
      <w:tr w:rsidR="008223EE" w:rsidRPr="008223EE" w:rsidTr="008223EE">
        <w:trPr>
          <w:trHeight w:val="465"/>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r w:rsidRPr="008223EE">
              <w:rPr>
                <w:rFonts w:ascii="Arial" w:eastAsia="Times New Roman" w:hAnsi="Arial" w:cs="Arial"/>
                <w:color w:val="000000"/>
                <w:sz w:val="13"/>
                <w:szCs w:val="13"/>
                <w:vertAlign w:val="superscript"/>
              </w:rPr>
              <w:t>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2,098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2,078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30 </w:t>
            </w:r>
          </w:p>
        </w:tc>
      </w:tr>
      <w:tr w:rsidR="008223EE" w:rsidRPr="008223EE" w:rsidTr="008223EE">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229,671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5,386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224,285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10,410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2,477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108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0D0C0B">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Overall, gross loans and advances to customers and banks in the retail portfolios increased 1% during 2012 reflecting movements in: </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UK RBB, where a 5% increase primarily reflected growth in home loans balances</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Barclaycard, where an 8% increase primarily reflected business growth in the UK and the US and acquisition of portfolios in the US and South Africa</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Africa RBB, where a 9% decrease principally reflected adverse currency movements </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Europe RBB, where an 8% decrease was mainly due to credit tightening actions, active management to reduce funding mismatches and currency movements</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Wealth and Investment Management, where a 21% increase mainly reflected growth in the Wealth International home loans portfolio</w:t>
      </w:r>
    </w:p>
    <w:p w:rsidR="008223EE" w:rsidRPr="008223EE" w:rsidRDefault="008223EE" w:rsidP="000D0C0B">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The loan impairment charge improved 16% mainly as a result of lower charges across UK RBB and Barclaycard businesses with the principal drivers being:</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UK RBB, reflecting improvements across all portfolios, which also includes higher recoveries principally from refunds of PPI in Consumer Lending and release of provision due to the resolution of backlogs in litigation in home loans</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Barclaycard, where lower provision resulted from improved delinquency, lower charge-offs and better recovery rates</w:t>
      </w:r>
    </w:p>
    <w:p w:rsidR="008223EE" w:rsidRPr="008223EE" w:rsidRDefault="008223EE" w:rsidP="000D0C0B">
      <w:pPr>
        <w:spacing w:before="120" w:after="120" w:line="240" w:lineRule="auto"/>
        <w:ind w:left="284" w:hanging="284"/>
        <w:jc w:val="both"/>
        <w:rPr>
          <w:rFonts w:ascii="Arial" w:eastAsia="Times New Roman" w:hAnsi="Arial" w:cs="Arial"/>
          <w:sz w:val="18"/>
          <w:szCs w:val="18"/>
        </w:rPr>
      </w:pPr>
      <w:r w:rsidRPr="008223EE">
        <w:rPr>
          <w:rFonts w:ascii="Arial" w:eastAsia="Times New Roman" w:hAnsi="Arial" w:cs="Arial"/>
          <w:sz w:val="18"/>
          <w:szCs w:val="18"/>
        </w:rPr>
        <w:t>Partially offset by:</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Europe RBB, due to deterioration in credit performance reflecting current economic conditions across Europe. An incremental impairment charge was taken in Spain to reflect potential declines in house prices</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Africa RBB, principally reflecting higher loss given default rates and higher levels of write-offs in the South African home loans recovery book</w:t>
      </w:r>
    </w:p>
    <w:p w:rsidR="008223EE" w:rsidRPr="008223EE" w:rsidRDefault="008223EE" w:rsidP="000D0C0B">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Lower overall impairment charges coupled with slightly higher loan balances led to a fall in the annualised loan loss rate to 89bps (2011: 108bps) </w:t>
      </w:r>
    </w:p>
    <w:p w:rsidR="008223EE" w:rsidRPr="008223EE" w:rsidRDefault="008223EE" w:rsidP="000D0C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0D0C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0D0C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0D0C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UKRBB's Medium Business portfolio (2011: £2,680m) has been reclassified from wholesale to retail as at December 2012.</w:t>
      </w:r>
    </w:p>
    <w:p w:rsidR="008223EE" w:rsidRPr="008223EE" w:rsidRDefault="008223EE" w:rsidP="000D0C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Barclaycard business portfolios (2011: £468m) have been reclassified from wholesale to retail as at December 2012.</w:t>
      </w:r>
    </w:p>
    <w:p w:rsidR="008223EE" w:rsidRPr="008223EE" w:rsidRDefault="008223EE" w:rsidP="000D0C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3        Corporate Banking primarily includes retail portfolios in UAE.</w:t>
      </w:r>
    </w:p>
    <w:p w:rsidR="008223EE" w:rsidRPr="008223EE" w:rsidRDefault="008223EE" w:rsidP="000D0C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4       Wealth and Investment Management includes Wealth International portfolio. Private Bank lending (2011: £14,627m) has been reclassified from retail to wholesale as at December 2012.</w:t>
      </w:r>
    </w:p>
    <w:p w:rsidR="008223EE" w:rsidRPr="008223EE" w:rsidRDefault="008223EE" w:rsidP="000D0C0B">
      <w:pPr>
        <w:spacing w:after="18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tbl>
      <w:tblPr>
        <w:tblW w:w="0" w:type="auto"/>
        <w:tblInd w:w="-36" w:type="dxa"/>
        <w:tblCellMar>
          <w:left w:w="0" w:type="dxa"/>
          <w:right w:w="0" w:type="dxa"/>
        </w:tblCellMar>
        <w:tblLook w:val="04A0" w:firstRow="1" w:lastRow="0" w:firstColumn="1" w:lastColumn="0" w:noHBand="0" w:noVBand="1"/>
      </w:tblPr>
      <w:tblGrid>
        <w:gridCol w:w="5366"/>
        <w:gridCol w:w="78"/>
        <w:gridCol w:w="903"/>
        <w:gridCol w:w="903"/>
        <w:gridCol w:w="78"/>
        <w:gridCol w:w="903"/>
        <w:gridCol w:w="903"/>
      </w:tblGrid>
      <w:tr w:rsidR="008223EE" w:rsidRPr="008223EE" w:rsidTr="008223EE">
        <w:trPr>
          <w:trHeight w:val="240"/>
        </w:trPr>
        <w:tc>
          <w:tcPr>
            <w:tcW w:w="54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Analysis of Potential Credit Risk Loans and Coverage Ratios</w:t>
            </w:r>
            <w:r w:rsidRPr="008223EE">
              <w:rPr>
                <w:rFonts w:ascii="Arial" w:eastAsia="Times New Roman" w:hAnsi="Arial" w:cs="Arial"/>
                <w:color w:val="000000"/>
                <w:sz w:val="20"/>
                <w:szCs w:val="20"/>
                <w:vertAlign w:val="superscript"/>
              </w:rPr>
              <w:t>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356"/>
        <w:gridCol w:w="1866"/>
        <w:gridCol w:w="100"/>
        <w:gridCol w:w="1865"/>
        <w:gridCol w:w="78"/>
        <w:gridCol w:w="1869"/>
      </w:tblGrid>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9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CRLs</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19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PPLs</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9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PCRLs</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450"/>
        <w:gridCol w:w="915"/>
        <w:gridCol w:w="915"/>
        <w:gridCol w:w="78"/>
        <w:gridCol w:w="915"/>
        <w:gridCol w:w="915"/>
        <w:gridCol w:w="78"/>
        <w:gridCol w:w="915"/>
        <w:gridCol w:w="915"/>
      </w:tblGrid>
      <w:tr w:rsidR="008223EE" w:rsidRPr="008223EE" w:rsidTr="008223EE">
        <w:trPr>
          <w:trHeight w:val="202"/>
        </w:trPr>
        <w:tc>
          <w:tcPr>
            <w:tcW w:w="34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 December</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r>
      <w:tr w:rsidR="008223EE" w:rsidRPr="008223EE" w:rsidTr="008223EE">
        <w:trPr>
          <w:trHeight w:val="94"/>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Home loans</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3,397 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3,688 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262 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3,659 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3,900 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Credit cards and unsecured lending</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3,954 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4,890 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301 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4,249 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5,191 </w:t>
            </w:r>
          </w:p>
        </w:tc>
      </w:tr>
      <w:tr w:rsidR="008223EE" w:rsidRPr="008223EE" w:rsidTr="008223EE">
        <w:trPr>
          <w:trHeight w:val="240"/>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 and business banking</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1,470 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1,832 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1,569 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1,919 </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retail</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8,821 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10,410 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656 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600 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9,477 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11,010 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344"/>
        <w:gridCol w:w="1874"/>
        <w:gridCol w:w="100"/>
        <w:gridCol w:w="1869"/>
        <w:gridCol w:w="78"/>
        <w:gridCol w:w="1869"/>
      </w:tblGrid>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9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Impairment allowance</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19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CRL coverage</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9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PCRL coverage</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450"/>
        <w:gridCol w:w="915"/>
        <w:gridCol w:w="915"/>
        <w:gridCol w:w="78"/>
        <w:gridCol w:w="915"/>
        <w:gridCol w:w="915"/>
        <w:gridCol w:w="78"/>
        <w:gridCol w:w="915"/>
        <w:gridCol w:w="915"/>
      </w:tblGrid>
      <w:tr w:rsidR="008223EE" w:rsidRPr="008223EE" w:rsidTr="008223EE">
        <w:trPr>
          <w:trHeight w:val="203"/>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 December</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r>
      <w:tr w:rsidR="008223EE" w:rsidRPr="008223EE" w:rsidTr="008223EE">
        <w:trPr>
          <w:trHeight w:val="80"/>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Home loans</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849 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892 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25.0 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23.2 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22.9 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Credit cards and unsecured lending</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3,212 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3,777 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72.8 </w:t>
            </w:r>
          </w:p>
        </w:tc>
      </w:tr>
      <w:tr w:rsidR="008223EE" w:rsidRPr="008223EE" w:rsidTr="008223EE">
        <w:trPr>
          <w:trHeight w:val="240"/>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 and business banking</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574 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717 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39.0 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39.1 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37.3 </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retail</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4,635 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5,386 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51.7 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48.9 </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6374"/>
        <w:gridCol w:w="894"/>
        <w:gridCol w:w="78"/>
        <w:gridCol w:w="894"/>
        <w:gridCol w:w="894"/>
      </w:tblGrid>
      <w:tr w:rsidR="008223EE" w:rsidRPr="008223EE" w:rsidTr="008223EE">
        <w:trPr>
          <w:trHeight w:val="240"/>
        </w:trPr>
        <w:tc>
          <w:tcPr>
            <w:tcW w:w="6510" w:type="dxa"/>
            <w:tcMar>
              <w:top w:w="0" w:type="dxa"/>
              <w:left w:w="36" w:type="dxa"/>
              <w:bottom w:w="0" w:type="dxa"/>
              <w:right w:w="36" w:type="dxa"/>
            </w:tcMar>
            <w:vAlign w:val="bottom"/>
            <w:hideMark/>
          </w:tcPr>
          <w:p w:rsidR="008223EE" w:rsidRPr="008223EE" w:rsidRDefault="008223EE" w:rsidP="008223EE">
            <w:pPr>
              <w:spacing w:before="120" w:after="120" w:line="240" w:lineRule="auto"/>
              <w:rPr>
                <w:rFonts w:ascii="Arial" w:eastAsia="Times New Roman" w:hAnsi="Arial" w:cs="Arial"/>
                <w:sz w:val="2"/>
                <w:szCs w:val="2"/>
              </w:rPr>
            </w:pPr>
            <w:r w:rsidRPr="008223EE">
              <w:rPr>
                <w:rFonts w:ascii="Arial" w:eastAsia="Times New Roman" w:hAnsi="Arial" w:cs="Arial"/>
                <w:b/>
                <w:bCs/>
                <w:color w:val="000000"/>
                <w:sz w:val="20"/>
                <w:szCs w:val="20"/>
              </w:rPr>
              <w:t>Potential Credit Risk Loans and Coverage Ratios by Business</w:t>
            </w:r>
            <w:r w:rsidRPr="008223EE">
              <w:rPr>
                <w:rFonts w:ascii="Arial" w:eastAsia="Times New Roman" w:hAnsi="Arial" w:cs="Arial"/>
                <w:color w:val="000000"/>
                <w:sz w:val="20"/>
                <w:szCs w:val="20"/>
                <w:vertAlign w:val="superscript"/>
              </w:rPr>
              <w:t>1 </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356"/>
        <w:gridCol w:w="1866"/>
        <w:gridCol w:w="100"/>
        <w:gridCol w:w="1865"/>
        <w:gridCol w:w="78"/>
        <w:gridCol w:w="1869"/>
      </w:tblGrid>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9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CRLs</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19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PPLs</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9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PCRLs</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450"/>
        <w:gridCol w:w="915"/>
        <w:gridCol w:w="915"/>
        <w:gridCol w:w="78"/>
        <w:gridCol w:w="915"/>
        <w:gridCol w:w="915"/>
        <w:gridCol w:w="78"/>
        <w:gridCol w:w="915"/>
        <w:gridCol w:w="915"/>
      </w:tblGrid>
      <w:tr w:rsidR="008223EE" w:rsidRPr="008223EE" w:rsidTr="008223EE">
        <w:trPr>
          <w:trHeight w:val="151"/>
        </w:trPr>
        <w:tc>
          <w:tcPr>
            <w:tcW w:w="34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 December</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r>
      <w:tr w:rsidR="008223EE" w:rsidRPr="008223EE" w:rsidTr="008223EE">
        <w:trPr>
          <w:trHeight w:val="111"/>
        </w:trPr>
        <w:tc>
          <w:tcPr>
            <w:tcW w:w="34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RBB</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2,883 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3,299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283 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3,166 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3,521 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Europe RBB</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1,901 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1,708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2,014 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1,807 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Africa RBB</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1,790 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2,362 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1,851 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2,423 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Barclaycard</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2,121 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2,824 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204 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2,314 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3,028 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Banking</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193 </w:t>
            </w:r>
          </w:p>
        </w:tc>
      </w:tr>
      <w:tr w:rsidR="008223EE" w:rsidRPr="008223EE" w:rsidTr="008223EE">
        <w:trPr>
          <w:trHeight w:val="240"/>
        </w:trPr>
        <w:tc>
          <w:tcPr>
            <w:tcW w:w="34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35 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38 </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Total retail</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8,821 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10,410 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656 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600 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9,477 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11,010 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344"/>
        <w:gridCol w:w="1874"/>
        <w:gridCol w:w="100"/>
        <w:gridCol w:w="1869"/>
        <w:gridCol w:w="78"/>
        <w:gridCol w:w="1869"/>
      </w:tblGrid>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9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Impairment allowance</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vertAlign w:val="superscript"/>
              </w:rPr>
              <w:t> </w:t>
            </w:r>
          </w:p>
        </w:tc>
        <w:tc>
          <w:tcPr>
            <w:tcW w:w="19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CRL coverage</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9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PCRL coverage</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450"/>
        <w:gridCol w:w="915"/>
        <w:gridCol w:w="915"/>
        <w:gridCol w:w="78"/>
        <w:gridCol w:w="915"/>
        <w:gridCol w:w="915"/>
        <w:gridCol w:w="78"/>
        <w:gridCol w:w="915"/>
        <w:gridCol w:w="915"/>
      </w:tblGrid>
      <w:tr w:rsidR="008223EE" w:rsidRPr="008223EE" w:rsidTr="008223EE">
        <w:trPr>
          <w:trHeight w:val="146"/>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 December</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r>
      <w:tr w:rsidR="008223EE" w:rsidRPr="008223EE" w:rsidTr="008223EE">
        <w:trPr>
          <w:trHeight w:val="107"/>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RBB</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1,369 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1,686 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51.1 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43.2 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47.9 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Europe RBB</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684 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37.8 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Africa RBB</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731 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30.9 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30.2 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Barclaycard</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1,757 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2,077 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73.5 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68.6 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Banking</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188 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103.1 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97.3 </w:t>
            </w:r>
          </w:p>
        </w:tc>
      </w:tr>
      <w:tr w:rsidR="008223EE" w:rsidRPr="008223EE" w:rsidTr="008223EE">
        <w:trPr>
          <w:trHeight w:val="240"/>
        </w:trPr>
        <w:tc>
          <w:tcPr>
            <w:tcW w:w="345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47.1 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58.3 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45.7 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53.7 </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retail</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4,635 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5,386 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51.7 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48.9 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0D0C0B">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CRL balances in retail portfolios decreased 15%, primarily in: </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Barclaycard, where reductions principally reflected favourable delinquency performance, reductions in recovery balances, following the change to the write off policy at the end of 2011, and increased debt sale activity</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Africa RBB, where reductions were driven by a higher number of accounts being charged-off and written-off, particularly in South African home loans</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UK RBB, where reductions reflected falling recovery balances across principal portfolios due to improved performance </w:t>
      </w:r>
    </w:p>
    <w:p w:rsidR="008223EE" w:rsidRPr="008223EE" w:rsidRDefault="008223EE" w:rsidP="000D0C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This was partially offset by higher balances in Europe RBB principally in the Spanish and Italian home loans books</w:t>
      </w:r>
    </w:p>
    <w:p w:rsidR="008223EE" w:rsidRPr="008223EE" w:rsidRDefault="008223EE" w:rsidP="000D0C0B">
      <w:pPr>
        <w:spacing w:before="8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CRL coverage ratio increased to 52.5% (2011: 51.7%)</w:t>
      </w:r>
    </w:p>
    <w:p w:rsidR="008223EE" w:rsidRPr="008223EE" w:rsidRDefault="008223EE" w:rsidP="000D0C0B">
      <w:pPr>
        <w:spacing w:before="8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PPL balances increased 9% principally due to increased home loans balances in UK RBB </w:t>
      </w:r>
    </w:p>
    <w:p w:rsidR="008223EE" w:rsidRPr="008223EE" w:rsidRDefault="008223EE" w:rsidP="000D0C0B">
      <w:pPr>
        <w:spacing w:before="80" w:after="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PCRL coverage ratio remained stable at 48.9% (2011: 48.9%)</w:t>
      </w:r>
    </w:p>
    <w:p w:rsidR="008223EE" w:rsidRPr="008223EE" w:rsidRDefault="008223EE" w:rsidP="000D0C0B">
      <w:pPr>
        <w:spacing w:before="80" w:after="0" w:line="240" w:lineRule="auto"/>
        <w:ind w:left="284" w:hanging="284"/>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0D0C0B">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0D0C0B">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0D0C0B">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0D0C0B">
      <w:pPr>
        <w:spacing w:after="24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For December 2012 reporting UK RBB Medium Business lending and Barclaycard's Global Payment Acceptance, Global Commercial Payments and Business Cards portfolios have been reclassified from wholesale to retail, whilst Wealth and Investment Management's Private Bank portfolio has been reclassified from retail to wholesale. This has resulted in a net increase in retail PCRLs of £9m and impairment allowance of £12m with corresponding decreases in wholesale PCRLs and impairment allowance in 2011. These reclassifications (including comparatives) better reflect the way in which risk in these portfolios is managed.</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7701"/>
        <w:gridCol w:w="1433"/>
      </w:tblGrid>
      <w:tr w:rsidR="008223EE" w:rsidRPr="008223EE" w:rsidTr="008223EE">
        <w:trPr>
          <w:trHeight w:val="300"/>
        </w:trPr>
        <w:tc>
          <w:tcPr>
            <w:tcW w:w="8025" w:type="dxa"/>
            <w:tcMar>
              <w:top w:w="0" w:type="dxa"/>
              <w:left w:w="36" w:type="dxa"/>
              <w:bottom w:w="0" w:type="dxa"/>
              <w:right w:w="36" w:type="dxa"/>
            </w:tcMar>
            <w:vAlign w:val="bottom"/>
            <w:hideMark/>
          </w:tcPr>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Analysis of Retail Gross Loans &amp; Advances to Customers and Banks</w:t>
            </w:r>
            <w:r w:rsidRPr="008223EE">
              <w:rPr>
                <w:rFonts w:ascii="Calibri" w:eastAsia="Times New Roman" w:hAnsi="Calibri" w:cs="Calibri"/>
                <w:color w:val="000000"/>
                <w:vertAlign w:val="superscript"/>
              </w:rPr>
              <w:t>1 </w:t>
            </w:r>
          </w:p>
        </w:tc>
        <w:tc>
          <w:tcPr>
            <w:tcW w:w="15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710"/>
        <w:gridCol w:w="1484"/>
        <w:gridCol w:w="1487"/>
        <w:gridCol w:w="1485"/>
        <w:gridCol w:w="1485"/>
        <w:gridCol w:w="1483"/>
      </w:tblGrid>
      <w:tr w:rsidR="008223EE" w:rsidRPr="008223EE" w:rsidTr="008223EE">
        <w:trPr>
          <w:trHeight w:val="765"/>
        </w:trPr>
        <w:tc>
          <w:tcPr>
            <w:tcW w:w="17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15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Secured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Home</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Loans</w:t>
            </w:r>
          </w:p>
        </w:tc>
        <w:tc>
          <w:tcPr>
            <w:tcW w:w="15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Credit Cards,</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Overdrafts and</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Unsecured Loans</w:t>
            </w:r>
          </w:p>
        </w:tc>
        <w:tc>
          <w:tcPr>
            <w:tcW w:w="15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Other Secured</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Retail Lending</w:t>
            </w:r>
            <w:r w:rsidRPr="008223EE">
              <w:rPr>
                <w:rFonts w:ascii="Arial" w:eastAsia="Times New Roman" w:hAnsi="Arial" w:cs="Arial"/>
                <w:b/>
                <w:bCs/>
                <w:color w:val="000000"/>
                <w:sz w:val="13"/>
                <w:szCs w:val="13"/>
                <w:vertAlign w:val="superscript"/>
              </w:rPr>
              <w:t>2 </w:t>
            </w:r>
          </w:p>
        </w:tc>
        <w:tc>
          <w:tcPr>
            <w:tcW w:w="15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Business Lending </w:t>
            </w:r>
          </w:p>
        </w:tc>
        <w:tc>
          <w:tcPr>
            <w:tcW w:w="15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 Retail</w:t>
            </w:r>
          </w:p>
        </w:tc>
      </w:tr>
      <w:tr w:rsidR="008223EE" w:rsidRPr="008223EE" w:rsidTr="008223EE">
        <w:trPr>
          <w:trHeight w:val="240"/>
        </w:trPr>
        <w:tc>
          <w:tcPr>
            <w:tcW w:w="17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5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55"/>
        </w:trPr>
        <w:tc>
          <w:tcPr>
            <w:tcW w:w="17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RBB</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114,766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6,863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8,053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129,682 </w:t>
            </w:r>
          </w:p>
        </w:tc>
      </w:tr>
      <w:tr w:rsidR="008223EE" w:rsidRPr="008223EE" w:rsidTr="008223EE">
        <w:trPr>
          <w:trHeight w:val="255"/>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Europe RBB</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34,825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4,468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1,742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41,035 </w:t>
            </w:r>
          </w:p>
        </w:tc>
      </w:tr>
      <w:tr w:rsidR="008223EE" w:rsidRPr="008223EE" w:rsidTr="008223EE">
        <w:trPr>
          <w:trHeight w:val="255"/>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Africa RBB</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17,422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2,792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3,086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687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23,987 </w:t>
            </w:r>
          </w:p>
        </w:tc>
      </w:tr>
      <w:tr w:rsidR="008223EE" w:rsidRPr="008223EE" w:rsidTr="008223EE">
        <w:trPr>
          <w:trHeight w:val="255"/>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Barclaycard</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31,394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2,730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570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34,694 </w:t>
            </w:r>
          </w:p>
        </w:tc>
      </w:tr>
      <w:tr w:rsidR="008223EE" w:rsidRPr="008223EE" w:rsidTr="008223EE">
        <w:trPr>
          <w:trHeight w:val="255"/>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Banking</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274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336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117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12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739 </w:t>
            </w:r>
          </w:p>
        </w:tc>
      </w:tr>
      <w:tr w:rsidR="008223EE" w:rsidRPr="008223EE" w:rsidTr="008223EE">
        <w:trPr>
          <w:trHeight w:val="510"/>
        </w:trPr>
        <w:tc>
          <w:tcPr>
            <w:tcW w:w="17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2,267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63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205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2,535 </w:t>
            </w:r>
          </w:p>
        </w:tc>
      </w:tr>
      <w:tr w:rsidR="008223EE" w:rsidRPr="008223EE" w:rsidTr="008223EE">
        <w:trPr>
          <w:trHeight w:val="240"/>
        </w:trPr>
        <w:tc>
          <w:tcPr>
            <w:tcW w:w="17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169,554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45,916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6,138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11,064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232,672 </w:t>
            </w:r>
          </w:p>
        </w:tc>
      </w:tr>
      <w:tr w:rsidR="008223EE" w:rsidRPr="008223EE" w:rsidTr="008223EE">
        <w:trPr>
          <w:trHeight w:val="240"/>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17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55"/>
        </w:trPr>
        <w:tc>
          <w:tcPr>
            <w:tcW w:w="17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RBB</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107,775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7,351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7,929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123,055 </w:t>
            </w:r>
          </w:p>
        </w:tc>
      </w:tr>
      <w:tr w:rsidR="008223EE" w:rsidRPr="008223EE" w:rsidTr="008223EE">
        <w:trPr>
          <w:trHeight w:val="255"/>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Europe RBB</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37,099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4,994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2,395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44,488 </w:t>
            </w:r>
          </w:p>
        </w:tc>
      </w:tr>
      <w:tr w:rsidR="008223EE" w:rsidRPr="008223EE" w:rsidTr="008223EE">
        <w:trPr>
          <w:trHeight w:val="255"/>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Africa RBB</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19,691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2,715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3,405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552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26,363 </w:t>
            </w:r>
          </w:p>
        </w:tc>
      </w:tr>
      <w:tr w:rsidR="008223EE" w:rsidRPr="008223EE" w:rsidTr="008223EE">
        <w:trPr>
          <w:trHeight w:val="255"/>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Barclaycard</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28,557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3,181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476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32,214 </w:t>
            </w:r>
          </w:p>
        </w:tc>
      </w:tr>
      <w:tr w:rsidR="008223EE" w:rsidRPr="008223EE" w:rsidTr="008223EE">
        <w:trPr>
          <w:trHeight w:val="255"/>
        </w:trPr>
        <w:tc>
          <w:tcPr>
            <w:tcW w:w="17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Banking</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421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728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284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20  </w:t>
            </w:r>
          </w:p>
        </w:tc>
        <w:tc>
          <w:tcPr>
            <w:tcW w:w="15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1,453 </w:t>
            </w:r>
          </w:p>
        </w:tc>
      </w:tr>
      <w:tr w:rsidR="008223EE" w:rsidRPr="008223EE" w:rsidTr="008223EE">
        <w:trPr>
          <w:trHeight w:val="510"/>
        </w:trPr>
        <w:tc>
          <w:tcPr>
            <w:tcW w:w="17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1,892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62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144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2,098 </w:t>
            </w:r>
          </w:p>
        </w:tc>
      </w:tr>
      <w:tr w:rsidR="008223EE" w:rsidRPr="008223EE" w:rsidTr="008223EE">
        <w:trPr>
          <w:trHeight w:val="240"/>
        </w:trPr>
        <w:tc>
          <w:tcPr>
            <w:tcW w:w="17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166,878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44,407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7,014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11,372  </w:t>
            </w:r>
          </w:p>
        </w:tc>
        <w:tc>
          <w:tcPr>
            <w:tcW w:w="15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229,671 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B43B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Secured home loans, credit cards, overdrafts and unsecured loans and business lending are analysed on pages 63, 65 and 66 respectively </w:t>
      </w:r>
    </w:p>
    <w:p w:rsidR="008223EE" w:rsidRPr="008223EE" w:rsidRDefault="008223EE" w:rsidP="008223EE">
      <w:pPr>
        <w:spacing w:before="120" w:after="12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t>Secured Home Loans</w:t>
      </w:r>
    </w:p>
    <w:p w:rsidR="008223EE" w:rsidRPr="008223EE" w:rsidRDefault="008223EE" w:rsidP="003B43B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principal home loan portfolios listed below account for 96% (2011: 96%) of total home loans in the Group's retail portfolios </w:t>
      </w:r>
    </w:p>
    <w:p w:rsidR="008223EE" w:rsidRPr="008223EE" w:rsidRDefault="008223EE" w:rsidP="003B43B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home loans to retail customers increased marginally</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103"/>
        <w:gridCol w:w="1578"/>
        <w:gridCol w:w="1711"/>
        <w:gridCol w:w="1570"/>
        <w:gridCol w:w="1716"/>
        <w:gridCol w:w="1456"/>
      </w:tblGrid>
      <w:tr w:rsidR="008223EE" w:rsidRPr="008223EE" w:rsidTr="008223EE">
        <w:trPr>
          <w:trHeight w:val="240"/>
        </w:trPr>
        <w:tc>
          <w:tcPr>
            <w:tcW w:w="4515" w:type="dxa"/>
            <w:gridSpan w:val="3"/>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8"/>
                <w:szCs w:val="18"/>
              </w:rPr>
              <w:t>Home Loans Principal Portfolios</w:t>
            </w:r>
            <w:r w:rsidRPr="008223EE">
              <w:rPr>
                <w:rFonts w:ascii="Arial" w:eastAsia="Times New Roman" w:hAnsi="Arial" w:cs="Arial"/>
                <w:b/>
                <w:bCs/>
                <w:color w:val="000000"/>
                <w:sz w:val="16"/>
                <w:szCs w:val="16"/>
                <w:vertAlign w:val="superscript"/>
              </w:rPr>
              <w:t>3 </w:t>
            </w:r>
          </w:p>
        </w:tc>
        <w:tc>
          <w:tcPr>
            <w:tcW w:w="16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7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4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720"/>
        </w:trPr>
        <w:tc>
          <w:tcPr>
            <w:tcW w:w="11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31.12.12 </w:t>
            </w:r>
          </w:p>
        </w:tc>
        <w:tc>
          <w:tcPr>
            <w:tcW w:w="16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 Loans and Advances</w:t>
            </w:r>
          </w:p>
        </w:tc>
        <w:tc>
          <w:tcPr>
            <w:tcW w:w="16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&gt; 90 Day</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Arrears </w:t>
            </w:r>
          </w:p>
        </w:tc>
        <w:tc>
          <w:tcPr>
            <w:tcW w:w="16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Charge-off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Rates</w:t>
            </w:r>
          </w:p>
        </w:tc>
        <w:tc>
          <w:tcPr>
            <w:tcW w:w="17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Recoveries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Proportion of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Outstanding Balances</w:t>
            </w:r>
          </w:p>
        </w:tc>
        <w:tc>
          <w:tcPr>
            <w:tcW w:w="14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Recoveries</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Impairment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Coverage Ratio </w:t>
            </w:r>
          </w:p>
        </w:tc>
      </w:tr>
      <w:tr w:rsidR="008223EE" w:rsidRPr="008223EE" w:rsidTr="008223EE">
        <w:trPr>
          <w:trHeight w:val="240"/>
        </w:trPr>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6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6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16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4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8223EE">
        <w:trPr>
          <w:trHeight w:val="240"/>
        </w:trPr>
        <w:tc>
          <w:tcPr>
            <w:tcW w:w="112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w:t>
            </w:r>
          </w:p>
        </w:tc>
        <w:tc>
          <w:tcPr>
            <w:tcW w:w="16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114,766 </w:t>
            </w:r>
          </w:p>
        </w:tc>
        <w:tc>
          <w:tcPr>
            <w:tcW w:w="16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0.3  </w:t>
            </w:r>
          </w:p>
        </w:tc>
        <w:tc>
          <w:tcPr>
            <w:tcW w:w="16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0.6 </w:t>
            </w:r>
          </w:p>
        </w:tc>
        <w:tc>
          <w:tcPr>
            <w:tcW w:w="17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0.5 </w:t>
            </w:r>
          </w:p>
        </w:tc>
        <w:tc>
          <w:tcPr>
            <w:tcW w:w="14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13.4  </w:t>
            </w:r>
          </w:p>
        </w:tc>
      </w:tr>
      <w:tr w:rsidR="008223EE" w:rsidRPr="008223EE" w:rsidTr="008223EE">
        <w:trPr>
          <w:trHeight w:val="240"/>
        </w:trPr>
        <w:tc>
          <w:tcPr>
            <w:tcW w:w="11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South Africa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15,773 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1.6 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3.9 </w:t>
            </w:r>
          </w:p>
        </w:tc>
        <w:tc>
          <w:tcPr>
            <w:tcW w:w="17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34.6  </w:t>
            </w:r>
          </w:p>
        </w:tc>
      </w:tr>
      <w:tr w:rsidR="008223EE" w:rsidRPr="008223EE" w:rsidTr="008223EE">
        <w:trPr>
          <w:trHeight w:val="240"/>
        </w:trPr>
        <w:tc>
          <w:tcPr>
            <w:tcW w:w="11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Spain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13,551 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0.7 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1.1 </w:t>
            </w:r>
          </w:p>
        </w:tc>
        <w:tc>
          <w:tcPr>
            <w:tcW w:w="17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34.0  </w:t>
            </w:r>
          </w:p>
        </w:tc>
      </w:tr>
      <w:tr w:rsidR="008223EE" w:rsidRPr="008223EE" w:rsidTr="008223EE">
        <w:trPr>
          <w:trHeight w:val="240"/>
        </w:trPr>
        <w:tc>
          <w:tcPr>
            <w:tcW w:w="11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Italy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15,529 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0.8 </w:t>
            </w:r>
          </w:p>
        </w:tc>
        <w:tc>
          <w:tcPr>
            <w:tcW w:w="17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25.4  </w:t>
            </w:r>
          </w:p>
        </w:tc>
      </w:tr>
      <w:tr w:rsidR="008223EE" w:rsidRPr="008223EE" w:rsidTr="008223EE">
        <w:trPr>
          <w:trHeight w:val="240"/>
        </w:trPr>
        <w:tc>
          <w:tcPr>
            <w:tcW w:w="11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Portugal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3,710 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0.7 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1.4 </w:t>
            </w:r>
          </w:p>
        </w:tc>
        <w:tc>
          <w:tcPr>
            <w:tcW w:w="17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25.6  </w:t>
            </w:r>
          </w:p>
        </w:tc>
      </w:tr>
      <w:tr w:rsidR="008223EE" w:rsidRPr="008223EE" w:rsidTr="008223EE">
        <w:trPr>
          <w:trHeight w:val="240"/>
        </w:trPr>
        <w:tc>
          <w:tcPr>
            <w:tcW w:w="11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7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31.12.11 </w:t>
            </w:r>
          </w:p>
        </w:tc>
        <w:tc>
          <w:tcPr>
            <w:tcW w:w="16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6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6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4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112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w:t>
            </w:r>
          </w:p>
        </w:tc>
        <w:tc>
          <w:tcPr>
            <w:tcW w:w="16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107,775 </w:t>
            </w:r>
          </w:p>
        </w:tc>
        <w:tc>
          <w:tcPr>
            <w:tcW w:w="16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0.3  </w:t>
            </w:r>
          </w:p>
        </w:tc>
        <w:tc>
          <w:tcPr>
            <w:tcW w:w="16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0.6 </w:t>
            </w:r>
          </w:p>
        </w:tc>
        <w:tc>
          <w:tcPr>
            <w:tcW w:w="17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0.6 </w:t>
            </w:r>
          </w:p>
        </w:tc>
        <w:tc>
          <w:tcPr>
            <w:tcW w:w="14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15.3  </w:t>
            </w:r>
          </w:p>
        </w:tc>
      </w:tr>
      <w:tr w:rsidR="008223EE" w:rsidRPr="008223EE" w:rsidTr="008223EE">
        <w:trPr>
          <w:trHeight w:val="240"/>
        </w:trPr>
        <w:tc>
          <w:tcPr>
            <w:tcW w:w="11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South Africa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17,585 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3.7 </w:t>
            </w:r>
          </w:p>
        </w:tc>
        <w:tc>
          <w:tcPr>
            <w:tcW w:w="17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19.4  </w:t>
            </w:r>
          </w:p>
        </w:tc>
      </w:tr>
      <w:tr w:rsidR="008223EE" w:rsidRPr="008223EE" w:rsidTr="008223EE">
        <w:trPr>
          <w:trHeight w:val="240"/>
        </w:trPr>
        <w:tc>
          <w:tcPr>
            <w:tcW w:w="11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Spain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14,918 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0.5 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0.6 </w:t>
            </w:r>
          </w:p>
        </w:tc>
        <w:tc>
          <w:tcPr>
            <w:tcW w:w="17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32.5  </w:t>
            </w:r>
          </w:p>
        </w:tc>
      </w:tr>
      <w:tr w:rsidR="008223EE" w:rsidRPr="008223EE" w:rsidTr="008223EE">
        <w:trPr>
          <w:trHeight w:val="240"/>
        </w:trPr>
        <w:tc>
          <w:tcPr>
            <w:tcW w:w="11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Italy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15,935 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0.5 </w:t>
            </w:r>
          </w:p>
        </w:tc>
        <w:tc>
          <w:tcPr>
            <w:tcW w:w="17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29.3  </w:t>
            </w:r>
          </w:p>
        </w:tc>
      </w:tr>
      <w:tr w:rsidR="008223EE" w:rsidRPr="008223EE" w:rsidTr="008223EE">
        <w:trPr>
          <w:trHeight w:val="240"/>
        </w:trPr>
        <w:tc>
          <w:tcPr>
            <w:tcW w:w="112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Portugal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3,891 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0.6  </w:t>
            </w:r>
          </w:p>
        </w:tc>
        <w:tc>
          <w:tcPr>
            <w:tcW w:w="16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1.1 </w:t>
            </w:r>
          </w:p>
        </w:tc>
        <w:tc>
          <w:tcPr>
            <w:tcW w:w="17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15.0  </w:t>
            </w:r>
          </w:p>
        </w:tc>
      </w:tr>
    </w:tbl>
    <w:p w:rsidR="008223EE" w:rsidRPr="008223EE" w:rsidRDefault="008223EE" w:rsidP="008223EE">
      <w:pPr>
        <w:spacing w:before="20" w:after="20" w:line="240" w:lineRule="auto"/>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For December 2012 reporting UK RBB Medium Business lending (2011: £2,680m) and Barclaycard's Global Payment Acceptance, Global Commercial Payments and Business Cards portfolios (2011: £468m) have been reclassified from wholesale to retail. Wealth and Investment Management's Private Bank portfolio (2011: £14,627m) has been reclassified from retail to wholesale. These reclassifications (including comparatives) better reflect the way in which risk in these portfolios is managed.</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Other secured retail lending includes Vehicle Auto Finance in Africa RBB and UK Secured Lending in Barclaycard.</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3        Excluded from the above analysis are: Wealth International home loans, which are managed on an individual customer exposure basis, France home loans and other small home loans portfolios.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3B43BF">
      <w:pPr>
        <w:spacing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Arrears rates remained steady in the UK as targeted balance growth and improved customer affordability continued to be supported by the low base rate environment. The recoveries impairment coverage ratio decreased mainly because of a release of provision due to the resolution of backlogs in litigation</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 the UK, owner-occupied interest only balances of £38,069m (2011: £39,150m) represented 33% of total stock. Buy to let home loans comprised 7% of the total stock (2011: 6%)</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Arrears rates for South Africa home loans significantly decreased reflecting improvements in portfolio performance. Increased focus on reducing the recoveries portfolio during 2012 resulted in higher write-offs. Coverage ratio on Recoveries increased due to a higher mix of insolvent accounts in this portfolio. These accounts result in higher losses due to increased legal costs and longer time to foreclose. Credit performance of home loans in Europe continued to worsen as economic conditions deteriorated further. In Spain home loans, the recoveries impairment coverage ratio increased mainly due to incremental impairment taken to reflect potential declines in house prices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2039"/>
        <w:gridCol w:w="665"/>
        <w:gridCol w:w="666"/>
        <w:gridCol w:w="665"/>
        <w:gridCol w:w="666"/>
        <w:gridCol w:w="665"/>
        <w:gridCol w:w="1108"/>
        <w:gridCol w:w="664"/>
        <w:gridCol w:w="666"/>
        <w:gridCol w:w="664"/>
        <w:gridCol w:w="666"/>
      </w:tblGrid>
      <w:tr w:rsidR="008223EE" w:rsidRPr="008223EE" w:rsidTr="008223EE">
        <w:trPr>
          <w:trHeight w:val="240"/>
        </w:trPr>
        <w:tc>
          <w:tcPr>
            <w:tcW w:w="6570" w:type="dxa"/>
            <w:gridSpan w:val="7"/>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lastRenderedPageBreak/>
              <w:t>Home Loans - Distribution of Balances by LTV (Updated Valuations)</w:t>
            </w:r>
            <w:r w:rsidRPr="008223EE">
              <w:rPr>
                <w:rFonts w:ascii="Arial" w:eastAsia="Times New Roman" w:hAnsi="Arial" w:cs="Arial"/>
                <w:b/>
                <w:bCs/>
                <w:color w:val="000000"/>
                <w:sz w:val="14"/>
                <w:szCs w:val="14"/>
                <w:vertAlign w:val="superscript"/>
              </w:rPr>
              <w:t>1,2</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r>
      <w:tr w:rsidR="008223EE" w:rsidRPr="008223EE" w:rsidTr="008223EE">
        <w:trPr>
          <w:trHeight w:val="240"/>
        </w:trPr>
        <w:tc>
          <w:tcPr>
            <w:tcW w:w="20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r>
      <w:tr w:rsidR="008223EE" w:rsidRPr="008223EE" w:rsidTr="008223EE">
        <w:tc>
          <w:tcPr>
            <w:tcW w:w="207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11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2051"/>
        <w:gridCol w:w="1414"/>
        <w:gridCol w:w="1285"/>
        <w:gridCol w:w="1418"/>
        <w:gridCol w:w="1275"/>
        <w:gridCol w:w="1691"/>
      </w:tblGrid>
      <w:tr w:rsidR="008223EE" w:rsidRPr="008223EE" w:rsidTr="00E146FC">
        <w:trPr>
          <w:trHeight w:val="240"/>
        </w:trPr>
        <w:tc>
          <w:tcPr>
            <w:tcW w:w="2051"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414"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UK</w:t>
            </w:r>
          </w:p>
        </w:tc>
        <w:tc>
          <w:tcPr>
            <w:tcW w:w="12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South Africa</w:t>
            </w:r>
          </w:p>
        </w:tc>
        <w:tc>
          <w:tcPr>
            <w:tcW w:w="1418"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Spain</w:t>
            </w:r>
            <w:r w:rsidRPr="008223EE">
              <w:rPr>
                <w:rFonts w:ascii="Arial" w:eastAsia="Times New Roman" w:hAnsi="Arial" w:cs="Arial"/>
                <w:b/>
                <w:bCs/>
                <w:color w:val="000000"/>
                <w:sz w:val="13"/>
                <w:szCs w:val="13"/>
                <w:vertAlign w:val="superscript"/>
              </w:rPr>
              <w:t> </w:t>
            </w:r>
          </w:p>
        </w:tc>
        <w:tc>
          <w:tcPr>
            <w:tcW w:w="12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Italy</w:t>
            </w:r>
            <w:r w:rsidRPr="008223EE">
              <w:rPr>
                <w:rFonts w:ascii="Arial" w:eastAsia="Times New Roman" w:hAnsi="Arial" w:cs="Arial"/>
                <w:b/>
                <w:bCs/>
                <w:color w:val="000000"/>
                <w:sz w:val="13"/>
                <w:szCs w:val="13"/>
                <w:vertAlign w:val="superscript"/>
              </w:rPr>
              <w:t> </w:t>
            </w:r>
          </w:p>
        </w:tc>
        <w:tc>
          <w:tcPr>
            <w:tcW w:w="1691"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Portugal</w:t>
            </w:r>
            <w:r w:rsidRPr="008223EE">
              <w:rPr>
                <w:rFonts w:ascii="Arial" w:eastAsia="Times New Roman" w:hAnsi="Arial" w:cs="Arial"/>
                <w:b/>
                <w:bCs/>
                <w:color w:val="000000"/>
                <w:sz w:val="13"/>
                <w:szCs w:val="13"/>
                <w:vertAlign w:val="superscript"/>
              </w:rPr>
              <w:t>4</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144" w:type="dxa"/>
        <w:tblInd w:w="-36" w:type="dxa"/>
        <w:tblCellMar>
          <w:left w:w="0" w:type="dxa"/>
          <w:right w:w="0" w:type="dxa"/>
        </w:tblCellMar>
        <w:tblLook w:val="04A0" w:firstRow="1" w:lastRow="0" w:firstColumn="1" w:lastColumn="0" w:noHBand="0" w:noVBand="1"/>
      </w:tblPr>
      <w:tblGrid>
        <w:gridCol w:w="2070"/>
        <w:gridCol w:w="675"/>
        <w:gridCol w:w="675"/>
        <w:gridCol w:w="675"/>
        <w:gridCol w:w="675"/>
        <w:gridCol w:w="675"/>
        <w:gridCol w:w="675"/>
        <w:gridCol w:w="675"/>
        <w:gridCol w:w="675"/>
        <w:gridCol w:w="824"/>
        <w:gridCol w:w="850"/>
      </w:tblGrid>
      <w:tr w:rsidR="008223EE" w:rsidRPr="008223EE" w:rsidTr="00E146FC">
        <w:trPr>
          <w:trHeight w:val="240"/>
        </w:trPr>
        <w:tc>
          <w:tcPr>
            <w:tcW w:w="20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824"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8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r>
      <w:tr w:rsidR="008223EE" w:rsidRPr="008223EE" w:rsidTr="00E146FC">
        <w:trPr>
          <w:trHeight w:val="240"/>
        </w:trPr>
        <w:tc>
          <w:tcPr>
            <w:tcW w:w="20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As at 31 December</w:t>
            </w:r>
            <w:r w:rsidRPr="008223EE">
              <w:rPr>
                <w:rFonts w:ascii="Arial" w:eastAsia="Times New Roman" w:hAnsi="Arial" w:cs="Arial"/>
                <w:color w:val="000000"/>
                <w:sz w:val="16"/>
                <w:szCs w:val="16"/>
                <w:vertAlign w:val="superscript"/>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24"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8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r>
      <w:tr w:rsidR="008223EE" w:rsidRPr="008223EE" w:rsidTr="00E146FC">
        <w:trPr>
          <w:trHeight w:val="240"/>
        </w:trPr>
        <w:tc>
          <w:tcPr>
            <w:tcW w:w="2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&lt;=75%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76.1 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77.6 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62.8 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58.8 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64.2 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72.1 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74.3 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70.7  </w:t>
            </w:r>
          </w:p>
        </w:tc>
        <w:tc>
          <w:tcPr>
            <w:tcW w:w="824"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40.3 </w:t>
            </w:r>
          </w:p>
        </w:tc>
        <w:tc>
          <w:tcPr>
            <w:tcW w:w="8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49.0  </w:t>
            </w:r>
          </w:p>
        </w:tc>
      </w:tr>
      <w:tr w:rsidR="008223EE" w:rsidRPr="008223EE" w:rsidTr="00E146FC">
        <w:trPr>
          <w:trHeight w:val="240"/>
        </w:trPr>
        <w:tc>
          <w:tcPr>
            <w:tcW w:w="2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&gt;75% and &lt;=80%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7.5 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8.7 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6.6 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16.8  </w:t>
            </w:r>
          </w:p>
        </w:tc>
        <w:tc>
          <w:tcPr>
            <w:tcW w:w="82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8.3 </w:t>
            </w:r>
          </w:p>
        </w:tc>
        <w:tc>
          <w:tcPr>
            <w:tcW w:w="8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11.4  </w:t>
            </w:r>
          </w:p>
        </w:tc>
      </w:tr>
      <w:tr w:rsidR="008223EE" w:rsidRPr="008223EE" w:rsidTr="00E146FC">
        <w:trPr>
          <w:trHeight w:val="240"/>
        </w:trPr>
        <w:tc>
          <w:tcPr>
            <w:tcW w:w="2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&gt;80% and &lt;=85%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5.3 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8.3 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5.7 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10.2  </w:t>
            </w:r>
          </w:p>
        </w:tc>
        <w:tc>
          <w:tcPr>
            <w:tcW w:w="82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10.6 </w:t>
            </w:r>
          </w:p>
        </w:tc>
        <w:tc>
          <w:tcPr>
            <w:tcW w:w="8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13.7  </w:t>
            </w:r>
          </w:p>
        </w:tc>
      </w:tr>
      <w:tr w:rsidR="008223EE" w:rsidRPr="008223EE" w:rsidTr="00E146FC">
        <w:trPr>
          <w:trHeight w:val="240"/>
        </w:trPr>
        <w:tc>
          <w:tcPr>
            <w:tcW w:w="2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&gt;85% and &lt;=90%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3.6 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7.2 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82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11.1 </w:t>
            </w:r>
          </w:p>
        </w:tc>
        <w:tc>
          <w:tcPr>
            <w:tcW w:w="8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9.4  </w:t>
            </w:r>
          </w:p>
        </w:tc>
      </w:tr>
      <w:tr w:rsidR="008223EE" w:rsidRPr="008223EE" w:rsidTr="00E146FC">
        <w:trPr>
          <w:trHeight w:val="240"/>
        </w:trPr>
        <w:tc>
          <w:tcPr>
            <w:tcW w:w="2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&gt;90% and &lt;=95%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5.3 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2.6 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0.9 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0.5  </w:t>
            </w:r>
          </w:p>
        </w:tc>
        <w:tc>
          <w:tcPr>
            <w:tcW w:w="82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10.2 </w:t>
            </w:r>
          </w:p>
        </w:tc>
        <w:tc>
          <w:tcPr>
            <w:tcW w:w="8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8.8  </w:t>
            </w:r>
          </w:p>
        </w:tc>
      </w:tr>
      <w:tr w:rsidR="008223EE" w:rsidRPr="008223EE" w:rsidTr="00E146FC">
        <w:trPr>
          <w:trHeight w:val="240"/>
        </w:trPr>
        <w:tc>
          <w:tcPr>
            <w:tcW w:w="2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&gt;95% and &lt;=100%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3.3 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1.9 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0.6 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0.2  </w:t>
            </w:r>
          </w:p>
        </w:tc>
        <w:tc>
          <w:tcPr>
            <w:tcW w:w="82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7.6 </w:t>
            </w:r>
          </w:p>
        </w:tc>
        <w:tc>
          <w:tcPr>
            <w:tcW w:w="8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4.6  </w:t>
            </w:r>
          </w:p>
        </w:tc>
      </w:tr>
      <w:tr w:rsidR="008223EE" w:rsidRPr="008223EE" w:rsidTr="00E146FC">
        <w:trPr>
          <w:trHeight w:val="240"/>
        </w:trPr>
        <w:tc>
          <w:tcPr>
            <w:tcW w:w="2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&gt;100%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2.1 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7.1 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0.3  </w:t>
            </w:r>
          </w:p>
        </w:tc>
        <w:tc>
          <w:tcPr>
            <w:tcW w:w="82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11.9 </w:t>
            </w:r>
          </w:p>
        </w:tc>
        <w:tc>
          <w:tcPr>
            <w:tcW w:w="8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3.1  </w:t>
            </w:r>
          </w:p>
        </w:tc>
      </w:tr>
      <w:tr w:rsidR="008223EE" w:rsidRPr="008223EE" w:rsidTr="00E146FC">
        <w:trPr>
          <w:trHeight w:val="240"/>
        </w:trPr>
        <w:tc>
          <w:tcPr>
            <w:tcW w:w="20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824"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E146FC">
        <w:trPr>
          <w:trHeight w:val="240"/>
        </w:trPr>
        <w:tc>
          <w:tcPr>
            <w:tcW w:w="2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Marked to market LTV %</w:t>
            </w:r>
            <w:r w:rsidRPr="008223EE">
              <w:rPr>
                <w:rFonts w:ascii="Arial" w:eastAsia="Times New Roman" w:hAnsi="Arial" w:cs="Arial"/>
                <w:color w:val="000000"/>
                <w:sz w:val="13"/>
                <w:szCs w:val="13"/>
                <w:vertAlign w:val="superscript"/>
              </w:rPr>
              <w:t>3</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45.5 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44.3 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44.2 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45.2 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64.6 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60.1 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46.7 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46.9  </w:t>
            </w:r>
          </w:p>
        </w:tc>
        <w:tc>
          <w:tcPr>
            <w:tcW w:w="824"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77.6 </w:t>
            </w:r>
          </w:p>
        </w:tc>
        <w:tc>
          <w:tcPr>
            <w:tcW w:w="8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69.6 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Credit quality of the principal home loan portfolios reflected relatively conservative levels of high LTV lending and moderate LTV on existing portfolios</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During 2012, using current valuations, the average LTV of principal home loans portfolios remained broadly stable in UK, South Africa and Italy. However, it increased in Spain and Portugal as a result of continued decline in house prices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900" w:type="dxa"/>
        <w:tblInd w:w="-36" w:type="dxa"/>
        <w:tblCellMar>
          <w:left w:w="0" w:type="dxa"/>
          <w:right w:w="0" w:type="dxa"/>
        </w:tblCellMar>
        <w:tblLook w:val="04A0" w:firstRow="1" w:lastRow="0" w:firstColumn="1" w:lastColumn="0" w:noHBand="0" w:noVBand="1"/>
      </w:tblPr>
      <w:tblGrid>
        <w:gridCol w:w="2231"/>
        <w:gridCol w:w="197"/>
        <w:gridCol w:w="724"/>
        <w:gridCol w:w="964"/>
        <w:gridCol w:w="723"/>
        <w:gridCol w:w="723"/>
        <w:gridCol w:w="723"/>
        <w:gridCol w:w="723"/>
        <w:gridCol w:w="723"/>
        <w:gridCol w:w="723"/>
        <w:gridCol w:w="723"/>
        <w:gridCol w:w="723"/>
      </w:tblGrid>
      <w:tr w:rsidR="008223EE" w:rsidRPr="008223EE" w:rsidTr="008223EE">
        <w:trPr>
          <w:trHeight w:val="240"/>
        </w:trPr>
        <w:tc>
          <w:tcPr>
            <w:tcW w:w="3825" w:type="dxa"/>
            <w:gridSpan w:val="4"/>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Home Loans - New Lending</w:t>
            </w:r>
            <w:r w:rsidRPr="008223EE">
              <w:rPr>
                <w:rFonts w:ascii="Arial" w:eastAsia="Times New Roman" w:hAnsi="Arial" w:cs="Arial"/>
                <w:b/>
                <w:bCs/>
                <w:color w:val="000000"/>
                <w:sz w:val="14"/>
                <w:szCs w:val="14"/>
                <w:vertAlign w:val="superscript"/>
              </w:rPr>
              <w:t>1,2 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color w:val="000000"/>
                <w:sz w:val="16"/>
                <w:szCs w:val="16"/>
                <w:vertAlign w:val="superscript"/>
              </w:rPr>
              <w:t> </w:t>
            </w:r>
          </w:p>
        </w:tc>
      </w:tr>
      <w:tr w:rsidR="008223EE" w:rsidRPr="008223EE" w:rsidTr="008223EE">
        <w:trPr>
          <w:trHeight w:val="80"/>
        </w:trPr>
        <w:tc>
          <w:tcPr>
            <w:tcW w:w="20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b/>
                <w:bCs/>
                <w:color w:val="000000"/>
                <w:sz w:val="14"/>
                <w:szCs w:val="14"/>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8"/>
                <w:szCs w:val="18"/>
              </w:rPr>
              <w:t> </w:t>
            </w:r>
            <w:r w:rsidRPr="008223EE">
              <w:rPr>
                <w:rFonts w:ascii="Arial" w:eastAsia="Times New Roman" w:hAnsi="Arial" w:cs="Arial"/>
                <w:color w:val="000000"/>
                <w:sz w:val="16"/>
                <w:szCs w:val="16"/>
                <w:vertAlign w:val="superscript"/>
              </w:rPr>
              <w:t> </w:t>
            </w:r>
          </w:p>
        </w:tc>
      </w:tr>
      <w:tr w:rsidR="008223EE" w:rsidRPr="008223EE" w:rsidTr="008223EE">
        <w:tc>
          <w:tcPr>
            <w:tcW w:w="22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9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6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900" w:type="dxa"/>
        <w:tblInd w:w="-36" w:type="dxa"/>
        <w:tblCellMar>
          <w:left w:w="0" w:type="dxa"/>
          <w:right w:w="0" w:type="dxa"/>
        </w:tblCellMar>
        <w:tblLook w:val="04A0" w:firstRow="1" w:lastRow="0" w:firstColumn="1" w:lastColumn="0" w:noHBand="0" w:noVBand="1"/>
      </w:tblPr>
      <w:tblGrid>
        <w:gridCol w:w="2185"/>
        <w:gridCol w:w="190"/>
        <w:gridCol w:w="713"/>
        <w:gridCol w:w="792"/>
        <w:gridCol w:w="713"/>
        <w:gridCol w:w="792"/>
        <w:gridCol w:w="713"/>
        <w:gridCol w:w="792"/>
        <w:gridCol w:w="713"/>
        <w:gridCol w:w="792"/>
        <w:gridCol w:w="713"/>
        <w:gridCol w:w="792"/>
      </w:tblGrid>
      <w:tr w:rsidR="008223EE" w:rsidRPr="008223EE" w:rsidTr="008223EE">
        <w:trPr>
          <w:trHeight w:val="240"/>
        </w:trPr>
        <w:tc>
          <w:tcPr>
            <w:tcW w:w="20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42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UK</w:t>
            </w:r>
            <w:r w:rsidRPr="008223EE">
              <w:rPr>
                <w:rFonts w:ascii="Arial" w:eastAsia="Times New Roman" w:hAnsi="Arial" w:cs="Arial"/>
                <w:b/>
                <w:bCs/>
                <w:color w:val="000000"/>
                <w:sz w:val="13"/>
                <w:szCs w:val="13"/>
                <w:vertAlign w:val="superscript"/>
              </w:rPr>
              <w:t> </w:t>
            </w:r>
          </w:p>
        </w:tc>
        <w:tc>
          <w:tcPr>
            <w:tcW w:w="142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South Africa</w:t>
            </w:r>
          </w:p>
        </w:tc>
        <w:tc>
          <w:tcPr>
            <w:tcW w:w="142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Spain</w:t>
            </w:r>
          </w:p>
        </w:tc>
        <w:tc>
          <w:tcPr>
            <w:tcW w:w="142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Italy</w:t>
            </w:r>
            <w:r w:rsidRPr="008223EE">
              <w:rPr>
                <w:rFonts w:ascii="Arial" w:eastAsia="Times New Roman" w:hAnsi="Arial" w:cs="Arial"/>
                <w:b/>
                <w:bCs/>
                <w:color w:val="000000"/>
                <w:sz w:val="13"/>
                <w:szCs w:val="13"/>
                <w:vertAlign w:val="superscript"/>
              </w:rPr>
              <w:t> </w:t>
            </w:r>
          </w:p>
        </w:tc>
        <w:tc>
          <w:tcPr>
            <w:tcW w:w="142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Portugal</w:t>
            </w:r>
          </w:p>
        </w:tc>
      </w:tr>
      <w:tr w:rsidR="008223EE" w:rsidRPr="008223EE" w:rsidTr="008223EE">
        <w:trPr>
          <w:trHeight w:val="240"/>
        </w:trPr>
        <w:tc>
          <w:tcPr>
            <w:tcW w:w="20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 December</w:t>
            </w:r>
          </w:p>
        </w:tc>
        <w:tc>
          <w:tcPr>
            <w:tcW w:w="1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6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2011 </w:t>
            </w:r>
            <w:r w:rsidRPr="008223EE">
              <w:rPr>
                <w:rFonts w:ascii="Arial" w:eastAsia="Times New Roman" w:hAnsi="Arial" w:cs="Arial"/>
                <w:color w:val="000000"/>
                <w:sz w:val="16"/>
                <w:szCs w:val="16"/>
                <w:vertAlign w:val="superscript"/>
              </w:rPr>
              <w:t xml:space="preserve"> </w:t>
            </w:r>
          </w:p>
        </w:tc>
      </w:tr>
      <w:tr w:rsidR="008223EE" w:rsidRPr="008223EE" w:rsidTr="008223EE">
        <w:trPr>
          <w:trHeight w:val="240"/>
        </w:trPr>
        <w:tc>
          <w:tcPr>
            <w:tcW w:w="2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New home loans (£m)</w:t>
            </w:r>
          </w:p>
        </w:tc>
        <w:tc>
          <w:tcPr>
            <w:tcW w:w="18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18,170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17,202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1,186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1,381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284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502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848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3,719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83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495  </w:t>
            </w:r>
          </w:p>
        </w:tc>
      </w:tr>
      <w:tr w:rsidR="008223EE" w:rsidRPr="008223EE" w:rsidTr="008223EE">
        <w:trPr>
          <w:trHeight w:val="240"/>
        </w:trPr>
        <w:tc>
          <w:tcPr>
            <w:tcW w:w="2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2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Average LTV %</w:t>
            </w:r>
          </w:p>
        </w:tc>
        <w:tc>
          <w:tcPr>
            <w:tcW w:w="1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54.0 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64.7 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61.2 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62.8 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61.3 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59.6 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60.8 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67.7  </w:t>
            </w:r>
          </w:p>
        </w:tc>
      </w:tr>
      <w:tr w:rsidR="008223EE" w:rsidRPr="008223EE" w:rsidTr="008223EE">
        <w:trPr>
          <w:trHeight w:val="480"/>
        </w:trPr>
        <w:tc>
          <w:tcPr>
            <w:tcW w:w="2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New home loans proportion above 85% LTV</w:t>
            </w:r>
          </w:p>
        </w:tc>
        <w:tc>
          <w:tcPr>
            <w:tcW w:w="1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0.8 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36.8 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29.9 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5.5 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New lending in principal home loan portfolios listed above decreased 12% to £20,571m (2011: £23,298m)</w:t>
      </w:r>
    </w:p>
    <w:p w:rsidR="008223EE" w:rsidRPr="008223EE" w:rsidRDefault="008223EE" w:rsidP="003B43BF">
      <w:pPr>
        <w:spacing w:before="180" w:after="3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increase in average LTV for new home loans business to 56.4% (2011: 54.0%) in the UK was driven by the launch of a 90% LTV product, on a limited basis. The volume in this segment is constrained by tight credit criteria and risk limits, as evidenced by the moderate increase of new home loans proportion above 85%</w:t>
      </w:r>
      <w:r w:rsidRPr="008223EE">
        <w:rPr>
          <w:rFonts w:ascii="Arial" w:eastAsia="Times New Roman" w:hAnsi="Arial" w:cs="Arial"/>
          <w:sz w:val="2"/>
          <w:szCs w:val="2"/>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Excluded from the above analysis are: Wealth International home loans, which are managed on an individual customer exposure basis, France home loans and other small home loans portfolios.</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2       UK, South Africa and Italy marked to market methodology </w:t>
      </w:r>
      <w:proofErr w:type="gramStart"/>
      <w:r w:rsidRPr="008223EE">
        <w:rPr>
          <w:rFonts w:ascii="Arial" w:eastAsia="Times New Roman" w:hAnsi="Arial" w:cs="Arial"/>
          <w:i/>
          <w:iCs/>
          <w:sz w:val="14"/>
          <w:szCs w:val="14"/>
        </w:rPr>
        <w:t>is</w:t>
      </w:r>
      <w:proofErr w:type="gramEnd"/>
      <w:r w:rsidRPr="008223EE">
        <w:rPr>
          <w:rFonts w:ascii="Arial" w:eastAsia="Times New Roman" w:hAnsi="Arial" w:cs="Arial"/>
          <w:i/>
          <w:iCs/>
          <w:sz w:val="14"/>
          <w:szCs w:val="14"/>
        </w:rPr>
        <w:t xml:space="preserve"> based on valuation weighted approach. Valuation weighted LTV is the ratio between total outstanding balance and the value of total collateral held against these balances. Spain and Portugal marked to market methodology is based on balance weighted approach. Balance weighted LTV approach is derived by calculating individual LTVs at account level and weighting it by the individual loan balances to arrive at the average position. This is in line with local reporting practice.</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3        Portfolio marked to market based on the most updated valuation and includes recoveries balances. Updated valuations reflect the application of the latest house price index available in the country as at 31 December 2012 to calculate the average MTM portfolio LTV as at 31 December 2012.</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4       In Portugal, the increase in average MTM LTVs and in the LTV distribution are due to the application of more detailed house price valuations since June 2012.</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3B43BF">
      <w:pPr>
        <w:spacing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 South Africa, average LTV on new home loans increased due to an</w:t>
      </w:r>
      <w:r w:rsidR="00E146FC">
        <w:rPr>
          <w:rFonts w:ascii="Arial" w:eastAsia="Times New Roman" w:hAnsi="Arial" w:cs="Arial"/>
          <w:sz w:val="18"/>
          <w:szCs w:val="18"/>
        </w:rPr>
        <w:t xml:space="preserve"> </w:t>
      </w:r>
      <w:r w:rsidRPr="008223EE">
        <w:rPr>
          <w:rFonts w:ascii="Arial" w:eastAsia="Times New Roman" w:hAnsi="Arial" w:cs="Arial"/>
          <w:sz w:val="18"/>
          <w:szCs w:val="18"/>
        </w:rPr>
        <w:t>expansion in the origination channel strategy, which resulted in an increase in new business flow in the second half of 2012</w:t>
      </w:r>
    </w:p>
    <w:p w:rsidR="008223EE" w:rsidRPr="008223EE" w:rsidRDefault="008223EE" w:rsidP="003B43BF">
      <w:pPr>
        <w:spacing w:before="180" w:after="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In 2012, new lending was significantly reduced in Europe home loans through credit policy tightening. Average LTV on new home loans in Spain increased moderately. Whilst proportion of new home loans above 85% LTV increased from 1.3% to 4.1%, balances remained within expectation on an absolute basis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lastRenderedPageBreak/>
        <w:t>Credit Cards, Overdrafts and Unsecured Loans</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Pr="008223EE">
        <w:rPr>
          <w:rFonts w:ascii="Symbol" w:eastAsia="Times New Roman" w:hAnsi="Symbol" w:cs="Arial"/>
          <w:sz w:val="20"/>
          <w:szCs w:val="20"/>
        </w:rPr>
        <w:t></w:t>
      </w:r>
      <w:r w:rsidRPr="008223EE">
        <w:rPr>
          <w:rFonts w:ascii="Arial" w:eastAsia="Times New Roman" w:hAnsi="Arial" w:cs="Arial"/>
          <w:sz w:val="18"/>
          <w:szCs w:val="18"/>
        </w:rPr>
        <w:t>The principal portfolios listed below account for 87% (2011: 85%) of total credit cards, overdrafts and unsecured Loans in the Group's retail portfolios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2393"/>
        <w:gridCol w:w="1124"/>
        <w:gridCol w:w="1123"/>
        <w:gridCol w:w="1123"/>
        <w:gridCol w:w="1123"/>
        <w:gridCol w:w="1124"/>
        <w:gridCol w:w="1124"/>
      </w:tblGrid>
      <w:tr w:rsidR="008223EE" w:rsidRPr="008223EE" w:rsidTr="008223EE">
        <w:trPr>
          <w:trHeight w:val="810"/>
        </w:trPr>
        <w:tc>
          <w:tcPr>
            <w:tcW w:w="24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Principal Portfolios</w:t>
            </w:r>
          </w:p>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31.12.12 </w:t>
            </w:r>
          </w:p>
        </w:tc>
        <w:tc>
          <w:tcPr>
            <w:tcW w:w="112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 Loans and Advances</w:t>
            </w:r>
          </w:p>
        </w:tc>
        <w:tc>
          <w:tcPr>
            <w:tcW w:w="112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30 Day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Arrears </w:t>
            </w:r>
          </w:p>
        </w:tc>
        <w:tc>
          <w:tcPr>
            <w:tcW w:w="112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90 Day</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Arrears </w:t>
            </w:r>
          </w:p>
        </w:tc>
        <w:tc>
          <w:tcPr>
            <w:tcW w:w="112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Charge-off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Rates </w:t>
            </w:r>
          </w:p>
        </w:tc>
        <w:tc>
          <w:tcPr>
            <w:tcW w:w="112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Recoveries</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Proportion of</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Outstanding Balances</w:t>
            </w:r>
          </w:p>
        </w:tc>
        <w:tc>
          <w:tcPr>
            <w:tcW w:w="112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Recoveries Impairment Coverage Ratio</w:t>
            </w:r>
          </w:p>
        </w:tc>
      </w:tr>
      <w:tr w:rsidR="008223EE" w:rsidRPr="008223EE" w:rsidTr="008223EE">
        <w:trPr>
          <w:trHeight w:val="240"/>
        </w:trPr>
        <w:tc>
          <w:tcPr>
            <w:tcW w:w="24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24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cards</w:t>
            </w:r>
            <w:r w:rsidRPr="008223EE">
              <w:rPr>
                <w:rFonts w:ascii="Arial" w:eastAsia="Times New Roman" w:hAnsi="Arial" w:cs="Arial"/>
                <w:color w:val="000000"/>
                <w:sz w:val="13"/>
                <w:szCs w:val="13"/>
                <w:vertAlign w:val="superscript"/>
              </w:rPr>
              <w:t>1 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15,434 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2.5 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4.9 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80.4 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US cards </w:t>
            </w:r>
            <w:r w:rsidRPr="008223EE">
              <w:rPr>
                <w:rFonts w:ascii="Arial" w:eastAsia="Times New Roman" w:hAnsi="Arial" w:cs="Arial"/>
                <w:color w:val="000000"/>
                <w:sz w:val="13"/>
                <w:szCs w:val="13"/>
                <w:vertAlign w:val="superscript"/>
              </w:rPr>
              <w:t>2</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9,296 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5.0 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90.7 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personal loans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4,861 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3.0 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5.1 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78.9 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South Africa cards</w:t>
            </w:r>
            <w:r w:rsidRPr="008223EE">
              <w:rPr>
                <w:rFonts w:ascii="Arial" w:eastAsia="Times New Roman" w:hAnsi="Arial" w:cs="Arial"/>
                <w:color w:val="000000"/>
                <w:sz w:val="13"/>
                <w:szCs w:val="13"/>
                <w:vertAlign w:val="superscript"/>
              </w:rPr>
              <w:t>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2,511 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5.2 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2.8 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4.2 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70.9 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Barclays Partner Finance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2,323 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1.9 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3.9 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78.1 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Europe RBB cards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6.2 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2.9 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9.2 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12.7 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95.5 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overdrafts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1,382 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3.5 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8.2 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92.7 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Italy salary advance loans</w:t>
            </w:r>
            <w:r w:rsidRPr="008223EE">
              <w:rPr>
                <w:rFonts w:ascii="Arial" w:eastAsia="Times New Roman" w:hAnsi="Arial" w:cs="Arial"/>
                <w:color w:val="000000"/>
                <w:sz w:val="13"/>
                <w:szCs w:val="13"/>
                <w:vertAlign w:val="superscript"/>
              </w:rPr>
              <w:t>4</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1,354 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0.9 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South Africa personal loans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1,061 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3.1 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8.5 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72.3 </w:t>
            </w:r>
          </w:p>
        </w:tc>
      </w:tr>
      <w:tr w:rsidR="008223EE" w:rsidRPr="008223EE" w:rsidTr="008223EE">
        <w:trPr>
          <w:trHeight w:val="255"/>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4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31.12.11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4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cards</w:t>
            </w:r>
            <w:r w:rsidRPr="008223EE">
              <w:rPr>
                <w:rFonts w:ascii="Arial" w:eastAsia="Times New Roman" w:hAnsi="Arial" w:cs="Arial"/>
                <w:color w:val="000000"/>
                <w:sz w:val="13"/>
                <w:szCs w:val="13"/>
                <w:vertAlign w:val="superscript"/>
              </w:rPr>
              <w:t>1 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14,692 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2.7 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1.2 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6.2 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6.8 </w:t>
            </w:r>
          </w:p>
        </w:tc>
        <w:tc>
          <w:tcPr>
            <w:tcW w:w="11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85.2 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US cards </w:t>
            </w:r>
            <w:r w:rsidRPr="008223EE">
              <w:rPr>
                <w:rFonts w:ascii="Arial" w:eastAsia="Times New Roman" w:hAnsi="Arial" w:cs="Arial"/>
                <w:color w:val="000000"/>
                <w:sz w:val="13"/>
                <w:szCs w:val="13"/>
                <w:vertAlign w:val="superscript"/>
              </w:rPr>
              <w:t>2</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8,303 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3.1 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92.1 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personal loans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5,166 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6.5 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19.0 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82.8 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South Africa cards</w:t>
            </w:r>
            <w:r w:rsidRPr="008223EE">
              <w:rPr>
                <w:rFonts w:ascii="Arial" w:eastAsia="Times New Roman" w:hAnsi="Arial" w:cs="Arial"/>
                <w:color w:val="000000"/>
                <w:sz w:val="13"/>
                <w:szCs w:val="13"/>
                <w:vertAlign w:val="superscript"/>
              </w:rPr>
              <w:t>3</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1,816 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5.1 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3.0 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72.9 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Barclays Partner Finance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2,122 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84.8 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Europe RBB cards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1,684 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5.9 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10.1 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13.8 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89.5 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overdrafts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1,322 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6.0 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3.9 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9.7 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17.5 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90.6 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Italy salary advance loans</w:t>
            </w:r>
            <w:r w:rsidRPr="008223EE">
              <w:rPr>
                <w:rFonts w:ascii="Arial" w:eastAsia="Times New Roman" w:hAnsi="Arial" w:cs="Arial"/>
                <w:color w:val="000000"/>
                <w:sz w:val="13"/>
                <w:szCs w:val="13"/>
                <w:vertAlign w:val="superscript"/>
              </w:rPr>
              <w:t>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1,629 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11.7 </w:t>
            </w:r>
          </w:p>
        </w:tc>
      </w:tr>
      <w:tr w:rsidR="008223EE" w:rsidRPr="008223EE" w:rsidTr="008223EE">
        <w:trPr>
          <w:trHeight w:val="240"/>
        </w:trPr>
        <w:tc>
          <w:tcPr>
            <w:tcW w:w="24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South Africa personal loans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1,164 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6.4 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3.9 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8.3 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6.9 </w:t>
            </w:r>
          </w:p>
        </w:tc>
        <w:tc>
          <w:tcPr>
            <w:tcW w:w="11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72.4 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B43BF">
      <w:pPr>
        <w:spacing w:before="24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Pr="008223EE">
        <w:rPr>
          <w:rFonts w:ascii="Symbol" w:eastAsia="Times New Roman" w:hAnsi="Symbol" w:cs="Arial"/>
          <w:sz w:val="20"/>
          <w:szCs w:val="20"/>
        </w:rPr>
        <w:t></w:t>
      </w:r>
      <w:r w:rsidRPr="008223EE">
        <w:rPr>
          <w:rFonts w:ascii="Arial" w:eastAsia="Times New Roman" w:hAnsi="Arial" w:cs="Arial"/>
          <w:sz w:val="18"/>
          <w:szCs w:val="18"/>
        </w:rPr>
        <w:t>Total credit cards, overdrafts and unsecured loans remained broadly stable with the increase in card and overdraft portfolios being offset by decreases in unsecured loans portfolios</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Pr="008223EE">
        <w:rPr>
          <w:rFonts w:ascii="Symbol" w:eastAsia="Times New Roman" w:hAnsi="Symbol" w:cs="Arial"/>
          <w:sz w:val="20"/>
          <w:szCs w:val="20"/>
        </w:rPr>
        <w:t></w:t>
      </w:r>
      <w:r w:rsidRPr="008223EE">
        <w:rPr>
          <w:rFonts w:ascii="Arial" w:eastAsia="Times New Roman" w:hAnsi="Arial" w:cs="Arial"/>
          <w:sz w:val="18"/>
          <w:szCs w:val="18"/>
        </w:rPr>
        <w:t>With the exception of Europe RBB cards, 90 day arrears rates have remained broadly stable or improved slightly reflecting a move towards better asset quality and improved delinquency performance</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Pr="008223EE">
        <w:rPr>
          <w:rFonts w:ascii="Symbol" w:eastAsia="Times New Roman" w:hAnsi="Symbol" w:cs="Arial"/>
          <w:sz w:val="20"/>
          <w:szCs w:val="20"/>
        </w:rPr>
        <w:t></w:t>
      </w:r>
      <w:r w:rsidRPr="008223EE">
        <w:rPr>
          <w:rFonts w:ascii="Arial" w:eastAsia="Times New Roman" w:hAnsi="Arial" w:cs="Arial"/>
          <w:sz w:val="18"/>
          <w:szCs w:val="18"/>
        </w:rPr>
        <w:t>Arrears rates in the European Cards portfolios deteriorated marginally in the same period, reflecting the difficult economic environment. Arrears rates were broadly stable in South Africa card portfolios and performance remained within expectations</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Pr="008223EE">
        <w:rPr>
          <w:rFonts w:ascii="Symbol" w:eastAsia="Times New Roman" w:hAnsi="Symbol" w:cs="Arial"/>
          <w:sz w:val="20"/>
          <w:szCs w:val="20"/>
        </w:rPr>
        <w:t></w:t>
      </w:r>
      <w:r w:rsidRPr="008223EE">
        <w:rPr>
          <w:rFonts w:ascii="Arial" w:eastAsia="Times New Roman" w:hAnsi="Arial" w:cs="Arial"/>
          <w:sz w:val="18"/>
          <w:szCs w:val="18"/>
        </w:rPr>
        <w:t>The reduction in the coverage ratio on the main UK and US portfolios reflects active management of recovery assets, the change in write off policy at the end of 2011 and increased debt sale activity</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1        UK cards </w:t>
      </w:r>
      <w:proofErr w:type="gramStart"/>
      <w:r w:rsidRPr="008223EE">
        <w:rPr>
          <w:rFonts w:ascii="Arial" w:eastAsia="Times New Roman" w:hAnsi="Arial" w:cs="Arial"/>
          <w:i/>
          <w:iCs/>
          <w:sz w:val="14"/>
          <w:szCs w:val="14"/>
        </w:rPr>
        <w:t>includes</w:t>
      </w:r>
      <w:proofErr w:type="gramEnd"/>
      <w:r w:rsidRPr="008223EE">
        <w:rPr>
          <w:rFonts w:ascii="Arial" w:eastAsia="Times New Roman" w:hAnsi="Arial" w:cs="Arial"/>
          <w:i/>
          <w:iCs/>
          <w:sz w:val="14"/>
          <w:szCs w:val="14"/>
        </w:rPr>
        <w:t xml:space="preserve"> the acquired Egg credit card assets, which totalled £1.7bn at acquisition. The outstanding acquired balances have been excluded from the recoveries impairment coverage ratio on the basis that the portfolio has been recognised on acquisition at fair value during 2011 (with no related impairment allowance). Impairment allowances have been recognised as appropriate where these relate to the period post acquisition.</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US cards risk metrics exclude the impact of U-promise in 2011.</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3        South Africa cards risk metrics exclude the </w:t>
      </w:r>
      <w:proofErr w:type="spellStart"/>
      <w:r w:rsidRPr="008223EE">
        <w:rPr>
          <w:rFonts w:ascii="Arial" w:eastAsia="Times New Roman" w:hAnsi="Arial" w:cs="Arial"/>
          <w:i/>
          <w:iCs/>
          <w:sz w:val="14"/>
          <w:szCs w:val="14"/>
        </w:rPr>
        <w:t>Edcon</w:t>
      </w:r>
      <w:proofErr w:type="spellEnd"/>
      <w:r w:rsidRPr="008223EE">
        <w:rPr>
          <w:rFonts w:ascii="Arial" w:eastAsia="Times New Roman" w:hAnsi="Arial" w:cs="Arial"/>
          <w:i/>
          <w:iCs/>
          <w:sz w:val="14"/>
          <w:szCs w:val="14"/>
        </w:rPr>
        <w:t xml:space="preserve"> portfolio which was acquired in November 2012. In addition, these metrics now include Woolworth Financial Services portfolios.</w:t>
      </w:r>
    </w:p>
    <w:p w:rsidR="008223EE" w:rsidRPr="008223EE" w:rsidRDefault="008223EE" w:rsidP="003B43BF">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4       The recoveries impairment coverage ratio for Italy salary advance loans is lower than other unsecured portfolios as these loans are extended to customers where the repayment is made via a salary deduction at source by qualifying employers and Barclays is insured in the event of termination of employment or death. Recoveries represent balances where insurance claims are pending that we believe are largely recoverable, hence the lower coverage.</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8223EE">
      <w:pPr>
        <w:spacing w:after="0" w:line="240" w:lineRule="auto"/>
        <w:jc w:val="both"/>
        <w:rPr>
          <w:rFonts w:ascii="Arial" w:eastAsia="Times New Roman" w:hAnsi="Arial" w:cs="Arial"/>
          <w:b/>
          <w:bCs/>
          <w:i/>
          <w:iCs/>
          <w:sz w:val="14"/>
          <w:szCs w:val="14"/>
        </w:rPr>
      </w:pPr>
      <w:r w:rsidRPr="008223EE">
        <w:rPr>
          <w:rFonts w:ascii="Arial" w:eastAsia="Times New Roman" w:hAnsi="Arial" w:cs="Arial"/>
          <w:b/>
          <w:bCs/>
          <w:sz w:val="20"/>
          <w:szCs w:val="20"/>
        </w:rPr>
        <w:t>Business Lending</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Business lending primarily relates to small and medium enterprises typically with exposures up to £3m or with a turnover up to £5m</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The principal portfolios listed below account for 88% of total Business Lending Loans in the Group's retail portfolios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960"/>
        <w:gridCol w:w="930"/>
        <w:gridCol w:w="795"/>
        <w:gridCol w:w="870"/>
        <w:gridCol w:w="78"/>
        <w:gridCol w:w="930"/>
        <w:gridCol w:w="1170"/>
        <w:gridCol w:w="735"/>
        <w:gridCol w:w="750"/>
        <w:gridCol w:w="990"/>
        <w:gridCol w:w="840"/>
      </w:tblGrid>
      <w:tr w:rsidR="008223EE" w:rsidRPr="008223EE" w:rsidTr="008223EE">
        <w:trPr>
          <w:trHeight w:val="240"/>
        </w:trPr>
        <w:tc>
          <w:tcPr>
            <w:tcW w:w="1890" w:type="dxa"/>
            <w:gridSpan w:val="2"/>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Principal Portfolios</w:t>
            </w: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9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9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9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96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66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Arrears Managed</w:t>
            </w:r>
            <w:r w:rsidRPr="008223EE">
              <w:rPr>
                <w:rFonts w:ascii="Arial" w:eastAsia="Times New Roman" w:hAnsi="Arial" w:cs="Arial"/>
                <w:b/>
                <w:bCs/>
                <w:color w:val="000000"/>
                <w:sz w:val="13"/>
                <w:szCs w:val="13"/>
                <w:vertAlign w:val="superscript"/>
              </w:rPr>
              <w:t>1 </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100"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Early Warning List Managed</w:t>
            </w:r>
            <w:r w:rsidRPr="008223EE">
              <w:rPr>
                <w:rFonts w:ascii="Arial" w:eastAsia="Times New Roman" w:hAnsi="Arial" w:cs="Arial"/>
                <w:b/>
                <w:bCs/>
                <w:color w:val="000000"/>
                <w:sz w:val="13"/>
                <w:szCs w:val="13"/>
                <w:vertAlign w:val="superscript"/>
              </w:rPr>
              <w:t>2 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9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c>
          <w:tcPr>
            <w:tcW w:w="96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3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9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87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3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17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3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5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9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84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960"/>
        <w:gridCol w:w="855"/>
        <w:gridCol w:w="795"/>
        <w:gridCol w:w="795"/>
        <w:gridCol w:w="78"/>
        <w:gridCol w:w="930"/>
        <w:gridCol w:w="1095"/>
        <w:gridCol w:w="735"/>
        <w:gridCol w:w="750"/>
        <w:gridCol w:w="1015"/>
        <w:gridCol w:w="926"/>
      </w:tblGrid>
      <w:tr w:rsidR="008223EE" w:rsidRPr="008223EE" w:rsidTr="008223EE">
        <w:trPr>
          <w:trHeight w:val="719"/>
        </w:trPr>
        <w:tc>
          <w:tcPr>
            <w:tcW w:w="96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Loans and Advances</w:t>
            </w:r>
          </w:p>
        </w:tc>
        <w:tc>
          <w:tcPr>
            <w:tcW w:w="79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Drawn balances</w:t>
            </w:r>
          </w:p>
        </w:tc>
        <w:tc>
          <w:tcPr>
            <w:tcW w:w="79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Of which Arrears balances </w:t>
            </w:r>
          </w:p>
        </w:tc>
        <w:tc>
          <w:tcPr>
            <w:tcW w:w="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30"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Drawn balances</w:t>
            </w:r>
          </w:p>
        </w:tc>
        <w:tc>
          <w:tcPr>
            <w:tcW w:w="1095" w:type="dxa"/>
            <w:tcBorders>
              <w:top w:val="single" w:sz="8" w:space="0" w:color="7F7F7F"/>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Of which Early Warning List Balances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Loan Loss Rates</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 Charge-off Rates</w:t>
            </w:r>
          </w:p>
        </w:tc>
        <w:tc>
          <w:tcPr>
            <w:tcW w:w="99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Recoveries Proportion of Outstanding Balances</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Recoveries Coverage Ratio</w:t>
            </w:r>
          </w:p>
        </w:tc>
      </w:tr>
      <w:tr w:rsidR="008223EE" w:rsidRPr="008223EE" w:rsidTr="008223EE">
        <w:trPr>
          <w:trHeight w:val="240"/>
        </w:trPr>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9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bps</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9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8,053 </w:t>
            </w: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713 </w:t>
            </w: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6.0  </w:t>
            </w:r>
          </w:p>
        </w:tc>
        <w:tc>
          <w:tcPr>
            <w:tcW w:w="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7,122 </w:t>
            </w:r>
          </w:p>
        </w:tc>
        <w:tc>
          <w:tcPr>
            <w:tcW w:w="10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9.2 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140 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2.5 </w:t>
            </w:r>
          </w:p>
        </w:tc>
        <w:tc>
          <w:tcPr>
            <w:tcW w:w="9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34.9 </w:t>
            </w:r>
          </w:p>
        </w:tc>
      </w:tr>
      <w:tr w:rsidR="008223EE" w:rsidRPr="008223EE" w:rsidTr="008223EE">
        <w:trPr>
          <w:trHeight w:val="240"/>
        </w:trPr>
        <w:tc>
          <w:tcPr>
            <w:tcW w:w="96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Spain</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1,095 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11.3 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993 </w:t>
            </w:r>
          </w:p>
        </w:tc>
        <w:tc>
          <w:tcPr>
            <w:tcW w:w="10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60.4 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210 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45.0 </w:t>
            </w:r>
          </w:p>
        </w:tc>
      </w:tr>
      <w:tr w:rsidR="008223EE" w:rsidRPr="008223EE" w:rsidTr="008223EE">
        <w:trPr>
          <w:trHeight w:val="240"/>
        </w:trPr>
        <w:tc>
          <w:tcPr>
            <w:tcW w:w="96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Portugal</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596 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185 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6.4 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393 </w:t>
            </w:r>
          </w:p>
        </w:tc>
        <w:tc>
          <w:tcPr>
            <w:tcW w:w="10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17.8 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503 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5.7 </w:t>
            </w:r>
          </w:p>
        </w:tc>
        <w:tc>
          <w:tcPr>
            <w:tcW w:w="99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65.9 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UK business lending gross loans and advances increased 2% to £8,053m (2011: £7,929m). Loan loss rates improved to 140bps (2011: 213 bps) whilst a broadly stable credit policy has been maintained </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Business lending gross loans and advances in Europe reduced 27% in 2012 to £1,742m (2011: £2,395m) primarily due to the tightening of credit policy, reducing new business volumes and currency movements</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Spain gross loans and advances reduced 31% to £1,095m (2011: £1,576m). Loan loss rates increased to 210bps (2011: 115bps) reflecting both increasing arrears in the difficult macro environment and the reducing balances. Early Warning List (EWL) balances reflect the close monitoring of the portfolio, with over 75% of EWL balances not in arrears</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Portugal gross loans and advances reduced 21% to £596m (2011: £758m). Loan loss rates increased to 503bps (2011: 238bps) reflecting both increasing arrears in the difficult macro environment and reducing balances</w:t>
      </w:r>
    </w:p>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t>Retail Forbearance Programmes</w:t>
      </w:r>
    </w:p>
    <w:p w:rsidR="008223EE" w:rsidRPr="008223EE" w:rsidRDefault="008223EE" w:rsidP="008223EE">
      <w:pPr>
        <w:spacing w:before="180" w:after="180" w:line="240" w:lineRule="auto"/>
        <w:jc w:val="both"/>
        <w:rPr>
          <w:rFonts w:ascii="Arial" w:eastAsia="Times New Roman" w:hAnsi="Arial" w:cs="Arial"/>
          <w:b/>
          <w:bCs/>
          <w:sz w:val="18"/>
          <w:szCs w:val="18"/>
        </w:rPr>
      </w:pPr>
      <w:r w:rsidRPr="008223EE">
        <w:rPr>
          <w:rFonts w:ascii="Arial" w:eastAsia="Times New Roman" w:hAnsi="Arial" w:cs="Arial"/>
          <w:b/>
          <w:bCs/>
          <w:sz w:val="18"/>
          <w:szCs w:val="18"/>
        </w:rPr>
        <w:t>Forbearance Programmes on Principal Credit Cards, Overdrafts, Unsecured Loan, Home Loans and Business Lending Portfolios</w:t>
      </w:r>
    </w:p>
    <w:p w:rsidR="008223EE" w:rsidRPr="008223EE" w:rsidRDefault="008223EE" w:rsidP="003B43BF">
      <w:pPr>
        <w:spacing w:before="140" w:after="14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Retail forbearance is available to customers experiencing financial difficulties. Forbearance solutions may take a number of forms depending on the extent of the financial dislocation. Short term solutions normally focus on temporary reductions to contractual payments and switches from capital and interest payments to interest only. For customers with longer term financial difficulties, term extensions may be offered, which may also include interest rate concessions and fully amortising balances for card portfolios</w:t>
      </w:r>
    </w:p>
    <w:p w:rsidR="008223EE" w:rsidRPr="008223EE" w:rsidRDefault="008223EE" w:rsidP="003B43BF">
      <w:pPr>
        <w:spacing w:before="140" w:after="14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Forbearance on the Group's principal portfolios in the US, UK and Europe is presented below</w:t>
      </w:r>
    </w:p>
    <w:p w:rsidR="008223EE" w:rsidRPr="008223EE" w:rsidRDefault="008223EE" w:rsidP="003B43BF">
      <w:pPr>
        <w:spacing w:before="140" w:after="14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 South Africa, forbearance balances are not published as local practices are in the process of being aligned to the Barclays Group policy. In other retail portfolios, the level of forbearance extended to customers is not material and, typically, is not a significant factor in the management of customer relationships</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Arrears Managed accounts are principally customers with an exposure threshold less than £50k in the UK and €100k in Europe, with processes designed to manage a homogeneous set of assets. Arrears Balances reflects the total balances of accounts which are past due on payments.</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Early Warning List Managed accounts are customers that exceed the Arrears Managed threshold, with processes that record heightened levels of risk through an Early Warning List grading. Early Warning List balances comprise of a list of three categories graded in line with the perceived severity of the risk attached to the lending, and can include customers that are up to date with contractual payments or subject to forbearance as appropriate.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2743"/>
        <w:gridCol w:w="1471"/>
        <w:gridCol w:w="1616"/>
        <w:gridCol w:w="1747"/>
        <w:gridCol w:w="1557"/>
      </w:tblGrid>
      <w:tr w:rsidR="008223EE" w:rsidRPr="008223EE" w:rsidTr="008223EE">
        <w:trPr>
          <w:trHeight w:val="795"/>
        </w:trPr>
        <w:tc>
          <w:tcPr>
            <w:tcW w:w="28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Principal Portfolios </w:t>
            </w:r>
          </w:p>
        </w:tc>
        <w:tc>
          <w:tcPr>
            <w:tcW w:w="14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 L&amp;A Subject to Forbearance Programmes</w:t>
            </w:r>
          </w:p>
        </w:tc>
        <w:tc>
          <w:tcPr>
            <w:tcW w:w="16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Forbearance Programmes Proportion of Outstanding Balances</w:t>
            </w:r>
          </w:p>
        </w:tc>
        <w:tc>
          <w:tcPr>
            <w:tcW w:w="17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Impairment Coverage on Gross L&amp;A Subject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 Forbearance Programmes</w:t>
            </w:r>
          </w:p>
        </w:tc>
        <w:tc>
          <w:tcPr>
            <w:tcW w:w="15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Marked to Market LTV of Home Loan Forbearance Balances</w:t>
            </w:r>
          </w:p>
        </w:tc>
      </w:tr>
      <w:tr w:rsidR="008223EE" w:rsidRPr="008223EE" w:rsidTr="008223EE">
        <w:trPr>
          <w:trHeight w:val="240"/>
        </w:trPr>
        <w:tc>
          <w:tcPr>
            <w:tcW w:w="28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31.12.12 </w:t>
            </w:r>
          </w:p>
        </w:tc>
        <w:tc>
          <w:tcPr>
            <w:tcW w:w="14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6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7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5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28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 xml:space="preserve">Home Loans </w:t>
            </w:r>
          </w:p>
        </w:tc>
        <w:tc>
          <w:tcPr>
            <w:tcW w:w="14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7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1,596 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0.8 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36.6 </w:t>
            </w: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Spain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174 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68.9 </w:t>
            </w: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Italy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217 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49.1 </w:t>
            </w:r>
          </w:p>
        </w:tc>
      </w:tr>
      <w:tr w:rsidR="008223EE" w:rsidRPr="008223EE" w:rsidTr="008223EE">
        <w:trPr>
          <w:trHeight w:val="12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48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Credit Cards, Overdrafts and Unsecured Loans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cards</w:t>
            </w:r>
            <w:r w:rsidRPr="008223EE">
              <w:rPr>
                <w:rFonts w:ascii="Arial" w:eastAsia="Times New Roman" w:hAnsi="Arial" w:cs="Arial"/>
                <w:color w:val="000000"/>
                <w:sz w:val="13"/>
                <w:szCs w:val="13"/>
                <w:vertAlign w:val="superscript"/>
              </w:rPr>
              <w:t>1,2 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991 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37.8 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personal loans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168 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29.0 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US cards</w:t>
            </w:r>
            <w:r w:rsidRPr="008223EE">
              <w:rPr>
                <w:rFonts w:ascii="Arial" w:eastAsia="Times New Roman" w:hAnsi="Arial" w:cs="Arial"/>
                <w:color w:val="000000"/>
                <w:sz w:val="13"/>
                <w:szCs w:val="13"/>
                <w:vertAlign w:val="superscript"/>
              </w:rPr>
              <w:t>3</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116 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15.0 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r>
      <w:tr w:rsidR="008223EE" w:rsidRPr="008223EE" w:rsidTr="008223EE">
        <w:trPr>
          <w:trHeight w:val="12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Business Lending</w:t>
            </w:r>
            <w:r w:rsidRPr="008223EE">
              <w:rPr>
                <w:rFonts w:ascii="Arial" w:eastAsia="Times New Roman" w:hAnsi="Arial" w:cs="Arial"/>
                <w:color w:val="000000"/>
                <w:sz w:val="16"/>
                <w:szCs w:val="16"/>
                <w:vertAlign w:val="superscript"/>
              </w:rPr>
              <w:t>4 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203 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15.4 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r>
      <w:tr w:rsidR="008223EE" w:rsidRPr="008223EE" w:rsidTr="008223EE">
        <w:trPr>
          <w:trHeight w:val="12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8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31.12.11 </w:t>
            </w:r>
          </w:p>
        </w:tc>
        <w:tc>
          <w:tcPr>
            <w:tcW w:w="14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6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7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5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28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Home Loans </w:t>
            </w:r>
          </w:p>
        </w:tc>
        <w:tc>
          <w:tcPr>
            <w:tcW w:w="14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7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1,613 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0.8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31.6 </w:t>
            </w: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Spain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3.7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67.4 </w:t>
            </w: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Italy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171 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46.5 </w:t>
            </w:r>
          </w:p>
        </w:tc>
      </w:tr>
      <w:tr w:rsidR="008223EE" w:rsidRPr="008223EE" w:rsidTr="008223EE">
        <w:trPr>
          <w:trHeight w:val="12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Credit Cards, Overdrafts and Unsecured Loans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UK cards</w:t>
            </w:r>
            <w:r w:rsidRPr="008223EE">
              <w:rPr>
                <w:rFonts w:ascii="Arial" w:eastAsia="Times New Roman" w:hAnsi="Arial" w:cs="Arial"/>
                <w:color w:val="000000"/>
                <w:sz w:val="13"/>
                <w:szCs w:val="13"/>
                <w:vertAlign w:val="superscript"/>
              </w:rPr>
              <w:t>1,2</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989 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6.5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38.2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personal loans </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201 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3.8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29.5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r>
      <w:tr w:rsidR="008223EE" w:rsidRPr="008223EE" w:rsidTr="008223EE">
        <w:trPr>
          <w:trHeight w:val="240"/>
        </w:trPr>
        <w:tc>
          <w:tcPr>
            <w:tcW w:w="28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US cards</w:t>
            </w:r>
            <w:r w:rsidRPr="008223EE">
              <w:rPr>
                <w:rFonts w:ascii="Arial" w:eastAsia="Times New Roman" w:hAnsi="Arial" w:cs="Arial"/>
                <w:color w:val="000000"/>
                <w:sz w:val="13"/>
                <w:szCs w:val="13"/>
                <w:vertAlign w:val="superscript"/>
              </w:rPr>
              <w:t>3</w:t>
            </w:r>
          </w:p>
        </w:tc>
        <w:tc>
          <w:tcPr>
            <w:tcW w:w="14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125 </w:t>
            </w:r>
          </w:p>
        </w:tc>
        <w:tc>
          <w:tcPr>
            <w:tcW w:w="16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 </w:t>
            </w:r>
          </w:p>
        </w:tc>
        <w:tc>
          <w:tcPr>
            <w:tcW w:w="17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19.7 </w:t>
            </w:r>
          </w:p>
        </w:tc>
        <w:tc>
          <w:tcPr>
            <w:tcW w:w="15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n/a</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B43B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Loans in forbearance in the principal home loans portfolios increased 3% to £1,987m, mainly due to an increase in Spain and Italy home loans</w:t>
      </w:r>
    </w:p>
    <w:p w:rsidR="008223EE" w:rsidRPr="008223EE" w:rsidRDefault="008223EE" w:rsidP="003B43B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Within UK home loans, term extensions account for over 80% of forbearance balances, the majority of the remainder being switches from 'capital and interest' to 'interest only'</w:t>
      </w:r>
    </w:p>
    <w:p w:rsidR="008223EE" w:rsidRPr="008223EE" w:rsidRDefault="008223EE" w:rsidP="003B43BF">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In Spain, forbearance accounts are predominantly full account restructures, In Italy, the majority of the balances relate to specific schemes required by the Government (e.g. debt relief scheme following the earthquake of 2009) and amendments are weighted towards payment holidays and interest suspensions</w:t>
      </w:r>
    </w:p>
    <w:p w:rsidR="008223EE" w:rsidRPr="008223EE" w:rsidRDefault="008223EE" w:rsidP="003B43BF">
      <w:pPr>
        <w:spacing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Loans in forbearance in principal Credit Cards, Overdrafts and Unsecured Loans portfolios decreased 3% to £1,275m. Forbearance programmes as a proportion of outstanding balances reduced slightly in UK and </w:t>
      </w:r>
      <w:proofErr w:type="gramStart"/>
      <w:r w:rsidRPr="008223EE">
        <w:rPr>
          <w:rFonts w:ascii="Arial" w:eastAsia="Times New Roman" w:hAnsi="Arial" w:cs="Arial"/>
          <w:sz w:val="18"/>
          <w:szCs w:val="18"/>
        </w:rPr>
        <w:t>US</w:t>
      </w:r>
      <w:proofErr w:type="gramEnd"/>
      <w:r w:rsidRPr="008223EE">
        <w:rPr>
          <w:rFonts w:ascii="Arial" w:eastAsia="Times New Roman" w:hAnsi="Arial" w:cs="Arial"/>
          <w:sz w:val="18"/>
          <w:szCs w:val="18"/>
        </w:rPr>
        <w:t xml:space="preserve"> cards and these coverage ratios reflect improved repayment behaviours</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1        Impairment allowances against UK cards forbearance decreased, reflecting improved expectations on debt repayment. As a result, the impairment coverage ratio decreased during 2012. </w:t>
      </w:r>
      <w:proofErr w:type="gramStart"/>
      <w:r w:rsidRPr="008223EE">
        <w:rPr>
          <w:rFonts w:ascii="Arial" w:eastAsia="Times New Roman" w:hAnsi="Arial" w:cs="Arial"/>
          <w:i/>
          <w:iCs/>
          <w:sz w:val="14"/>
          <w:szCs w:val="14"/>
        </w:rPr>
        <w:t>UK cards includes</w:t>
      </w:r>
      <w:proofErr w:type="gramEnd"/>
      <w:r w:rsidRPr="008223EE">
        <w:rPr>
          <w:rFonts w:ascii="Arial" w:eastAsia="Times New Roman" w:hAnsi="Arial" w:cs="Arial"/>
          <w:i/>
          <w:iCs/>
          <w:sz w:val="14"/>
          <w:szCs w:val="14"/>
        </w:rPr>
        <w:t xml:space="preserve"> Barclays Branded Card and Partnership Card assets.</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2       UK cards </w:t>
      </w:r>
      <w:proofErr w:type="gramStart"/>
      <w:r w:rsidRPr="008223EE">
        <w:rPr>
          <w:rFonts w:ascii="Arial" w:eastAsia="Times New Roman" w:hAnsi="Arial" w:cs="Arial"/>
          <w:i/>
          <w:iCs/>
          <w:sz w:val="14"/>
          <w:szCs w:val="14"/>
        </w:rPr>
        <w:t>includes</w:t>
      </w:r>
      <w:proofErr w:type="gramEnd"/>
      <w:r w:rsidRPr="008223EE">
        <w:rPr>
          <w:rFonts w:ascii="Arial" w:eastAsia="Times New Roman" w:hAnsi="Arial" w:cs="Arial"/>
          <w:i/>
          <w:iCs/>
          <w:sz w:val="14"/>
          <w:szCs w:val="14"/>
        </w:rPr>
        <w:t xml:space="preserve"> balances related to the acquired Egg credit card assets, which totalled £1.7bn at acquisition. The outstanding acquired balances have been excluded from the forbearance impairment coverage ratio on the basis that the portfolio has been recognised on acquisition at fair value during 2011 (with no related impairment allowance). Impairment allowances have been recognised as appropriate where these relate to the period of post acquisition.</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3        US cards includes the U-promise portfolio in 2012. The outstanding acquired balances have been excluded from the forbearance impairment coverage ratio on the basis that the portfolio has been recognised on acquisition at fair value during 2011.</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4       Forbearance policies for Business Lending were implemented in 2012. Comparable figures for previous periods are not available.</w:t>
      </w:r>
    </w:p>
    <w:p w:rsidR="008223EE" w:rsidRPr="008223EE" w:rsidRDefault="008223EE" w:rsidP="003B43BF">
      <w:pPr>
        <w:spacing w:after="18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Credit Risk</w:t>
      </w:r>
    </w:p>
    <w:tbl>
      <w:tblPr>
        <w:tblW w:w="0" w:type="auto"/>
        <w:tblInd w:w="-36" w:type="dxa"/>
        <w:tblCellMar>
          <w:left w:w="0" w:type="dxa"/>
          <w:right w:w="0" w:type="dxa"/>
        </w:tblCellMar>
        <w:tblLook w:val="04A0" w:firstRow="1" w:lastRow="0" w:firstColumn="1" w:lastColumn="0" w:noHBand="0" w:noVBand="1"/>
      </w:tblPr>
      <w:tblGrid>
        <w:gridCol w:w="1484"/>
        <w:gridCol w:w="1045"/>
        <w:gridCol w:w="1044"/>
        <w:gridCol w:w="1263"/>
        <w:gridCol w:w="1041"/>
        <w:gridCol w:w="1183"/>
        <w:gridCol w:w="1037"/>
        <w:gridCol w:w="1037"/>
      </w:tblGrid>
      <w:tr w:rsidR="008223EE" w:rsidRPr="008223EE" w:rsidTr="008223EE">
        <w:trPr>
          <w:trHeight w:val="240"/>
        </w:trPr>
        <w:tc>
          <w:tcPr>
            <w:tcW w:w="4995" w:type="dxa"/>
            <w:gridSpan w:val="4"/>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4"/>
                <w:szCs w:val="24"/>
              </w:rPr>
              <w:t>Wholesale Credit Risk</w:t>
            </w:r>
            <w:r w:rsidRPr="008223EE">
              <w:rPr>
                <w:rFonts w:ascii="Arial" w:eastAsia="Times New Roman" w:hAnsi="Arial" w:cs="Arial"/>
                <w:color w:val="000000"/>
                <w:sz w:val="20"/>
                <w:szCs w:val="20"/>
                <w:vertAlign w:val="superscript"/>
              </w:rPr>
              <w:t xml:space="preserve">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20"/>
                <w:szCs w:val="20"/>
                <w:vertAlign w:val="superscript"/>
              </w:rPr>
              <w:t>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7305" w:type="dxa"/>
            <w:gridSpan w:val="6"/>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Wholesale Loans and Advances to Customers and Banks at Amortised Cost</w:t>
            </w:r>
            <w:r w:rsidRPr="008223EE">
              <w:rPr>
                <w:rFonts w:ascii="Arial" w:eastAsia="Times New Roman" w:hAnsi="Arial" w:cs="Arial"/>
                <w:color w:val="000000"/>
                <w:sz w:val="16"/>
                <w:szCs w:val="16"/>
                <w:vertAlign w:val="superscript"/>
              </w:rPr>
              <w:t>1,2</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c>
          <w:tcPr>
            <w:tcW w:w="153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8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8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30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8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23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8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8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1080"/>
        <w:gridCol w:w="1080"/>
        <w:gridCol w:w="1080"/>
        <w:gridCol w:w="1080"/>
        <w:gridCol w:w="1080"/>
        <w:gridCol w:w="1080"/>
        <w:gridCol w:w="1080"/>
      </w:tblGrid>
      <w:tr w:rsidR="008223EE" w:rsidRPr="008223EE" w:rsidTr="008223EE">
        <w:trPr>
          <w:trHeight w:val="72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31.12.12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L&amp;A</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Impairment Allowance</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L&amp;A Net of Impairment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Credit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Risk Loans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CRLs % of Gross L&amp;A </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Loan Impairment Charges</w:t>
            </w:r>
          </w:p>
        </w:tc>
        <w:tc>
          <w:tcPr>
            <w:tcW w:w="108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Loan Loss Rates</w:t>
            </w:r>
          </w:p>
        </w:tc>
      </w:tr>
      <w:tr w:rsidR="008223EE" w:rsidRPr="008223EE" w:rsidTr="008223EE">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bps</w:t>
            </w: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Africa RBB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9,246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323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8,923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772 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8.3 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174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188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Investment Bank</w:t>
            </w:r>
            <w:r w:rsidRPr="008223EE">
              <w:rPr>
                <w:rFonts w:ascii="Arial" w:eastAsia="Times New Roman" w:hAnsi="Arial" w:cs="Arial"/>
                <w:color w:val="000000"/>
                <w:sz w:val="13"/>
                <w:szCs w:val="13"/>
                <w:vertAlign w:val="superscript"/>
              </w:rPr>
              <w:t>3 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147,439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2,463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144,976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4,209 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2.9 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448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30 </w:t>
            </w:r>
          </w:p>
        </w:tc>
      </w:tr>
      <w:tr w:rsidR="008223EE" w:rsidRPr="008223EE" w:rsidTr="008223EE">
        <w:trPr>
          <w:trHeight w:val="240"/>
        </w:trPr>
        <w:tc>
          <w:tcPr>
            <w:tcW w:w="15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Banking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65,835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2,098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63,737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4,141 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6.3 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824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125 </w:t>
            </w:r>
          </w:p>
        </w:tc>
      </w:tr>
      <w:tr w:rsidR="008223EE" w:rsidRPr="008223EE" w:rsidTr="008223EE">
        <w:trPr>
          <w:trHeight w:val="240"/>
        </w:trPr>
        <w:tc>
          <w:tcPr>
            <w:tcW w:w="1530" w:type="dxa"/>
            <w:tcBorders>
              <w:top w:val="nil"/>
              <w:left w:val="single" w:sz="8" w:space="0" w:color="7F7F7F"/>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UK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52,667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428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52,239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1,381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279 </w:t>
            </w:r>
          </w:p>
        </w:tc>
        <w:tc>
          <w:tcPr>
            <w:tcW w:w="1080" w:type="dxa"/>
            <w:tcBorders>
              <w:top w:val="nil"/>
              <w:left w:val="nil"/>
              <w:bottom w:val="nil"/>
              <w:right w:val="single" w:sz="8" w:space="0" w:color="7F7F7F"/>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53 </w:t>
            </w:r>
          </w:p>
        </w:tc>
      </w:tr>
      <w:tr w:rsidR="008223EE" w:rsidRPr="008223EE" w:rsidTr="008223EE">
        <w:trPr>
          <w:trHeight w:val="240"/>
        </w:trPr>
        <w:tc>
          <w:tcPr>
            <w:tcW w:w="1530" w:type="dxa"/>
            <w:tcBorders>
              <w:top w:val="nil"/>
              <w:left w:val="single" w:sz="8" w:space="0" w:color="7F7F7F"/>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Europe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8,122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1,536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6,586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2,607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32.1 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527 </w:t>
            </w:r>
          </w:p>
        </w:tc>
        <w:tc>
          <w:tcPr>
            <w:tcW w:w="1080" w:type="dxa"/>
            <w:tcBorders>
              <w:top w:val="nil"/>
              <w:left w:val="nil"/>
              <w:bottom w:val="nil"/>
              <w:right w:val="single" w:sz="8" w:space="0" w:color="7F7F7F"/>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649 </w:t>
            </w:r>
          </w:p>
        </w:tc>
      </w:tr>
      <w:tr w:rsidR="008223EE" w:rsidRPr="008223EE" w:rsidTr="008223EE">
        <w:trPr>
          <w:trHeight w:val="240"/>
        </w:trPr>
        <w:tc>
          <w:tcPr>
            <w:tcW w:w="1530" w:type="dxa"/>
            <w:tcBorders>
              <w:top w:val="nil"/>
              <w:left w:val="single" w:sz="8" w:space="0" w:color="7F7F7F"/>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Rest of World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5,046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134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4,912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153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3.0 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 </w:t>
            </w:r>
          </w:p>
        </w:tc>
        <w:tc>
          <w:tcPr>
            <w:tcW w:w="1080" w:type="dxa"/>
            <w:tcBorders>
              <w:top w:val="nil"/>
              <w:left w:val="nil"/>
              <w:bottom w:val="single" w:sz="8" w:space="0" w:color="7F7F7F"/>
              <w:right w:val="single" w:sz="8" w:space="0" w:color="7F7F7F"/>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 </w:t>
            </w:r>
          </w:p>
        </w:tc>
      </w:tr>
      <w:tr w:rsidR="008223EE" w:rsidRPr="008223EE" w:rsidTr="008223EE">
        <w:trPr>
          <w:trHeight w:val="535"/>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r w:rsidRPr="008223EE">
              <w:rPr>
                <w:rFonts w:ascii="Arial" w:eastAsia="Times New Roman" w:hAnsi="Arial" w:cs="Arial"/>
                <w:color w:val="000000"/>
                <w:sz w:val="13"/>
                <w:szCs w:val="13"/>
                <w:vertAlign w:val="superscript"/>
              </w:rPr>
              <w:t>4 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19,236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19,095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603 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38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 </w:t>
            </w:r>
          </w:p>
        </w:tc>
      </w:tr>
      <w:tr w:rsidR="008223EE" w:rsidRPr="008223EE" w:rsidTr="008223EE">
        <w:trPr>
          <w:trHeight w:val="349"/>
        </w:trPr>
        <w:tc>
          <w:tcPr>
            <w:tcW w:w="15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Head Office and Other Functions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1,466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1,450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19 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243,222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5,041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238,181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9,744 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4.0 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1,484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61 </w:t>
            </w:r>
          </w:p>
        </w:tc>
      </w:tr>
      <w:tr w:rsidR="008223EE" w:rsidRPr="008223EE" w:rsidTr="008223EE">
        <w:trPr>
          <w:trHeight w:val="102"/>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6"/>
                <w:szCs w:val="16"/>
                <w:vertAlign w:val="superscript"/>
              </w:rPr>
              <w:t>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15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31.12.11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Africa RBB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9,729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294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9,435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720 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7.4 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80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82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Investment Bank</w:t>
            </w:r>
            <w:r w:rsidRPr="008223EE">
              <w:rPr>
                <w:rFonts w:ascii="Arial" w:eastAsia="Times New Roman" w:hAnsi="Arial" w:cs="Arial"/>
                <w:color w:val="000000"/>
                <w:sz w:val="13"/>
                <w:szCs w:val="13"/>
                <w:vertAlign w:val="superscript"/>
              </w:rPr>
              <w:t>3 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161,194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2,555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158,639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5,253 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3.3 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129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r>
      <w:tr w:rsidR="008223EE" w:rsidRPr="008223EE" w:rsidTr="008223EE">
        <w:trPr>
          <w:trHeight w:val="240"/>
        </w:trPr>
        <w:tc>
          <w:tcPr>
            <w:tcW w:w="15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Banking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70,268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2,235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68,033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4,312 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6.1 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1,071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152 </w:t>
            </w:r>
          </w:p>
        </w:tc>
      </w:tr>
      <w:tr w:rsidR="008223EE" w:rsidRPr="008223EE" w:rsidTr="008223EE">
        <w:trPr>
          <w:trHeight w:val="240"/>
        </w:trPr>
        <w:tc>
          <w:tcPr>
            <w:tcW w:w="1530" w:type="dxa"/>
            <w:tcBorders>
              <w:top w:val="nil"/>
              <w:left w:val="single" w:sz="8" w:space="0" w:color="7F7F7F"/>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UK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52,772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545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52,227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1,267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2.4 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345 </w:t>
            </w:r>
          </w:p>
        </w:tc>
        <w:tc>
          <w:tcPr>
            <w:tcW w:w="1080" w:type="dxa"/>
            <w:tcBorders>
              <w:top w:val="nil"/>
              <w:left w:val="nil"/>
              <w:bottom w:val="nil"/>
              <w:right w:val="single" w:sz="8" w:space="0" w:color="7F7F7F"/>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65 </w:t>
            </w:r>
          </w:p>
        </w:tc>
      </w:tr>
      <w:tr w:rsidR="008223EE" w:rsidRPr="008223EE" w:rsidTr="008223EE">
        <w:trPr>
          <w:trHeight w:val="240"/>
        </w:trPr>
        <w:tc>
          <w:tcPr>
            <w:tcW w:w="1530" w:type="dxa"/>
            <w:tcBorders>
              <w:top w:val="nil"/>
              <w:left w:val="single" w:sz="8" w:space="0" w:color="7F7F7F"/>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Europe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12,899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1,574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11,325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2,876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22.3  </w:t>
            </w:r>
          </w:p>
        </w:tc>
        <w:tc>
          <w:tcPr>
            <w:tcW w:w="10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699 </w:t>
            </w:r>
          </w:p>
        </w:tc>
        <w:tc>
          <w:tcPr>
            <w:tcW w:w="1080" w:type="dxa"/>
            <w:tcBorders>
              <w:top w:val="nil"/>
              <w:left w:val="nil"/>
              <w:bottom w:val="nil"/>
              <w:right w:val="single" w:sz="8" w:space="0" w:color="7F7F7F"/>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542 </w:t>
            </w:r>
          </w:p>
        </w:tc>
      </w:tr>
      <w:tr w:rsidR="008223EE" w:rsidRPr="008223EE" w:rsidTr="008223EE">
        <w:trPr>
          <w:trHeight w:val="240"/>
        </w:trPr>
        <w:tc>
          <w:tcPr>
            <w:tcW w:w="1530" w:type="dxa"/>
            <w:tcBorders>
              <w:top w:val="nil"/>
              <w:left w:val="single" w:sz="8" w:space="0" w:color="7F7F7F"/>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 Rest of World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4,597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116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4,481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169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3.7 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 </w:t>
            </w:r>
          </w:p>
        </w:tc>
        <w:tc>
          <w:tcPr>
            <w:tcW w:w="1080" w:type="dxa"/>
            <w:tcBorders>
              <w:top w:val="nil"/>
              <w:left w:val="nil"/>
              <w:bottom w:val="single" w:sz="8" w:space="0" w:color="7F7F7F"/>
              <w:right w:val="single" w:sz="8" w:space="0" w:color="7F7F7F"/>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59 </w:t>
            </w:r>
          </w:p>
        </w:tc>
      </w:tr>
      <w:tr w:rsidR="008223EE" w:rsidRPr="008223EE" w:rsidTr="008223EE">
        <w:trPr>
          <w:trHeight w:val="585"/>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r w:rsidRPr="008223EE">
              <w:rPr>
                <w:rFonts w:ascii="Arial" w:eastAsia="Times New Roman" w:hAnsi="Arial" w:cs="Arial"/>
                <w:color w:val="000000"/>
                <w:sz w:val="13"/>
                <w:szCs w:val="13"/>
                <w:vertAlign w:val="superscript"/>
              </w:rPr>
              <w:t>4 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17,157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110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17,047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611 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 </w:t>
            </w:r>
          </w:p>
        </w:tc>
      </w:tr>
      <w:tr w:rsidR="008223EE" w:rsidRPr="008223EE" w:rsidTr="008223EE">
        <w:trPr>
          <w:trHeight w:val="383"/>
        </w:trPr>
        <w:tc>
          <w:tcPr>
            <w:tcW w:w="15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Head Office and Other Functions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1,958 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1,941 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36 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w:t>
            </w: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260,306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5,211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255,095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10,932 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4.2 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1,313 </w:t>
            </w:r>
          </w:p>
        </w:tc>
        <w:tc>
          <w:tcPr>
            <w:tcW w:w="10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50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Gross loans and advances to customers and banks decreased 7% principally as a result of a fall of 9% in the Investment Bank mainly due to a reduction in interbank and other wholesale lending. For more detail, see analysis of Investment Bank wholesale loans and advances on page 70</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There was also a 6% decrease in balances in Corporate Banking primarily in Europe due to the disposal of the Iveco Finance business and a reduction in Spanish exposures </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loan impairment charge increased 13% principally due to higher charges in: </w:t>
      </w:r>
    </w:p>
    <w:p w:rsidR="008223EE" w:rsidRPr="008223EE" w:rsidRDefault="008223EE" w:rsidP="003B43B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Investment Bank, mainly due to charges in ABS CDO Super Senior positions and losses on a small number of single name exposures. In addition, there was a non-recurring release of £223m in 2011  </w:t>
      </w:r>
    </w:p>
    <w:p w:rsidR="008223EE" w:rsidRPr="008223EE" w:rsidRDefault="008223EE" w:rsidP="003B43BF">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Africa RBB, principally due to the impact of one large name in the commercial property portfolio in South Africa</w:t>
      </w:r>
    </w:p>
    <w:p w:rsidR="008223EE" w:rsidRPr="008223EE" w:rsidRDefault="008223EE" w:rsidP="003B43B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This was partially offset by lower loan impairment charges in Corporate Banking, principally in Spain where there are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initiatives to reduce exposure within the property and construction sector</w:t>
      </w:r>
    </w:p>
    <w:p w:rsidR="008223EE" w:rsidRPr="008223EE" w:rsidRDefault="008223EE" w:rsidP="003B43BF">
      <w:pPr>
        <w:spacing w:before="180" w:after="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higher impairment charge coupled with the lower loan balances resulted in an annualised loan loss rate of 61bps (2011: 50bps)</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Loans and advances to business customers in Europe RBB are included in the Retail Loans and Advances to Customers at Amortised Cost table on page 61.</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For December 2012 reporting UK RBB Medium Business lending (2011: £2,680m) and Barclaycard's Global Payment Acceptance, Global Commercial Payments and Business Cards portfolios (2011: £468m) have been reclassified from wholesale to retail. These reclassifications (including comparatives) better reflect the way in which risk in these portfolios is managed.</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3        Investment Bank gross loans and advances include cash collateral and settlement balances of £85,116m as at 31 December 2012 and £75,707m as at 31 December 2011. Excluding these balances, CRLs as a proportion of gross loans and advances were 6.8% and 6.1% respectively.</w:t>
      </w:r>
    </w:p>
    <w:p w:rsidR="008223EE" w:rsidRPr="008223EE" w:rsidRDefault="008223EE" w:rsidP="003B43B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4       Wealth and Investment Management Private Bank lending (2011: £14,627m) has been reclassified from retail to wholesale as at December 2012.</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tbl>
      <w:tblPr>
        <w:tblW w:w="0" w:type="auto"/>
        <w:tblInd w:w="-36" w:type="dxa"/>
        <w:tblCellMar>
          <w:left w:w="0" w:type="dxa"/>
          <w:right w:w="0" w:type="dxa"/>
        </w:tblCellMar>
        <w:tblLook w:val="04A0" w:firstRow="1" w:lastRow="0" w:firstColumn="1" w:lastColumn="0" w:noHBand="0" w:noVBand="1"/>
      </w:tblPr>
      <w:tblGrid>
        <w:gridCol w:w="3354"/>
        <w:gridCol w:w="972"/>
        <w:gridCol w:w="903"/>
        <w:gridCol w:w="78"/>
        <w:gridCol w:w="899"/>
        <w:gridCol w:w="972"/>
        <w:gridCol w:w="78"/>
        <w:gridCol w:w="903"/>
        <w:gridCol w:w="975"/>
      </w:tblGrid>
      <w:tr w:rsidR="008223EE" w:rsidRPr="008223EE" w:rsidTr="008223EE">
        <w:trPr>
          <w:trHeight w:val="285"/>
        </w:trPr>
        <w:tc>
          <w:tcPr>
            <w:tcW w:w="4440" w:type="dxa"/>
            <w:gridSpan w:val="2"/>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0"/>
                <w:szCs w:val="20"/>
              </w:rPr>
              <w:t>Potential Credit Risk Loans and Coverage Ratios</w:t>
            </w:r>
            <w:r w:rsidRPr="008223EE">
              <w:rPr>
                <w:rFonts w:ascii="Arial" w:eastAsia="Times New Roman" w:hAnsi="Arial" w:cs="Arial"/>
                <w:b/>
                <w:bCs/>
                <w:color w:val="000000"/>
                <w:sz w:val="16"/>
                <w:szCs w:val="16"/>
                <w:vertAlign w:val="superscript"/>
              </w:rPr>
              <w:t>1 </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CRLs</w:t>
            </w:r>
            <w:r w:rsidRPr="008223EE">
              <w:rPr>
                <w:rFonts w:ascii="Arial" w:eastAsia="Times New Roman" w:hAnsi="Arial" w:cs="Arial"/>
                <w:b/>
                <w:bCs/>
                <w:color w:val="000000"/>
                <w:sz w:val="13"/>
                <w:szCs w:val="13"/>
                <w:vertAlign w:val="superscript"/>
              </w:rPr>
              <w:t>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PPLs</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PCRLs</w:t>
            </w:r>
          </w:p>
        </w:tc>
      </w:tr>
      <w:tr w:rsidR="008223EE" w:rsidRPr="008223EE" w:rsidTr="008223EE">
        <w:trPr>
          <w:trHeight w:val="240"/>
        </w:trPr>
        <w:tc>
          <w:tcPr>
            <w:tcW w:w="34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 December</w:t>
            </w:r>
          </w:p>
        </w:tc>
        <w:tc>
          <w:tcPr>
            <w:tcW w:w="91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r>
      <w:tr w:rsidR="008223EE" w:rsidRPr="008223EE" w:rsidTr="008223EE">
        <w:trPr>
          <w:trHeight w:val="240"/>
        </w:trPr>
        <w:tc>
          <w:tcPr>
            <w:tcW w:w="34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Africa RBB</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772 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720 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84 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852 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Investment Bank</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4,209 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5,253 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445 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4,536 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5,698 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Banking</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4,141 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4,312 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756 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4,758 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5,068 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603 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611 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650 </w:t>
            </w:r>
          </w:p>
        </w:tc>
      </w:tr>
      <w:tr w:rsidR="008223EE" w:rsidRPr="008223EE" w:rsidTr="008223EE">
        <w:trPr>
          <w:trHeight w:val="255"/>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Head Office and Other Functions</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19 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36 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36 </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wholesale</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9,744 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10,932 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1,102 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1,372 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10,846 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12,304 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xml:space="preserve">Impairment allowance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CRL coverage</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PCRL coverage</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 December</w:t>
            </w:r>
          </w:p>
        </w:tc>
        <w:tc>
          <w:tcPr>
            <w:tcW w:w="91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2011 </w:t>
            </w:r>
          </w:p>
        </w:tc>
      </w:tr>
      <w:tr w:rsidR="008223EE" w:rsidRPr="008223EE" w:rsidTr="008223EE">
        <w:trPr>
          <w:trHeight w:val="240"/>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Africa RBB</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323 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294 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41.8 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40.8 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37.7 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34.5 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Investment Bank</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2,463 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2,555 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48.6 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44.8 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Banking</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2,098 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2,235 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51.8 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44.1 </w:t>
            </w:r>
          </w:p>
        </w:tc>
      </w:tr>
      <w:tr w:rsidR="008223EE" w:rsidRPr="008223EE" w:rsidTr="008223EE">
        <w:trPr>
          <w:trHeight w:val="240"/>
        </w:trPr>
        <w:tc>
          <w:tcPr>
            <w:tcW w:w="34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Wealth and Investment Management</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141 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16.9 </w:t>
            </w:r>
          </w:p>
        </w:tc>
      </w:tr>
      <w:tr w:rsidR="008223EE" w:rsidRPr="008223EE" w:rsidTr="008223EE">
        <w:trPr>
          <w:trHeight w:val="255"/>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Head Office and Other Functions</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84.2 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47.2 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84.2 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47.2 </w:t>
            </w:r>
          </w:p>
        </w:tc>
      </w:tr>
      <w:tr w:rsidR="008223EE" w:rsidRPr="008223EE" w:rsidTr="008223EE">
        <w:trPr>
          <w:trHeight w:val="255"/>
        </w:trPr>
        <w:tc>
          <w:tcPr>
            <w:tcW w:w="34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wholesale</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5,041 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5,211 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51.7 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47.7 </w:t>
            </w: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42.4 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F9092B">
      <w:pPr>
        <w:spacing w:before="24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CRL balances decreased 11% primarily due to: </w:t>
      </w:r>
    </w:p>
    <w:p w:rsidR="008223EE" w:rsidRPr="008223EE" w:rsidRDefault="008223EE" w:rsidP="00F9092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Investment </w:t>
      </w:r>
      <w:proofErr w:type="gramStart"/>
      <w:r w:rsidRPr="008223EE">
        <w:rPr>
          <w:rFonts w:ascii="Arial" w:eastAsia="Times New Roman" w:hAnsi="Arial" w:cs="Arial"/>
          <w:sz w:val="18"/>
          <w:szCs w:val="18"/>
        </w:rPr>
        <w:t>Banking</w:t>
      </w:r>
      <w:proofErr w:type="gramEnd"/>
      <w:r w:rsidRPr="008223EE">
        <w:rPr>
          <w:rFonts w:ascii="Arial" w:eastAsia="Times New Roman" w:hAnsi="Arial" w:cs="Arial"/>
          <w:sz w:val="18"/>
          <w:szCs w:val="18"/>
        </w:rPr>
        <w:t xml:space="preserve">, where lower balances principally reflected asset sales and </w:t>
      </w:r>
      <w:proofErr w:type="spellStart"/>
      <w:r w:rsidRPr="008223EE">
        <w:rPr>
          <w:rFonts w:ascii="Arial" w:eastAsia="Times New Roman" w:hAnsi="Arial" w:cs="Arial"/>
          <w:sz w:val="18"/>
          <w:szCs w:val="18"/>
        </w:rPr>
        <w:t>paydowns</w:t>
      </w:r>
      <w:proofErr w:type="spellEnd"/>
    </w:p>
    <w:p w:rsidR="008223EE" w:rsidRPr="008223EE" w:rsidRDefault="008223EE" w:rsidP="00F9092B">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Corporate Banking, where the lower balances principally reflected the disposal of the Iveco Finance business in Europe </w:t>
      </w:r>
    </w:p>
    <w:p w:rsidR="008223EE" w:rsidRPr="008223EE" w:rsidRDefault="008223EE" w:rsidP="00F9092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CRL coverage ratio increased to 51.7% (2011: 47.7%)</w:t>
      </w:r>
    </w:p>
    <w:p w:rsidR="008223EE" w:rsidRPr="008223EE" w:rsidRDefault="008223EE" w:rsidP="00F9092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PPL balances decreased 20% principally due to reduced balances in the UK and Europe in Corporate Banking and Investment Bank</w:t>
      </w:r>
    </w:p>
    <w:p w:rsidR="008223EE" w:rsidRPr="008223EE" w:rsidRDefault="008223EE" w:rsidP="00F9092B">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PCRL coverage ratio increased to 46.5% (2011: 42.4%)</w:t>
      </w:r>
    </w:p>
    <w:p w:rsidR="008223EE" w:rsidRPr="008223EE" w:rsidRDefault="008223EE" w:rsidP="008223EE">
      <w:pPr>
        <w:spacing w:before="20" w:after="2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F9092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For December 2012 reporting UK RBB Medium Business lending and Barclaycard's Global Payment Acceptance, Global Commercial Payments and Business Cards portfolios have been reclassified from wholesale to retail, whilst Wealth and Investment Management's Private Bank portfolio has been reclassified from retail to wholesale. This has resulted in a net increase of retail PCRLs of £9m and impairment allowance of £12m with corresponding decreases in wholesale PCRLs and impairment allowance in 2011. These reclassifications (including comparatives) better reflect the way in which risk in these portfolios is managed.</w:t>
      </w:r>
    </w:p>
    <w:p w:rsidR="008223EE" w:rsidRPr="008223EE" w:rsidRDefault="008223EE" w:rsidP="00F9092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Includes all forbearance accounts that are 90 days+ and/or impaired.</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7286"/>
        <w:gridCol w:w="924"/>
        <w:gridCol w:w="924"/>
      </w:tblGrid>
      <w:tr w:rsidR="008223EE" w:rsidRPr="008223EE" w:rsidTr="008223EE">
        <w:trPr>
          <w:trHeight w:val="240"/>
        </w:trPr>
        <w:tc>
          <w:tcPr>
            <w:tcW w:w="7545" w:type="dxa"/>
            <w:tcMar>
              <w:top w:w="0" w:type="dxa"/>
              <w:left w:w="36" w:type="dxa"/>
              <w:bottom w:w="0" w:type="dxa"/>
              <w:right w:w="36" w:type="dxa"/>
            </w:tcMar>
            <w:vAlign w:val="bottom"/>
            <w:hideMark/>
          </w:tcPr>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Analysis of Investment Bank Wholesale Loans and Advances at Amortised Cost</w:t>
            </w:r>
            <w:r w:rsidRPr="008223EE">
              <w:rPr>
                <w:rFonts w:ascii="Arial" w:eastAsia="Times New Roman" w:hAnsi="Arial" w:cs="Arial"/>
                <w:color w:val="000000"/>
                <w:sz w:val="16"/>
                <w:szCs w:val="16"/>
                <w:vertAlign w:val="superscript"/>
              </w:rPr>
              <w:t xml:space="preserve"> </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2940"/>
        <w:gridCol w:w="695"/>
        <w:gridCol w:w="975"/>
        <w:gridCol w:w="935"/>
        <w:gridCol w:w="870"/>
        <w:gridCol w:w="795"/>
        <w:gridCol w:w="960"/>
        <w:gridCol w:w="960"/>
      </w:tblGrid>
      <w:tr w:rsidR="008223EE" w:rsidRPr="008223EE" w:rsidTr="008223EE">
        <w:trPr>
          <w:trHeight w:val="720"/>
        </w:trPr>
        <w:tc>
          <w:tcPr>
            <w:tcW w:w="29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6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L&amp;A</w:t>
            </w:r>
          </w:p>
        </w:tc>
        <w:tc>
          <w:tcPr>
            <w:tcW w:w="9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Impairment Allowance</w:t>
            </w:r>
          </w:p>
        </w:tc>
        <w:tc>
          <w:tcPr>
            <w:tcW w:w="9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L&amp;A Net of Impairment</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Credit Risk Loans </w:t>
            </w: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CRLs % of Gross L&amp;A </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Loan Impairment Charges</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Loan Loss Rates</w:t>
            </w:r>
          </w:p>
        </w:tc>
      </w:tr>
      <w:tr w:rsidR="008223EE" w:rsidRPr="008223EE" w:rsidTr="008223EE">
        <w:trPr>
          <w:trHeight w:val="255"/>
        </w:trPr>
        <w:tc>
          <w:tcPr>
            <w:tcW w:w="29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9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8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£m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bps</w:t>
            </w:r>
          </w:p>
        </w:tc>
      </w:tr>
      <w:tr w:rsidR="008223EE" w:rsidRPr="008223EE" w:rsidTr="008223EE">
        <w:trPr>
          <w:trHeight w:val="255"/>
        </w:trPr>
        <w:tc>
          <w:tcPr>
            <w:tcW w:w="29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Loans and advances to banks</w:t>
            </w:r>
          </w:p>
        </w:tc>
        <w:tc>
          <w:tcPr>
            <w:tcW w:w="6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Interbank lending</w:t>
            </w: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13,737 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41 </w:t>
            </w: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13,696 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51 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0.4 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30 </w:t>
            </w:r>
          </w:p>
        </w:tc>
      </w:tr>
      <w:tr w:rsidR="008223EE" w:rsidRPr="008223EE" w:rsidTr="008223EE">
        <w:trPr>
          <w:trHeight w:val="240"/>
        </w:trPr>
        <w:tc>
          <w:tcPr>
            <w:tcW w:w="29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collateral and settlement balances</w:t>
            </w:r>
          </w:p>
        </w:tc>
        <w:tc>
          <w:tcPr>
            <w:tcW w:w="6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23,350 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23,350 </w:t>
            </w: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Loans and advances to customers</w:t>
            </w:r>
          </w:p>
        </w:tc>
        <w:tc>
          <w:tcPr>
            <w:tcW w:w="6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lending</w:t>
            </w: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29,468 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285</w:t>
            </w: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29,183 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519 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160 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54 </w:t>
            </w: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Government lending</w:t>
            </w: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1,369 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1,369 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ABS CDO Super Senior</w:t>
            </w: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3,099 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1,712 </w:t>
            </w: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1,387 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3,099 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100.0 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232 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748 </w:t>
            </w: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wholesale lending</w:t>
            </w: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14,650 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425 </w:t>
            </w: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14,225 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540 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3.7 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10 </w:t>
            </w:r>
          </w:p>
        </w:tc>
      </w:tr>
      <w:tr w:rsidR="008223EE" w:rsidRPr="008223EE" w:rsidTr="008223EE">
        <w:trPr>
          <w:trHeight w:val="240"/>
        </w:trPr>
        <w:tc>
          <w:tcPr>
            <w:tcW w:w="29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collateral and settlement balances</w:t>
            </w:r>
          </w:p>
        </w:tc>
        <w:tc>
          <w:tcPr>
            <w:tcW w:w="6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61,766 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61,766 </w:t>
            </w: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6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147,439 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2,463 </w:t>
            </w:r>
          </w:p>
        </w:tc>
        <w:tc>
          <w:tcPr>
            <w:tcW w:w="9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144,976 </w:t>
            </w: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4,209  </w:t>
            </w: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2.9 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448 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30 </w:t>
            </w: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29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As at 31.12.11</w:t>
            </w:r>
          </w:p>
        </w:tc>
        <w:tc>
          <w:tcPr>
            <w:tcW w:w="6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Loans and advances to banks</w:t>
            </w:r>
          </w:p>
        </w:tc>
        <w:tc>
          <w:tcPr>
            <w:tcW w:w="6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b/>
                <w:bCs/>
                <w:color w:val="000000"/>
                <w:sz w:val="13"/>
                <w:szCs w:val="13"/>
                <w:vertAlign w:val="superscript"/>
              </w:rPr>
              <w:t>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Interbank lending</w:t>
            </w: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19,655 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45 </w:t>
            </w: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19,610 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34 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0.2 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w:t>
            </w:r>
          </w:p>
        </w:tc>
      </w:tr>
      <w:tr w:rsidR="008223EE" w:rsidRPr="008223EE" w:rsidTr="008223EE">
        <w:trPr>
          <w:trHeight w:val="240"/>
        </w:trPr>
        <w:tc>
          <w:tcPr>
            <w:tcW w:w="29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collateral and settlement balances</w:t>
            </w:r>
          </w:p>
        </w:tc>
        <w:tc>
          <w:tcPr>
            <w:tcW w:w="6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23,066 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23,066 </w:t>
            </w: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Loans and advances to customers</w:t>
            </w:r>
          </w:p>
        </w:tc>
        <w:tc>
          <w:tcPr>
            <w:tcW w:w="6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 lending</w:t>
            </w: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38,326 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730 </w:t>
            </w: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37,596 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1,515 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4.0 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194 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51 </w:t>
            </w: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Government lending</w:t>
            </w: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3,276 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3,276 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ABS CDO Super Senior</w:t>
            </w: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3,390 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1,548 </w:t>
            </w: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1,842 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3,390 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100.0 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18 </w:t>
            </w:r>
          </w:p>
        </w:tc>
      </w:tr>
      <w:tr w:rsidR="008223EE" w:rsidRPr="008223EE" w:rsidTr="008223EE">
        <w:trPr>
          <w:trHeight w:val="240"/>
        </w:trPr>
        <w:tc>
          <w:tcPr>
            <w:tcW w:w="29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wholesale lending</w:t>
            </w:r>
          </w:p>
        </w:tc>
        <w:tc>
          <w:tcPr>
            <w:tcW w:w="6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20,840 </w:t>
            </w:r>
          </w:p>
        </w:tc>
        <w:tc>
          <w:tcPr>
            <w:tcW w:w="9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232 </w:t>
            </w:r>
          </w:p>
        </w:tc>
        <w:tc>
          <w:tcPr>
            <w:tcW w:w="9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20,608 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314  </w:t>
            </w:r>
          </w:p>
        </w:tc>
        <w:tc>
          <w:tcPr>
            <w:tcW w:w="7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1.5 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(66)</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w:t>
            </w:r>
          </w:p>
        </w:tc>
      </w:tr>
      <w:tr w:rsidR="008223EE" w:rsidRPr="008223EE" w:rsidTr="008223EE">
        <w:trPr>
          <w:trHeight w:val="240"/>
        </w:trPr>
        <w:tc>
          <w:tcPr>
            <w:tcW w:w="29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collateral and settlement balances</w:t>
            </w:r>
          </w:p>
        </w:tc>
        <w:tc>
          <w:tcPr>
            <w:tcW w:w="6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52,641 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52,641 </w:t>
            </w: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6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161,194 </w:t>
            </w:r>
          </w:p>
        </w:tc>
        <w:tc>
          <w:tcPr>
            <w:tcW w:w="9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2,555 </w:t>
            </w:r>
          </w:p>
        </w:tc>
        <w:tc>
          <w:tcPr>
            <w:tcW w:w="9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158,639 </w:t>
            </w: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5,253  </w:t>
            </w:r>
          </w:p>
        </w:tc>
        <w:tc>
          <w:tcPr>
            <w:tcW w:w="7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3.3 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129 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Pr="008223EE">
        <w:rPr>
          <w:rFonts w:ascii="Symbol" w:eastAsia="Times New Roman" w:hAnsi="Symbol" w:cs="Arial"/>
          <w:sz w:val="20"/>
          <w:szCs w:val="20"/>
        </w:rPr>
        <w:t></w:t>
      </w:r>
      <w:r w:rsidRPr="008223EE">
        <w:rPr>
          <w:rFonts w:ascii="Arial" w:eastAsia="Times New Roman" w:hAnsi="Arial" w:cs="Arial"/>
          <w:sz w:val="18"/>
          <w:szCs w:val="18"/>
        </w:rPr>
        <w:t>Investment Bank wholesale loans and advances decreased 9% to £147,439m driven by a reduction in corporate interbank and other wholesale lending offset by higher settlement balances</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009B0C46">
        <w:rPr>
          <w:rFonts w:ascii="Symbol" w:eastAsia="Times New Roman" w:hAnsi="Symbol" w:cs="Arial"/>
          <w:sz w:val="20"/>
          <w:szCs w:val="20"/>
        </w:rPr>
        <w:t></w:t>
      </w:r>
      <w:r w:rsidRPr="008223EE">
        <w:rPr>
          <w:rFonts w:ascii="Symbol" w:eastAsia="Times New Roman" w:hAnsi="Symbol" w:cs="Arial"/>
          <w:sz w:val="20"/>
          <w:szCs w:val="20"/>
        </w:rPr>
        <w:t></w:t>
      </w:r>
      <w:r w:rsidRPr="008223EE">
        <w:rPr>
          <w:rFonts w:ascii="Arial" w:eastAsia="Times New Roman" w:hAnsi="Arial" w:cs="Arial"/>
          <w:sz w:val="18"/>
          <w:szCs w:val="18"/>
        </w:rPr>
        <w:t>Included within corporate lending and other wholesale lending portfolios are £1,336m (2011: £3,204m) of loans backed by retail mortgage collateral classified within financial institutions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8223EE">
      <w:pPr>
        <w:spacing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Wholesale Forbearance</w:t>
      </w:r>
    </w:p>
    <w:p w:rsidR="008223EE" w:rsidRPr="008223EE" w:rsidRDefault="008223EE" w:rsidP="001E220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Wholesale client relationships are individually managed with lending decisions made with reference to specific circumstances and on bespoke terms</w:t>
      </w:r>
    </w:p>
    <w:p w:rsidR="008223EE" w:rsidRPr="008223EE" w:rsidRDefault="008223EE" w:rsidP="001E2205">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Forbearance occurs when Barclays, for reasons relating to the actual or perceived financial difficulty of an obligor, grants a concession below current Barclays standard rates (i.e. lending criteria below our current lending terms), that would not normally be considered. This includes all troubled debt restructures granted below our standard rates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9134"/>
      </w:tblGrid>
      <w:tr w:rsidR="008223EE" w:rsidRPr="008223EE" w:rsidTr="008223EE">
        <w:trPr>
          <w:trHeight w:val="227"/>
        </w:trPr>
        <w:tc>
          <w:tcPr>
            <w:tcW w:w="95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Wholesale Forbearance Reporting split by Exposure Class</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337"/>
        <w:gridCol w:w="960"/>
        <w:gridCol w:w="960"/>
        <w:gridCol w:w="960"/>
        <w:gridCol w:w="959"/>
        <w:gridCol w:w="958"/>
      </w:tblGrid>
      <w:tr w:rsidR="008223EE" w:rsidRPr="008223EE" w:rsidTr="008223EE">
        <w:trPr>
          <w:trHeight w:val="227"/>
        </w:trPr>
        <w:tc>
          <w:tcPr>
            <w:tcW w:w="43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Sovereign</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Financial Institutions</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Corporate</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Personal &amp; Trusts</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27"/>
        </w:trPr>
        <w:tc>
          <w:tcPr>
            <w:tcW w:w="43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27"/>
        </w:trPr>
        <w:tc>
          <w:tcPr>
            <w:tcW w:w="43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Restructure: reduced contractual </w:t>
            </w:r>
            <w:proofErr w:type="spellStart"/>
            <w:r w:rsidRPr="008223EE">
              <w:rPr>
                <w:rFonts w:ascii="Arial" w:eastAsia="Times New Roman" w:hAnsi="Arial" w:cs="Arial"/>
                <w:color w:val="000000"/>
                <w:sz w:val="16"/>
                <w:szCs w:val="16"/>
              </w:rPr>
              <w:t>cashflows</w:t>
            </w:r>
            <w:proofErr w:type="spellEnd"/>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405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425 </w:t>
            </w:r>
          </w:p>
        </w:tc>
      </w:tr>
      <w:tr w:rsidR="008223EE" w:rsidRPr="008223EE" w:rsidTr="008223EE">
        <w:trPr>
          <w:trHeight w:val="227"/>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Restructure: maturity date extension</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107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1,412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33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1,557 </w:t>
            </w:r>
          </w:p>
        </w:tc>
      </w:tr>
      <w:tr w:rsidR="008223EE" w:rsidRPr="008223EE" w:rsidTr="008223EE">
        <w:trPr>
          <w:trHeight w:val="227"/>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Restructure: changed </w:t>
            </w:r>
            <w:proofErr w:type="spellStart"/>
            <w:r w:rsidRPr="008223EE">
              <w:rPr>
                <w:rFonts w:ascii="Arial" w:eastAsia="Times New Roman" w:hAnsi="Arial" w:cs="Arial"/>
                <w:color w:val="000000"/>
                <w:sz w:val="16"/>
                <w:szCs w:val="16"/>
              </w:rPr>
              <w:t>cashflow</w:t>
            </w:r>
            <w:proofErr w:type="spellEnd"/>
            <w:r w:rsidRPr="008223EE">
              <w:rPr>
                <w:rFonts w:ascii="Arial" w:eastAsia="Times New Roman" w:hAnsi="Arial" w:cs="Arial"/>
                <w:color w:val="000000"/>
                <w:sz w:val="16"/>
                <w:szCs w:val="16"/>
              </w:rPr>
              <w:t xml:space="preserve"> profile (other than extension)</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46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876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953 </w:t>
            </w:r>
          </w:p>
        </w:tc>
      </w:tr>
      <w:tr w:rsidR="008223EE" w:rsidRPr="008223EE" w:rsidTr="008223EE">
        <w:trPr>
          <w:trHeight w:val="227"/>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Restructure: payment other than cash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71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72 </w:t>
            </w:r>
          </w:p>
        </w:tc>
      </w:tr>
      <w:tr w:rsidR="008223EE" w:rsidRPr="008223EE" w:rsidTr="008223EE">
        <w:trPr>
          <w:trHeight w:val="227"/>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Change in security</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76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84 </w:t>
            </w:r>
          </w:p>
        </w:tc>
      </w:tr>
      <w:tr w:rsidR="008223EE" w:rsidRPr="008223EE" w:rsidTr="008223EE">
        <w:trPr>
          <w:trHeight w:val="227"/>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Adjustments/ non enforced covenant</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626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128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771 </w:t>
            </w:r>
          </w:p>
        </w:tc>
      </w:tr>
      <w:tr w:rsidR="008223EE" w:rsidRPr="008223EE" w:rsidTr="008223EE">
        <w:trPr>
          <w:trHeight w:val="227"/>
        </w:trPr>
        <w:tc>
          <w:tcPr>
            <w:tcW w:w="435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318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74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392 </w:t>
            </w:r>
          </w:p>
        </w:tc>
      </w:tr>
      <w:tr w:rsidR="008223EE" w:rsidRPr="008223EE" w:rsidTr="008223EE">
        <w:trPr>
          <w:trHeight w:val="227"/>
        </w:trPr>
        <w:tc>
          <w:tcPr>
            <w:tcW w:w="43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24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176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3,784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270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4,254 </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343"/>
        <w:gridCol w:w="959"/>
        <w:gridCol w:w="958"/>
        <w:gridCol w:w="958"/>
        <w:gridCol w:w="958"/>
        <w:gridCol w:w="958"/>
      </w:tblGrid>
      <w:tr w:rsidR="008223EE" w:rsidRPr="008223EE" w:rsidTr="008223EE">
        <w:trPr>
          <w:trHeight w:val="180"/>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334"/>
        <w:gridCol w:w="950"/>
        <w:gridCol w:w="950"/>
        <w:gridCol w:w="950"/>
        <w:gridCol w:w="950"/>
      </w:tblGrid>
      <w:tr w:rsidR="008223EE" w:rsidRPr="008223EE" w:rsidTr="008223EE">
        <w:trPr>
          <w:trHeight w:val="240"/>
        </w:trPr>
        <w:tc>
          <w:tcPr>
            <w:tcW w:w="53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Wholesale Forbearance Reporting split by Business Unit</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269"/>
        <w:gridCol w:w="957"/>
        <w:gridCol w:w="959"/>
        <w:gridCol w:w="1050"/>
        <w:gridCol w:w="949"/>
        <w:gridCol w:w="950"/>
      </w:tblGrid>
      <w:tr w:rsidR="008223EE" w:rsidRPr="008223EE" w:rsidTr="008223EE">
        <w:trPr>
          <w:trHeight w:val="630"/>
        </w:trPr>
        <w:tc>
          <w:tcPr>
            <w:tcW w:w="4350" w:type="dxa"/>
            <w:tcMar>
              <w:top w:w="0" w:type="dxa"/>
              <w:left w:w="36" w:type="dxa"/>
              <w:bottom w:w="0" w:type="dxa"/>
              <w:right w:w="36" w:type="dxa"/>
            </w:tcMar>
            <w:vAlign w:val="bottom"/>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Corporate Banking</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Investment Bank</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Wealth &amp; Investment Management</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Africa RBB</w:t>
            </w: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43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r>
      <w:tr w:rsidR="008223EE" w:rsidRPr="008223EE" w:rsidTr="008223EE">
        <w:trPr>
          <w:trHeight w:val="240"/>
        </w:trPr>
        <w:tc>
          <w:tcPr>
            <w:tcW w:w="43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Restructure: reduced contractual </w:t>
            </w:r>
            <w:proofErr w:type="spellStart"/>
            <w:r w:rsidRPr="008223EE">
              <w:rPr>
                <w:rFonts w:ascii="Arial" w:eastAsia="Times New Roman" w:hAnsi="Arial" w:cs="Arial"/>
                <w:color w:val="000000"/>
                <w:sz w:val="16"/>
                <w:szCs w:val="16"/>
              </w:rPr>
              <w:t>cashflows</w:t>
            </w:r>
            <w:proofErr w:type="spellEnd"/>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258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138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425 </w:t>
            </w:r>
          </w:p>
        </w:tc>
      </w:tr>
      <w:tr w:rsidR="008223EE" w:rsidRPr="008223EE" w:rsidTr="008223EE">
        <w:trPr>
          <w:trHeight w:val="240"/>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Restructure: maturity date extension</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952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408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112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85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1,557 </w:t>
            </w:r>
          </w:p>
        </w:tc>
      </w:tr>
      <w:tr w:rsidR="008223EE" w:rsidRPr="008223EE" w:rsidTr="008223EE">
        <w:trPr>
          <w:trHeight w:val="240"/>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Restructure: changed </w:t>
            </w:r>
            <w:proofErr w:type="spellStart"/>
            <w:r w:rsidRPr="008223EE">
              <w:rPr>
                <w:rFonts w:ascii="Arial" w:eastAsia="Times New Roman" w:hAnsi="Arial" w:cs="Arial"/>
                <w:color w:val="000000"/>
                <w:sz w:val="16"/>
                <w:szCs w:val="16"/>
              </w:rPr>
              <w:t>cashflow</w:t>
            </w:r>
            <w:proofErr w:type="spellEnd"/>
            <w:r w:rsidRPr="008223EE">
              <w:rPr>
                <w:rFonts w:ascii="Arial" w:eastAsia="Times New Roman" w:hAnsi="Arial" w:cs="Arial"/>
                <w:color w:val="000000"/>
                <w:sz w:val="16"/>
                <w:szCs w:val="16"/>
              </w:rPr>
              <w:t xml:space="preserve"> profile (other than extension)</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624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152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70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107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953 </w:t>
            </w:r>
          </w:p>
        </w:tc>
      </w:tr>
      <w:tr w:rsidR="008223EE" w:rsidRPr="008223EE" w:rsidTr="008223EE">
        <w:trPr>
          <w:trHeight w:val="240"/>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Restructure: payment other than cash</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64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72 </w:t>
            </w:r>
          </w:p>
        </w:tc>
      </w:tr>
      <w:tr w:rsidR="008223EE" w:rsidRPr="008223EE" w:rsidTr="008223EE">
        <w:trPr>
          <w:trHeight w:val="240"/>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Change in security</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45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84 </w:t>
            </w:r>
          </w:p>
        </w:tc>
      </w:tr>
      <w:tr w:rsidR="008223EE" w:rsidRPr="008223EE" w:rsidTr="008223EE">
        <w:trPr>
          <w:trHeight w:val="240"/>
        </w:trPr>
        <w:tc>
          <w:tcPr>
            <w:tcW w:w="43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Adjustments/ non enforced covenant</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377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115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277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771 </w:t>
            </w:r>
          </w:p>
        </w:tc>
      </w:tr>
      <w:tr w:rsidR="008223EE" w:rsidRPr="008223EE" w:rsidTr="008223EE">
        <w:trPr>
          <w:trHeight w:val="240"/>
        </w:trPr>
        <w:tc>
          <w:tcPr>
            <w:tcW w:w="435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Other</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162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211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392 </w:t>
            </w:r>
          </w:p>
        </w:tc>
      </w:tr>
      <w:tr w:rsidR="008223EE" w:rsidRPr="008223EE" w:rsidTr="008223EE">
        <w:trPr>
          <w:trHeight w:val="240"/>
        </w:trPr>
        <w:tc>
          <w:tcPr>
            <w:tcW w:w="43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2,482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846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683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243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4,254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1E2205">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tables above detail balance information for wholesale forbearance cases. Comparable figures for previous reporting periods are not available </w:t>
      </w:r>
    </w:p>
    <w:p w:rsidR="008223EE" w:rsidRPr="008223EE" w:rsidRDefault="008223EE" w:rsidP="001E2205">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Loan impairment on forbearance cases amounted to £1,149m at 31 December 2012, which represented 27% of total forbearance balances</w:t>
      </w:r>
    </w:p>
    <w:p w:rsidR="008223EE" w:rsidRPr="008223EE" w:rsidRDefault="008223EE" w:rsidP="001E2205">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At 31 December 2012, maturity date extension accounted for the largest proportion of forbearance recognised, followed by changes to </w:t>
      </w:r>
      <w:proofErr w:type="spellStart"/>
      <w:r w:rsidRPr="008223EE">
        <w:rPr>
          <w:rFonts w:ascii="Arial" w:eastAsia="Times New Roman" w:hAnsi="Arial" w:cs="Arial"/>
          <w:sz w:val="18"/>
          <w:szCs w:val="18"/>
        </w:rPr>
        <w:t>cashflow</w:t>
      </w:r>
      <w:proofErr w:type="spellEnd"/>
      <w:r w:rsidRPr="008223EE">
        <w:rPr>
          <w:rFonts w:ascii="Arial" w:eastAsia="Times New Roman" w:hAnsi="Arial" w:cs="Arial"/>
          <w:sz w:val="18"/>
          <w:szCs w:val="18"/>
        </w:rPr>
        <w:t xml:space="preserve"> profile other than maturity extension, adjustments to or non-enforcement of covenants, and reduction of contractual </w:t>
      </w:r>
      <w:proofErr w:type="spellStart"/>
      <w:r w:rsidRPr="008223EE">
        <w:rPr>
          <w:rFonts w:ascii="Arial" w:eastAsia="Times New Roman" w:hAnsi="Arial" w:cs="Arial"/>
          <w:sz w:val="18"/>
          <w:szCs w:val="18"/>
        </w:rPr>
        <w:t>cashflows</w:t>
      </w:r>
      <w:proofErr w:type="spellEnd"/>
    </w:p>
    <w:p w:rsidR="008223EE" w:rsidRPr="008223EE" w:rsidRDefault="008223EE" w:rsidP="001E2205">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Corporate borrowers accounted for 89% of balances and 95% of impairment booked to forbearance exposures at 31 December 2012, with impairment representing 29% of forbearance balances</w:t>
      </w:r>
    </w:p>
    <w:p w:rsidR="008223EE" w:rsidRPr="008223EE" w:rsidRDefault="008223EE" w:rsidP="001E2205">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Corporate Banking accounted for the single largest proportion of overall Group forbearance, with forbearance exposures concentrated in Western Europe and particularly Spain, which accounted for 29% of total Group forbearance balances and 45% of total impairment booked to forbearance exposures at 31 December 2012</w:t>
      </w:r>
    </w:p>
    <w:p w:rsidR="008223EE" w:rsidRPr="008223EE" w:rsidRDefault="008223EE" w:rsidP="008223EE">
      <w:pPr>
        <w:spacing w:before="120" w:after="12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UK Commercial Real Estate (UK CRE)</w:t>
      </w:r>
    </w:p>
    <w:p w:rsidR="008223EE" w:rsidRPr="008223EE" w:rsidRDefault="008223EE" w:rsidP="001E2205">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UK CRE portfolio includes Property Investment, Development, Trading and </w:t>
      </w:r>
      <w:proofErr w:type="spellStart"/>
      <w:r w:rsidRPr="008223EE">
        <w:rPr>
          <w:rFonts w:ascii="Arial" w:eastAsia="Times New Roman" w:hAnsi="Arial" w:cs="Arial"/>
          <w:sz w:val="18"/>
          <w:szCs w:val="18"/>
        </w:rPr>
        <w:t>Housebuilders</w:t>
      </w:r>
      <w:proofErr w:type="spellEnd"/>
      <w:r w:rsidRPr="008223EE">
        <w:rPr>
          <w:rFonts w:ascii="Arial" w:eastAsia="Times New Roman" w:hAnsi="Arial" w:cs="Arial"/>
          <w:sz w:val="18"/>
          <w:szCs w:val="18"/>
        </w:rPr>
        <w:t xml:space="preserve"> but excludes Social Housing Contractors</w:t>
      </w:r>
    </w:p>
    <w:p w:rsidR="008223EE" w:rsidRPr="008223EE" w:rsidRDefault="008223EE" w:rsidP="001E2205">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Total loans and advances at amortised cost to UK CRE amounted to £9,676m</w:t>
      </w:r>
      <w:r w:rsidRPr="008223EE">
        <w:rPr>
          <w:rFonts w:ascii="Arial" w:eastAsia="Times New Roman" w:hAnsi="Arial" w:cs="Arial"/>
          <w:color w:val="000000"/>
          <w:sz w:val="16"/>
          <w:szCs w:val="16"/>
          <w:vertAlign w:val="superscript"/>
        </w:rPr>
        <w:t>1</w:t>
      </w:r>
      <w:r w:rsidRPr="008223EE">
        <w:rPr>
          <w:rFonts w:ascii="Arial" w:eastAsia="Times New Roman" w:hAnsi="Arial" w:cs="Arial"/>
          <w:sz w:val="18"/>
          <w:szCs w:val="18"/>
        </w:rPr>
        <w:t xml:space="preserve"> at 31 December 2012 (2011: £9,519m), with a total of £295m (3.0% of the total) being past due (2011: £366m; 3.8%). Impairment stock totalled £80m at 31 December 2012 (2011: £78m)</w:t>
      </w:r>
    </w:p>
    <w:p w:rsidR="008223EE" w:rsidRPr="008223EE" w:rsidRDefault="008223EE" w:rsidP="001E2205">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impairment charge for 2012 for the UK CRE portfolio was £49m (2011: £40m) with the increase primarily due to increased impairment in UK Corporate Banking</w:t>
      </w:r>
      <w:r w:rsidRPr="008223EE">
        <w:rPr>
          <w:rFonts w:ascii="Arial" w:eastAsia="Times New Roman" w:hAnsi="Arial" w:cs="Arial"/>
          <w:sz w:val="2"/>
          <w:szCs w:val="2"/>
        </w:rPr>
        <w:t> </w:t>
      </w:r>
    </w:p>
    <w:p w:rsidR="008223EE" w:rsidRPr="008223EE" w:rsidRDefault="008223EE" w:rsidP="001E2205">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E2205">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E2205">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E2205">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An additional £270m (2011: £321m) of UK CRE exposure is held at fair value.</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Group Exposures to Eurozone Countries</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Group recognises the credit and market risk resulting from the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volatility in the Eurozone and continues to monitor events closely while taking coordinated steps to mitigate the risks associated with the challenging economic environment</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Risks associated with a potential partial break-up of the Euro area include:</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w:t>
      </w:r>
      <w:r w:rsidR="005623B3">
        <w:rPr>
          <w:rFonts w:ascii="Arial" w:eastAsia="Times New Roman" w:hAnsi="Arial" w:cs="Arial"/>
          <w:sz w:val="18"/>
          <w:szCs w:val="18"/>
        </w:rPr>
        <w:t xml:space="preserve"> </w:t>
      </w:r>
      <w:r w:rsidRPr="008223EE">
        <w:rPr>
          <w:rFonts w:ascii="Arial" w:eastAsia="Times New Roman" w:hAnsi="Arial" w:cs="Arial"/>
          <w:sz w:val="18"/>
          <w:szCs w:val="18"/>
        </w:rPr>
        <w:t>Direct risk arising from sovereign default of an exiting country and the impact on the economy of, and the Group's counterparties in, that country</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Indirect risk arising from the subsequent impact on the economy of, and the Group's counterparties in, other Eurozone countries</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Indirect risk arising from credit derivatives that reference Eurozone sovereign debt (see page 81)</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Direct redenomination risk on the potential mismatch in the currency of the assets and liabilities on balance sheets of the Group's local operations in countries in the Eurozone (see page 81)</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Group has performed and continues to perform stress tests to model the event of a break-up of the Eurozone area.  Contingency planning has also been undertaken based on a series of potential scenarios that might arise from an escalation in the crisis. Multiple tests have been run to establish the impact on customers, systems, processes and staff in the event of the most plausible scenarios. Where issues have been identified, appropriate remedial actions have either been completed or are underway</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During 2012 the Group's net on-balance sheet exposures to Spain, Italy, Portugal, Ireland, Cyprus and Greece reduced by 13% to £59.0bn</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Exposure to retail customers and corporate clients reduced 12% to £</w:t>
      </w:r>
      <w:proofErr w:type="gramStart"/>
      <w:r w:rsidRPr="008223EE">
        <w:rPr>
          <w:rFonts w:ascii="Arial" w:eastAsia="Times New Roman" w:hAnsi="Arial" w:cs="Arial"/>
          <w:sz w:val="18"/>
          <w:szCs w:val="18"/>
        </w:rPr>
        <w:t>48.1bn,</w:t>
      </w:r>
      <w:proofErr w:type="gramEnd"/>
      <w:r w:rsidRPr="008223EE">
        <w:rPr>
          <w:rFonts w:ascii="Arial" w:eastAsia="Times New Roman" w:hAnsi="Arial" w:cs="Arial"/>
          <w:sz w:val="18"/>
          <w:szCs w:val="18"/>
        </w:rPr>
        <w:t xml:space="preserve"> largely reflecting reduced lending in Spain, Italy and Portugal as part of the active management to reduce redenomination risk</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Sovereign exposure decreased 29% to £5.0bn principally due to a reduction in government bonds held as available for sale</w:t>
      </w:r>
    </w:p>
    <w:p w:rsidR="008223EE" w:rsidRPr="008223EE" w:rsidRDefault="008223EE" w:rsidP="001E2205">
      <w:pPr>
        <w:spacing w:before="240" w:after="0" w:line="240" w:lineRule="auto"/>
        <w:ind w:left="284" w:hanging="284"/>
        <w:jc w:val="both"/>
        <w:rPr>
          <w:rFonts w:ascii="Arial" w:eastAsia="Times New Roman" w:hAnsi="Arial" w:cs="Arial"/>
          <w:b/>
          <w:bCs/>
          <w:color w:val="000000"/>
          <w:sz w:val="20"/>
          <w:szCs w:val="20"/>
        </w:rPr>
      </w:pPr>
      <w:r w:rsidRPr="008223EE">
        <w:rPr>
          <w:rFonts w:ascii="Arial" w:eastAsia="Times New Roman" w:hAnsi="Arial" w:cs="Arial"/>
          <w:b/>
          <w:bCs/>
          <w:color w:val="000000"/>
          <w:sz w:val="18"/>
          <w:szCs w:val="18"/>
        </w:rPr>
        <w:lastRenderedPageBreak/>
        <w:t>Basis of Preparation</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These disclosures are prepared on the same basis as previous Results Announcements and present the direct balance sheet exposure to credit and market risk by country, with the totals reflecting allowance for impairment, netting and cash collateral held where appropriate</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Trading and derivatives balances relate to investment banking activities, principally as market-maker for government bond positions. Positions are held at fair value, with daily movements taken through profit and loss</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Trading assets and liabilities are presented by issuer type, whereby positions are netted to the extent allowable under IFRS. Where liability positions exceed asset positions by counterparty type, exposures are presented as nil</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Derivative assets and liabilities are presented by counterparty type, whereby positions are netted to the extent allowable under IFRS. Cash collateral held is then added to give a net credit exposure. Where liability positions and collateral held exceed asset positions by counterparty type, exposures are presented as nil</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Assets designated at fair value include debt and equity securities, loans and reverse repurchase agreements that have been designated at fair value</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Available for sale assets are principally investments in government bonds and other debt securities. Balances are reported on a fair value basis, with movements in fair value going through other comprehensive income (OCI)</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Loans and advances held at amortised cost</w:t>
      </w:r>
      <w:r w:rsidRPr="008223EE">
        <w:rPr>
          <w:rFonts w:ascii="Arial" w:eastAsia="Times New Roman" w:hAnsi="Arial" w:cs="Arial"/>
          <w:sz w:val="14"/>
          <w:szCs w:val="14"/>
          <w:vertAlign w:val="superscript"/>
        </w:rPr>
        <w:t>1</w:t>
      </w:r>
      <w:r w:rsidRPr="008223EE">
        <w:rPr>
          <w:rFonts w:ascii="Arial" w:eastAsia="Times New Roman" w:hAnsi="Arial" w:cs="Arial"/>
          <w:sz w:val="18"/>
          <w:szCs w:val="18"/>
        </w:rPr>
        <w:t xml:space="preserve"> comprise: (i) retail lending portfolios, predominantly mortgages secured on residential property; and (ii) corporate lending portfolios. Settlement balances and cash collateral are excluded from this analysis</w:t>
      </w:r>
    </w:p>
    <w:p w:rsidR="008223EE" w:rsidRPr="008223EE" w:rsidRDefault="008223EE" w:rsidP="001E2205">
      <w:pPr>
        <w:spacing w:before="180" w:after="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Sovereign exposures reflect direct exposures to central and local governments</w:t>
      </w:r>
      <w:r w:rsidRPr="008223EE">
        <w:rPr>
          <w:rFonts w:ascii="Arial" w:eastAsia="Times New Roman" w:hAnsi="Arial" w:cs="Arial"/>
          <w:sz w:val="14"/>
          <w:szCs w:val="14"/>
          <w:vertAlign w:val="superscript"/>
        </w:rPr>
        <w:t>2</w:t>
      </w:r>
      <w:r w:rsidRPr="008223EE">
        <w:rPr>
          <w:rFonts w:ascii="Arial" w:eastAsia="Times New Roman" w:hAnsi="Arial" w:cs="Arial"/>
          <w:sz w:val="18"/>
          <w:szCs w:val="18"/>
        </w:rPr>
        <w:t>, the majority of which are used for hedging interest rate risk and liquidity purposes. The remaining portion is actively managed reflecting our role as a leading primary dealer, market maker and liquidity provider to our clients</w:t>
      </w:r>
    </w:p>
    <w:p w:rsidR="008223EE" w:rsidRPr="008223EE" w:rsidRDefault="008223EE" w:rsidP="001E2205">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E2205">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E2205">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E2205">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E2205">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1E2205">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The Group also enters into reverse repurchase agreements and other similar secured lending, which are materially fully collateralised.</w:t>
      </w:r>
    </w:p>
    <w:p w:rsidR="008223EE" w:rsidRPr="008223EE" w:rsidRDefault="008223EE" w:rsidP="001E2205">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In addition, the Group held cash with the central banks of these countries totalling £0.7bn as at 31 December 2012 (2011: £0.8bn). Other immaterial balances with central banks are classified within loans to financial institutions.</w:t>
      </w:r>
    </w:p>
    <w:p w:rsidR="008223EE" w:rsidRPr="008223EE" w:rsidRDefault="008223EE" w:rsidP="001E2205">
      <w:pPr>
        <w:spacing w:after="18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1E2205">
      <w:pPr>
        <w:spacing w:after="18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Financial institution and corporate exposures reflect the country of operations of the counterparty or issuer depending on the asset class analysed (including foreign subsidiaries and without reference to cross-border guarantees)</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Retail exposures reflect the country of residence for retail customers and country of operations for business banking customers</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Off-balance sheet exposure consists primarily of undrawn commitments and guarantees issued to third parties on behalf of our corporate clients</w:t>
      </w:r>
    </w:p>
    <w:p w:rsidR="008223EE" w:rsidRPr="008223EE" w:rsidRDefault="008223EE" w:rsidP="001E2205">
      <w:pPr>
        <w:spacing w:before="180" w:after="0" w:line="240" w:lineRule="auto"/>
        <w:ind w:left="284" w:hanging="284"/>
        <w:jc w:val="both"/>
        <w:rPr>
          <w:rFonts w:ascii="Arial" w:eastAsia="Times New Roman" w:hAnsi="Arial" w:cs="Arial"/>
          <w:b/>
          <w:bCs/>
          <w:color w:val="000000"/>
          <w:sz w:val="20"/>
          <w:szCs w:val="20"/>
        </w:rPr>
      </w:pPr>
      <w:r w:rsidRPr="008223EE">
        <w:rPr>
          <w:rFonts w:ascii="Arial" w:eastAsia="Times New Roman" w:hAnsi="Arial" w:cs="Arial"/>
          <w:b/>
          <w:bCs/>
          <w:color w:val="000000"/>
          <w:sz w:val="18"/>
          <w:szCs w:val="18"/>
        </w:rPr>
        <w:t>Summary of Group Exposures</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The following table shows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exposure to Eurozone countries monitored internally as being higher risk and thus being the subject of particular management focus. Detailed analysis on these countries is on pages 75 to 80</w:t>
      </w:r>
    </w:p>
    <w:p w:rsidR="008223EE" w:rsidRPr="008223EE" w:rsidRDefault="008223EE" w:rsidP="001E2205">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Exposures on loans and advances to geographic regions including Europe as a whole are set out on pages 57 to 58</w:t>
      </w:r>
    </w:p>
    <w:p w:rsidR="008223EE" w:rsidRPr="008223EE" w:rsidRDefault="008223EE" w:rsidP="001E2205">
      <w:pPr>
        <w:spacing w:before="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net exposure provides the most appropriate measure of the credit risk to which the Group is exposed. The gross exposure is also presented below, alongside off-balance sheet contingent liabilities and commitments</w:t>
      </w:r>
    </w:p>
    <w:tbl>
      <w:tblPr>
        <w:tblW w:w="0" w:type="auto"/>
        <w:tblInd w:w="-36" w:type="dxa"/>
        <w:tblCellMar>
          <w:left w:w="0" w:type="dxa"/>
          <w:right w:w="0" w:type="dxa"/>
        </w:tblCellMar>
        <w:tblLook w:val="04A0" w:firstRow="1" w:lastRow="0" w:firstColumn="1" w:lastColumn="0" w:noHBand="0" w:noVBand="1"/>
      </w:tblPr>
      <w:tblGrid>
        <w:gridCol w:w="900"/>
        <w:gridCol w:w="1395"/>
        <w:gridCol w:w="935"/>
        <w:gridCol w:w="840"/>
        <w:gridCol w:w="926"/>
        <w:gridCol w:w="870"/>
        <w:gridCol w:w="915"/>
        <w:gridCol w:w="150"/>
        <w:gridCol w:w="1050"/>
        <w:gridCol w:w="1113"/>
      </w:tblGrid>
      <w:tr w:rsidR="008223EE" w:rsidRPr="008223EE" w:rsidTr="008223EE">
        <w:trPr>
          <w:trHeight w:val="80"/>
        </w:trPr>
        <w:tc>
          <w:tcPr>
            <w:tcW w:w="9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39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Sovereign</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Financial institutions</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Corporate</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Residential mortgages</w:t>
            </w:r>
          </w:p>
        </w:tc>
        <w:tc>
          <w:tcPr>
            <w:tcW w:w="87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Other retail</w:t>
            </w:r>
            <w:r w:rsidRPr="008223EE">
              <w:rPr>
                <w:rFonts w:ascii="Arial" w:eastAsia="Times New Roman" w:hAnsi="Arial" w:cs="Arial"/>
                <w:b/>
                <w:bCs/>
                <w:color w:val="000000"/>
                <w:sz w:val="16"/>
                <w:szCs w:val="16"/>
              </w:rPr>
              <w:br/>
              <w:t>lending</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Net on-balance sheet exposure</w:t>
            </w:r>
          </w:p>
        </w:tc>
        <w:tc>
          <w:tcPr>
            <w:tcW w:w="1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 on-balance sheet exposure</w:t>
            </w:r>
          </w:p>
        </w:tc>
        <w:tc>
          <w:tcPr>
            <w:tcW w:w="106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Contingent liabilities and commitments</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900"/>
        <w:gridCol w:w="345"/>
        <w:gridCol w:w="1065"/>
        <w:gridCol w:w="915"/>
        <w:gridCol w:w="840"/>
        <w:gridCol w:w="840"/>
        <w:gridCol w:w="870"/>
        <w:gridCol w:w="915"/>
        <w:gridCol w:w="150"/>
        <w:gridCol w:w="1050"/>
        <w:gridCol w:w="1065"/>
      </w:tblGrid>
      <w:tr w:rsidR="008223EE" w:rsidRPr="008223EE" w:rsidTr="008223EE">
        <w:trPr>
          <w:trHeight w:val="240"/>
        </w:trPr>
        <w:tc>
          <w:tcPr>
            <w:tcW w:w="124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Spain</w:t>
            </w:r>
          </w:p>
        </w:tc>
        <w:tc>
          <w:tcPr>
            <w:tcW w:w="2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1,690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1,488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4,135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13,305 </w:t>
            </w: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2,428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23,046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31,956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3,301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Italy</w:t>
            </w: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2,669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528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1,962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15,591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1,936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22,686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32,990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3,082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Portugal</w:t>
            </w: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637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48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1,958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3,474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1,783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7,900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8,769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2,588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Ireland</w:t>
            </w: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3,768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1,127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112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5,101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10,251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1,644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Cyprus</w:t>
            </w: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106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44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184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300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131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Greece</w:t>
            </w: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61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79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1,262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24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Spain</w:t>
            </w:r>
          </w:p>
        </w:tc>
        <w:tc>
          <w:tcPr>
            <w:tcW w:w="2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2,530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987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5,345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14,654 </w:t>
            </w:r>
          </w:p>
        </w:tc>
        <w:tc>
          <w:tcPr>
            <w:tcW w:w="8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3,031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26,547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35,307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3,842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Italy</w:t>
            </w: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3,493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669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2,918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15,934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2,335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25,349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34,189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3,140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Portugal</w:t>
            </w: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810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51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3,295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3,651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2,053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9,860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10,747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2,536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Ireland</w:t>
            </w: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4,311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977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94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5,712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12,298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1,582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Cyprus</w:t>
            </w: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128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51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196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316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127 </w:t>
            </w:r>
          </w:p>
        </w:tc>
      </w:tr>
      <w:tr w:rsidR="008223EE" w:rsidRPr="008223EE" w:rsidTr="008223EE">
        <w:trPr>
          <w:trHeight w:val="240"/>
        </w:trPr>
        <w:tc>
          <w:tcPr>
            <w:tcW w:w="9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Greece</w:t>
            </w:r>
          </w:p>
        </w:tc>
        <w:tc>
          <w:tcPr>
            <w:tcW w:w="2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67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c>
          <w:tcPr>
            <w:tcW w:w="87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106 </w:t>
            </w:r>
          </w:p>
        </w:tc>
        <w:tc>
          <w:tcPr>
            <w:tcW w:w="1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1,215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 </w:t>
            </w:r>
          </w:p>
        </w:tc>
      </w:tr>
    </w:tbl>
    <w:p w:rsidR="008223EE" w:rsidRPr="008223EE" w:rsidRDefault="008223EE" w:rsidP="008223EE">
      <w:pPr>
        <w:spacing w:after="0" w:line="14" w:lineRule="atLeast"/>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5623B3">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During 2012 the Group's sovereign exposure to Spain, Italy, Portugal, Ireland, Cyprus and Greece reduced by 29% to £5.0bn</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Spanish sovereign exposure reduced 33% to £1.7bn due to the disposal of available for sale government bonds, held for the purpose of interest rate hedging and liquidity, which have been replaced by interest rate swaps with alternative counterparties</w:t>
      </w:r>
    </w:p>
    <w:p w:rsidR="008223EE" w:rsidRPr="008223EE" w:rsidRDefault="008223EE" w:rsidP="005623B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Italian sovereign exposure decreased 24% to £2.7bn principally due to a reduction in government bonds held as available for sale</w:t>
      </w:r>
    </w:p>
    <w:p w:rsidR="008223EE" w:rsidRPr="008223EE" w:rsidRDefault="008223EE" w:rsidP="005623B3">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Residential mortgage exposure reduced by 5% to £32.5bn, reflecting lower new originations across Spain, Italy and Portugal in line with Group strategy to reduce redenomination risk</w:t>
      </w:r>
    </w:p>
    <w:p w:rsidR="008223EE" w:rsidRPr="008223EE" w:rsidRDefault="008223EE" w:rsidP="005623B3">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Other retail lending reduced by 17% to £6.3bn driven primarily by reduced lending to business banking customers in Spain and Portugal as a result of the challenging economic conditions</w:t>
      </w:r>
    </w:p>
    <w:p w:rsidR="008223EE" w:rsidRPr="008223EE" w:rsidRDefault="008223EE" w:rsidP="005623B3">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Corporate exposure reduced 27% to £9.3bn, largely reflecting reduced lending in Spain, Italy and Portugal as part of the active management to reduce funding mismatch</w:t>
      </w:r>
    </w:p>
    <w:p w:rsidR="008223EE" w:rsidRPr="008223EE" w:rsidRDefault="008223EE" w:rsidP="005623B3">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Exposures to financial institutions fell marginally by 3% to £5.8bn, with reduced exposure in Ireland of £0.5bn and in Italy of £0.1bn offsetting an increase in Spain of £0.5bn</w:t>
      </w:r>
    </w:p>
    <w:p w:rsidR="008223EE" w:rsidRPr="008223EE" w:rsidRDefault="008223EE" w:rsidP="008223EE">
      <w:pPr>
        <w:spacing w:before="180" w:after="0" w:line="240" w:lineRule="auto"/>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5623B3">
      <w:pPr>
        <w:spacing w:before="180" w:after="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Barclays has exposures to other Eurozone countries as set out below. Total net on-balance sheet exposures to individual countries that are less than £1bn are reported in aggregate under </w:t>
      </w:r>
      <w:proofErr w:type="gramStart"/>
      <w:r w:rsidRPr="008223EE">
        <w:rPr>
          <w:rFonts w:ascii="Arial" w:eastAsia="Times New Roman" w:hAnsi="Arial" w:cs="Arial"/>
          <w:sz w:val="18"/>
          <w:szCs w:val="18"/>
        </w:rPr>
        <w:t>Other</w:t>
      </w:r>
      <w:proofErr w:type="gramEnd"/>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900"/>
        <w:gridCol w:w="1545"/>
        <w:gridCol w:w="935"/>
        <w:gridCol w:w="915"/>
        <w:gridCol w:w="926"/>
        <w:gridCol w:w="641"/>
        <w:gridCol w:w="915"/>
        <w:gridCol w:w="1200"/>
        <w:gridCol w:w="1113"/>
      </w:tblGrid>
      <w:tr w:rsidR="008223EE" w:rsidRPr="008223EE" w:rsidTr="008223EE">
        <w:trPr>
          <w:trHeight w:val="80"/>
        </w:trPr>
        <w:tc>
          <w:tcPr>
            <w:tcW w:w="9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5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Sovereign</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Financial institutions</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Corporate</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Residential mortgages</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Other retail</w:t>
            </w:r>
            <w:r w:rsidRPr="008223EE">
              <w:rPr>
                <w:rFonts w:ascii="Arial" w:eastAsia="Times New Roman" w:hAnsi="Arial" w:cs="Arial"/>
                <w:b/>
                <w:bCs/>
                <w:color w:val="000000"/>
                <w:sz w:val="16"/>
                <w:szCs w:val="16"/>
              </w:rPr>
              <w:br/>
              <w:t>lending</w:t>
            </w:r>
          </w:p>
        </w:tc>
        <w:tc>
          <w:tcPr>
            <w:tcW w:w="9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Net on-balance</w:t>
            </w:r>
            <w:r w:rsidRPr="008223EE">
              <w:rPr>
                <w:rFonts w:ascii="Arial" w:eastAsia="Times New Roman" w:hAnsi="Arial" w:cs="Arial"/>
                <w:b/>
                <w:bCs/>
                <w:color w:val="000000"/>
                <w:sz w:val="16"/>
                <w:szCs w:val="16"/>
              </w:rPr>
              <w:br/>
              <w:t>sheet exposure</w:t>
            </w:r>
          </w:p>
        </w:tc>
        <w:tc>
          <w:tcPr>
            <w:tcW w:w="120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Gross on-balance sheet exposure</w:t>
            </w:r>
          </w:p>
        </w:tc>
        <w:tc>
          <w:tcPr>
            <w:tcW w:w="106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Contingent liabilities and commitments</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150"/>
        <w:gridCol w:w="765"/>
        <w:gridCol w:w="915"/>
        <w:gridCol w:w="915"/>
        <w:gridCol w:w="915"/>
        <w:gridCol w:w="630"/>
        <w:gridCol w:w="915"/>
        <w:gridCol w:w="210"/>
        <w:gridCol w:w="915"/>
        <w:gridCol w:w="1065"/>
      </w:tblGrid>
      <w:tr w:rsidR="008223EE" w:rsidRPr="008223EE" w:rsidTr="008223EE">
        <w:trPr>
          <w:trHeight w:val="136"/>
        </w:trPr>
        <w:tc>
          <w:tcPr>
            <w:tcW w:w="1680" w:type="dxa"/>
            <w:gridSpan w:val="2"/>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765"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30"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21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65"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France </w:t>
            </w:r>
          </w:p>
        </w:tc>
        <w:tc>
          <w:tcPr>
            <w:tcW w:w="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3,746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5,345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3,905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2,607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121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15,724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58,970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7,712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Germany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4,454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4,945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1,734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11,437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62,016</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6,604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Netherlands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3,503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4,437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2,002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10,050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28,546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2,205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Luxembourg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1,481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704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151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2,398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6,366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812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Belgium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2,548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239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3,086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10,553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1,525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Austria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1,047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1,467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3,930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127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Finland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1,044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1,396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9,120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461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210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310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649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1680" w:type="dxa"/>
            <w:gridSpan w:val="2"/>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76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6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France </w:t>
            </w:r>
          </w:p>
        </w:tc>
        <w:tc>
          <w:tcPr>
            <w:tcW w:w="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4,189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4,969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4,232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2,796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260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16,446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60,342 </w:t>
            </w:r>
          </w:p>
        </w:tc>
        <w:tc>
          <w:tcPr>
            <w:tcW w:w="1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8,121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Germany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3,444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2,570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2,963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1,551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10,542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62,017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6,623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Netherlands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4,596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1,807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6,665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23,806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1,899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Luxembourg</w:t>
            </w:r>
            <w:r w:rsidRPr="008223EE">
              <w:rPr>
                <w:rFonts w:ascii="Arial" w:eastAsia="Times New Roman" w:hAnsi="Arial" w:cs="Arial"/>
                <w:color w:val="000000"/>
                <w:sz w:val="13"/>
                <w:szCs w:val="13"/>
                <w:vertAlign w:val="superscript"/>
              </w:rPr>
              <w:t>1 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1,842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809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103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2,839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6,499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765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Belgium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2,033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2,367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13,312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881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Austria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237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738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3,672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119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Finland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298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47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391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12,974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447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w:t>
            </w:r>
          </w:p>
        </w:tc>
        <w:tc>
          <w:tcPr>
            <w:tcW w:w="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202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315 </w:t>
            </w:r>
          </w:p>
        </w:tc>
        <w:tc>
          <w:tcPr>
            <w:tcW w:w="2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634 </w:t>
            </w:r>
          </w:p>
        </w:tc>
        <w:tc>
          <w:tcPr>
            <w:tcW w:w="106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49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360973">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During 2012 the Group's net on-balance sheet exposures to other Eurozone countries increased by 14% to £45.9bn</w:t>
      </w:r>
    </w:p>
    <w:p w:rsidR="008223EE" w:rsidRPr="008223EE" w:rsidRDefault="008223EE" w:rsidP="0036097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Sovereign exposure increased 17% to £12.4bn principally due to an increase in government bonds held as available for sale in the Netherlands, Austria and Finland of £4.4bn, partially offset by a reduction in traded exposures to Germany of £3.0bn</w:t>
      </w:r>
    </w:p>
    <w:p w:rsidR="008223EE" w:rsidRPr="008223EE" w:rsidRDefault="008223EE" w:rsidP="0036097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Exposures to financial institutions and corporates increased 14% and 17%, to £16.4bn and £12.1bn respectively, reflecting increases in securities issued by German counterparties</w:t>
      </w:r>
    </w:p>
    <w:p w:rsidR="008223EE" w:rsidRPr="008223EE" w:rsidRDefault="008223EE" w:rsidP="00360973">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60973">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60973">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60973">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60973">
      <w:pPr>
        <w:spacing w:after="0" w:line="240" w:lineRule="auto"/>
        <w:ind w:left="284" w:hanging="284"/>
        <w:jc w:val="both"/>
        <w:rPr>
          <w:rFonts w:ascii="Arial" w:eastAsia="Times New Roman" w:hAnsi="Arial" w:cs="Arial"/>
          <w:sz w:val="18"/>
          <w:szCs w:val="18"/>
        </w:rPr>
      </w:pPr>
      <w:r w:rsidRPr="008223EE">
        <w:rPr>
          <w:rFonts w:ascii="Arial" w:eastAsia="Times New Roman" w:hAnsi="Arial" w:cs="Arial"/>
          <w:sz w:val="2"/>
          <w:szCs w:val="2"/>
        </w:rPr>
        <w:t> </w:t>
      </w:r>
    </w:p>
    <w:p w:rsidR="008223EE" w:rsidRPr="008223EE" w:rsidRDefault="008223EE" w:rsidP="00360973">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Exposure to financial institutions has been restated to exclude exposures to supranational entities.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Credit Risk</w:t>
      </w:r>
    </w:p>
    <w:tbl>
      <w:tblPr>
        <w:tblW w:w="0" w:type="auto"/>
        <w:tblInd w:w="-36" w:type="dxa"/>
        <w:tblCellMar>
          <w:left w:w="0" w:type="dxa"/>
          <w:right w:w="0" w:type="dxa"/>
        </w:tblCellMar>
        <w:tblLook w:val="04A0" w:firstRow="1" w:lastRow="0" w:firstColumn="1" w:lastColumn="0" w:noHBand="0" w:noVBand="1"/>
      </w:tblPr>
      <w:tblGrid>
        <w:gridCol w:w="1352"/>
        <w:gridCol w:w="623"/>
        <w:gridCol w:w="810"/>
        <w:gridCol w:w="680"/>
        <w:gridCol w:w="99"/>
        <w:gridCol w:w="597"/>
        <w:gridCol w:w="810"/>
        <w:gridCol w:w="802"/>
        <w:gridCol w:w="937"/>
        <w:gridCol w:w="935"/>
        <w:gridCol w:w="695"/>
        <w:gridCol w:w="99"/>
        <w:gridCol w:w="695"/>
      </w:tblGrid>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Spain</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Designated at FV through P&amp;L</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1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Trading Portfolio</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3120" w:type="dxa"/>
            <w:gridSpan w:val="4"/>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Derivatives</w:t>
            </w: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Fair Value through </w:t>
            </w:r>
          </w:p>
        </w:tc>
        <w:tc>
          <w:tcPr>
            <w:tcW w:w="63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54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Cash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Profit and Loss</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Assets </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Liabilities</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Net</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Assets</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Liabilities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Collateral</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w:t>
            </w: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473"/>
        <w:gridCol w:w="614"/>
        <w:gridCol w:w="701"/>
        <w:gridCol w:w="820"/>
        <w:gridCol w:w="103"/>
        <w:gridCol w:w="562"/>
        <w:gridCol w:w="795"/>
        <w:gridCol w:w="708"/>
        <w:gridCol w:w="917"/>
        <w:gridCol w:w="820"/>
        <w:gridCol w:w="823"/>
        <w:gridCol w:w="103"/>
        <w:gridCol w:w="695"/>
      </w:tblGrid>
      <w:tr w:rsidR="008223EE" w:rsidRPr="008223EE" w:rsidTr="008223EE">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905 </w:t>
            </w: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(806)</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99 </w:t>
            </w: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(27)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99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577 </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(117)</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460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7,648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(7,560)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(88)</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291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751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221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272 </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(106)</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166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489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(206)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283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365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814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629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Available for Sale Assets as at 31.12.12</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40"/>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350" w:type="dxa"/>
            <w:gridSpan w:val="2"/>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Cost</w:t>
            </w:r>
            <w:r w:rsidRPr="008223EE">
              <w:rPr>
                <w:rFonts w:ascii="Arial" w:eastAsia="Times New Roman" w:hAnsi="Arial" w:cs="Arial"/>
                <w:b/>
                <w:bCs/>
                <w:color w:val="000000"/>
                <w:sz w:val="13"/>
                <w:szCs w:val="13"/>
                <w:vertAlign w:val="superscript"/>
              </w:rPr>
              <w:t>1 </w:t>
            </w:r>
          </w:p>
        </w:tc>
        <w:tc>
          <w:tcPr>
            <w:tcW w:w="1695"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AFS Reserve</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491"/>
        <w:gridCol w:w="672"/>
        <w:gridCol w:w="688"/>
        <w:gridCol w:w="745"/>
        <w:gridCol w:w="104"/>
        <w:gridCol w:w="517"/>
        <w:gridCol w:w="800"/>
        <w:gridCol w:w="702"/>
        <w:gridCol w:w="960"/>
        <w:gridCol w:w="816"/>
        <w:gridCol w:w="840"/>
        <w:gridCol w:w="104"/>
        <w:gridCol w:w="695"/>
      </w:tblGrid>
      <w:tr w:rsidR="008223EE" w:rsidRPr="008223EE" w:rsidTr="008223EE">
        <w:trPr>
          <w:trHeight w:val="240"/>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Fair Value through OCI</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350"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169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223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1,588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1,562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2,468 </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491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480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490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10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Loans and Advances as at 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Impairment </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40"/>
        </w:trPr>
        <w:tc>
          <w:tcPr>
            <w:tcW w:w="3735" w:type="dxa"/>
            <w:gridSpan w:val="4"/>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Gross </w:t>
            </w:r>
            <w:r w:rsidRPr="008223EE">
              <w:rPr>
                <w:rFonts w:ascii="Arial" w:eastAsia="Times New Roman" w:hAnsi="Arial" w:cs="Arial"/>
                <w:b/>
                <w:bCs/>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Allowances</w:t>
            </w: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95"/>
        <w:gridCol w:w="705"/>
        <w:gridCol w:w="105"/>
        <w:gridCol w:w="540"/>
        <w:gridCol w:w="735"/>
        <w:gridCol w:w="735"/>
        <w:gridCol w:w="885"/>
        <w:gridCol w:w="855"/>
        <w:gridCol w:w="695"/>
        <w:gridCol w:w="105"/>
        <w:gridCol w:w="695"/>
      </w:tblGrid>
      <w:tr w:rsidR="008223EE" w:rsidRPr="008223EE" w:rsidTr="008223EE">
        <w:trPr>
          <w:trHeight w:val="240"/>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Held at Amortised Cost</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29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62 </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271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257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276 </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Residential mortgages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13,424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(119)</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13,305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14,654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4,371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(1,060)</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3,311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4,714 </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2,564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(136)</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2,428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3,031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3735" w:type="dxa"/>
            <w:gridSpan w:val="4"/>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95"/>
        <w:gridCol w:w="630"/>
        <w:gridCol w:w="105"/>
        <w:gridCol w:w="540"/>
        <w:gridCol w:w="735"/>
        <w:gridCol w:w="735"/>
        <w:gridCol w:w="885"/>
        <w:gridCol w:w="855"/>
        <w:gridCol w:w="779"/>
        <w:gridCol w:w="142"/>
        <w:gridCol w:w="567"/>
      </w:tblGrid>
      <w:tr w:rsidR="008223EE" w:rsidRPr="008223EE" w:rsidTr="00360973">
        <w:trPr>
          <w:trHeight w:val="240"/>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Contingent Liabilities and Commitments</w:t>
            </w:r>
          </w:p>
        </w:tc>
        <w:tc>
          <w:tcPr>
            <w:tcW w:w="630" w:type="dxa"/>
            <w:tcBorders>
              <w:top w:val="nil"/>
              <w:left w:val="nil"/>
              <w:bottom w:val="single" w:sz="8" w:space="0" w:color="7F7F7F"/>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79"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4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Borders>
              <w:top w:val="nil"/>
              <w:left w:val="nil"/>
              <w:bottom w:val="single" w:sz="8" w:space="0" w:color="7F7F7F"/>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360973">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Sovereign</w:t>
            </w:r>
          </w:p>
        </w:tc>
        <w:tc>
          <w:tcPr>
            <w:tcW w:w="7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9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7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188 </w:t>
            </w:r>
          </w:p>
        </w:tc>
      </w:tr>
      <w:tr w:rsidR="008223EE" w:rsidRPr="008223EE" w:rsidTr="00360973">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7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88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 </w:t>
            </w:r>
          </w:p>
        </w:tc>
      </w:tr>
      <w:tr w:rsidR="008223EE" w:rsidRPr="008223EE" w:rsidTr="00360973">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Residential mortgages</w:t>
            </w: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7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 </w:t>
            </w:r>
          </w:p>
        </w:tc>
      </w:tr>
      <w:tr w:rsidR="008223EE" w:rsidRPr="008223EE" w:rsidTr="00360973">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7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1,938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2,510 </w:t>
            </w:r>
          </w:p>
        </w:tc>
      </w:tr>
      <w:tr w:rsidR="008223EE" w:rsidRPr="008223EE" w:rsidTr="00360973">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7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1,263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1,102 </w:t>
            </w:r>
          </w:p>
        </w:tc>
      </w:tr>
    </w:tbl>
    <w:p w:rsidR="008223EE" w:rsidRPr="008223EE" w:rsidRDefault="008223EE" w:rsidP="00360973">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Sovereign</w:t>
      </w:r>
    </w:p>
    <w:p w:rsidR="008223EE" w:rsidRPr="008223EE" w:rsidRDefault="008223EE" w:rsidP="00360973">
      <w:pPr>
        <w:spacing w:before="100" w:after="10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£1,562m (2011: £2,468m) AFS holdings in government bonds. No impairment and £26m (2011: £51m) cumulative fair value loss held in AFS reserve </w:t>
      </w:r>
    </w:p>
    <w:p w:rsidR="008223EE" w:rsidRPr="008223EE" w:rsidRDefault="008223EE" w:rsidP="00360973">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Financial institutions</w:t>
      </w:r>
    </w:p>
    <w:p w:rsidR="008223EE" w:rsidRPr="008223EE" w:rsidRDefault="008223EE" w:rsidP="00360973">
      <w:pPr>
        <w:spacing w:before="100" w:after="10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£751m (2011: £221m) held at fair value through profit and loss, predominantly debt securities held by the Investment Bank to support trading and market making activities </w:t>
      </w:r>
    </w:p>
    <w:p w:rsidR="008223EE" w:rsidRPr="008223EE" w:rsidRDefault="008223EE" w:rsidP="00360973">
      <w:pPr>
        <w:spacing w:before="100" w:after="10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£480m (2011: £490m) AFS assets with £11m (2011: £17m) cumulative loss held in AFS reserve</w:t>
      </w:r>
    </w:p>
    <w:p w:rsidR="008223EE" w:rsidRPr="008223EE" w:rsidRDefault="008223EE" w:rsidP="00360973">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Residential mortgages</w:t>
      </w:r>
    </w:p>
    <w:p w:rsidR="008223EE" w:rsidRPr="008223EE" w:rsidRDefault="008223EE" w:rsidP="00360973">
      <w:pPr>
        <w:spacing w:before="100" w:after="10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£13,305m (2011: £14,654m) fully secured on residential property with average balance weighted marked to market LTV of 64.6% (2011: 60.1%). The increase in LTV is reflected in the CRL coverage of 36% (2011: 28%)</w:t>
      </w:r>
    </w:p>
    <w:p w:rsidR="008223EE" w:rsidRPr="008223EE" w:rsidRDefault="008223EE" w:rsidP="00360973">
      <w:pPr>
        <w:spacing w:before="100" w:after="10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90 day arrears rates have increased to 0.7% (2011: 0.5%) while gross charge off rates have increased to 1.1% (2011: 0.6%)</w:t>
      </w:r>
    </w:p>
    <w:p w:rsidR="008223EE" w:rsidRPr="008223EE" w:rsidRDefault="008223EE" w:rsidP="00360973">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Corporate</w:t>
      </w:r>
    </w:p>
    <w:p w:rsidR="008223EE" w:rsidRPr="008223EE" w:rsidRDefault="008223EE" w:rsidP="00360973">
      <w:pPr>
        <w:spacing w:before="100" w:after="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Net lending to corporates of £3,311m (2011: £4,714m) with CRLs of £1,887m (2011: £2,073), impairment allowance of £1,060m (2011: £1,187m) and CRL coverage of 56% (2011: 57%). Balances on early warning lists peaked in November 2010. Portfolio kept under close review and impairment recognised as appropriate</w:t>
      </w:r>
    </w:p>
    <w:p w:rsidR="008223EE" w:rsidRPr="008223EE" w:rsidRDefault="008223EE" w:rsidP="00360973">
      <w:pPr>
        <w:spacing w:before="100" w:after="0" w:line="240" w:lineRule="auto"/>
        <w:ind w:left="284" w:hanging="284"/>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360973">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'Cost' refers to the fair value of the asset at recognition, less any impairment booked. 'AFS Reserve' is the cumulative fair value gain or loss on the assets that is held in equity. 'Total' is the fair value of the assets at the balance sheet date.</w:t>
      </w:r>
    </w:p>
    <w:p w:rsidR="008223EE" w:rsidRPr="008223EE" w:rsidRDefault="008223EE" w:rsidP="00360973">
      <w:pPr>
        <w:spacing w:before="180" w:after="180" w:line="240" w:lineRule="auto"/>
        <w:ind w:left="284" w:hanging="284"/>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360973">
      <w:pPr>
        <w:spacing w:after="18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p w:rsidR="008223EE" w:rsidRPr="008223EE" w:rsidRDefault="008223EE" w:rsidP="00360973">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Net lending to property and construction industry of £1,188m (2011: £1,866m) largely secured on real estate collateral, with CRLs of £1,429m (2011: £1,664m), impairment allowance of £820m (2011: £810m) and CRL coverage of 57% (2011: 49%)</w:t>
      </w:r>
    </w:p>
    <w:p w:rsidR="008223EE" w:rsidRPr="008223EE" w:rsidRDefault="008223EE" w:rsidP="0036097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Corporate impairment in Spain was at its highest level during the first half of 2010 when commercial property declines were reflected earlier in the cycle</w:t>
      </w:r>
    </w:p>
    <w:p w:rsidR="008223EE" w:rsidRPr="008223EE" w:rsidRDefault="008223EE" w:rsidP="0036097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£359m (2011: £488m) lending to multinational and large national corporates, which continues to perform</w:t>
      </w:r>
    </w:p>
    <w:p w:rsidR="008223EE" w:rsidRPr="008223EE" w:rsidRDefault="008223EE" w:rsidP="00360973">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Other retail lending</w:t>
      </w:r>
    </w:p>
    <w:p w:rsidR="008223EE" w:rsidRPr="008223EE" w:rsidRDefault="008223EE" w:rsidP="0036097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£1,052m (2011: £1,115m) credit cards and unsecured loans. 30 days and 90 days arrears rates and charge off rates in credit cards and unsecured loans were broadly stable in 2012</w:t>
      </w:r>
    </w:p>
    <w:p w:rsidR="008223EE" w:rsidRPr="008223EE" w:rsidRDefault="008223EE" w:rsidP="00360973">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£1,045m (2011: £1,529m) lending to small and medium enterprises (SMEs), largely secured against residential or commercial property</w:t>
      </w:r>
    </w:p>
    <w:p w:rsidR="008223EE" w:rsidRPr="008223EE" w:rsidRDefault="008223EE" w:rsidP="00360973">
      <w:pPr>
        <w:spacing w:after="18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tbl>
      <w:tblPr>
        <w:tblW w:w="0" w:type="auto"/>
        <w:tblInd w:w="-36" w:type="dxa"/>
        <w:tblCellMar>
          <w:left w:w="0" w:type="dxa"/>
          <w:right w:w="0" w:type="dxa"/>
        </w:tblCellMar>
        <w:tblLook w:val="04A0" w:firstRow="1" w:lastRow="0" w:firstColumn="1" w:lastColumn="0" w:noHBand="0" w:noVBand="1"/>
      </w:tblPr>
      <w:tblGrid>
        <w:gridCol w:w="1345"/>
        <w:gridCol w:w="623"/>
        <w:gridCol w:w="810"/>
        <w:gridCol w:w="683"/>
        <w:gridCol w:w="99"/>
        <w:gridCol w:w="597"/>
        <w:gridCol w:w="810"/>
        <w:gridCol w:w="802"/>
        <w:gridCol w:w="941"/>
        <w:gridCol w:w="935"/>
        <w:gridCol w:w="695"/>
        <w:gridCol w:w="99"/>
        <w:gridCol w:w="695"/>
      </w:tblGrid>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Italy</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Designated at FV through P&amp;L</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1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Trading Portfolio</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3120" w:type="dxa"/>
            <w:gridSpan w:val="4"/>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Derivatives</w:t>
            </w: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27"/>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Fair Value through </w:t>
            </w:r>
          </w:p>
        </w:tc>
        <w:tc>
          <w:tcPr>
            <w:tcW w:w="63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4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Cash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27"/>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Profit and Loss</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Assets </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Liabilities</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Net</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Assets</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Liabilities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Collateral</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w:t>
            </w: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459"/>
        <w:gridCol w:w="623"/>
        <w:gridCol w:w="710"/>
        <w:gridCol w:w="682"/>
        <w:gridCol w:w="231"/>
        <w:gridCol w:w="562"/>
        <w:gridCol w:w="791"/>
        <w:gridCol w:w="724"/>
        <w:gridCol w:w="919"/>
        <w:gridCol w:w="811"/>
        <w:gridCol w:w="825"/>
        <w:gridCol w:w="102"/>
        <w:gridCol w:w="695"/>
      </w:tblGrid>
      <w:tr w:rsidR="008223EE" w:rsidRPr="008223EE" w:rsidTr="00A12E68">
        <w:trPr>
          <w:trHeight w:val="227"/>
        </w:trPr>
        <w:tc>
          <w:tcPr>
            <w:tcW w:w="1459"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23"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1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682"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231"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62"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91"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24"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19"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11"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9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A12E68">
        <w:trPr>
          <w:trHeight w:val="227"/>
        </w:trPr>
        <w:tc>
          <w:tcPr>
            <w:tcW w:w="145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623"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2,178 </w:t>
            </w:r>
          </w:p>
        </w:tc>
        <w:tc>
          <w:tcPr>
            <w:tcW w:w="7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(2,178)</w:t>
            </w:r>
          </w:p>
        </w:tc>
        <w:tc>
          <w:tcPr>
            <w:tcW w:w="682"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23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2"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1,702 </w:t>
            </w:r>
          </w:p>
        </w:tc>
        <w:tc>
          <w:tcPr>
            <w:tcW w:w="79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(581) </w:t>
            </w:r>
          </w:p>
        </w:tc>
        <w:tc>
          <w:tcPr>
            <w:tcW w:w="724"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19"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1,121 </w:t>
            </w:r>
          </w:p>
        </w:tc>
        <w:tc>
          <w:tcPr>
            <w:tcW w:w="81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1,123 </w:t>
            </w:r>
          </w:p>
        </w:tc>
        <w:tc>
          <w:tcPr>
            <w:tcW w:w="10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9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1,144 </w:t>
            </w:r>
          </w:p>
        </w:tc>
      </w:tr>
      <w:tr w:rsidR="008223EE" w:rsidRPr="008223EE" w:rsidTr="00A12E68">
        <w:trPr>
          <w:trHeight w:val="227"/>
        </w:trPr>
        <w:tc>
          <w:tcPr>
            <w:tcW w:w="1459"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623"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271 </w:t>
            </w:r>
          </w:p>
        </w:tc>
        <w:tc>
          <w:tcPr>
            <w:tcW w:w="7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(85)</w:t>
            </w:r>
          </w:p>
        </w:tc>
        <w:tc>
          <w:tcPr>
            <w:tcW w:w="68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186 </w:t>
            </w:r>
          </w:p>
        </w:tc>
        <w:tc>
          <w:tcPr>
            <w:tcW w:w="23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7,074</w:t>
            </w:r>
          </w:p>
        </w:tc>
        <w:tc>
          <w:tcPr>
            <w:tcW w:w="79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(5,341) </w:t>
            </w:r>
          </w:p>
        </w:tc>
        <w:tc>
          <w:tcPr>
            <w:tcW w:w="72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(1,733)</w:t>
            </w:r>
          </w:p>
        </w:tc>
        <w:tc>
          <w:tcPr>
            <w:tcW w:w="91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1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166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352 </w:t>
            </w:r>
          </w:p>
        </w:tc>
        <w:tc>
          <w:tcPr>
            <w:tcW w:w="10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456 </w:t>
            </w:r>
          </w:p>
        </w:tc>
      </w:tr>
      <w:tr w:rsidR="008223EE" w:rsidRPr="008223EE" w:rsidTr="00A12E68">
        <w:trPr>
          <w:trHeight w:val="227"/>
        </w:trPr>
        <w:tc>
          <w:tcPr>
            <w:tcW w:w="1459"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Corporate</w:t>
            </w:r>
          </w:p>
        </w:tc>
        <w:tc>
          <w:tcPr>
            <w:tcW w:w="623"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282 </w:t>
            </w:r>
          </w:p>
        </w:tc>
        <w:tc>
          <w:tcPr>
            <w:tcW w:w="7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(116)</w:t>
            </w:r>
          </w:p>
        </w:tc>
        <w:tc>
          <w:tcPr>
            <w:tcW w:w="68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166 </w:t>
            </w:r>
          </w:p>
        </w:tc>
        <w:tc>
          <w:tcPr>
            <w:tcW w:w="23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477 </w:t>
            </w:r>
          </w:p>
        </w:tc>
        <w:tc>
          <w:tcPr>
            <w:tcW w:w="79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(214) </w:t>
            </w:r>
          </w:p>
        </w:tc>
        <w:tc>
          <w:tcPr>
            <w:tcW w:w="72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(56)</w:t>
            </w:r>
          </w:p>
        </w:tc>
        <w:tc>
          <w:tcPr>
            <w:tcW w:w="91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207 </w:t>
            </w:r>
          </w:p>
        </w:tc>
        <w:tc>
          <w:tcPr>
            <w:tcW w:w="81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326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699 </w:t>
            </w:r>
          </w:p>
        </w:tc>
        <w:tc>
          <w:tcPr>
            <w:tcW w:w="10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171 </w:t>
            </w:r>
          </w:p>
        </w:tc>
      </w:tr>
      <w:tr w:rsidR="008223EE" w:rsidRPr="008223EE" w:rsidTr="00A12E68">
        <w:trPr>
          <w:trHeight w:val="227"/>
        </w:trPr>
        <w:tc>
          <w:tcPr>
            <w:tcW w:w="1459"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23"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1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8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23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9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2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1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A12E68">
        <w:trPr>
          <w:trHeight w:val="227"/>
        </w:trPr>
        <w:tc>
          <w:tcPr>
            <w:tcW w:w="1459"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23"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82"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31"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62"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91"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24"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9"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11"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2"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95"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A12E68">
        <w:trPr>
          <w:trHeight w:val="227"/>
        </w:trPr>
        <w:tc>
          <w:tcPr>
            <w:tcW w:w="3474"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31"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632" w:type="dxa"/>
            <w:gridSpan w:val="6"/>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Available for Sale Assets as at 31.12.12</w:t>
            </w:r>
          </w:p>
        </w:tc>
        <w:tc>
          <w:tcPr>
            <w:tcW w:w="102"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A12E68">
        <w:trPr>
          <w:trHeight w:val="227"/>
        </w:trPr>
        <w:tc>
          <w:tcPr>
            <w:tcW w:w="1459"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23"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1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82"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31"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353" w:type="dxa"/>
            <w:gridSpan w:val="2"/>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Cost</w:t>
            </w:r>
            <w:r w:rsidRPr="008223EE">
              <w:rPr>
                <w:rFonts w:ascii="Arial" w:eastAsia="Times New Roman" w:hAnsi="Arial" w:cs="Arial"/>
                <w:b/>
                <w:bCs/>
                <w:color w:val="000000"/>
                <w:sz w:val="13"/>
                <w:szCs w:val="13"/>
                <w:vertAlign w:val="superscript"/>
              </w:rPr>
              <w:t>1 </w:t>
            </w:r>
          </w:p>
        </w:tc>
        <w:tc>
          <w:tcPr>
            <w:tcW w:w="1643"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AFS Reserve</w:t>
            </w:r>
          </w:p>
        </w:tc>
        <w:tc>
          <w:tcPr>
            <w:tcW w:w="1636"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491"/>
        <w:gridCol w:w="672"/>
        <w:gridCol w:w="688"/>
        <w:gridCol w:w="745"/>
        <w:gridCol w:w="104"/>
        <w:gridCol w:w="517"/>
        <w:gridCol w:w="800"/>
        <w:gridCol w:w="702"/>
        <w:gridCol w:w="960"/>
        <w:gridCol w:w="816"/>
        <w:gridCol w:w="840"/>
        <w:gridCol w:w="104"/>
        <w:gridCol w:w="695"/>
      </w:tblGrid>
      <w:tr w:rsidR="008223EE" w:rsidRPr="008223EE" w:rsidTr="008223EE">
        <w:trPr>
          <w:trHeight w:val="227"/>
        </w:trPr>
        <w:tc>
          <w:tcPr>
            <w:tcW w:w="2235" w:type="dxa"/>
            <w:gridSpan w:val="2"/>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Fair Value through OCI</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350"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169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60"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27"/>
        </w:trPr>
        <w:tc>
          <w:tcPr>
            <w:tcW w:w="223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1,509  </w:t>
            </w:r>
          </w:p>
        </w:tc>
        <w:tc>
          <w:tcPr>
            <w:tcW w:w="73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 </w:t>
            </w:r>
          </w:p>
        </w:tc>
        <w:tc>
          <w:tcPr>
            <w:tcW w:w="8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1,537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2,334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134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138 </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27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 </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27"/>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755" w:type="dxa"/>
            <w:gridSpan w:val="6"/>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Loans and Advances as at 31.12.12</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Impairment </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Gross </w:t>
            </w:r>
            <w:r w:rsidRPr="008223EE">
              <w:rPr>
                <w:rFonts w:ascii="Arial" w:eastAsia="Times New Roman" w:hAnsi="Arial" w:cs="Arial"/>
                <w:b/>
                <w:bCs/>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Allowances</w:t>
            </w: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95"/>
        <w:gridCol w:w="705"/>
        <w:gridCol w:w="105"/>
        <w:gridCol w:w="540"/>
        <w:gridCol w:w="735"/>
        <w:gridCol w:w="735"/>
        <w:gridCol w:w="885"/>
        <w:gridCol w:w="855"/>
        <w:gridCol w:w="695"/>
        <w:gridCol w:w="105"/>
        <w:gridCol w:w="695"/>
      </w:tblGrid>
      <w:tr w:rsidR="008223EE" w:rsidRPr="008223EE" w:rsidTr="008223EE">
        <w:trPr>
          <w:trHeight w:val="227"/>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Held at Amortised Cost</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27"/>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9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38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75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Residential mortgages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15,698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(107)</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15,591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15,934 </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1,354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(120)</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1,234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2,720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2,042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(106)</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1,936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2,335 </w:t>
            </w:r>
          </w:p>
        </w:tc>
      </w:tr>
      <w:tr w:rsidR="008223EE" w:rsidRPr="008223EE" w:rsidTr="008223EE">
        <w:trPr>
          <w:trHeight w:val="227"/>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27"/>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27"/>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735"/>
        <w:gridCol w:w="735"/>
        <w:gridCol w:w="885"/>
        <w:gridCol w:w="855"/>
        <w:gridCol w:w="630"/>
        <w:gridCol w:w="105"/>
        <w:gridCol w:w="630"/>
      </w:tblGrid>
      <w:tr w:rsidR="008223EE" w:rsidRPr="008223EE" w:rsidTr="008223EE">
        <w:trPr>
          <w:trHeight w:val="227"/>
        </w:trPr>
        <w:tc>
          <w:tcPr>
            <w:tcW w:w="3735" w:type="dxa"/>
            <w:gridSpan w:val="4"/>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Contingent Liabilities and Commitments</w:t>
            </w: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Residential mortgages</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45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101 </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2,158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2,034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789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988 </w:t>
            </w:r>
          </w:p>
        </w:tc>
      </w:tr>
      <w:tr w:rsidR="008223EE" w:rsidRPr="008223EE" w:rsidTr="008223EE">
        <w:tc>
          <w:tcPr>
            <w:tcW w:w="153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0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8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54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3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3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88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85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3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3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93310B">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 xml:space="preserve">Sovereign </w:t>
      </w:r>
    </w:p>
    <w:p w:rsidR="008223EE" w:rsidRPr="008223EE" w:rsidRDefault="008223EE" w:rsidP="009331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Predominantly £1,537m (2011: £2,334m) AFS government bonds with no impairment and £28m cumulative fair value gain (2011: £123m cumulative fair value loss) held in the AFS reserve</w:t>
      </w:r>
    </w:p>
    <w:p w:rsidR="008223EE" w:rsidRPr="008223EE" w:rsidRDefault="008223EE" w:rsidP="0093310B">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Residential mortgages</w:t>
      </w:r>
      <w:r w:rsidRPr="008223EE">
        <w:rPr>
          <w:rFonts w:ascii="Arial" w:eastAsia="Times New Roman" w:hAnsi="Arial" w:cs="Arial"/>
          <w:sz w:val="18"/>
          <w:szCs w:val="18"/>
        </w:rPr>
        <w:t> </w:t>
      </w:r>
    </w:p>
    <w:p w:rsidR="008223EE" w:rsidRPr="008223EE" w:rsidRDefault="008223EE" w:rsidP="009331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£15,591m (2011: £15,934m) secured on residential property</w:t>
      </w:r>
      <w:r w:rsidR="0093310B">
        <w:rPr>
          <w:rFonts w:ascii="Arial" w:eastAsia="Times New Roman" w:hAnsi="Arial" w:cs="Arial"/>
          <w:sz w:val="18"/>
          <w:szCs w:val="18"/>
        </w:rPr>
        <w:t xml:space="preserve"> </w:t>
      </w:r>
      <w:r w:rsidRPr="008223EE">
        <w:rPr>
          <w:rFonts w:ascii="Arial" w:eastAsia="Times New Roman" w:hAnsi="Arial" w:cs="Arial"/>
          <w:sz w:val="18"/>
          <w:szCs w:val="18"/>
        </w:rPr>
        <w:t>with average valuation weighted marked to market LTVs of 46.7% (2011: 46.9%). CRL coverage of 23% (2011: 25%) remains stable</w:t>
      </w:r>
    </w:p>
    <w:p w:rsidR="008223EE" w:rsidRPr="008223EE" w:rsidRDefault="008223EE" w:rsidP="009331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90 day arrears at 1.0% (2011: 1.0%) were stable, however gross charge off rates increased to 0.8% (2011: 0.5%)</w:t>
      </w:r>
    </w:p>
    <w:p w:rsidR="008223EE" w:rsidRPr="008223EE" w:rsidRDefault="008223EE" w:rsidP="0093310B">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 xml:space="preserve">Corporate </w:t>
      </w:r>
    </w:p>
    <w:p w:rsidR="008223EE" w:rsidRPr="008223EE" w:rsidRDefault="008223EE" w:rsidP="009331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£1,234m (2011: £2,720m) focused on large corporate clients with very limited exposure to property sector</w:t>
      </w:r>
    </w:p>
    <w:p w:rsidR="008223EE" w:rsidRPr="008223EE" w:rsidRDefault="008223EE" w:rsidP="009331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Balances in early warning lists broadly stable since December 2011</w:t>
      </w:r>
    </w:p>
    <w:p w:rsidR="008223EE" w:rsidRPr="008223EE" w:rsidRDefault="008223EE" w:rsidP="0093310B">
      <w:pPr>
        <w:spacing w:before="12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Other retail lending</w:t>
      </w:r>
      <w:r w:rsidRPr="008223EE">
        <w:rPr>
          <w:rFonts w:ascii="Arial" w:eastAsia="Times New Roman" w:hAnsi="Arial" w:cs="Arial"/>
          <w:sz w:val="18"/>
          <w:szCs w:val="18"/>
        </w:rPr>
        <w:t> </w:t>
      </w:r>
    </w:p>
    <w:p w:rsidR="008223EE" w:rsidRPr="008223EE" w:rsidRDefault="008223EE" w:rsidP="009331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£1,337m (2011: £1,615m) Italian salary advance loans (repayment deducted at source by qualifying employers and Barclays is insured in the event of termination of employment or death). Arrears rates on salary loans improved during 2012 while charge-off rates deteriorated</w:t>
      </w:r>
    </w:p>
    <w:p w:rsidR="008223EE" w:rsidRPr="008223EE" w:rsidRDefault="008223EE" w:rsidP="0093310B">
      <w:pPr>
        <w:spacing w:before="120" w:after="12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£434m (2011: £483m) credit cards and other unsecured loans. Arrears rates (both 30 and 90 days) and gross charge-off rates in cards and unsecured loans have improved in 2012</w:t>
      </w:r>
    </w:p>
    <w:p w:rsidR="008223EE" w:rsidRPr="008223EE" w:rsidRDefault="008223EE" w:rsidP="009331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9331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'Cost' refers to the fair value of the asset at recognition, less any impairment booked. 'AFS Reserve' is the cumulative fair value gain or loss on the assets that is held in equity. 'Total' is the fair value of the assets at the balance sheet date.</w:t>
      </w:r>
    </w:p>
    <w:p w:rsidR="008223EE" w:rsidRPr="008223EE" w:rsidRDefault="008223EE" w:rsidP="0093310B">
      <w:pPr>
        <w:spacing w:after="18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Credit Risk</w:t>
      </w:r>
    </w:p>
    <w:tbl>
      <w:tblPr>
        <w:tblW w:w="9720" w:type="dxa"/>
        <w:tblInd w:w="-36" w:type="dxa"/>
        <w:tblCellMar>
          <w:left w:w="0" w:type="dxa"/>
          <w:right w:w="0" w:type="dxa"/>
        </w:tblCellMar>
        <w:tblLook w:val="04A0" w:firstRow="1" w:lastRow="0" w:firstColumn="1" w:lastColumn="0" w:noHBand="0" w:noVBand="1"/>
      </w:tblPr>
      <w:tblGrid>
        <w:gridCol w:w="1549"/>
        <w:gridCol w:w="639"/>
        <w:gridCol w:w="820"/>
        <w:gridCol w:w="789"/>
        <w:gridCol w:w="106"/>
        <w:gridCol w:w="604"/>
        <w:gridCol w:w="820"/>
        <w:gridCol w:w="812"/>
        <w:gridCol w:w="1123"/>
        <w:gridCol w:w="946"/>
        <w:gridCol w:w="703"/>
        <w:gridCol w:w="106"/>
        <w:gridCol w:w="703"/>
      </w:tblGrid>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lastRenderedPageBreak/>
              <w:t>Portugal</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Designated at FV through P&amp;L</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1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Trading Portfolio</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3135" w:type="dxa"/>
            <w:gridSpan w:val="4"/>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Derivatives</w:t>
            </w: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27"/>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Fair Value through </w:t>
            </w:r>
          </w:p>
        </w:tc>
        <w:tc>
          <w:tcPr>
            <w:tcW w:w="63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4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5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Cash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27"/>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Profit and Loss</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Assets </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Liabilities</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Net</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Assets</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Liabilities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Collateral</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w:t>
            </w: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720" w:type="dxa"/>
        <w:tblInd w:w="-36" w:type="dxa"/>
        <w:tblCellMar>
          <w:left w:w="0" w:type="dxa"/>
          <w:right w:w="0" w:type="dxa"/>
        </w:tblCellMar>
        <w:tblLook w:val="04A0" w:firstRow="1" w:lastRow="0" w:firstColumn="1" w:lastColumn="0" w:noHBand="0" w:noVBand="1"/>
      </w:tblPr>
      <w:tblGrid>
        <w:gridCol w:w="1580"/>
        <w:gridCol w:w="651"/>
        <w:gridCol w:w="744"/>
        <w:gridCol w:w="883"/>
        <w:gridCol w:w="108"/>
        <w:gridCol w:w="558"/>
        <w:gridCol w:w="837"/>
        <w:gridCol w:w="775"/>
        <w:gridCol w:w="992"/>
        <w:gridCol w:w="883"/>
        <w:gridCol w:w="883"/>
        <w:gridCol w:w="108"/>
        <w:gridCol w:w="718"/>
      </w:tblGrid>
      <w:tr w:rsidR="008223EE" w:rsidRPr="008223EE" w:rsidTr="008223EE">
        <w:trPr>
          <w:trHeight w:val="227"/>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27"/>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144 </w:t>
            </w: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(136)</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262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(262)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69 </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 </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295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(176)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(119)</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 </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62 </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46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362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(151)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206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328 </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r>
      <w:tr w:rsidR="008223EE" w:rsidRPr="008223EE" w:rsidTr="008223EE">
        <w:trPr>
          <w:trHeight w:val="227"/>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770" w:type="dxa"/>
            <w:gridSpan w:val="6"/>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Available for Sale Assets as at 31.12.12</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350" w:type="dxa"/>
            <w:gridSpan w:val="2"/>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Cost</w:t>
            </w:r>
            <w:r w:rsidRPr="008223EE">
              <w:rPr>
                <w:rFonts w:ascii="Arial" w:eastAsia="Times New Roman" w:hAnsi="Arial" w:cs="Arial"/>
                <w:b/>
                <w:bCs/>
                <w:color w:val="000000"/>
                <w:sz w:val="13"/>
                <w:szCs w:val="13"/>
                <w:vertAlign w:val="superscript"/>
              </w:rPr>
              <w:t>1 </w:t>
            </w:r>
          </w:p>
        </w:tc>
        <w:tc>
          <w:tcPr>
            <w:tcW w:w="1710"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AFS Reserve</w:t>
            </w:r>
          </w:p>
        </w:tc>
        <w:tc>
          <w:tcPr>
            <w:tcW w:w="1560"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720" w:type="dxa"/>
        <w:tblInd w:w="-36" w:type="dxa"/>
        <w:tblCellMar>
          <w:left w:w="0" w:type="dxa"/>
          <w:right w:w="0" w:type="dxa"/>
        </w:tblCellMar>
        <w:tblLook w:val="04A0" w:firstRow="1" w:lastRow="0" w:firstColumn="1" w:lastColumn="0" w:noHBand="0" w:noVBand="1"/>
      </w:tblPr>
      <w:tblGrid>
        <w:gridCol w:w="1580"/>
        <w:gridCol w:w="728"/>
        <w:gridCol w:w="744"/>
        <w:gridCol w:w="806"/>
        <w:gridCol w:w="108"/>
        <w:gridCol w:w="558"/>
        <w:gridCol w:w="837"/>
        <w:gridCol w:w="775"/>
        <w:gridCol w:w="992"/>
        <w:gridCol w:w="883"/>
        <w:gridCol w:w="883"/>
        <w:gridCol w:w="108"/>
        <w:gridCol w:w="718"/>
      </w:tblGrid>
      <w:tr w:rsidR="008223EE" w:rsidRPr="008223EE" w:rsidTr="008223EE">
        <w:trPr>
          <w:trHeight w:val="227"/>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Fair Value through OCI</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350"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1710"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60"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27"/>
        </w:trPr>
        <w:tc>
          <w:tcPr>
            <w:tcW w:w="223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598  </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594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716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332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331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677 </w:t>
            </w:r>
          </w:p>
        </w:tc>
      </w:tr>
      <w:tr w:rsidR="008223EE" w:rsidRPr="008223EE" w:rsidTr="008223EE">
        <w:trPr>
          <w:trHeight w:val="227"/>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27"/>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770" w:type="dxa"/>
            <w:gridSpan w:val="6"/>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Loans and Advances as at 31.12.12</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710"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Impairment</w:t>
            </w:r>
          </w:p>
        </w:tc>
        <w:tc>
          <w:tcPr>
            <w:tcW w:w="8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Gross </w:t>
            </w:r>
            <w:r w:rsidRPr="008223EE">
              <w:rPr>
                <w:rFonts w:ascii="Arial" w:eastAsia="Times New Roman" w:hAnsi="Arial" w:cs="Arial"/>
                <w:b/>
                <w:bCs/>
                <w:color w:val="000000"/>
                <w:sz w:val="13"/>
                <w:szCs w:val="13"/>
                <w:vertAlign w:val="superscript"/>
              </w:rPr>
              <w:t> </w:t>
            </w:r>
          </w:p>
        </w:tc>
        <w:tc>
          <w:tcPr>
            <w:tcW w:w="1710"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Allowances</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720" w:type="dxa"/>
        <w:tblInd w:w="-36" w:type="dxa"/>
        <w:tblCellMar>
          <w:left w:w="0" w:type="dxa"/>
          <w:right w:w="0" w:type="dxa"/>
        </w:tblCellMar>
        <w:tblLook w:val="04A0" w:firstRow="1" w:lastRow="0" w:firstColumn="1" w:lastColumn="0" w:noHBand="0" w:noVBand="1"/>
      </w:tblPr>
      <w:tblGrid>
        <w:gridCol w:w="1635"/>
        <w:gridCol w:w="754"/>
        <w:gridCol w:w="849"/>
        <w:gridCol w:w="753"/>
        <w:gridCol w:w="112"/>
        <w:gridCol w:w="577"/>
        <w:gridCol w:w="785"/>
        <w:gridCol w:w="801"/>
        <w:gridCol w:w="945"/>
        <w:gridCol w:w="913"/>
        <w:gridCol w:w="742"/>
        <w:gridCol w:w="112"/>
        <w:gridCol w:w="742"/>
      </w:tblGrid>
      <w:tr w:rsidR="008223EE" w:rsidRPr="008223EE" w:rsidTr="008223EE">
        <w:trPr>
          <w:trHeight w:val="227"/>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Held at Amortised Cost</w:t>
            </w:r>
            <w:r w:rsidRPr="008223EE">
              <w:rPr>
                <w:rFonts w:ascii="Arial" w:eastAsia="Times New Roman" w:hAnsi="Arial" w:cs="Arial"/>
                <w:color w:val="000000"/>
                <w:sz w:val="16"/>
                <w:szCs w:val="16"/>
              </w:rPr>
              <w:t xml:space="preserve">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27"/>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35  </w:t>
            </w:r>
          </w:p>
        </w:tc>
        <w:tc>
          <w:tcPr>
            <w:tcW w:w="7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28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38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Residential mortgages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3,505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(31)</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3,474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3,651 </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1,671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(296)</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1,375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2,290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1,985  </w:t>
            </w:r>
          </w:p>
        </w:tc>
        <w:tc>
          <w:tcPr>
            <w:tcW w:w="7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(202)</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1,783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2,053 </w:t>
            </w:r>
          </w:p>
        </w:tc>
      </w:tr>
      <w:tr w:rsidR="008223EE" w:rsidRPr="008223EE" w:rsidTr="008223EE">
        <w:trPr>
          <w:trHeight w:val="227"/>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27"/>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27"/>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720" w:type="dxa"/>
        <w:tblInd w:w="-36" w:type="dxa"/>
        <w:tblCellMar>
          <w:left w:w="0" w:type="dxa"/>
          <w:right w:w="0" w:type="dxa"/>
        </w:tblCellMar>
        <w:tblLook w:val="04A0" w:firstRow="1" w:lastRow="0" w:firstColumn="1" w:lastColumn="0" w:noHBand="0" w:noVBand="1"/>
      </w:tblPr>
      <w:tblGrid>
        <w:gridCol w:w="1673"/>
        <w:gridCol w:w="770"/>
        <w:gridCol w:w="869"/>
        <w:gridCol w:w="688"/>
        <w:gridCol w:w="115"/>
        <w:gridCol w:w="590"/>
        <w:gridCol w:w="803"/>
        <w:gridCol w:w="820"/>
        <w:gridCol w:w="967"/>
        <w:gridCol w:w="934"/>
        <w:gridCol w:w="688"/>
        <w:gridCol w:w="115"/>
        <w:gridCol w:w="688"/>
      </w:tblGrid>
      <w:tr w:rsidR="008223EE" w:rsidRPr="008223EE" w:rsidTr="008223EE">
        <w:trPr>
          <w:trHeight w:val="128"/>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Contingent Liabilities and Commitments</w:t>
            </w:r>
          </w:p>
        </w:tc>
        <w:tc>
          <w:tcPr>
            <w:tcW w:w="63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5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27"/>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5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Residential mortgages</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52 </w:t>
            </w:r>
          </w:p>
        </w:tc>
      </w:tr>
      <w:tr w:rsidR="008223EE" w:rsidRPr="008223EE" w:rsidTr="008223EE">
        <w:trPr>
          <w:trHeight w:val="227"/>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889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1,101 </w:t>
            </w:r>
          </w:p>
        </w:tc>
      </w:tr>
      <w:tr w:rsidR="008223EE" w:rsidRPr="008223EE" w:rsidTr="008223EE">
        <w:trPr>
          <w:trHeight w:val="227"/>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1,673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1,377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93310B">
      <w:pPr>
        <w:spacing w:before="80" w:after="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Sovereign </w:t>
      </w:r>
    </w:p>
    <w:p w:rsidR="008223EE" w:rsidRPr="008223EE" w:rsidRDefault="008223EE" w:rsidP="0093310B">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£637m (2011: £810m) largely AFS government bonds. No impairment and £4m (2011: £159m) cumulative fair value loss held in the AFS reserve</w:t>
      </w:r>
    </w:p>
    <w:p w:rsidR="008223EE" w:rsidRPr="008223EE" w:rsidRDefault="008223EE" w:rsidP="0093310B">
      <w:pPr>
        <w:spacing w:before="80" w:after="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Residential mortgages</w:t>
      </w:r>
    </w:p>
    <w:p w:rsidR="008223EE" w:rsidRPr="008223EE" w:rsidRDefault="008223EE" w:rsidP="0093310B">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Secured on residential property with average balance weighted marked to market LTVs of 77.6% (2011: 69.6%). The higher LTV is reflected in a higher CRL coverage of 25% (2011: 14%)</w:t>
      </w:r>
    </w:p>
    <w:p w:rsidR="008223EE" w:rsidRPr="008223EE" w:rsidRDefault="008223EE" w:rsidP="0093310B">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90 day arrears rates remained stable at 0.7% (2011: 0.6%) while Recoveries Impairment Coverage improved to 25.6% (2011: 15.0%) driven by an increase in loss given default rates</w:t>
      </w:r>
    </w:p>
    <w:p w:rsidR="008223EE" w:rsidRPr="008223EE" w:rsidRDefault="008223EE" w:rsidP="0093310B">
      <w:pPr>
        <w:spacing w:before="80" w:after="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Corporate</w:t>
      </w:r>
    </w:p>
    <w:p w:rsidR="008223EE" w:rsidRPr="008223EE" w:rsidRDefault="008223EE" w:rsidP="0093310B">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Net lending to corporates of £1,375m (2011: £2,290m), with CRLs of £501m (2011: £443m), impairment allowance of £296m (2011: £194m) and CRL coverage of 59% (2011: 44%)</w:t>
      </w:r>
    </w:p>
    <w:p w:rsidR="008223EE" w:rsidRPr="008223EE" w:rsidRDefault="008223EE" w:rsidP="0093310B">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Net lending to the property and construction industry of £364m (2011: £541m) secured, in part, against real estate collateral, with CRLs of £275m (2011: £277m), impairment allowance of £149m (2011: £107m) and CRL coverage of 54% (2011: 39%)</w:t>
      </w:r>
    </w:p>
    <w:p w:rsidR="008223EE" w:rsidRPr="008223EE" w:rsidRDefault="008223EE" w:rsidP="0093310B">
      <w:pPr>
        <w:spacing w:before="80" w:after="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Other retail lending</w:t>
      </w:r>
    </w:p>
    <w:p w:rsidR="008223EE" w:rsidRPr="008223EE" w:rsidRDefault="008223EE" w:rsidP="0093310B">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£950m (2011: £1,052m) credit cards and unsecured loans. During 2012, arrears rates in cards portfolio deteriorated while charge-off rates improved</w:t>
      </w:r>
    </w:p>
    <w:p w:rsidR="008223EE" w:rsidRPr="008223EE" w:rsidRDefault="008223EE" w:rsidP="0093310B">
      <w:pPr>
        <w:spacing w:before="80" w:after="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CRL coverage of 74% (2011: 78%) driven by credit cards and unsecured loans exposure</w:t>
      </w:r>
    </w:p>
    <w:p w:rsidR="008223EE" w:rsidRPr="008223EE" w:rsidRDefault="008223EE" w:rsidP="0093310B">
      <w:pPr>
        <w:spacing w:before="80" w:after="80" w:line="240" w:lineRule="auto"/>
        <w:ind w:left="284" w:hanging="284"/>
        <w:jc w:val="both"/>
        <w:rPr>
          <w:rFonts w:ascii="Arial" w:eastAsia="Times New Roman" w:hAnsi="Arial" w:cs="Arial"/>
          <w:sz w:val="18"/>
          <w:szCs w:val="18"/>
        </w:rPr>
      </w:pPr>
      <w:r w:rsidRPr="008223EE">
        <w:rPr>
          <w:rFonts w:ascii="Arial" w:eastAsia="Times New Roman" w:hAnsi="Arial" w:cs="Arial"/>
          <w:sz w:val="18"/>
          <w:szCs w:val="18"/>
        </w:rPr>
        <w:lastRenderedPageBreak/>
        <w:t> </w:t>
      </w:r>
    </w:p>
    <w:p w:rsidR="008223EE" w:rsidRPr="008223EE" w:rsidRDefault="008223EE" w:rsidP="0093310B">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'Cost' refers to the fair value of the asset at recognition, less any impairment booked. 'AFS Reserve' is the cumulative fair value gain or loss on the assets that is held in equity. 'Total' is the fair value of the assets at the balance sheet date.</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Credit Risk</w:t>
      </w:r>
    </w:p>
    <w:tbl>
      <w:tblPr>
        <w:tblW w:w="9226" w:type="dxa"/>
        <w:tblInd w:w="-36" w:type="dxa"/>
        <w:tblLayout w:type="fixed"/>
        <w:tblCellMar>
          <w:left w:w="0" w:type="dxa"/>
          <w:right w:w="0" w:type="dxa"/>
        </w:tblCellMar>
        <w:tblLook w:val="04A0" w:firstRow="1" w:lastRow="0" w:firstColumn="1" w:lastColumn="0" w:noHBand="0" w:noVBand="1"/>
      </w:tblPr>
      <w:tblGrid>
        <w:gridCol w:w="1370"/>
        <w:gridCol w:w="622"/>
        <w:gridCol w:w="810"/>
        <w:gridCol w:w="773"/>
        <w:gridCol w:w="92"/>
        <w:gridCol w:w="597"/>
        <w:gridCol w:w="810"/>
        <w:gridCol w:w="802"/>
        <w:gridCol w:w="926"/>
        <w:gridCol w:w="935"/>
        <w:gridCol w:w="695"/>
        <w:gridCol w:w="99"/>
        <w:gridCol w:w="695"/>
      </w:tblGrid>
      <w:tr w:rsidR="008223EE" w:rsidRPr="008223EE" w:rsidTr="00A12E68">
        <w:trPr>
          <w:trHeight w:val="240"/>
        </w:trPr>
        <w:tc>
          <w:tcPr>
            <w:tcW w:w="13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4"/>
                <w:szCs w:val="24"/>
              </w:rPr>
              <w:t>Ireland</w:t>
            </w:r>
            <w:r w:rsidRPr="008223EE">
              <w:rPr>
                <w:rFonts w:ascii="Arial" w:eastAsia="Times New Roman" w:hAnsi="Arial" w:cs="Arial"/>
                <w:color w:val="000000"/>
                <w:sz w:val="16"/>
                <w:szCs w:val="16"/>
                <w:vertAlign w:val="superscript"/>
              </w:rPr>
              <w:t xml:space="preserve"> </w:t>
            </w:r>
          </w:p>
        </w:tc>
        <w:tc>
          <w:tcPr>
            <w:tcW w:w="622"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1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73"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2"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97"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1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802"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26"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35"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Designated at FV through P&amp;L</w:t>
            </w:r>
          </w:p>
        </w:tc>
        <w:tc>
          <w:tcPr>
            <w:tcW w:w="69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99"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A12E68">
        <w:trPr>
          <w:trHeight w:val="240"/>
        </w:trPr>
        <w:tc>
          <w:tcPr>
            <w:tcW w:w="13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4"/>
                <w:szCs w:val="24"/>
              </w:rPr>
              <w:t> </w:t>
            </w:r>
            <w:r w:rsidRPr="008223EE">
              <w:rPr>
                <w:rFonts w:ascii="Arial" w:eastAsia="Times New Roman" w:hAnsi="Arial" w:cs="Arial"/>
                <w:color w:val="000000"/>
                <w:sz w:val="16"/>
                <w:szCs w:val="16"/>
                <w:vertAlign w:val="superscript"/>
              </w:rPr>
              <w:t> </w:t>
            </w:r>
          </w:p>
        </w:tc>
        <w:tc>
          <w:tcPr>
            <w:tcW w:w="2205"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Trading Portfolio</w:t>
            </w:r>
          </w:p>
        </w:tc>
        <w:tc>
          <w:tcPr>
            <w:tcW w:w="92"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3135" w:type="dxa"/>
            <w:gridSpan w:val="4"/>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Derivatives</w:t>
            </w:r>
          </w:p>
        </w:tc>
        <w:tc>
          <w:tcPr>
            <w:tcW w:w="935"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95"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9"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95"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A12E68">
        <w:trPr>
          <w:trHeight w:val="240"/>
        </w:trPr>
        <w:tc>
          <w:tcPr>
            <w:tcW w:w="13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 xml:space="preserve">Fair Value through </w:t>
            </w:r>
            <w:r w:rsidRPr="008223EE">
              <w:rPr>
                <w:rFonts w:ascii="Arial" w:eastAsia="Times New Roman" w:hAnsi="Arial" w:cs="Arial"/>
                <w:color w:val="000000"/>
                <w:sz w:val="16"/>
                <w:szCs w:val="16"/>
                <w:vertAlign w:val="superscript"/>
              </w:rPr>
              <w:t> </w:t>
            </w:r>
          </w:p>
        </w:tc>
        <w:tc>
          <w:tcPr>
            <w:tcW w:w="622"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1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73"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97"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1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02"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Cash </w:t>
            </w:r>
          </w:p>
        </w:tc>
        <w:tc>
          <w:tcPr>
            <w:tcW w:w="926"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35"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95"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9"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95"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A12E68">
        <w:trPr>
          <w:trHeight w:val="240"/>
        </w:trPr>
        <w:tc>
          <w:tcPr>
            <w:tcW w:w="13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Profit and Loss</w:t>
            </w:r>
            <w:r w:rsidRPr="008223EE">
              <w:rPr>
                <w:rFonts w:ascii="Arial" w:eastAsia="Times New Roman" w:hAnsi="Arial" w:cs="Arial"/>
                <w:color w:val="000000"/>
                <w:sz w:val="16"/>
                <w:szCs w:val="16"/>
                <w:vertAlign w:val="superscript"/>
              </w:rPr>
              <w:t xml:space="preserve"> </w:t>
            </w:r>
          </w:p>
        </w:tc>
        <w:tc>
          <w:tcPr>
            <w:tcW w:w="62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Assets </w:t>
            </w:r>
          </w:p>
        </w:tc>
        <w:tc>
          <w:tcPr>
            <w:tcW w:w="81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Liabilities</w:t>
            </w:r>
          </w:p>
        </w:tc>
        <w:tc>
          <w:tcPr>
            <w:tcW w:w="773"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Net</w:t>
            </w:r>
          </w:p>
        </w:tc>
        <w:tc>
          <w:tcPr>
            <w:tcW w:w="9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97"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Assets</w:t>
            </w:r>
          </w:p>
        </w:tc>
        <w:tc>
          <w:tcPr>
            <w:tcW w:w="81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Liabilities </w:t>
            </w:r>
          </w:p>
        </w:tc>
        <w:tc>
          <w:tcPr>
            <w:tcW w:w="80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Collateral</w:t>
            </w:r>
          </w:p>
        </w:tc>
        <w:tc>
          <w:tcPr>
            <w:tcW w:w="926"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w:t>
            </w:r>
          </w:p>
        </w:tc>
        <w:tc>
          <w:tcPr>
            <w:tcW w:w="935"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95"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9"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95"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468"/>
        <w:gridCol w:w="623"/>
        <w:gridCol w:w="692"/>
        <w:gridCol w:w="818"/>
        <w:gridCol w:w="103"/>
        <w:gridCol w:w="562"/>
        <w:gridCol w:w="794"/>
        <w:gridCol w:w="714"/>
        <w:gridCol w:w="914"/>
        <w:gridCol w:w="818"/>
        <w:gridCol w:w="830"/>
        <w:gridCol w:w="103"/>
        <w:gridCol w:w="695"/>
      </w:tblGrid>
      <w:tr w:rsidR="008223EE" w:rsidRPr="008223EE" w:rsidTr="008223EE">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Sovereign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 </w:t>
            </w: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39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Financial institutions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1,003 </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(32)</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971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4,813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(3,828)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(985)</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582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1,553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1,561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170 </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(37)</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386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(35)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(198)</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153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52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Available for Sale Assets as at 31.12.12</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as at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350" w:type="dxa"/>
            <w:gridSpan w:val="2"/>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Cost</w:t>
            </w:r>
            <w:r w:rsidRPr="008223EE">
              <w:rPr>
                <w:rFonts w:ascii="Arial" w:eastAsia="Times New Roman" w:hAnsi="Arial" w:cs="Arial"/>
                <w:b/>
                <w:bCs/>
                <w:color w:val="000000"/>
                <w:sz w:val="13"/>
                <w:szCs w:val="13"/>
                <w:vertAlign w:val="superscript"/>
              </w:rPr>
              <w:t>1 </w:t>
            </w:r>
          </w:p>
        </w:tc>
        <w:tc>
          <w:tcPr>
            <w:tcW w:w="1695"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AFS Reserve</w:t>
            </w:r>
          </w:p>
        </w:tc>
        <w:tc>
          <w:tcPr>
            <w:tcW w:w="1560"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492"/>
        <w:gridCol w:w="673"/>
        <w:gridCol w:w="760"/>
        <w:gridCol w:w="674"/>
        <w:gridCol w:w="104"/>
        <w:gridCol w:w="517"/>
        <w:gridCol w:w="800"/>
        <w:gridCol w:w="703"/>
        <w:gridCol w:w="960"/>
        <w:gridCol w:w="817"/>
        <w:gridCol w:w="835"/>
        <w:gridCol w:w="104"/>
        <w:gridCol w:w="695"/>
      </w:tblGrid>
      <w:tr w:rsidR="008223EE" w:rsidRPr="008223EE" w:rsidTr="008223EE">
        <w:trPr>
          <w:trHeight w:val="240"/>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Fair Value through OCI</w:t>
            </w:r>
            <w:r w:rsidRPr="008223EE">
              <w:rPr>
                <w:rFonts w:ascii="Arial" w:eastAsia="Times New Roman" w:hAnsi="Arial" w:cs="Arial"/>
                <w:color w:val="000000"/>
                <w:sz w:val="16"/>
                <w:szCs w:val="16"/>
                <w:vertAlign w:val="superscript"/>
              </w:rPr>
              <w:t xml:space="preserve">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350"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1695"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560"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223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9  </w:t>
            </w:r>
          </w:p>
        </w:tc>
        <w:tc>
          <w:tcPr>
            <w:tcW w:w="73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205 </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63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249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4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40"/>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Loans and Advances as at 31.12.12</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Impairment</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Gross </w:t>
            </w:r>
            <w:r w:rsidRPr="008223EE">
              <w:rPr>
                <w:rFonts w:ascii="Arial" w:eastAsia="Times New Roman" w:hAnsi="Arial" w:cs="Arial"/>
                <w:b/>
                <w:bCs/>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Allowances</w:t>
            </w: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735"/>
        <w:gridCol w:w="735"/>
        <w:gridCol w:w="885"/>
        <w:gridCol w:w="855"/>
        <w:gridCol w:w="695"/>
        <w:gridCol w:w="105"/>
        <w:gridCol w:w="695"/>
      </w:tblGrid>
      <w:tr w:rsidR="008223EE" w:rsidRPr="008223EE" w:rsidTr="008223EE">
        <w:trPr>
          <w:trHeight w:val="240"/>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Held at Amortised Cost</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Financial institutions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2,309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(154)</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2,155 </w:t>
            </w: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2,501 </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Residential mortgages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122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94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866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830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925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Other retail lending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83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86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95"/>
        <w:gridCol w:w="630"/>
        <w:gridCol w:w="105"/>
        <w:gridCol w:w="540"/>
        <w:gridCol w:w="735"/>
        <w:gridCol w:w="735"/>
        <w:gridCol w:w="885"/>
        <w:gridCol w:w="855"/>
        <w:gridCol w:w="779"/>
        <w:gridCol w:w="142"/>
        <w:gridCol w:w="567"/>
      </w:tblGrid>
      <w:tr w:rsidR="008223EE" w:rsidRPr="008223EE" w:rsidTr="0093310B">
        <w:trPr>
          <w:trHeight w:val="240"/>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Contingent Liabilities and Commitments</w:t>
            </w:r>
          </w:p>
        </w:tc>
        <w:tc>
          <w:tcPr>
            <w:tcW w:w="630" w:type="dxa"/>
            <w:tcBorders>
              <w:top w:val="nil"/>
              <w:left w:val="nil"/>
              <w:bottom w:val="single" w:sz="8" w:space="0" w:color="808080"/>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79"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4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93310B">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r w:rsidRPr="008223EE">
              <w:rPr>
                <w:rFonts w:ascii="Arial" w:eastAsia="Times New Roman" w:hAnsi="Arial" w:cs="Arial"/>
                <w:color w:val="000000"/>
                <w:sz w:val="13"/>
                <w:szCs w:val="13"/>
                <w:vertAlign w:val="superscript"/>
              </w:rPr>
              <w:t>2 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7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628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702 </w:t>
            </w:r>
          </w:p>
        </w:tc>
      </w:tr>
      <w:tr w:rsidR="008223EE" w:rsidRPr="008223EE" w:rsidTr="0093310B">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Corporate </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7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1,007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872 </w:t>
            </w:r>
          </w:p>
        </w:tc>
      </w:tr>
      <w:tr w:rsidR="008223EE" w:rsidRPr="008223EE" w:rsidTr="0093310B">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tc>
        <w:tc>
          <w:tcPr>
            <w:tcW w:w="79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79"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 </w:t>
            </w:r>
          </w:p>
        </w:tc>
        <w:tc>
          <w:tcPr>
            <w:tcW w:w="14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6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r>
    </w:tbl>
    <w:p w:rsidR="008223EE" w:rsidRPr="008223EE" w:rsidRDefault="008223EE" w:rsidP="0093310B">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Financial institutions</w:t>
      </w:r>
    </w:p>
    <w:p w:rsidR="008223EE" w:rsidRPr="008223EE" w:rsidRDefault="008223EE" w:rsidP="0093310B">
      <w:pPr>
        <w:spacing w:before="100" w:after="10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Exposure focused on financial institutions with investment grade credit ratings</w:t>
      </w:r>
    </w:p>
    <w:p w:rsidR="008223EE" w:rsidRPr="008223EE" w:rsidRDefault="008223EE" w:rsidP="0093310B">
      <w:pPr>
        <w:spacing w:before="100" w:after="10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Exposure to Irish banks amounted to £102m (2011: £58m)</w:t>
      </w:r>
    </w:p>
    <w:p w:rsidR="008223EE" w:rsidRPr="008223EE" w:rsidRDefault="008223EE" w:rsidP="0093310B">
      <w:pPr>
        <w:spacing w:before="100" w:after="10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£1.4bn (2011: £1.3bn) of loans relate to issuers domiciled in Ireland whose principal business and exposures are outside of Ireland</w:t>
      </w:r>
    </w:p>
    <w:p w:rsidR="008223EE" w:rsidRPr="008223EE" w:rsidRDefault="008223EE" w:rsidP="0093310B">
      <w:pPr>
        <w:spacing w:before="100" w:after="10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b/>
          <w:bCs/>
          <w:sz w:val="18"/>
          <w:szCs w:val="18"/>
        </w:rPr>
        <w:t xml:space="preserve">Corporate </w:t>
      </w:r>
    </w:p>
    <w:p w:rsidR="008223EE" w:rsidRPr="008223EE" w:rsidRDefault="008223EE" w:rsidP="0093310B">
      <w:pPr>
        <w:spacing w:before="100" w:after="10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£830m (2011: £925m) net loans and advances, including a significant proportion to other multinational entities domiciled in Ireland, whose principal businesses and exposures are outside of Ireland </w:t>
      </w:r>
    </w:p>
    <w:p w:rsidR="008223EE" w:rsidRPr="008223EE" w:rsidRDefault="008223EE" w:rsidP="0093310B">
      <w:pPr>
        <w:spacing w:before="100" w:after="10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lastRenderedPageBreak/>
        <w:t>-     The portfolio continues to perform and has not been impacted materially by the decline in the property sector</w:t>
      </w:r>
    </w:p>
    <w:p w:rsidR="008223EE" w:rsidRPr="008223EE" w:rsidRDefault="008223EE" w:rsidP="0093310B">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93310B">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93310B">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93310B">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93310B">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93310B">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93310B">
      <w:pPr>
        <w:spacing w:after="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9331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'Cost' refers to the fair value of the asset at recognition, less any impairment booked. 'AFS Reserve' is the cumulative fair value gain or loss on the assets that is held in equity. 'Total' is the fair value of the assets at the balance sheet date.</w:t>
      </w:r>
    </w:p>
    <w:p w:rsidR="008223EE" w:rsidRPr="008223EE" w:rsidRDefault="008223EE" w:rsidP="0093310B">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The comparative figure has been restated following the re-designation of counterparties from the year end.</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Credit Risk</w:t>
      </w:r>
    </w:p>
    <w:tbl>
      <w:tblPr>
        <w:tblW w:w="9262" w:type="dxa"/>
        <w:tblInd w:w="-36" w:type="dxa"/>
        <w:tblLayout w:type="fixed"/>
        <w:tblCellMar>
          <w:left w:w="0" w:type="dxa"/>
          <w:right w:w="0" w:type="dxa"/>
        </w:tblCellMar>
        <w:tblLook w:val="04A0" w:firstRow="1" w:lastRow="0" w:firstColumn="1" w:lastColumn="0" w:noHBand="0" w:noVBand="1"/>
      </w:tblPr>
      <w:tblGrid>
        <w:gridCol w:w="1379"/>
        <w:gridCol w:w="622"/>
        <w:gridCol w:w="810"/>
        <w:gridCol w:w="805"/>
        <w:gridCol w:w="92"/>
        <w:gridCol w:w="597"/>
        <w:gridCol w:w="810"/>
        <w:gridCol w:w="802"/>
        <w:gridCol w:w="676"/>
        <w:gridCol w:w="992"/>
        <w:gridCol w:w="709"/>
        <w:gridCol w:w="142"/>
        <w:gridCol w:w="826"/>
      </w:tblGrid>
      <w:tr w:rsidR="008223EE" w:rsidRPr="008223EE" w:rsidTr="00A12E68">
        <w:trPr>
          <w:trHeight w:val="315"/>
        </w:trPr>
        <w:tc>
          <w:tcPr>
            <w:tcW w:w="1379"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Cyprus</w:t>
            </w:r>
          </w:p>
        </w:tc>
        <w:tc>
          <w:tcPr>
            <w:tcW w:w="622"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1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2"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97"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1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802"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76"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992"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Designated at FV through P&amp;L</w:t>
            </w:r>
          </w:p>
        </w:tc>
        <w:tc>
          <w:tcPr>
            <w:tcW w:w="709"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42"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26"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A12E68">
        <w:trPr>
          <w:trHeight w:val="315"/>
        </w:trPr>
        <w:tc>
          <w:tcPr>
            <w:tcW w:w="1379"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237"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Trading Portfolio</w:t>
            </w:r>
          </w:p>
        </w:tc>
        <w:tc>
          <w:tcPr>
            <w:tcW w:w="92"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885" w:type="dxa"/>
            <w:gridSpan w:val="4"/>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Derivatives</w:t>
            </w:r>
          </w:p>
        </w:tc>
        <w:tc>
          <w:tcPr>
            <w:tcW w:w="992"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709"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4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6"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A12E68">
        <w:trPr>
          <w:trHeight w:val="240"/>
        </w:trPr>
        <w:tc>
          <w:tcPr>
            <w:tcW w:w="1379"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Fair Value through </w:t>
            </w:r>
          </w:p>
        </w:tc>
        <w:tc>
          <w:tcPr>
            <w:tcW w:w="622"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1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0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97"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1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802"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Cash </w:t>
            </w:r>
          </w:p>
        </w:tc>
        <w:tc>
          <w:tcPr>
            <w:tcW w:w="676"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92"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709"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4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6"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A12E68">
        <w:trPr>
          <w:trHeight w:val="240"/>
        </w:trPr>
        <w:tc>
          <w:tcPr>
            <w:tcW w:w="1379"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Profit and Loss</w:t>
            </w:r>
          </w:p>
        </w:tc>
        <w:tc>
          <w:tcPr>
            <w:tcW w:w="62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Assets </w:t>
            </w:r>
          </w:p>
        </w:tc>
        <w:tc>
          <w:tcPr>
            <w:tcW w:w="81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Liabilities</w:t>
            </w:r>
          </w:p>
        </w:tc>
        <w:tc>
          <w:tcPr>
            <w:tcW w:w="8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Net</w:t>
            </w:r>
          </w:p>
        </w:tc>
        <w:tc>
          <w:tcPr>
            <w:tcW w:w="9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97"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Assets</w:t>
            </w:r>
          </w:p>
        </w:tc>
        <w:tc>
          <w:tcPr>
            <w:tcW w:w="81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Liabilities </w:t>
            </w:r>
          </w:p>
        </w:tc>
        <w:tc>
          <w:tcPr>
            <w:tcW w:w="80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Collateral</w:t>
            </w:r>
          </w:p>
        </w:tc>
        <w:tc>
          <w:tcPr>
            <w:tcW w:w="676"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w:t>
            </w:r>
          </w:p>
        </w:tc>
        <w:tc>
          <w:tcPr>
            <w:tcW w:w="992"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709"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4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26" w:type="dxa"/>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Layout w:type="fixed"/>
        <w:tblCellMar>
          <w:left w:w="0" w:type="dxa"/>
          <w:right w:w="0" w:type="dxa"/>
        </w:tblCellMar>
        <w:tblLook w:val="04A0" w:firstRow="1" w:lastRow="0" w:firstColumn="1" w:lastColumn="0" w:noHBand="0" w:noVBand="1"/>
      </w:tblPr>
      <w:tblGrid>
        <w:gridCol w:w="1491"/>
        <w:gridCol w:w="612"/>
        <w:gridCol w:w="697"/>
        <w:gridCol w:w="825"/>
        <w:gridCol w:w="104"/>
        <w:gridCol w:w="534"/>
        <w:gridCol w:w="771"/>
        <w:gridCol w:w="612"/>
        <w:gridCol w:w="960"/>
        <w:gridCol w:w="825"/>
        <w:gridCol w:w="904"/>
        <w:gridCol w:w="104"/>
        <w:gridCol w:w="695"/>
      </w:tblGrid>
      <w:tr w:rsidR="008223EE" w:rsidRPr="008223EE" w:rsidTr="00A12E68">
        <w:trPr>
          <w:trHeight w:val="240"/>
        </w:trPr>
        <w:tc>
          <w:tcPr>
            <w:tcW w:w="1491"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12"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697"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4"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34"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71"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612"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04"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4"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9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A12E68">
        <w:trPr>
          <w:trHeight w:val="240"/>
        </w:trPr>
        <w:tc>
          <w:tcPr>
            <w:tcW w:w="1491"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61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4"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34"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102 </w:t>
            </w:r>
          </w:p>
        </w:tc>
        <w:tc>
          <w:tcPr>
            <w:tcW w:w="771"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(102) </w:t>
            </w:r>
          </w:p>
        </w:tc>
        <w:tc>
          <w:tcPr>
            <w:tcW w:w="612"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6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04"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r>
      <w:tr w:rsidR="008223EE" w:rsidRPr="008223EE" w:rsidTr="00A12E68">
        <w:trPr>
          <w:trHeight w:val="240"/>
        </w:trPr>
        <w:tc>
          <w:tcPr>
            <w:tcW w:w="1491"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1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9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3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 </w:t>
            </w:r>
          </w:p>
        </w:tc>
        <w:tc>
          <w:tcPr>
            <w:tcW w:w="77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(8) </w:t>
            </w:r>
          </w:p>
        </w:tc>
        <w:tc>
          <w:tcPr>
            <w:tcW w:w="61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w:t>
            </w: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 </w:t>
            </w: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90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12 </w:t>
            </w: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 </w:t>
            </w:r>
          </w:p>
        </w:tc>
      </w:tr>
      <w:tr w:rsidR="008223EE" w:rsidRPr="008223EE" w:rsidTr="00A12E68">
        <w:trPr>
          <w:trHeight w:val="240"/>
        </w:trPr>
        <w:tc>
          <w:tcPr>
            <w:tcW w:w="1491"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1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97"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3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7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1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6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9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A12E68">
        <w:trPr>
          <w:trHeight w:val="240"/>
        </w:trPr>
        <w:tc>
          <w:tcPr>
            <w:tcW w:w="362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606" w:type="dxa"/>
            <w:gridSpan w:val="6"/>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Loans and Advances as at 31.12.12</w:t>
            </w: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9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A12E68">
        <w:trPr>
          <w:trHeight w:val="240"/>
        </w:trPr>
        <w:tc>
          <w:tcPr>
            <w:tcW w:w="1491"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12"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97"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34"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71"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572"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Impairment</w:t>
            </w:r>
          </w:p>
        </w:tc>
        <w:tc>
          <w:tcPr>
            <w:tcW w:w="82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04"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9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A12E68">
        <w:trPr>
          <w:trHeight w:val="240"/>
        </w:trPr>
        <w:tc>
          <w:tcPr>
            <w:tcW w:w="1491"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12"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97"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2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34"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71"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Gross </w:t>
            </w:r>
            <w:r w:rsidRPr="008223EE">
              <w:rPr>
                <w:rFonts w:ascii="Arial" w:eastAsia="Times New Roman" w:hAnsi="Arial" w:cs="Arial"/>
                <w:b/>
                <w:bCs/>
                <w:color w:val="000000"/>
                <w:sz w:val="13"/>
                <w:szCs w:val="13"/>
                <w:vertAlign w:val="superscript"/>
              </w:rPr>
              <w:t> </w:t>
            </w:r>
          </w:p>
        </w:tc>
        <w:tc>
          <w:tcPr>
            <w:tcW w:w="61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6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Allowances</w:t>
            </w:r>
          </w:p>
        </w:tc>
        <w:tc>
          <w:tcPr>
            <w:tcW w:w="82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04"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9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675"/>
        <w:gridCol w:w="735"/>
        <w:gridCol w:w="885"/>
        <w:gridCol w:w="855"/>
        <w:gridCol w:w="695"/>
        <w:gridCol w:w="105"/>
        <w:gridCol w:w="695"/>
      </w:tblGrid>
      <w:tr w:rsidR="008223EE" w:rsidRPr="008223EE" w:rsidTr="008223EE">
        <w:trPr>
          <w:trHeight w:val="240"/>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Held at Amortised Cost</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8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 </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Residential mortgages</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44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44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51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94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117 </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26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26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Calibri" w:eastAsia="Times New Roman" w:hAnsi="Calibri" w:cs="Calibri"/>
                <w:color w:val="000000"/>
              </w:rPr>
              <w:t> </w:t>
            </w:r>
            <w:r w:rsidRPr="008223EE">
              <w:rPr>
                <w:rFonts w:ascii="Calibri" w:eastAsia="Times New Roman" w:hAnsi="Calibri" w:cs="Calibri"/>
                <w:color w:val="000000"/>
                <w:sz w:val="18"/>
                <w:szCs w:val="18"/>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675"/>
        <w:gridCol w:w="735"/>
        <w:gridCol w:w="885"/>
        <w:gridCol w:w="855"/>
        <w:gridCol w:w="630"/>
        <w:gridCol w:w="105"/>
        <w:gridCol w:w="738"/>
      </w:tblGrid>
      <w:tr w:rsidR="008223EE" w:rsidRPr="008223EE" w:rsidTr="00A12E68">
        <w:trPr>
          <w:trHeight w:val="240"/>
        </w:trPr>
        <w:tc>
          <w:tcPr>
            <w:tcW w:w="3735" w:type="dxa"/>
            <w:gridSpan w:val="4"/>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Contingent Liabilities and Commitments</w:t>
            </w: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38"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A12E68">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7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8"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107 </w:t>
            </w:r>
          </w:p>
        </w:tc>
      </w:tr>
      <w:tr w:rsidR="008223EE" w:rsidRPr="008223EE" w:rsidTr="00A12E68">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37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8"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20 </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375"/>
        <w:gridCol w:w="622"/>
        <w:gridCol w:w="810"/>
        <w:gridCol w:w="672"/>
        <w:gridCol w:w="99"/>
        <w:gridCol w:w="597"/>
        <w:gridCol w:w="810"/>
        <w:gridCol w:w="802"/>
        <w:gridCol w:w="923"/>
        <w:gridCol w:w="935"/>
        <w:gridCol w:w="695"/>
        <w:gridCol w:w="99"/>
        <w:gridCol w:w="695"/>
      </w:tblGrid>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Greece</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Designated at FV through P&amp;L</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130"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Trading Portfolio</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3120" w:type="dxa"/>
            <w:gridSpan w:val="4"/>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Derivatives</w:t>
            </w: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Fair Value through </w:t>
            </w:r>
          </w:p>
        </w:tc>
        <w:tc>
          <w:tcPr>
            <w:tcW w:w="63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54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Cash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40"/>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Profit and Loss</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Assets </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Liabilities</w:t>
            </w: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Net</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Assets</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Liabilities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Collateral</w:t>
            </w: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w:t>
            </w: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486"/>
        <w:gridCol w:w="609"/>
        <w:gridCol w:w="694"/>
        <w:gridCol w:w="819"/>
        <w:gridCol w:w="103"/>
        <w:gridCol w:w="562"/>
        <w:gridCol w:w="789"/>
        <w:gridCol w:w="719"/>
        <w:gridCol w:w="917"/>
        <w:gridCol w:w="819"/>
        <w:gridCol w:w="819"/>
        <w:gridCol w:w="103"/>
        <w:gridCol w:w="695"/>
      </w:tblGrid>
      <w:tr w:rsidR="008223EE" w:rsidRPr="008223EE" w:rsidTr="008223EE">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1,181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(231)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(950)</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Available for Sale Assets as at 31.12.12</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350" w:type="dxa"/>
            <w:gridSpan w:val="2"/>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Cost</w:t>
            </w:r>
            <w:r w:rsidRPr="008223EE">
              <w:rPr>
                <w:rFonts w:ascii="Arial" w:eastAsia="Times New Roman" w:hAnsi="Arial" w:cs="Arial"/>
                <w:b/>
                <w:bCs/>
                <w:color w:val="000000"/>
                <w:sz w:val="13"/>
                <w:szCs w:val="13"/>
                <w:vertAlign w:val="superscript"/>
              </w:rPr>
              <w:t>1 </w:t>
            </w:r>
          </w:p>
        </w:tc>
        <w:tc>
          <w:tcPr>
            <w:tcW w:w="1695"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AFS Reserve</w:t>
            </w:r>
          </w:p>
        </w:tc>
        <w:tc>
          <w:tcPr>
            <w:tcW w:w="1560" w:type="dxa"/>
            <w:gridSpan w:val="2"/>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483"/>
        <w:gridCol w:w="681"/>
        <w:gridCol w:w="689"/>
        <w:gridCol w:w="746"/>
        <w:gridCol w:w="104"/>
        <w:gridCol w:w="517"/>
        <w:gridCol w:w="800"/>
        <w:gridCol w:w="703"/>
        <w:gridCol w:w="960"/>
        <w:gridCol w:w="817"/>
        <w:gridCol w:w="835"/>
        <w:gridCol w:w="104"/>
        <w:gridCol w:w="695"/>
      </w:tblGrid>
      <w:tr w:rsidR="008223EE" w:rsidRPr="008223EE" w:rsidTr="008223EE">
        <w:trPr>
          <w:trHeight w:val="240"/>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Fair Value through OCI</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350"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169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223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Sovereign</w:t>
            </w: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4755" w:type="dxa"/>
            <w:gridSpan w:val="6"/>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Loans and Advances as at 31.12.12</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Impairment</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Gross </w:t>
            </w:r>
            <w:r w:rsidRPr="008223EE">
              <w:rPr>
                <w:rFonts w:ascii="Arial" w:eastAsia="Times New Roman" w:hAnsi="Arial" w:cs="Arial"/>
                <w:b/>
                <w:bCs/>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Allowances</w:t>
            </w: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735"/>
        <w:gridCol w:w="735"/>
        <w:gridCol w:w="885"/>
        <w:gridCol w:w="855"/>
        <w:gridCol w:w="695"/>
        <w:gridCol w:w="105"/>
        <w:gridCol w:w="695"/>
      </w:tblGrid>
      <w:tr w:rsidR="008223EE" w:rsidRPr="008223EE" w:rsidTr="008223EE">
        <w:trPr>
          <w:trHeight w:val="240"/>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Held at Amortised Cost</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223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Residential mortgages</w:t>
            </w:r>
          </w:p>
        </w:tc>
        <w:tc>
          <w:tcPr>
            <w:tcW w:w="7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8  </w:t>
            </w:r>
          </w:p>
        </w:tc>
        <w:tc>
          <w:tcPr>
            <w:tcW w:w="73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58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58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64 </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22  </w:t>
            </w:r>
          </w:p>
        </w:tc>
        <w:tc>
          <w:tcPr>
            <w:tcW w:w="73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8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(13)</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9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18 </w:t>
            </w:r>
          </w:p>
        </w:tc>
      </w:tr>
      <w:tr w:rsidR="008223EE" w:rsidRPr="008223EE" w:rsidTr="008223EE">
        <w:trPr>
          <w:trHeight w:val="255"/>
        </w:trPr>
        <w:tc>
          <w:tcPr>
            <w:tcW w:w="15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3735" w:type="dxa"/>
            <w:gridSpan w:val="4"/>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7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735"/>
        <w:gridCol w:w="735"/>
        <w:gridCol w:w="885"/>
        <w:gridCol w:w="855"/>
        <w:gridCol w:w="630"/>
        <w:gridCol w:w="105"/>
        <w:gridCol w:w="630"/>
      </w:tblGrid>
      <w:tr w:rsidR="008223EE" w:rsidRPr="008223EE" w:rsidTr="008223EE">
        <w:trPr>
          <w:trHeight w:val="240"/>
        </w:trPr>
        <w:tc>
          <w:tcPr>
            <w:tcW w:w="3735" w:type="dxa"/>
            <w:gridSpan w:val="4"/>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Contingent Liabilities and Commitments</w:t>
            </w: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institutions</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 </w:t>
            </w:r>
          </w:p>
        </w:tc>
      </w:tr>
      <w:tr w:rsidR="008223EE" w:rsidRPr="008223EE" w:rsidTr="008223EE">
        <w:trPr>
          <w:trHeight w:val="240"/>
        </w:trPr>
        <w:tc>
          <w:tcPr>
            <w:tcW w:w="15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Corporate</w:t>
            </w: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 </w:t>
            </w:r>
          </w:p>
        </w:tc>
      </w:tr>
      <w:tr w:rsidR="008223EE" w:rsidRPr="008223EE" w:rsidTr="008223EE">
        <w:trPr>
          <w:trHeight w:val="240"/>
        </w:trPr>
        <w:tc>
          <w:tcPr>
            <w:tcW w:w="223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retail lending</w:t>
            </w:r>
          </w:p>
        </w:tc>
        <w:tc>
          <w:tcPr>
            <w:tcW w:w="7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0"/>
                <w:szCs w:val="20"/>
              </w:rPr>
              <w:t> </w:t>
            </w:r>
            <w:r w:rsidRPr="008223EE">
              <w:rPr>
                <w:rFonts w:ascii="Arial" w:eastAsia="Times New Roman" w:hAnsi="Arial" w:cs="Arial"/>
                <w:color w:val="000000"/>
                <w:sz w:val="16"/>
                <w:szCs w:val="16"/>
                <w:vertAlign w:val="superscript"/>
              </w:rPr>
              <w:t> </w:t>
            </w:r>
          </w:p>
        </w:tc>
        <w:tc>
          <w:tcPr>
            <w:tcW w:w="73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3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22 </w:t>
            </w:r>
          </w:p>
        </w:tc>
      </w:tr>
      <w:tr w:rsidR="008223EE" w:rsidRPr="008223EE" w:rsidTr="008223EE">
        <w:tc>
          <w:tcPr>
            <w:tcW w:w="153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0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8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54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3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73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88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85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3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0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3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F5F56">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'Cost' refers to the fair value of the asset at recognition, less any impairment booked. 'AFS Reserve' is the cumulative fair value gain or loss on the assets that is held in equity. 'Total' is the fair value of the assets at the balance sheet date.</w:t>
      </w:r>
    </w:p>
    <w:p w:rsidR="008223EE" w:rsidRPr="008223EE" w:rsidRDefault="008223EE" w:rsidP="008223EE">
      <w:pPr>
        <w:spacing w:after="180" w:line="240" w:lineRule="auto"/>
        <w:jc w:val="both"/>
        <w:rPr>
          <w:rFonts w:ascii="Arial" w:eastAsia="Times New Roman" w:hAnsi="Arial" w:cs="Arial"/>
          <w:b/>
          <w:bCs/>
          <w:i/>
          <w:iCs/>
          <w:color w:val="000000"/>
          <w:sz w:val="24"/>
          <w:szCs w:val="24"/>
        </w:rPr>
      </w:pPr>
      <w:r w:rsidRPr="008223EE">
        <w:rPr>
          <w:rFonts w:ascii="Arial" w:eastAsia="Times New Roman" w:hAnsi="Arial" w:cs="Arial"/>
          <w:i/>
          <w:iCs/>
          <w:color w:val="000000"/>
          <w:sz w:val="20"/>
          <w:szCs w:val="20"/>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Credit Risk</w:t>
      </w:r>
    </w:p>
    <w:p w:rsidR="008223EE" w:rsidRPr="008223EE" w:rsidRDefault="008223EE" w:rsidP="008223EE">
      <w:pPr>
        <w:spacing w:before="20" w:after="20" w:line="240" w:lineRule="auto"/>
        <w:jc w:val="both"/>
        <w:rPr>
          <w:rFonts w:ascii="Arial" w:eastAsia="Times New Roman" w:hAnsi="Arial" w:cs="Arial"/>
          <w:b/>
          <w:bCs/>
          <w:i/>
          <w:iCs/>
          <w:sz w:val="14"/>
          <w:szCs w:val="14"/>
        </w:rPr>
      </w:pPr>
      <w:r w:rsidRPr="008223EE">
        <w:rPr>
          <w:rFonts w:ascii="Arial" w:eastAsia="Times New Roman" w:hAnsi="Arial" w:cs="Arial"/>
          <w:b/>
          <w:bCs/>
          <w:color w:val="000000"/>
          <w:sz w:val="20"/>
          <w:szCs w:val="20"/>
        </w:rPr>
        <w:t>Credit Derivatives Referencing Eurozone Sovereign Debt</w:t>
      </w:r>
    </w:p>
    <w:p w:rsidR="008223EE" w:rsidRPr="008223EE" w:rsidRDefault="008223EE" w:rsidP="008F5F56">
      <w:pPr>
        <w:spacing w:before="180" w:after="1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Group enters into credit mitigation arrangements (principally credit default swaps and total return swaps) for which the reference asset is government debt. For Spain, Italy and Portugal, these have the net effect of reducing the Group's exposure in the event of sovereign default</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065"/>
        <w:gridCol w:w="855"/>
        <w:gridCol w:w="840"/>
        <w:gridCol w:w="840"/>
        <w:gridCol w:w="840"/>
        <w:gridCol w:w="840"/>
        <w:gridCol w:w="840"/>
      </w:tblGrid>
      <w:tr w:rsidR="008223EE" w:rsidRPr="008223EE" w:rsidTr="008223EE">
        <w:trPr>
          <w:trHeight w:val="240"/>
        </w:trPr>
        <w:tc>
          <w:tcPr>
            <w:tcW w:w="406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85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Spain</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Italy</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Portugal</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Ireland</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Cyprus</w:t>
            </w:r>
          </w:p>
        </w:tc>
        <w:tc>
          <w:tcPr>
            <w:tcW w:w="84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Greece</w:t>
            </w:r>
          </w:p>
        </w:tc>
      </w:tr>
      <w:tr w:rsidR="008223EE" w:rsidRPr="008223EE" w:rsidTr="008223EE">
        <w:trPr>
          <w:trHeight w:val="175"/>
        </w:trPr>
        <w:tc>
          <w:tcPr>
            <w:tcW w:w="406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40"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40"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40"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40"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840" w:type="dxa"/>
            <w:tcBorders>
              <w:top w:val="nil"/>
              <w:left w:val="nil"/>
              <w:bottom w:val="single" w:sz="8" w:space="0" w:color="A5A5A5"/>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4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Fair value</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Bought</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165 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289 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119 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Sold</w:t>
            </w: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(149)</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(223)</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17"/>
        </w:trPr>
        <w:tc>
          <w:tcPr>
            <w:tcW w:w="4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Net derivative fair value</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66 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r>
      <w:tr w:rsidR="008223EE" w:rsidRPr="008223EE" w:rsidTr="008223EE">
        <w:trPr>
          <w:trHeight w:val="221"/>
        </w:trPr>
        <w:tc>
          <w:tcPr>
            <w:tcW w:w="40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Contract notional amount</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40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Bought</w:t>
            </w: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(2,550)</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(3,943)</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(1,118)</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(1,006)</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w:t>
            </w: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Sold</w:t>
            </w: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2,412 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3,570 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1,020 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1,060 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4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Net derivative notional amount</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(138)</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(373)</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(98)</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54 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r>
      <w:tr w:rsidR="008223EE" w:rsidRPr="008223EE" w:rsidTr="008223EE">
        <w:trPr>
          <w:trHeight w:val="240"/>
        </w:trPr>
        <w:tc>
          <w:tcPr>
            <w:tcW w:w="4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480"/>
        </w:trPr>
        <w:tc>
          <w:tcPr>
            <w:tcW w:w="40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Net (protection)/exposure from credit derivatives in the event of sovereign default (notional less fair value)</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(122)</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(307)</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(88)</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tc>
      </w:tr>
      <w:tr w:rsidR="008223EE" w:rsidRPr="008223EE" w:rsidTr="008223EE">
        <w:trPr>
          <w:trHeight w:val="122"/>
        </w:trPr>
        <w:tc>
          <w:tcPr>
            <w:tcW w:w="4065" w:type="dxa"/>
            <w:tcMar>
              <w:top w:w="0" w:type="dxa"/>
              <w:left w:w="36" w:type="dxa"/>
              <w:bottom w:w="0" w:type="dxa"/>
              <w:right w:w="36" w:type="dxa"/>
            </w:tcMar>
            <w:hideMark/>
          </w:tcPr>
          <w:p w:rsidR="008223EE" w:rsidRPr="008223EE" w:rsidRDefault="008223EE" w:rsidP="008223EE">
            <w:pPr>
              <w:spacing w:after="0" w:line="240" w:lineRule="auto"/>
              <w:jc w:val="both"/>
              <w:rPr>
                <w:rFonts w:ascii="Arial" w:eastAsia="Times New Roman" w:hAnsi="Arial" w:cs="Arial"/>
                <w:b/>
                <w:bCs/>
                <w:sz w:val="2"/>
                <w:szCs w:val="2"/>
              </w:rPr>
            </w:pPr>
          </w:p>
        </w:tc>
        <w:tc>
          <w:tcPr>
            <w:tcW w:w="85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84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194"/>
        </w:trPr>
        <w:tc>
          <w:tcPr>
            <w:tcW w:w="40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855"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840" w:type="dxa"/>
            <w:tcBorders>
              <w:top w:val="nil"/>
              <w:left w:val="nil"/>
              <w:bottom w:val="single" w:sz="8" w:space="0" w:color="A5A5A5"/>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480"/>
        </w:trPr>
        <w:tc>
          <w:tcPr>
            <w:tcW w:w="4065" w:type="dxa"/>
            <w:tcBorders>
              <w:top w:val="nil"/>
              <w:left w:val="nil"/>
              <w:bottom w:val="nil"/>
              <w:right w:val="nil"/>
            </w:tcBorders>
            <w:tcMar>
              <w:top w:w="0" w:type="dxa"/>
              <w:left w:w="36" w:type="dxa"/>
              <w:bottom w:w="0" w:type="dxa"/>
              <w:right w:w="36" w:type="dxa"/>
            </w:tcMar>
            <w:hideMark/>
          </w:tcPr>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color w:val="000000"/>
                <w:sz w:val="16"/>
                <w:szCs w:val="16"/>
              </w:rPr>
              <w:t>Net (protection)/exposure from credit derivatives in the event of sovereign default (notional less fair value)</w:t>
            </w:r>
          </w:p>
        </w:tc>
        <w:tc>
          <w:tcPr>
            <w:tcW w:w="85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(374)</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8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F5F56">
      <w:pPr>
        <w:spacing w:before="60" w:after="180" w:line="240" w:lineRule="auto"/>
        <w:ind w:left="284" w:hanging="284"/>
        <w:jc w:val="both"/>
        <w:rPr>
          <w:rFonts w:ascii="Arial" w:eastAsia="Times New Roman" w:hAnsi="Arial" w:cs="Arial"/>
          <w:sz w:val="20"/>
          <w:szCs w:val="20"/>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Credit derivatives are contracts whereby the default risk of an asset (reference asset) is transferred from the buyer to the seller of the credit derivative contract</w:t>
      </w:r>
    </w:p>
    <w:p w:rsidR="008223EE" w:rsidRPr="008223EE" w:rsidRDefault="008223EE" w:rsidP="008F5F56">
      <w:pPr>
        <w:spacing w:before="180" w:after="180" w:line="240" w:lineRule="auto"/>
        <w:ind w:left="284" w:hanging="284"/>
        <w:jc w:val="both"/>
        <w:rPr>
          <w:rFonts w:ascii="Arial" w:eastAsia="Times New Roman" w:hAnsi="Arial" w:cs="Arial"/>
          <w:sz w:val="20"/>
          <w:szCs w:val="20"/>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Credit derivatives referencing sovereign assets are bought and sold to support client transactions and for risk management purposes</w:t>
      </w:r>
    </w:p>
    <w:p w:rsidR="008223EE" w:rsidRPr="008223EE" w:rsidRDefault="008223EE" w:rsidP="008F5F56">
      <w:pPr>
        <w:spacing w:before="180" w:after="180" w:line="240" w:lineRule="auto"/>
        <w:ind w:left="284" w:hanging="284"/>
        <w:jc w:val="both"/>
        <w:rPr>
          <w:rFonts w:ascii="Arial" w:eastAsia="Times New Roman" w:hAnsi="Arial" w:cs="Arial"/>
          <w:sz w:val="20"/>
          <w:szCs w:val="20"/>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contract notional amount represents the size of the credit derivative contracts that have been bought or sold, while the fair value represents the change in the value of the reference asset</w:t>
      </w:r>
    </w:p>
    <w:p w:rsidR="008223EE" w:rsidRPr="008223EE" w:rsidRDefault="008223EE" w:rsidP="008F5F56">
      <w:pPr>
        <w:spacing w:before="180" w:after="180" w:line="240" w:lineRule="auto"/>
        <w:ind w:left="284" w:hanging="284"/>
        <w:jc w:val="both"/>
        <w:rPr>
          <w:rFonts w:ascii="Arial" w:eastAsia="Times New Roman" w:hAnsi="Arial" w:cs="Arial"/>
          <w:sz w:val="20"/>
          <w:szCs w:val="20"/>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net protection or exposure from credit derivatives in the event of sovereign default amount represents a net purchase or sale of insurance by the Group. This insurance reduces or increases the Group's total exposure and should be considered alongside the direct exposures disclosed in the preceding pages</w:t>
      </w:r>
    </w:p>
    <w:p w:rsidR="008223EE" w:rsidRPr="008223EE" w:rsidRDefault="008223EE" w:rsidP="008F5F56">
      <w:pPr>
        <w:spacing w:before="180" w:after="180" w:line="240" w:lineRule="auto"/>
        <w:ind w:left="284" w:hanging="284"/>
        <w:jc w:val="both"/>
        <w:rPr>
          <w:rFonts w:ascii="Arial" w:eastAsia="Times New Roman" w:hAnsi="Arial" w:cs="Arial"/>
          <w:sz w:val="20"/>
          <w:szCs w:val="20"/>
        </w:rPr>
      </w:pPr>
      <w:r w:rsidRPr="008223EE">
        <w:rPr>
          <w:rFonts w:ascii="Wingdings 2" w:eastAsia="Times New Roman" w:hAnsi="Wingdings 2" w:cs="Arial"/>
          <w:sz w:val="18"/>
          <w:szCs w:val="18"/>
        </w:rPr>
        <w:lastRenderedPageBreak/>
        <w:t></w:t>
      </w:r>
      <w:r w:rsidRPr="008223EE">
        <w:rPr>
          <w:rFonts w:ascii="Wingdings 2" w:eastAsia="Times New Roman" w:hAnsi="Wingdings 2" w:cs="Arial"/>
          <w:sz w:val="18"/>
          <w:szCs w:val="18"/>
        </w:rPr>
        <w:t></w:t>
      </w:r>
      <w:r w:rsidRPr="008223EE">
        <w:rPr>
          <w:rFonts w:ascii="Arial" w:eastAsia="Times New Roman" w:hAnsi="Arial" w:cs="Arial"/>
          <w:sz w:val="18"/>
          <w:szCs w:val="18"/>
        </w:rPr>
        <w:t>In addition, the Group has indirect sovereign exposure through the guarantee of certain savings and investment funds, which hold a proportion of their assets in sovereign debt. As at 31 December 2012, the net liability in respect of these guarantees was £33m (31 December 2011: £41m)</w:t>
      </w:r>
    </w:p>
    <w:p w:rsidR="008223EE" w:rsidRPr="008223EE" w:rsidRDefault="008223EE" w:rsidP="008223EE">
      <w:pPr>
        <w:spacing w:before="18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Eurozone Balance Sheet Redenomination Risk</w:t>
      </w:r>
    </w:p>
    <w:p w:rsidR="008223EE" w:rsidRPr="008223EE" w:rsidRDefault="008223EE" w:rsidP="008F5F5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Redenomination risk is the risk of financial loss to the Group should one or more countries exit the Euro, leading to a potentially different valuation of local balance sheet assets and liabilities. The Group is directly exposed to redenomination risk where there could be a different value for locally denominated assets and liabilities</w:t>
      </w:r>
    </w:p>
    <w:p w:rsidR="008223EE" w:rsidRPr="008223EE" w:rsidRDefault="008223EE" w:rsidP="008F5F5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Within Barclays, retail banking, corporate banking and wealth management activities in the Eurozone are generally booked locally within each country. Locally booked customer assets and liabilities, primarily loans and advances to customers and customer deposits, are predominantly denominated in Euros. The remaining funding need is met through local funding secured against customer loans and advances, with any residual need funded through the Group</w:t>
      </w:r>
    </w:p>
    <w:p w:rsidR="008223EE" w:rsidRPr="008223EE" w:rsidRDefault="008223EE" w:rsidP="008F5F5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During 2012, a series of mitigating actions was taken to reduce local net funding mismatches primarily by raising local liabilities in Spain, Portugal and Italy. These actions included the drawdown of €8.2bn in the European Central Bank's three year LTRO in Spain and Portugal. As a result of these mitigating actions the Group reduced the aggregate net funding mismatch in local balance sheets from £12.1bn to a £1.9bn surplus in Spain, from £6.9bn to £3.3bn in Portugal and from £12.0bn to £9.6bn in Italy</w:t>
      </w:r>
    </w:p>
    <w:p w:rsidR="008223EE" w:rsidRPr="008223EE" w:rsidRDefault="008223EE" w:rsidP="008F5F5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Barclays continues to monitor the potential impact of the Eurozone volatility on local balance sheet funding and will consider actions as appropriate to manage the risk</w:t>
      </w:r>
    </w:p>
    <w:p w:rsidR="008223EE" w:rsidRPr="008223EE" w:rsidRDefault="008223EE" w:rsidP="008F5F56">
      <w:pPr>
        <w:spacing w:before="180" w:after="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Direct exposure to Greece is very small with negligible net funding required from Group. For Ireland there is no local balance sheet funding requirement by the Group as total liabilities in this country exceed total assets</w:t>
      </w:r>
    </w:p>
    <w:p w:rsidR="008223EE" w:rsidRPr="008223EE" w:rsidRDefault="008223EE" w:rsidP="008F5F56">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Credit Risk</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Barclays Credit Market Exposures</w:t>
      </w:r>
      <w:r w:rsidRPr="008223EE">
        <w:rPr>
          <w:rFonts w:ascii="Arial" w:eastAsia="Times New Roman" w:hAnsi="Arial" w:cs="Arial"/>
          <w:b/>
          <w:bCs/>
          <w:sz w:val="19"/>
          <w:szCs w:val="19"/>
          <w:vertAlign w:val="superscript"/>
        </w:rPr>
        <w:t>1</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780" w:type="dxa"/>
        <w:tblInd w:w="-36" w:type="dxa"/>
        <w:tblCellMar>
          <w:left w:w="0" w:type="dxa"/>
          <w:right w:w="0" w:type="dxa"/>
        </w:tblCellMar>
        <w:tblLook w:val="04A0" w:firstRow="1" w:lastRow="0" w:firstColumn="1" w:lastColumn="0" w:noHBand="0" w:noVBand="1"/>
      </w:tblPr>
      <w:tblGrid>
        <w:gridCol w:w="3444"/>
        <w:gridCol w:w="726"/>
        <w:gridCol w:w="726"/>
        <w:gridCol w:w="726"/>
        <w:gridCol w:w="726"/>
        <w:gridCol w:w="81"/>
        <w:gridCol w:w="1065"/>
        <w:gridCol w:w="1065"/>
        <w:gridCol w:w="1221"/>
      </w:tblGrid>
      <w:tr w:rsidR="008223EE" w:rsidRPr="008223EE" w:rsidTr="008223EE">
        <w:trPr>
          <w:trHeight w:val="240"/>
        </w:trPr>
        <w:tc>
          <w:tcPr>
            <w:tcW w:w="33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3210" w:type="dxa"/>
            <w:gridSpan w:val="3"/>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Year Ended 31.12.12</w:t>
            </w:r>
          </w:p>
        </w:tc>
      </w:tr>
      <w:tr w:rsidR="008223EE" w:rsidRPr="008223EE" w:rsidTr="008223EE">
        <w:trPr>
          <w:trHeight w:val="829"/>
        </w:trPr>
        <w:tc>
          <w:tcPr>
            <w:tcW w:w="33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67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4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2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Fair Value (Losses)/ Gains and Net Funding</w:t>
            </w:r>
          </w:p>
        </w:tc>
        <w:tc>
          <w:tcPr>
            <w:tcW w:w="102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Impairment (Charge)/ Release</w:t>
            </w:r>
          </w:p>
        </w:tc>
        <w:tc>
          <w:tcPr>
            <w:tcW w:w="102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 (Losses)/ Gains</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675" w:type="dxa"/>
        <w:tblInd w:w="-36" w:type="dxa"/>
        <w:tblCellMar>
          <w:left w:w="0" w:type="dxa"/>
          <w:right w:w="0" w:type="dxa"/>
        </w:tblCellMar>
        <w:tblLook w:val="04A0" w:firstRow="1" w:lastRow="0" w:firstColumn="1" w:lastColumn="0" w:noHBand="0" w:noVBand="1"/>
      </w:tblPr>
      <w:tblGrid>
        <w:gridCol w:w="3535"/>
        <w:gridCol w:w="723"/>
        <w:gridCol w:w="723"/>
        <w:gridCol w:w="723"/>
        <w:gridCol w:w="723"/>
        <w:gridCol w:w="84"/>
        <w:gridCol w:w="1092"/>
        <w:gridCol w:w="1092"/>
        <w:gridCol w:w="980"/>
      </w:tblGrid>
      <w:tr w:rsidR="008223EE" w:rsidRPr="008223EE" w:rsidTr="008223EE">
        <w:trPr>
          <w:trHeight w:val="240"/>
        </w:trPr>
        <w:tc>
          <w:tcPr>
            <w:tcW w:w="33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US Residential Mortgages</w:t>
            </w:r>
            <w:r w:rsidRPr="008223EE">
              <w:rPr>
                <w:rFonts w:ascii="Arial" w:eastAsia="Times New Roman" w:hAnsi="Arial" w:cs="Arial"/>
                <w:color w:val="000000"/>
                <w:sz w:val="16"/>
                <w:szCs w:val="16"/>
                <w:vertAlign w:val="superscript"/>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33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ABS CDO Super Senior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2,243 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2,844 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1,387 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1,842 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w:t>
            </w: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(232)</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(265)</w:t>
            </w:r>
          </w:p>
        </w:tc>
      </w:tr>
      <w:tr w:rsidR="008223EE" w:rsidRPr="008223EE" w:rsidTr="008223EE">
        <w:trPr>
          <w:trHeight w:val="240"/>
        </w:trPr>
        <w:tc>
          <w:tcPr>
            <w:tcW w:w="33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US sub-prime and Alt-A</w:t>
            </w:r>
            <w:r w:rsidRPr="008223EE">
              <w:rPr>
                <w:rFonts w:ascii="Arial" w:eastAsia="Times New Roman" w:hAnsi="Arial" w:cs="Arial"/>
                <w:color w:val="000000"/>
                <w:sz w:val="13"/>
                <w:szCs w:val="13"/>
                <w:vertAlign w:val="superscript"/>
              </w:rPr>
              <w:t>2 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1,129 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2,134 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698 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1,381 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83 </w:t>
            </w: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61 </w:t>
            </w:r>
          </w:p>
        </w:tc>
      </w:tr>
      <w:tr w:rsidR="008223EE" w:rsidRPr="008223EE" w:rsidTr="008223EE">
        <w:trPr>
          <w:trHeight w:val="240"/>
        </w:trPr>
        <w:tc>
          <w:tcPr>
            <w:tcW w:w="33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3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Commercial Mortgages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55"/>
        </w:trPr>
        <w:tc>
          <w:tcPr>
            <w:tcW w:w="33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Commercial real estate loans and properties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4,411 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8,228 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2,727 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5,329 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115 </w:t>
            </w:r>
          </w:p>
        </w:tc>
        <w:tc>
          <w:tcPr>
            <w:tcW w:w="10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115 </w:t>
            </w:r>
          </w:p>
        </w:tc>
      </w:tr>
      <w:tr w:rsidR="008223EE" w:rsidRPr="008223EE" w:rsidTr="008223EE">
        <w:trPr>
          <w:trHeight w:val="255"/>
        </w:trPr>
        <w:tc>
          <w:tcPr>
            <w:tcW w:w="33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Commercial Mortgage Backed Securities</w:t>
            </w:r>
            <w:r w:rsidRPr="008223EE">
              <w:rPr>
                <w:rFonts w:ascii="Arial" w:eastAsia="Times New Roman" w:hAnsi="Arial" w:cs="Arial"/>
                <w:color w:val="000000"/>
                <w:sz w:val="13"/>
                <w:szCs w:val="13"/>
                <w:vertAlign w:val="superscript"/>
              </w:rPr>
              <w:t>2 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411 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1,578 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1,022 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154 </w:t>
            </w: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154 </w:t>
            </w:r>
          </w:p>
        </w:tc>
      </w:tr>
      <w:tr w:rsidR="008223EE" w:rsidRPr="008223EE" w:rsidTr="008223EE">
        <w:trPr>
          <w:trHeight w:val="240"/>
        </w:trPr>
        <w:tc>
          <w:tcPr>
            <w:tcW w:w="33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roofErr w:type="spellStart"/>
            <w:r w:rsidRPr="008223EE">
              <w:rPr>
                <w:rFonts w:ascii="Arial" w:eastAsia="Times New Roman" w:hAnsi="Arial" w:cs="Arial"/>
                <w:color w:val="000000"/>
                <w:sz w:val="16"/>
                <w:szCs w:val="16"/>
              </w:rPr>
              <w:t>Monoline</w:t>
            </w:r>
            <w:proofErr w:type="spellEnd"/>
            <w:r w:rsidRPr="008223EE">
              <w:rPr>
                <w:rFonts w:ascii="Arial" w:eastAsia="Times New Roman" w:hAnsi="Arial" w:cs="Arial"/>
                <w:color w:val="000000"/>
                <w:sz w:val="16"/>
                <w:szCs w:val="16"/>
              </w:rPr>
              <w:t xml:space="preserve"> protection on CMBS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r>
      <w:tr w:rsidR="008223EE" w:rsidRPr="008223EE" w:rsidTr="008223EE">
        <w:trPr>
          <w:trHeight w:val="240"/>
        </w:trPr>
        <w:tc>
          <w:tcPr>
            <w:tcW w:w="33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3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Other Credit Market </w:t>
            </w:r>
            <w:r w:rsidRPr="008223EE">
              <w:rPr>
                <w:rFonts w:ascii="Arial" w:eastAsia="Times New Roman" w:hAnsi="Arial" w:cs="Arial"/>
                <w:b/>
                <w:bCs/>
                <w:color w:val="000000"/>
                <w:sz w:val="13"/>
                <w:szCs w:val="13"/>
                <w:vertAlign w:val="superscript"/>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Leveraged Finance</w:t>
            </w:r>
            <w:r w:rsidRPr="008223EE">
              <w:rPr>
                <w:rFonts w:ascii="Arial" w:eastAsia="Times New Roman" w:hAnsi="Arial" w:cs="Arial"/>
                <w:color w:val="000000"/>
                <w:sz w:val="13"/>
                <w:szCs w:val="13"/>
                <w:vertAlign w:val="superscript"/>
              </w:rPr>
              <w:t>3 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5,732 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6,278 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3,544 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4,066 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w:t>
            </w:r>
          </w:p>
        </w:tc>
        <w:tc>
          <w:tcPr>
            <w:tcW w:w="10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w:t>
            </w:r>
          </w:p>
        </w:tc>
      </w:tr>
      <w:tr w:rsidR="008223EE" w:rsidRPr="008223EE" w:rsidTr="008223EE">
        <w:trPr>
          <w:trHeight w:val="240"/>
        </w:trPr>
        <w:tc>
          <w:tcPr>
            <w:tcW w:w="33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SIVs, SIV -</w:t>
            </w:r>
            <w:proofErr w:type="spellStart"/>
            <w:r w:rsidRPr="008223EE">
              <w:rPr>
                <w:rFonts w:ascii="Arial" w:eastAsia="Times New Roman" w:hAnsi="Arial" w:cs="Arial"/>
                <w:color w:val="000000"/>
                <w:sz w:val="16"/>
                <w:szCs w:val="16"/>
              </w:rPr>
              <w:t>Lites</w:t>
            </w:r>
            <w:proofErr w:type="spellEnd"/>
            <w:r w:rsidRPr="008223EE">
              <w:rPr>
                <w:rFonts w:ascii="Arial" w:eastAsia="Times New Roman" w:hAnsi="Arial" w:cs="Arial"/>
                <w:color w:val="000000"/>
                <w:sz w:val="16"/>
                <w:szCs w:val="16"/>
              </w:rPr>
              <w:t xml:space="preserve"> and CDPCs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w:t>
            </w:r>
          </w:p>
        </w:tc>
      </w:tr>
      <w:tr w:rsidR="008223EE" w:rsidRPr="008223EE" w:rsidTr="008223EE">
        <w:trPr>
          <w:trHeight w:val="255"/>
        </w:trPr>
        <w:tc>
          <w:tcPr>
            <w:tcW w:w="33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roofErr w:type="spellStart"/>
            <w:r w:rsidRPr="008223EE">
              <w:rPr>
                <w:rFonts w:ascii="Arial" w:eastAsia="Times New Roman" w:hAnsi="Arial" w:cs="Arial"/>
                <w:color w:val="000000"/>
                <w:sz w:val="16"/>
                <w:szCs w:val="16"/>
              </w:rPr>
              <w:t>Monoline</w:t>
            </w:r>
            <w:proofErr w:type="spellEnd"/>
            <w:r w:rsidRPr="008223EE">
              <w:rPr>
                <w:rFonts w:ascii="Arial" w:eastAsia="Times New Roman" w:hAnsi="Arial" w:cs="Arial"/>
                <w:color w:val="000000"/>
                <w:sz w:val="16"/>
                <w:szCs w:val="16"/>
              </w:rPr>
              <w:t xml:space="preserve"> protection on CLO and other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956 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1,729 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591 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1,120 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w:t>
            </w: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w:t>
            </w:r>
          </w:p>
        </w:tc>
      </w:tr>
      <w:tr w:rsidR="008223EE" w:rsidRPr="008223EE" w:rsidTr="008223EE">
        <w:trPr>
          <w:trHeight w:val="255"/>
        </w:trPr>
        <w:tc>
          <w:tcPr>
            <w:tcW w:w="330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CLO and other assets</w:t>
            </w:r>
            <w:r w:rsidRPr="008223EE">
              <w:rPr>
                <w:rFonts w:ascii="Arial" w:eastAsia="Times New Roman" w:hAnsi="Arial" w:cs="Arial"/>
                <w:color w:val="000000"/>
                <w:sz w:val="13"/>
                <w:szCs w:val="13"/>
                <w:vertAlign w:val="superscript"/>
              </w:rPr>
              <w:t>2 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176 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596 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109 </w:t>
            </w:r>
          </w:p>
        </w:tc>
        <w:tc>
          <w:tcPr>
            <w:tcW w:w="67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386 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52 </w:t>
            </w:r>
          </w:p>
        </w:tc>
        <w:tc>
          <w:tcPr>
            <w:tcW w:w="102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52 </w:t>
            </w:r>
          </w:p>
        </w:tc>
      </w:tr>
      <w:tr w:rsidR="008223EE" w:rsidRPr="008223EE" w:rsidTr="008223EE">
        <w:trPr>
          <w:trHeight w:val="240"/>
        </w:trPr>
        <w:tc>
          <w:tcPr>
            <w:tcW w:w="33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15,058 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23,410 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9,310 </w:t>
            </w:r>
          </w:p>
        </w:tc>
        <w:tc>
          <w:tcPr>
            <w:tcW w:w="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15,161 </w:t>
            </w:r>
          </w:p>
        </w:tc>
        <w:tc>
          <w:tcPr>
            <w:tcW w:w="4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287 </w:t>
            </w:r>
          </w:p>
        </w:tc>
        <w:tc>
          <w:tcPr>
            <w:tcW w:w="10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(243)</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F5F5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During 2012, credit market exposures decreased by £5,851m to £9,310m, reflecting net sales and </w:t>
      </w:r>
      <w:proofErr w:type="spellStart"/>
      <w:r w:rsidRPr="008223EE">
        <w:rPr>
          <w:rFonts w:ascii="Arial" w:eastAsia="Times New Roman" w:hAnsi="Arial" w:cs="Arial"/>
          <w:sz w:val="18"/>
          <w:szCs w:val="18"/>
        </w:rPr>
        <w:t>paydowns</w:t>
      </w:r>
      <w:proofErr w:type="spellEnd"/>
      <w:r w:rsidRPr="008223EE">
        <w:rPr>
          <w:rFonts w:ascii="Arial" w:eastAsia="Times New Roman" w:hAnsi="Arial" w:cs="Arial"/>
          <w:sz w:val="18"/>
          <w:szCs w:val="18"/>
        </w:rPr>
        <w:t xml:space="preserve"> and other movements of £5,436m, foreign exchange movements of £459m, offset by net fair value gains and impairment charges of £44m. Net sales, </w:t>
      </w:r>
      <w:proofErr w:type="spellStart"/>
      <w:r w:rsidRPr="008223EE">
        <w:rPr>
          <w:rFonts w:ascii="Arial" w:eastAsia="Times New Roman" w:hAnsi="Arial" w:cs="Arial"/>
          <w:sz w:val="18"/>
          <w:szCs w:val="18"/>
        </w:rPr>
        <w:t>paydowns</w:t>
      </w:r>
      <w:proofErr w:type="spellEnd"/>
      <w:r w:rsidRPr="008223EE">
        <w:rPr>
          <w:rFonts w:ascii="Arial" w:eastAsia="Times New Roman" w:hAnsi="Arial" w:cs="Arial"/>
          <w:sz w:val="18"/>
          <w:szCs w:val="18"/>
        </w:rPr>
        <w:t xml:space="preserve"> and other movements of £5,436m included:</w:t>
      </w:r>
    </w:p>
    <w:p w:rsidR="008223EE" w:rsidRPr="008223EE" w:rsidRDefault="008223EE" w:rsidP="008F5F56">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lastRenderedPageBreak/>
        <w:t xml:space="preserve">-    £2,497m of commercial real estate loans and properties including sale of </w:t>
      </w:r>
      <w:proofErr w:type="spellStart"/>
      <w:r w:rsidRPr="008223EE">
        <w:rPr>
          <w:rFonts w:ascii="Arial" w:eastAsia="Times New Roman" w:hAnsi="Arial" w:cs="Arial"/>
          <w:sz w:val="18"/>
          <w:szCs w:val="18"/>
        </w:rPr>
        <w:t>BauBeCon</w:t>
      </w:r>
      <w:proofErr w:type="spellEnd"/>
      <w:r w:rsidRPr="008223EE">
        <w:rPr>
          <w:rFonts w:ascii="Arial" w:eastAsia="Times New Roman" w:hAnsi="Arial" w:cs="Arial"/>
          <w:sz w:val="18"/>
          <w:szCs w:val="18"/>
        </w:rPr>
        <w:t xml:space="preserve"> for £898m (€1,131m) in August, 100% stake in </w:t>
      </w:r>
      <w:proofErr w:type="spellStart"/>
      <w:r w:rsidRPr="008223EE">
        <w:rPr>
          <w:rFonts w:ascii="Arial" w:eastAsia="Times New Roman" w:hAnsi="Arial" w:cs="Arial"/>
          <w:sz w:val="18"/>
          <w:szCs w:val="18"/>
        </w:rPr>
        <w:t>Archstone</w:t>
      </w:r>
      <w:proofErr w:type="spellEnd"/>
      <w:r w:rsidRPr="008223EE">
        <w:rPr>
          <w:rFonts w:ascii="Arial" w:eastAsia="Times New Roman" w:hAnsi="Arial" w:cs="Arial"/>
          <w:sz w:val="18"/>
          <w:szCs w:val="18"/>
        </w:rPr>
        <w:t xml:space="preserve"> for £857m ($1,338m) and sale of </w:t>
      </w:r>
      <w:proofErr w:type="spellStart"/>
      <w:r w:rsidRPr="008223EE">
        <w:rPr>
          <w:rFonts w:ascii="Arial" w:eastAsia="Times New Roman" w:hAnsi="Arial" w:cs="Arial"/>
          <w:sz w:val="18"/>
          <w:szCs w:val="18"/>
        </w:rPr>
        <w:t>Calwest</w:t>
      </w:r>
      <w:proofErr w:type="spellEnd"/>
      <w:r w:rsidRPr="008223EE">
        <w:rPr>
          <w:rFonts w:ascii="Arial" w:eastAsia="Times New Roman" w:hAnsi="Arial" w:cs="Arial"/>
          <w:sz w:val="18"/>
          <w:szCs w:val="18"/>
        </w:rPr>
        <w:t xml:space="preserve"> for £341m ($550m) in September</w:t>
      </w:r>
    </w:p>
    <w:p w:rsidR="008223EE" w:rsidRPr="008223EE" w:rsidRDefault="008223EE" w:rsidP="008F5F56">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£885m commercial mortgage backed securities</w:t>
      </w:r>
    </w:p>
    <w:p w:rsidR="008223EE" w:rsidRPr="008223EE" w:rsidRDefault="008223EE" w:rsidP="008F5F56">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£693m US sub-prime and Alt-A</w:t>
      </w:r>
    </w:p>
    <w:p w:rsidR="008223EE" w:rsidRPr="008223EE" w:rsidRDefault="008223EE" w:rsidP="008F5F56">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£470m leveraged finance primarily relating to three counterparties</w:t>
      </w:r>
    </w:p>
    <w:p w:rsidR="008223EE" w:rsidRPr="008223EE" w:rsidRDefault="008223EE" w:rsidP="008F5F56">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xml:space="preserve">-    £449m </w:t>
      </w:r>
      <w:proofErr w:type="spellStart"/>
      <w:r w:rsidRPr="008223EE">
        <w:rPr>
          <w:rFonts w:ascii="Arial" w:eastAsia="Times New Roman" w:hAnsi="Arial" w:cs="Arial"/>
          <w:sz w:val="18"/>
          <w:szCs w:val="18"/>
        </w:rPr>
        <w:t>monoline</w:t>
      </w:r>
      <w:proofErr w:type="spellEnd"/>
      <w:r w:rsidRPr="008223EE">
        <w:rPr>
          <w:rFonts w:ascii="Arial" w:eastAsia="Times New Roman" w:hAnsi="Arial" w:cs="Arial"/>
          <w:sz w:val="18"/>
          <w:szCs w:val="18"/>
        </w:rPr>
        <w:t xml:space="preserve"> protection on CLO and other</w:t>
      </w:r>
    </w:p>
    <w:p w:rsidR="008223EE" w:rsidRPr="008223EE" w:rsidRDefault="008223EE" w:rsidP="008F5F56">
      <w:pPr>
        <w:spacing w:before="180" w:after="180" w:line="240" w:lineRule="auto"/>
        <w:ind w:left="568" w:hanging="284"/>
        <w:jc w:val="both"/>
        <w:rPr>
          <w:rFonts w:ascii="Arial" w:eastAsia="Times New Roman" w:hAnsi="Arial" w:cs="Arial"/>
          <w:sz w:val="18"/>
          <w:szCs w:val="18"/>
        </w:rPr>
      </w:pPr>
      <w:r w:rsidRPr="008223EE">
        <w:rPr>
          <w:rFonts w:ascii="Arial" w:eastAsia="Times New Roman" w:hAnsi="Arial" w:cs="Arial"/>
          <w:sz w:val="18"/>
          <w:szCs w:val="18"/>
        </w:rPr>
        <w:t>-    £317m CLO and other assets</w:t>
      </w:r>
    </w:p>
    <w:p w:rsidR="008223EE" w:rsidRPr="008223EE" w:rsidRDefault="008223EE" w:rsidP="008F5F56">
      <w:pPr>
        <w:spacing w:before="180" w:after="32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ABS CDO super senior and leveraged finance exposures are accounted for at amortised cost less impairment. The fair values of these exposures as at 31 December 2012 were £922m and £3,059m respectively (31 December 2011: £917m and £3,350m). Materially, all other credit market exposures are accounted for on a fair value basis</w:t>
      </w:r>
      <w:r w:rsidRPr="008223EE">
        <w:rPr>
          <w:rFonts w:ascii="Arial" w:eastAsia="Times New Roman" w:hAnsi="Arial" w:cs="Arial"/>
          <w:sz w:val="2"/>
          <w:szCs w:val="2"/>
        </w:rPr>
        <w:t> </w:t>
      </w:r>
    </w:p>
    <w:p w:rsidR="008223EE" w:rsidRPr="008223EE" w:rsidRDefault="008223EE" w:rsidP="008F5F56">
      <w:pPr>
        <w:spacing w:before="20" w:after="20" w:line="240" w:lineRule="auto"/>
        <w:ind w:left="284" w:hanging="284"/>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F5F56">
      <w:pPr>
        <w:spacing w:before="20" w:after="20" w:line="240" w:lineRule="auto"/>
        <w:ind w:left="284" w:hanging="284"/>
        <w:rPr>
          <w:rFonts w:ascii="Arial" w:eastAsia="Times New Roman" w:hAnsi="Arial" w:cs="Arial"/>
          <w:i/>
          <w:iCs/>
          <w:sz w:val="14"/>
          <w:szCs w:val="14"/>
        </w:rPr>
      </w:pPr>
      <w:r w:rsidRPr="008223EE">
        <w:rPr>
          <w:rFonts w:ascii="Arial" w:eastAsia="Times New Roman" w:hAnsi="Arial" w:cs="Arial"/>
          <w:i/>
          <w:iCs/>
          <w:sz w:val="14"/>
          <w:szCs w:val="14"/>
        </w:rPr>
        <w:t>1        As the majority of exposure is held in US Dollars, the exposures above are shown in both US Dollars and Sterling</w:t>
      </w:r>
    </w:p>
    <w:p w:rsidR="008223EE" w:rsidRPr="008223EE" w:rsidRDefault="008223EE" w:rsidP="008F5F56">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2       Collateral assets of £719m (2011: £2,272m) previously underlying the </w:t>
      </w:r>
      <w:proofErr w:type="spellStart"/>
      <w:r w:rsidRPr="008223EE">
        <w:rPr>
          <w:rFonts w:ascii="Arial" w:eastAsia="Times New Roman" w:hAnsi="Arial" w:cs="Arial"/>
          <w:i/>
          <w:iCs/>
          <w:sz w:val="14"/>
          <w:szCs w:val="14"/>
        </w:rPr>
        <w:t>Protium</w:t>
      </w:r>
      <w:proofErr w:type="spellEnd"/>
      <w:r w:rsidRPr="008223EE">
        <w:rPr>
          <w:rFonts w:ascii="Arial" w:eastAsia="Times New Roman" w:hAnsi="Arial" w:cs="Arial"/>
          <w:i/>
          <w:iCs/>
          <w:sz w:val="14"/>
          <w:szCs w:val="14"/>
        </w:rPr>
        <w:t xml:space="preserve"> loan are now included within the relevant asset classes as the assets are now managed alongside similar credit market exposures. These assets comprised: US sub-prime and Alt-A £352m (2011: £965m), commercial mortgage backed securities £258m (2011: £921m), CLO and other assets £109m (2011: £386m).</w:t>
      </w:r>
    </w:p>
    <w:p w:rsidR="008223EE" w:rsidRPr="008223EE" w:rsidRDefault="008223EE" w:rsidP="008F5F56">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3        Includes undrawn commitments of £202m (2011: £180m).</w:t>
      </w:r>
    </w:p>
    <w:p w:rsidR="008223EE" w:rsidRPr="008223EE" w:rsidRDefault="008223EE" w:rsidP="008223EE">
      <w:pPr>
        <w:spacing w:before="20" w:after="20" w:line="240" w:lineRule="auto"/>
        <w:ind w:left="1418" w:hanging="284"/>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before="20" w:after="20" w:line="240" w:lineRule="auto"/>
        <w:ind w:left="1418" w:hanging="284"/>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Market Risk</w:t>
      </w:r>
    </w:p>
    <w:p w:rsidR="008223EE" w:rsidRPr="008223EE" w:rsidRDefault="008223EE" w:rsidP="008223EE">
      <w:pPr>
        <w:spacing w:after="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t>Analysis of Investment Bank's Market Risk Exposure</w:t>
      </w:r>
    </w:p>
    <w:p w:rsidR="008223EE" w:rsidRPr="008223EE" w:rsidRDefault="008223EE" w:rsidP="008F5F56">
      <w:pPr>
        <w:spacing w:before="180" w:after="180" w:line="240" w:lineRule="auto"/>
        <w:ind w:left="641" w:hanging="357"/>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Traded market risk arises primarily as a result of client facilitation in wholesale markets at Barclays Investment Bank; this involves market making, providing client risk management solutions and execution of syndications</w:t>
      </w:r>
    </w:p>
    <w:p w:rsidR="008223EE" w:rsidRPr="008223EE" w:rsidRDefault="008223EE" w:rsidP="008F5F56">
      <w:pPr>
        <w:spacing w:before="180" w:after="180" w:line="240" w:lineRule="auto"/>
        <w:ind w:left="641" w:hanging="357"/>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Daily Value at Risk (</w:t>
      </w:r>
      <w:proofErr w:type="spellStart"/>
      <w:r w:rsidRPr="008223EE">
        <w:rPr>
          <w:rFonts w:ascii="Arial" w:eastAsia="Times New Roman" w:hAnsi="Arial" w:cs="Arial"/>
          <w:sz w:val="18"/>
          <w:szCs w:val="18"/>
        </w:rPr>
        <w:t>DVaR</w:t>
      </w:r>
      <w:proofErr w:type="spellEnd"/>
      <w:r w:rsidRPr="008223EE">
        <w:rPr>
          <w:rFonts w:ascii="Arial" w:eastAsia="Times New Roman" w:hAnsi="Arial" w:cs="Arial"/>
          <w:sz w:val="18"/>
          <w:szCs w:val="18"/>
        </w:rPr>
        <w:t>) is one of a range of risk metrics used at Investment Bank to measure and control market risk. This measure is further supplemented with additional metrics used to manage the firm's trading exposures such as stress testing and scenario analysis</w:t>
      </w:r>
    </w:p>
    <w:p w:rsidR="008223EE" w:rsidRPr="008223EE" w:rsidRDefault="008223EE" w:rsidP="008F5F56">
      <w:pPr>
        <w:spacing w:before="180" w:after="180" w:line="240" w:lineRule="auto"/>
        <w:ind w:left="641" w:hanging="357"/>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 xml:space="preserve">Investment Bank's management </w:t>
      </w:r>
      <w:proofErr w:type="spellStart"/>
      <w:r w:rsidRPr="008223EE">
        <w:rPr>
          <w:rFonts w:ascii="Arial" w:eastAsia="Times New Roman" w:hAnsi="Arial" w:cs="Arial"/>
          <w:sz w:val="18"/>
          <w:szCs w:val="18"/>
        </w:rPr>
        <w:t>DVaR</w:t>
      </w:r>
      <w:proofErr w:type="spellEnd"/>
      <w:r w:rsidRPr="008223EE">
        <w:rPr>
          <w:rFonts w:ascii="Arial" w:eastAsia="Times New Roman" w:hAnsi="Arial" w:cs="Arial"/>
          <w:sz w:val="18"/>
          <w:szCs w:val="18"/>
        </w:rPr>
        <w:t xml:space="preserve"> is calculated at a 95% confidence level, assuming a one day holding period. The calculation is based on historical simulation of the most recent two years of data</w:t>
      </w:r>
    </w:p>
    <w:p w:rsidR="008223EE" w:rsidRPr="008223EE" w:rsidRDefault="008223EE" w:rsidP="008F5F56">
      <w:pPr>
        <w:spacing w:before="180" w:after="180" w:line="240" w:lineRule="auto"/>
        <w:ind w:left="641" w:hanging="357"/>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 xml:space="preserve">The three main contributors to total </w:t>
      </w:r>
      <w:proofErr w:type="spellStart"/>
      <w:r w:rsidRPr="008223EE">
        <w:rPr>
          <w:rFonts w:ascii="Arial" w:eastAsia="Times New Roman" w:hAnsi="Arial" w:cs="Arial"/>
          <w:sz w:val="18"/>
          <w:szCs w:val="18"/>
        </w:rPr>
        <w:t>DVaR</w:t>
      </w:r>
      <w:proofErr w:type="spellEnd"/>
      <w:r w:rsidRPr="008223EE">
        <w:rPr>
          <w:rFonts w:ascii="Arial" w:eastAsia="Times New Roman" w:hAnsi="Arial" w:cs="Arial"/>
          <w:sz w:val="18"/>
          <w:szCs w:val="18"/>
        </w:rPr>
        <w:t xml:space="preserve"> were Credit, Spread and Interest Rate Risk. From 2011 levels, average </w:t>
      </w:r>
      <w:proofErr w:type="spellStart"/>
      <w:r w:rsidRPr="008223EE">
        <w:rPr>
          <w:rFonts w:ascii="Arial" w:eastAsia="Times New Roman" w:hAnsi="Arial" w:cs="Arial"/>
          <w:sz w:val="18"/>
          <w:szCs w:val="18"/>
        </w:rPr>
        <w:t>DVaR</w:t>
      </w:r>
      <w:proofErr w:type="spellEnd"/>
      <w:r w:rsidRPr="008223EE">
        <w:rPr>
          <w:rFonts w:ascii="Arial" w:eastAsia="Times New Roman" w:hAnsi="Arial" w:cs="Arial"/>
          <w:sz w:val="18"/>
          <w:szCs w:val="18"/>
        </w:rPr>
        <w:t xml:space="preserve"> for Credit Risk fell by £3m (10%), Spread risk fell by £2m (8%) and Interest Rate risk fell by £3m (18%). Total Management </w:t>
      </w:r>
      <w:proofErr w:type="spellStart"/>
      <w:r w:rsidRPr="008223EE">
        <w:rPr>
          <w:rFonts w:ascii="Arial" w:eastAsia="Times New Roman" w:hAnsi="Arial" w:cs="Arial"/>
          <w:sz w:val="18"/>
          <w:szCs w:val="18"/>
        </w:rPr>
        <w:t>DVaR</w:t>
      </w:r>
      <w:proofErr w:type="spellEnd"/>
      <w:r w:rsidRPr="008223EE">
        <w:rPr>
          <w:rFonts w:ascii="Arial" w:eastAsia="Times New Roman" w:hAnsi="Arial" w:cs="Arial"/>
          <w:sz w:val="18"/>
          <w:szCs w:val="18"/>
        </w:rPr>
        <w:t xml:space="preserve"> fell by £19m (33%) reflecting the sharp reduction in the </w:t>
      </w:r>
      <w:proofErr w:type="spellStart"/>
      <w:r w:rsidRPr="008223EE">
        <w:rPr>
          <w:rFonts w:ascii="Arial" w:eastAsia="Times New Roman" w:hAnsi="Arial" w:cs="Arial"/>
          <w:sz w:val="18"/>
          <w:szCs w:val="18"/>
        </w:rPr>
        <w:t>DVaR</w:t>
      </w:r>
      <w:proofErr w:type="spellEnd"/>
      <w:r w:rsidRPr="008223EE">
        <w:rPr>
          <w:rFonts w:ascii="Arial" w:eastAsia="Times New Roman" w:hAnsi="Arial" w:cs="Arial"/>
          <w:sz w:val="18"/>
          <w:szCs w:val="18"/>
        </w:rPr>
        <w:t xml:space="preserve"> measure across asset classes</w:t>
      </w:r>
    </w:p>
    <w:p w:rsidR="008223EE" w:rsidRPr="008223EE" w:rsidRDefault="008223EE" w:rsidP="008F5F56">
      <w:pPr>
        <w:spacing w:before="180" w:after="180" w:line="240" w:lineRule="auto"/>
        <w:ind w:left="641" w:hanging="357"/>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 xml:space="preserve">The business remained within the </w:t>
      </w:r>
      <w:proofErr w:type="spellStart"/>
      <w:r w:rsidRPr="008223EE">
        <w:rPr>
          <w:rFonts w:ascii="Arial" w:eastAsia="Times New Roman" w:hAnsi="Arial" w:cs="Arial"/>
          <w:sz w:val="18"/>
          <w:szCs w:val="18"/>
        </w:rPr>
        <w:t>DVaR</w:t>
      </w:r>
      <w:proofErr w:type="spellEnd"/>
      <w:r w:rsidRPr="008223EE">
        <w:rPr>
          <w:rFonts w:ascii="Arial" w:eastAsia="Times New Roman" w:hAnsi="Arial" w:cs="Arial"/>
          <w:sz w:val="18"/>
          <w:szCs w:val="18"/>
        </w:rPr>
        <w:t xml:space="preserve"> limits approved by the Board Risk Committee throughout 2012</w:t>
      </w:r>
    </w:p>
    <w:p w:rsidR="008223EE" w:rsidRPr="008223EE" w:rsidRDefault="008223EE" w:rsidP="008223EE">
      <w:pPr>
        <w:spacing w:before="180" w:line="240" w:lineRule="auto"/>
        <w:jc w:val="both"/>
        <w:rPr>
          <w:rFonts w:ascii="Arial" w:eastAsia="Times New Roman" w:hAnsi="Arial" w:cs="Arial"/>
          <w:sz w:val="18"/>
          <w:szCs w:val="18"/>
        </w:rPr>
      </w:pPr>
      <w:r w:rsidRPr="008223EE">
        <w:rPr>
          <w:rFonts w:ascii="Arial" w:eastAsia="Times New Roman" w:hAnsi="Arial" w:cs="Arial"/>
          <w:sz w:val="18"/>
          <w:szCs w:val="18"/>
        </w:rPr>
        <w:t> </w:t>
      </w:r>
    </w:p>
    <w:tbl>
      <w:tblPr>
        <w:tblW w:w="0" w:type="auto"/>
        <w:tblInd w:w="-36" w:type="dxa"/>
        <w:tblCellMar>
          <w:left w:w="0" w:type="dxa"/>
          <w:right w:w="0" w:type="dxa"/>
        </w:tblCellMar>
        <w:tblLook w:val="04A0" w:firstRow="1" w:lastRow="0" w:firstColumn="1" w:lastColumn="0" w:noHBand="0" w:noVBand="1"/>
      </w:tblPr>
      <w:tblGrid>
        <w:gridCol w:w="3448"/>
        <w:gridCol w:w="2791"/>
        <w:gridCol w:w="104"/>
        <w:gridCol w:w="2791"/>
      </w:tblGrid>
      <w:tr w:rsidR="008223EE" w:rsidRPr="008223EE" w:rsidTr="008223EE">
        <w:trPr>
          <w:trHeight w:val="240"/>
        </w:trPr>
        <w:tc>
          <w:tcPr>
            <w:tcW w:w="3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285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31.12.12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2850"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31.12.11 </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540"/>
        <w:gridCol w:w="900"/>
        <w:gridCol w:w="900"/>
        <w:gridCol w:w="900"/>
        <w:gridCol w:w="105"/>
        <w:gridCol w:w="900"/>
        <w:gridCol w:w="900"/>
        <w:gridCol w:w="900"/>
      </w:tblGrid>
      <w:tr w:rsidR="008223EE" w:rsidRPr="008223EE" w:rsidTr="008223EE">
        <w:trPr>
          <w:trHeight w:val="240"/>
        </w:trPr>
        <w:tc>
          <w:tcPr>
            <w:tcW w:w="354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roofErr w:type="spellStart"/>
            <w:r w:rsidRPr="008223EE">
              <w:rPr>
                <w:rFonts w:ascii="Arial" w:eastAsia="Times New Roman" w:hAnsi="Arial" w:cs="Arial"/>
                <w:b/>
                <w:bCs/>
                <w:color w:val="000000"/>
                <w:sz w:val="16"/>
                <w:szCs w:val="16"/>
              </w:rPr>
              <w:t>DVaR</w:t>
            </w:r>
            <w:proofErr w:type="spellEnd"/>
            <w:r w:rsidRPr="008223EE">
              <w:rPr>
                <w:rFonts w:ascii="Arial" w:eastAsia="Times New Roman" w:hAnsi="Arial" w:cs="Arial"/>
                <w:b/>
                <w:bCs/>
                <w:color w:val="000000"/>
                <w:sz w:val="16"/>
                <w:szCs w:val="16"/>
              </w:rPr>
              <w:t xml:space="preserve"> (95%) </w:t>
            </w: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Daily </w:t>
            </w:r>
            <w:proofErr w:type="spellStart"/>
            <w:r w:rsidRPr="008223EE">
              <w:rPr>
                <w:rFonts w:ascii="Arial" w:eastAsia="Times New Roman" w:hAnsi="Arial" w:cs="Arial"/>
                <w:b/>
                <w:bCs/>
                <w:color w:val="000000"/>
                <w:sz w:val="16"/>
                <w:szCs w:val="16"/>
              </w:rPr>
              <w:t>Avg</w:t>
            </w:r>
            <w:proofErr w:type="spellEnd"/>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High</w:t>
            </w:r>
            <w:r w:rsidRPr="008223EE">
              <w:rPr>
                <w:rFonts w:ascii="Arial" w:eastAsia="Times New Roman" w:hAnsi="Arial" w:cs="Arial"/>
                <w:b/>
                <w:bCs/>
                <w:color w:val="000000"/>
                <w:sz w:val="13"/>
                <w:szCs w:val="13"/>
                <w:vertAlign w:val="superscript"/>
              </w:rPr>
              <w:t>1 </w:t>
            </w: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Low</w:t>
            </w:r>
            <w:r w:rsidRPr="008223EE">
              <w:rPr>
                <w:rFonts w:ascii="Arial" w:eastAsia="Times New Roman" w:hAnsi="Arial" w:cs="Arial"/>
                <w:b/>
                <w:bCs/>
                <w:color w:val="000000"/>
                <w:sz w:val="13"/>
                <w:szCs w:val="13"/>
                <w:vertAlign w:val="superscript"/>
              </w:rPr>
              <w:t>1 </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Daily </w:t>
            </w:r>
            <w:proofErr w:type="spellStart"/>
            <w:r w:rsidRPr="008223EE">
              <w:rPr>
                <w:rFonts w:ascii="Arial" w:eastAsia="Times New Roman" w:hAnsi="Arial" w:cs="Arial"/>
                <w:b/>
                <w:bCs/>
                <w:color w:val="000000"/>
                <w:sz w:val="16"/>
                <w:szCs w:val="16"/>
              </w:rPr>
              <w:t>Avg</w:t>
            </w:r>
            <w:proofErr w:type="spellEnd"/>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High</w:t>
            </w:r>
            <w:r w:rsidRPr="008223EE">
              <w:rPr>
                <w:rFonts w:ascii="Arial" w:eastAsia="Times New Roman" w:hAnsi="Arial" w:cs="Arial"/>
                <w:b/>
                <w:bCs/>
                <w:color w:val="000000"/>
                <w:sz w:val="13"/>
                <w:szCs w:val="13"/>
                <w:vertAlign w:val="superscript"/>
              </w:rPr>
              <w:t>1 </w:t>
            </w: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Low</w:t>
            </w:r>
            <w:r w:rsidRPr="008223EE">
              <w:rPr>
                <w:rFonts w:ascii="Arial" w:eastAsia="Times New Roman" w:hAnsi="Arial" w:cs="Arial"/>
                <w:b/>
                <w:bCs/>
                <w:color w:val="000000"/>
                <w:sz w:val="13"/>
                <w:szCs w:val="13"/>
                <w:vertAlign w:val="superscript"/>
              </w:rPr>
              <w:t>1 </w:t>
            </w:r>
          </w:p>
        </w:tc>
      </w:tr>
      <w:tr w:rsidR="008223EE" w:rsidRPr="008223EE" w:rsidTr="008223EE">
        <w:trPr>
          <w:trHeight w:val="240"/>
        </w:trPr>
        <w:tc>
          <w:tcPr>
            <w:tcW w:w="354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3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risk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44 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48 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17  </w:t>
            </w:r>
          </w:p>
        </w:tc>
      </w:tr>
      <w:tr w:rsidR="008223EE" w:rsidRPr="008223EE" w:rsidTr="008223EE">
        <w:trPr>
          <w:trHeight w:val="240"/>
        </w:trPr>
        <w:tc>
          <w:tcPr>
            <w:tcW w:w="3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Spread risk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31 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40 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17  </w:t>
            </w:r>
          </w:p>
        </w:tc>
      </w:tr>
      <w:tr w:rsidR="008223EE" w:rsidRPr="008223EE" w:rsidTr="008223EE">
        <w:trPr>
          <w:trHeight w:val="240"/>
        </w:trPr>
        <w:tc>
          <w:tcPr>
            <w:tcW w:w="3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Interest rate risk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23 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48 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8  </w:t>
            </w:r>
          </w:p>
        </w:tc>
      </w:tr>
      <w:tr w:rsidR="008223EE" w:rsidRPr="008223EE" w:rsidTr="008223EE">
        <w:trPr>
          <w:trHeight w:val="240"/>
        </w:trPr>
        <w:tc>
          <w:tcPr>
            <w:tcW w:w="3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Basis risk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21 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6  </w:t>
            </w:r>
          </w:p>
        </w:tc>
      </w:tr>
      <w:tr w:rsidR="008223EE" w:rsidRPr="008223EE" w:rsidTr="008223EE">
        <w:trPr>
          <w:trHeight w:val="240"/>
        </w:trPr>
        <w:tc>
          <w:tcPr>
            <w:tcW w:w="3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Equity risk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19 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34 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9  </w:t>
            </w:r>
          </w:p>
        </w:tc>
      </w:tr>
      <w:tr w:rsidR="008223EE" w:rsidRPr="008223EE" w:rsidTr="008223EE">
        <w:trPr>
          <w:trHeight w:val="240"/>
        </w:trPr>
        <w:tc>
          <w:tcPr>
            <w:tcW w:w="3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Commodity risk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18 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7  </w:t>
            </w:r>
          </w:p>
        </w:tc>
      </w:tr>
      <w:tr w:rsidR="008223EE" w:rsidRPr="008223EE" w:rsidTr="008223EE">
        <w:trPr>
          <w:trHeight w:val="240"/>
        </w:trPr>
        <w:tc>
          <w:tcPr>
            <w:tcW w:w="3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Foreign exchange risk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10 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8 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2  </w:t>
            </w:r>
          </w:p>
        </w:tc>
      </w:tr>
      <w:tr w:rsidR="008223EE" w:rsidRPr="008223EE" w:rsidTr="008223EE">
        <w:trPr>
          <w:trHeight w:val="240"/>
        </w:trPr>
        <w:tc>
          <w:tcPr>
            <w:tcW w:w="3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Inflation risk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2  </w:t>
            </w:r>
          </w:p>
        </w:tc>
      </w:tr>
      <w:tr w:rsidR="008223EE" w:rsidRPr="008223EE" w:rsidTr="008223EE">
        <w:trPr>
          <w:trHeight w:val="240"/>
        </w:trPr>
        <w:tc>
          <w:tcPr>
            <w:tcW w:w="3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Diversification effect </w:t>
            </w:r>
            <w:r w:rsidRPr="008223EE">
              <w:rPr>
                <w:rFonts w:ascii="Arial" w:eastAsia="Times New Roman" w:hAnsi="Arial" w:cs="Arial"/>
                <w:color w:val="000000"/>
                <w:sz w:val="13"/>
                <w:szCs w:val="13"/>
                <w:vertAlign w:val="superscript"/>
              </w:rPr>
              <w:t>2</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roofErr w:type="spellStart"/>
            <w:r w:rsidRPr="008223EE">
              <w:rPr>
                <w:rFonts w:ascii="Arial" w:eastAsia="Times New Roman" w:hAnsi="Arial" w:cs="Arial"/>
                <w:color w:val="000000"/>
                <w:sz w:val="16"/>
                <w:szCs w:val="16"/>
              </w:rPr>
              <w:t>na</w:t>
            </w:r>
            <w:proofErr w:type="spellEnd"/>
            <w:r w:rsidRPr="008223EE">
              <w:rPr>
                <w:rFonts w:ascii="Arial" w:eastAsia="Times New Roman" w:hAnsi="Arial" w:cs="Arial"/>
                <w:color w:val="000000"/>
                <w:sz w:val="16"/>
                <w:szCs w:val="16"/>
              </w:rPr>
              <w:t xml:space="preserve"> </w:t>
            </w:r>
            <w:r w:rsidRPr="008223EE">
              <w:rPr>
                <w:rFonts w:ascii="Arial" w:eastAsia="Times New Roman" w:hAnsi="Arial" w:cs="Arial"/>
                <w:color w:val="000000"/>
                <w:sz w:val="13"/>
                <w:szCs w:val="13"/>
                <w:vertAlign w:val="superscript"/>
              </w:rPr>
              <w:t>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roofErr w:type="spellStart"/>
            <w:r w:rsidRPr="008223EE">
              <w:rPr>
                <w:rFonts w:ascii="Arial" w:eastAsia="Times New Roman" w:hAnsi="Arial" w:cs="Arial"/>
                <w:color w:val="000000"/>
                <w:sz w:val="16"/>
                <w:szCs w:val="16"/>
              </w:rPr>
              <w:t>na</w:t>
            </w:r>
            <w:proofErr w:type="spellEnd"/>
            <w:r w:rsidRPr="008223EE">
              <w:rPr>
                <w:rFonts w:ascii="Arial" w:eastAsia="Times New Roman" w:hAnsi="Arial" w:cs="Arial"/>
                <w:color w:val="000000"/>
                <w:sz w:val="16"/>
                <w:szCs w:val="16"/>
              </w:rPr>
              <w:t xml:space="preserve"> </w:t>
            </w:r>
            <w:r w:rsidRPr="008223EE">
              <w:rPr>
                <w:rFonts w:ascii="Arial" w:eastAsia="Times New Roman" w:hAnsi="Arial" w:cs="Arial"/>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roofErr w:type="spellStart"/>
            <w:r w:rsidRPr="008223EE">
              <w:rPr>
                <w:rFonts w:ascii="Arial" w:eastAsia="Times New Roman" w:hAnsi="Arial" w:cs="Arial"/>
                <w:color w:val="000000"/>
                <w:sz w:val="16"/>
                <w:szCs w:val="16"/>
              </w:rPr>
              <w:t>na</w:t>
            </w:r>
            <w:proofErr w:type="spellEnd"/>
            <w:r w:rsidRPr="008223EE">
              <w:rPr>
                <w:rFonts w:ascii="Arial" w:eastAsia="Times New Roman" w:hAnsi="Arial" w:cs="Arial"/>
                <w:color w:val="000000"/>
                <w:sz w:val="16"/>
                <w:szCs w:val="16"/>
              </w:rPr>
              <w:t xml:space="preserve">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roofErr w:type="spellStart"/>
            <w:r w:rsidRPr="008223EE">
              <w:rPr>
                <w:rFonts w:ascii="Arial" w:eastAsia="Times New Roman" w:hAnsi="Arial" w:cs="Arial"/>
                <w:color w:val="000000"/>
                <w:sz w:val="16"/>
                <w:szCs w:val="16"/>
              </w:rPr>
              <w:t>na</w:t>
            </w:r>
            <w:proofErr w:type="spellEnd"/>
            <w:r w:rsidRPr="008223EE">
              <w:rPr>
                <w:rFonts w:ascii="Arial" w:eastAsia="Times New Roman" w:hAnsi="Arial" w:cs="Arial"/>
                <w:color w:val="000000"/>
                <w:sz w:val="16"/>
                <w:szCs w:val="16"/>
              </w:rPr>
              <w:t xml:space="preserve"> </w:t>
            </w:r>
          </w:p>
        </w:tc>
      </w:tr>
      <w:tr w:rsidR="008223EE" w:rsidRPr="008223EE" w:rsidTr="008223EE">
        <w:trPr>
          <w:trHeight w:val="240"/>
        </w:trPr>
        <w:tc>
          <w:tcPr>
            <w:tcW w:w="354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proofErr w:type="spellStart"/>
            <w:r w:rsidRPr="008223EE">
              <w:rPr>
                <w:rFonts w:ascii="Arial" w:eastAsia="Times New Roman" w:hAnsi="Arial" w:cs="Arial"/>
                <w:b/>
                <w:bCs/>
                <w:color w:val="000000"/>
                <w:sz w:val="16"/>
                <w:szCs w:val="16"/>
              </w:rPr>
              <w:t>DVaR</w:t>
            </w:r>
            <w:proofErr w:type="spellEnd"/>
            <w:r w:rsidRPr="008223EE">
              <w:rPr>
                <w:rFonts w:ascii="Arial" w:eastAsia="Times New Roman" w:hAnsi="Arial" w:cs="Arial"/>
                <w:b/>
                <w:bCs/>
                <w:color w:val="000000"/>
                <w:sz w:val="16"/>
                <w:szCs w:val="16"/>
              </w:rPr>
              <w:t xml:space="preserve">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38 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75 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27 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57 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88  </w:t>
            </w:r>
          </w:p>
        </w:tc>
        <w:tc>
          <w:tcPr>
            <w:tcW w:w="90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33  </w:t>
            </w:r>
          </w:p>
        </w:tc>
      </w:tr>
      <w:tr w:rsidR="008223EE" w:rsidRPr="008223EE" w:rsidTr="008223EE">
        <w:trPr>
          <w:trHeight w:val="240"/>
        </w:trPr>
        <w:tc>
          <w:tcPr>
            <w:tcW w:w="35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3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lastRenderedPageBreak/>
              <w:t>Expected shortfall</w:t>
            </w:r>
            <w:r w:rsidRPr="008223EE">
              <w:rPr>
                <w:rFonts w:ascii="Arial" w:eastAsia="Times New Roman" w:hAnsi="Arial" w:cs="Arial"/>
                <w:b/>
                <w:bCs/>
                <w:color w:val="000000"/>
                <w:sz w:val="13"/>
                <w:szCs w:val="13"/>
                <w:vertAlign w:val="superscript"/>
              </w:rPr>
              <w:t>3 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47 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91 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30 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71 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113 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43  </w:t>
            </w:r>
          </w:p>
        </w:tc>
      </w:tr>
      <w:tr w:rsidR="008223EE" w:rsidRPr="008223EE" w:rsidTr="008223EE">
        <w:trPr>
          <w:trHeight w:val="240"/>
        </w:trPr>
        <w:tc>
          <w:tcPr>
            <w:tcW w:w="354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354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3W</w:t>
            </w:r>
            <w:r w:rsidRPr="008223EE">
              <w:rPr>
                <w:rFonts w:ascii="Arial" w:eastAsia="Times New Roman" w:hAnsi="Arial" w:cs="Arial"/>
                <w:b/>
                <w:bCs/>
                <w:color w:val="000000"/>
                <w:sz w:val="13"/>
                <w:szCs w:val="13"/>
                <w:vertAlign w:val="superscript"/>
              </w:rPr>
              <w:t>4</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77 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138 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44 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121 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202  </w:t>
            </w:r>
          </w:p>
        </w:tc>
        <w:tc>
          <w:tcPr>
            <w:tcW w:w="9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67 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F5F56">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Barclays Investment Bank's market risk models are approved by the FSA to calculate regulatory capital for designated trading book portfolios. The measures are Daily Value at Risk, Stressed Value at Risk, Incremental Risk Charge and the All Price Risk measure</w:t>
      </w:r>
    </w:p>
    <w:p w:rsidR="008223EE" w:rsidRPr="008223EE" w:rsidRDefault="008223EE" w:rsidP="008F5F56">
      <w:pPr>
        <w:spacing w:before="180" w:after="180" w:line="240" w:lineRule="auto"/>
        <w:ind w:left="284" w:hanging="284"/>
        <w:jc w:val="both"/>
        <w:rPr>
          <w:rFonts w:ascii="Arial" w:eastAsia="Times New Roman" w:hAnsi="Arial" w:cs="Arial"/>
          <w:sz w:val="18"/>
          <w:szCs w:val="18"/>
        </w:rPr>
      </w:pPr>
      <w:proofErr w:type="gramStart"/>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 xml:space="preserve">For regulatory market risk capital calculations, </w:t>
      </w:r>
      <w:proofErr w:type="spellStart"/>
      <w:r w:rsidRPr="008223EE">
        <w:rPr>
          <w:rFonts w:ascii="Arial" w:eastAsia="Times New Roman" w:hAnsi="Arial" w:cs="Arial"/>
          <w:sz w:val="18"/>
          <w:szCs w:val="18"/>
        </w:rPr>
        <w:t>DVaR</w:t>
      </w:r>
      <w:proofErr w:type="spellEnd"/>
      <w:r w:rsidRPr="008223EE">
        <w:rPr>
          <w:rFonts w:ascii="Arial" w:eastAsia="Times New Roman" w:hAnsi="Arial" w:cs="Arial"/>
          <w:sz w:val="18"/>
          <w:szCs w:val="18"/>
        </w:rPr>
        <w:t xml:space="preserve"> is</w:t>
      </w:r>
      <w:proofErr w:type="gramEnd"/>
      <w:r w:rsidRPr="008223EE">
        <w:rPr>
          <w:rFonts w:ascii="Arial" w:eastAsia="Times New Roman" w:hAnsi="Arial" w:cs="Arial"/>
          <w:sz w:val="18"/>
          <w:szCs w:val="18"/>
        </w:rPr>
        <w:t xml:space="preserve"> calculated at the 99% level. The model is subject to daily back-testing, where it is compared to profit and loss figures during the year. The </w:t>
      </w:r>
      <w:proofErr w:type="spellStart"/>
      <w:r w:rsidRPr="008223EE">
        <w:rPr>
          <w:rFonts w:ascii="Arial" w:eastAsia="Times New Roman" w:hAnsi="Arial" w:cs="Arial"/>
          <w:sz w:val="18"/>
          <w:szCs w:val="18"/>
        </w:rPr>
        <w:t>DVaR</w:t>
      </w:r>
      <w:proofErr w:type="spellEnd"/>
      <w:r w:rsidRPr="008223EE">
        <w:rPr>
          <w:rFonts w:ascii="Arial" w:eastAsia="Times New Roman" w:hAnsi="Arial" w:cs="Arial"/>
          <w:sz w:val="18"/>
          <w:szCs w:val="18"/>
        </w:rPr>
        <w:t xml:space="preserve"> model has performed well in back-testing and maintains its Green categorisation, as defined by the FSA</w:t>
      </w:r>
      <w:r w:rsidRPr="008223EE">
        <w:rPr>
          <w:rFonts w:ascii="Arial" w:eastAsia="Times New Roman" w:hAnsi="Arial" w:cs="Arial"/>
          <w:sz w:val="2"/>
          <w:szCs w:val="2"/>
        </w:rPr>
        <w:t> </w:t>
      </w:r>
    </w:p>
    <w:p w:rsidR="008223EE" w:rsidRPr="008223EE" w:rsidRDefault="008223EE" w:rsidP="008223EE">
      <w:pPr>
        <w:spacing w:before="20" w:after="20" w:line="240" w:lineRule="auto"/>
        <w:ind w:left="1418"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ind w:left="1418"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ind w:left="1418" w:hanging="284"/>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F5F56">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1        The high and low </w:t>
      </w:r>
      <w:proofErr w:type="spellStart"/>
      <w:r w:rsidRPr="008223EE">
        <w:rPr>
          <w:rFonts w:ascii="Arial" w:eastAsia="Times New Roman" w:hAnsi="Arial" w:cs="Arial"/>
          <w:i/>
          <w:iCs/>
          <w:sz w:val="14"/>
          <w:szCs w:val="14"/>
        </w:rPr>
        <w:t>DVaR</w:t>
      </w:r>
      <w:proofErr w:type="spellEnd"/>
      <w:r w:rsidRPr="008223EE">
        <w:rPr>
          <w:rFonts w:ascii="Arial" w:eastAsia="Times New Roman" w:hAnsi="Arial" w:cs="Arial"/>
          <w:i/>
          <w:iCs/>
          <w:sz w:val="14"/>
          <w:szCs w:val="14"/>
        </w:rPr>
        <w:t xml:space="preserve"> figures reported for each category did not necessarily occur on the same day as the high and low </w:t>
      </w:r>
      <w:proofErr w:type="spellStart"/>
      <w:r w:rsidRPr="008223EE">
        <w:rPr>
          <w:rFonts w:ascii="Arial" w:eastAsia="Times New Roman" w:hAnsi="Arial" w:cs="Arial"/>
          <w:i/>
          <w:iCs/>
          <w:sz w:val="14"/>
          <w:szCs w:val="14"/>
        </w:rPr>
        <w:t>DVaR</w:t>
      </w:r>
      <w:proofErr w:type="spellEnd"/>
      <w:r w:rsidRPr="008223EE">
        <w:rPr>
          <w:rFonts w:ascii="Arial" w:eastAsia="Times New Roman" w:hAnsi="Arial" w:cs="Arial"/>
          <w:i/>
          <w:iCs/>
          <w:sz w:val="14"/>
          <w:szCs w:val="14"/>
        </w:rPr>
        <w:t xml:space="preserve"> reported as a whole. Consequently a diversification effect balance for the high and low </w:t>
      </w:r>
      <w:proofErr w:type="spellStart"/>
      <w:r w:rsidRPr="008223EE">
        <w:rPr>
          <w:rFonts w:ascii="Arial" w:eastAsia="Times New Roman" w:hAnsi="Arial" w:cs="Arial"/>
          <w:i/>
          <w:iCs/>
          <w:sz w:val="14"/>
          <w:szCs w:val="14"/>
        </w:rPr>
        <w:t>DVaR</w:t>
      </w:r>
      <w:proofErr w:type="spellEnd"/>
      <w:r w:rsidRPr="008223EE">
        <w:rPr>
          <w:rFonts w:ascii="Arial" w:eastAsia="Times New Roman" w:hAnsi="Arial" w:cs="Arial"/>
          <w:i/>
          <w:iCs/>
          <w:sz w:val="14"/>
          <w:szCs w:val="14"/>
        </w:rPr>
        <w:t xml:space="preserve"> figures would not be meaningful and is therefore omitted from the above table.</w:t>
      </w:r>
    </w:p>
    <w:p w:rsidR="008223EE" w:rsidRPr="008223EE" w:rsidRDefault="008223EE" w:rsidP="008F5F56">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2       Diversification for 2011 has been restated to increase granularity by reported </w:t>
      </w:r>
      <w:proofErr w:type="spellStart"/>
      <w:r w:rsidRPr="008223EE">
        <w:rPr>
          <w:rFonts w:ascii="Arial" w:eastAsia="Times New Roman" w:hAnsi="Arial" w:cs="Arial"/>
          <w:i/>
          <w:iCs/>
          <w:sz w:val="14"/>
          <w:szCs w:val="14"/>
        </w:rPr>
        <w:t>DVaR</w:t>
      </w:r>
      <w:proofErr w:type="spellEnd"/>
      <w:r w:rsidRPr="008223EE">
        <w:rPr>
          <w:rFonts w:ascii="Arial" w:eastAsia="Times New Roman" w:hAnsi="Arial" w:cs="Arial"/>
          <w:i/>
          <w:iCs/>
          <w:sz w:val="14"/>
          <w:szCs w:val="14"/>
        </w:rPr>
        <w:t xml:space="preserve"> asset class, primarily relating to credit and inflation which were applied for the whole period, and basis </w:t>
      </w:r>
      <w:proofErr w:type="spellStart"/>
      <w:r w:rsidRPr="008223EE">
        <w:rPr>
          <w:rFonts w:ascii="Arial" w:eastAsia="Times New Roman" w:hAnsi="Arial" w:cs="Arial"/>
          <w:i/>
          <w:iCs/>
          <w:sz w:val="14"/>
          <w:szCs w:val="14"/>
        </w:rPr>
        <w:t>VaR</w:t>
      </w:r>
      <w:proofErr w:type="spellEnd"/>
      <w:r w:rsidRPr="008223EE">
        <w:rPr>
          <w:rFonts w:ascii="Arial" w:eastAsia="Times New Roman" w:hAnsi="Arial" w:cs="Arial"/>
          <w:i/>
          <w:iCs/>
          <w:sz w:val="14"/>
          <w:szCs w:val="14"/>
        </w:rPr>
        <w:t xml:space="preserve"> which was introduced in Q4 11 resulting in its partial contribution to average diversification.</w:t>
      </w:r>
    </w:p>
    <w:p w:rsidR="008223EE" w:rsidRPr="008223EE" w:rsidRDefault="008223EE" w:rsidP="008F5F56">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3        The average of all one day hypothetical losses beyond the 95% confidence level </w:t>
      </w:r>
      <w:proofErr w:type="spellStart"/>
      <w:r w:rsidRPr="008223EE">
        <w:rPr>
          <w:rFonts w:ascii="Arial" w:eastAsia="Times New Roman" w:hAnsi="Arial" w:cs="Arial"/>
          <w:i/>
          <w:iCs/>
          <w:sz w:val="14"/>
          <w:szCs w:val="14"/>
        </w:rPr>
        <w:t>DVaR</w:t>
      </w:r>
      <w:proofErr w:type="spellEnd"/>
      <w:r w:rsidRPr="008223EE">
        <w:rPr>
          <w:rFonts w:ascii="Arial" w:eastAsia="Times New Roman" w:hAnsi="Arial" w:cs="Arial"/>
          <w:i/>
          <w:iCs/>
          <w:sz w:val="14"/>
          <w:szCs w:val="14"/>
        </w:rPr>
        <w:t>.</w:t>
      </w:r>
    </w:p>
    <w:p w:rsidR="008223EE" w:rsidRPr="008223EE" w:rsidRDefault="008223EE" w:rsidP="008F5F56">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4       The average of the three largest one day estimated losses.</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r>
      <w:r w:rsidRPr="008223EE">
        <w:rPr>
          <w:rFonts w:ascii="Arial" w:eastAsia="Times New Roman" w:hAnsi="Arial" w:cs="Arial"/>
          <w:b/>
          <w:bCs/>
          <w:color w:val="000000"/>
          <w:sz w:val="24"/>
          <w:szCs w:val="24"/>
        </w:rPr>
        <w:br/>
        <w:t>Financial Statement Notes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1.    Basis of Preparation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Results Announcement has been prepared using the same accounting policies and methods of computation as those used in the 2011 Annual Report.</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There have been no accounting developments since those disclosed in the 2011 Annual Report that have had a material impact on the Group's 2012 results. There have been and are expected to be a number of significant changes to the Group's financial reporting after 2012 as a result of amended or new accounting standards that have been or will be issued by the IASB. The most significant of these are as follows:</w:t>
      </w:r>
    </w:p>
    <w:p w:rsidR="008223EE" w:rsidRPr="008223EE" w:rsidRDefault="008223EE" w:rsidP="008223EE">
      <w:pPr>
        <w:spacing w:before="180" w:after="180" w:line="240" w:lineRule="auto"/>
        <w:jc w:val="both"/>
        <w:rPr>
          <w:rFonts w:ascii="Arial" w:eastAsia="Times New Roman" w:hAnsi="Arial" w:cs="Arial"/>
          <w:i/>
          <w:iCs/>
          <w:sz w:val="18"/>
          <w:szCs w:val="18"/>
        </w:rPr>
      </w:pPr>
      <w:r w:rsidRPr="008223EE">
        <w:rPr>
          <w:rFonts w:ascii="Arial" w:eastAsia="Times New Roman" w:hAnsi="Arial" w:cs="Arial"/>
          <w:i/>
          <w:iCs/>
          <w:sz w:val="18"/>
          <w:szCs w:val="18"/>
        </w:rPr>
        <w:t>Effective from 1 January 2013:</w:t>
      </w:r>
    </w:p>
    <w:p w:rsidR="008223EE" w:rsidRPr="008223EE" w:rsidRDefault="008223EE" w:rsidP="008F5F5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From 1 January 2013, the Group will adopt IAS 19 Employee Benefits revised. The main impact of the revision is the removal of the ability to defer actuarial gains and losses as part of its pension assets and liabilities. The Group will also include changes in net pension liabilities or assets that do not arise from regular cost, interest (on the net pension liabilities or assets) or contributions, within Other Comprehensive Income. Details of the financial impact of these changes are detailed in note 13, page 92</w:t>
      </w:r>
    </w:p>
    <w:p w:rsidR="008223EE" w:rsidRPr="008223EE" w:rsidRDefault="008223EE" w:rsidP="008F5F5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IFRS 10 Consolidated Financial Statements will require the Group to apply different criteria to determine the entities that are included in the Group's consolidated financial statements. The implementation of IFRS 10 will result in the Group consolidating some entities that were previously not consolidated and deconsolidating some entities that were previously consolidated. If IFRS10 had been adopted for the period to 31 December 2012 the financial impact on the Group would have been to decrease assets by £144m, increase liabilities by £333m and decrease total shareholders equity by £477m. The impact on the Core Tier 1 ratio would have been a 12 bps decrease</w:t>
      </w:r>
    </w:p>
    <w:p w:rsidR="008223EE" w:rsidRPr="008223EE" w:rsidRDefault="008223EE" w:rsidP="008F5F56">
      <w:pPr>
        <w:spacing w:before="180" w:after="180" w:line="240" w:lineRule="auto"/>
        <w:ind w:left="284" w:hanging="284"/>
        <w:jc w:val="both"/>
        <w:rPr>
          <w:rFonts w:ascii="Arial" w:eastAsia="Times New Roman" w:hAnsi="Arial" w:cs="Arial"/>
          <w:i/>
          <w:iCs/>
          <w:sz w:val="18"/>
          <w:szCs w:val="18"/>
        </w:rPr>
      </w:pPr>
      <w:r w:rsidRPr="008223EE">
        <w:rPr>
          <w:rFonts w:ascii="Arial" w:eastAsia="Times New Roman" w:hAnsi="Arial" w:cs="Arial"/>
          <w:i/>
          <w:iCs/>
          <w:sz w:val="18"/>
          <w:szCs w:val="18"/>
        </w:rPr>
        <w:t>Effective from 1 January 2015:</w:t>
      </w:r>
    </w:p>
    <w:p w:rsidR="008223EE" w:rsidRPr="008223EE" w:rsidRDefault="008223EE" w:rsidP="008F5F56">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IFRS 9 Financial Instruments will change the classification and therefore the measurement of its financial assets, the calculation of impairment and hedge accounting. In addition to these changes, the portion of gains and losses arising from changes in the Group's credit rating included in changes in the value of the Group's issued debt securities held at fair value through profit or loss will be included in other comprehensive income rather than the income statement. The proposals have yet to be finalised and it is therefore not yet possible to estimate the financial effects</w:t>
      </w:r>
    </w:p>
    <w:p w:rsidR="008223EE" w:rsidRPr="008223EE" w:rsidRDefault="008223EE" w:rsidP="008223EE">
      <w:pPr>
        <w:spacing w:after="0" w:line="240" w:lineRule="auto"/>
        <w:rPr>
          <w:rFonts w:ascii="Arial" w:eastAsia="Times New Roman" w:hAnsi="Arial" w:cs="Arial"/>
          <w:sz w:val="18"/>
          <w:szCs w:val="18"/>
        </w:rPr>
      </w:pPr>
      <w:r w:rsidRPr="008223EE">
        <w:rPr>
          <w:rFonts w:ascii="Arial" w:eastAsia="Times New Roman" w:hAnsi="Arial" w:cs="Arial"/>
          <w:sz w:val="18"/>
          <w:szCs w:val="18"/>
        </w:rPr>
        <w:t>Further information on the changes, will be set out in the Barclays 2012 Annual Report.</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t>Going Concern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Group's business activities and financial position, the factors likely to affect its future development and performance, and its objectives and policies in managing the financial risks to which it is exposed and its capital are discussed in the Results by Business, Performance Management and Risk Management sections.</w:t>
      </w:r>
    </w:p>
    <w:p w:rsidR="008223EE" w:rsidRPr="008223EE" w:rsidRDefault="008223EE" w:rsidP="008223EE">
      <w:pPr>
        <w:spacing w:before="180" w:after="180" w:line="240" w:lineRule="auto"/>
        <w:rPr>
          <w:rFonts w:ascii="Arial" w:eastAsia="Times New Roman" w:hAnsi="Arial" w:cs="Arial"/>
          <w:sz w:val="18"/>
          <w:szCs w:val="18"/>
        </w:rPr>
      </w:pPr>
      <w:r w:rsidRPr="008223EE">
        <w:rPr>
          <w:rFonts w:ascii="Arial" w:eastAsia="Times New Roman" w:hAnsi="Arial" w:cs="Arial"/>
          <w:sz w:val="18"/>
          <w:szCs w:val="18"/>
        </w:rPr>
        <w:lastRenderedPageBreak/>
        <w:t>The Directors confirm they are satisfied that the Group has adequate resources to continue in business for the foreseeable future. For this reason, they continue to adopt the going concern basis for preparing accounts.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Financial Statement Notes</w:t>
      </w:r>
    </w:p>
    <w:tbl>
      <w:tblPr>
        <w:tblW w:w="0" w:type="auto"/>
        <w:tblInd w:w="-36" w:type="dxa"/>
        <w:tblCellMar>
          <w:left w:w="0" w:type="dxa"/>
          <w:right w:w="0" w:type="dxa"/>
        </w:tblCellMar>
        <w:tblLook w:val="04A0" w:firstRow="1" w:lastRow="0" w:firstColumn="1" w:lastColumn="0" w:noHBand="0" w:noVBand="1"/>
      </w:tblPr>
      <w:tblGrid>
        <w:gridCol w:w="7098"/>
        <w:gridCol w:w="1018"/>
        <w:gridCol w:w="1018"/>
      </w:tblGrid>
      <w:tr w:rsidR="008223EE" w:rsidRPr="008223EE" w:rsidTr="008223EE">
        <w:trPr>
          <w:trHeight w:val="240"/>
        </w:trPr>
        <w:tc>
          <w:tcPr>
            <w:tcW w:w="73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2.    Net Interest Income</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7062"/>
        <w:gridCol w:w="1036"/>
        <w:gridCol w:w="1036"/>
      </w:tblGrid>
      <w:tr w:rsidR="008223EE" w:rsidRPr="008223EE" w:rsidTr="008223EE">
        <w:trPr>
          <w:trHeight w:val="240"/>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r>
      <w:tr w:rsidR="008223EE" w:rsidRPr="008223EE" w:rsidTr="008223EE">
        <w:trPr>
          <w:trHeight w:val="240"/>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73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Cash and balances with central banks</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392 </w:t>
            </w:r>
          </w:p>
        </w:tc>
      </w:tr>
      <w:tr w:rsidR="008223EE" w:rsidRPr="008223EE" w:rsidTr="008223EE">
        <w:trPr>
          <w:trHeight w:val="240"/>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Available for sale financial investments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1,720 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2,137 </w:t>
            </w:r>
          </w:p>
        </w:tc>
      </w:tr>
      <w:tr w:rsidR="008223EE" w:rsidRPr="008223EE" w:rsidTr="008223EE">
        <w:trPr>
          <w:trHeight w:val="240"/>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Loans and advances to banks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350 </w:t>
            </w:r>
          </w:p>
        </w:tc>
      </w:tr>
      <w:tr w:rsidR="008223EE" w:rsidRPr="008223EE" w:rsidTr="008223EE">
        <w:trPr>
          <w:trHeight w:val="240"/>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Loans and advances to customers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16,461 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17,271 </w:t>
            </w:r>
          </w:p>
        </w:tc>
      </w:tr>
      <w:tr w:rsidR="008223EE" w:rsidRPr="008223EE" w:rsidTr="008223EE">
        <w:trPr>
          <w:trHeight w:val="240"/>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439 </w:t>
            </w:r>
          </w:p>
        </w:tc>
      </w:tr>
      <w:tr w:rsidR="008223EE" w:rsidRPr="008223EE" w:rsidTr="008223EE">
        <w:trPr>
          <w:trHeight w:val="240"/>
        </w:trPr>
        <w:tc>
          <w:tcPr>
            <w:tcW w:w="73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Interest income</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19,199 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20,589 </w:t>
            </w:r>
          </w:p>
        </w:tc>
      </w:tr>
      <w:tr w:rsidR="008223EE" w:rsidRPr="008223EE" w:rsidTr="008223EE">
        <w:trPr>
          <w:trHeight w:val="240"/>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Deposits from banks</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(257)</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(366)</w:t>
            </w:r>
          </w:p>
        </w:tc>
      </w:tr>
      <w:tr w:rsidR="008223EE" w:rsidRPr="008223EE" w:rsidTr="008223EE">
        <w:trPr>
          <w:trHeight w:val="240"/>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Customer accounts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(2,480)</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(2,526)</w:t>
            </w:r>
          </w:p>
        </w:tc>
      </w:tr>
      <w:tr w:rsidR="008223EE" w:rsidRPr="008223EE" w:rsidTr="008223EE">
        <w:trPr>
          <w:trHeight w:val="240"/>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Debt securities in issue</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(2,929)</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(3,524)</w:t>
            </w:r>
          </w:p>
        </w:tc>
      </w:tr>
      <w:tr w:rsidR="008223EE" w:rsidRPr="008223EE" w:rsidTr="008223EE">
        <w:trPr>
          <w:trHeight w:val="240"/>
        </w:trPr>
        <w:tc>
          <w:tcPr>
            <w:tcW w:w="73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Subordinated liabilities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(1,632)</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(1,813)</w:t>
            </w:r>
          </w:p>
        </w:tc>
      </w:tr>
      <w:tr w:rsidR="008223EE" w:rsidRPr="008223EE" w:rsidTr="008223EE">
        <w:trPr>
          <w:trHeight w:val="240"/>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(262)</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(159)</w:t>
            </w:r>
          </w:p>
        </w:tc>
      </w:tr>
      <w:tr w:rsidR="008223EE" w:rsidRPr="008223EE" w:rsidTr="008223EE">
        <w:trPr>
          <w:trHeight w:val="240"/>
        </w:trPr>
        <w:tc>
          <w:tcPr>
            <w:tcW w:w="73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Interest expense</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(7,560)</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(8,388)</w:t>
            </w:r>
          </w:p>
        </w:tc>
      </w:tr>
      <w:tr w:rsidR="008223EE" w:rsidRPr="008223EE" w:rsidTr="008223EE">
        <w:trPr>
          <w:trHeight w:val="240"/>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Net interest income</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11,639 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12,201 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4"/>
          <w:szCs w:val="24"/>
        </w:rPr>
        <w:t> 3.   Administration and General Expenses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7038"/>
        <w:gridCol w:w="1048"/>
        <w:gridCol w:w="1048"/>
      </w:tblGrid>
      <w:tr w:rsidR="008223EE" w:rsidRPr="008223EE" w:rsidTr="008223EE">
        <w:trPr>
          <w:trHeight w:val="240"/>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r>
      <w:tr w:rsidR="008223EE" w:rsidRPr="008223EE" w:rsidTr="008223EE">
        <w:trPr>
          <w:trHeight w:val="240"/>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Property and equipment</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1,656 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1,763 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Outsourcing and professional services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2,179 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1,869 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Operating lease rentals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659 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Marketing, advertising and sponsorship</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585 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Subscriptions, publications, stationery and communications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727 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740 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Travel and accommodation</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324 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328 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administration and general expenses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546 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400 </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Impairment of property, equipment and intangible assets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12 </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Administration and general expenses</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6,643 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6,356 </w:t>
            </w:r>
          </w:p>
        </w:tc>
      </w:tr>
    </w:tbl>
    <w:p w:rsidR="008223EE" w:rsidRPr="008223EE" w:rsidRDefault="008223EE" w:rsidP="008223EE">
      <w:pPr>
        <w:spacing w:before="240"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4.    Tax</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18"/>
          <w:szCs w:val="18"/>
        </w:rPr>
        <w:t>The tax charge for 2012 was £482m (2011: £1,928m) on profit before tax of £246m (2011: £5,879m), representing an effective tax rate of 195.9% (2011: 32.8%). The high effective tax rate in 2012 is a result of the combination of losses in the UK, primarily relating to the own credit charge of £4,579m (2011: gain of £2,708m) with tax relief at 24.5% (2011:26.5%) and profits outside the UK taxed at higher rates.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760"/>
        <w:gridCol w:w="1031"/>
        <w:gridCol w:w="1101"/>
        <w:gridCol w:w="104"/>
        <w:gridCol w:w="1034"/>
        <w:gridCol w:w="1104"/>
      </w:tblGrid>
      <w:tr w:rsidR="008223EE" w:rsidRPr="008223EE" w:rsidTr="008223EE">
        <w:trPr>
          <w:trHeight w:val="240"/>
        </w:trPr>
        <w:tc>
          <w:tcPr>
            <w:tcW w:w="48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48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217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Assets</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17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Liabilities</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845"/>
        <w:gridCol w:w="1046"/>
        <w:gridCol w:w="1046"/>
        <w:gridCol w:w="105"/>
        <w:gridCol w:w="1046"/>
        <w:gridCol w:w="1046"/>
      </w:tblGrid>
      <w:tr w:rsidR="008223EE" w:rsidRPr="008223EE" w:rsidTr="008223EE">
        <w:trPr>
          <w:trHeight w:val="225"/>
        </w:trPr>
        <w:tc>
          <w:tcPr>
            <w:tcW w:w="489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Current and Deferred Tax Assets and Liabilities</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48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48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Current tax</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252  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(621)</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(1,397)</w:t>
            </w:r>
          </w:p>
        </w:tc>
      </w:tr>
      <w:tr w:rsidR="008223EE" w:rsidRPr="008223EE" w:rsidTr="008223EE">
        <w:trPr>
          <w:trHeight w:val="240"/>
        </w:trPr>
        <w:tc>
          <w:tcPr>
            <w:tcW w:w="489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Deferred tax</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3,016  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3,010  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(695)</w:t>
            </w:r>
          </w:p>
        </w:tc>
      </w:tr>
      <w:tr w:rsidR="008223EE" w:rsidRPr="008223EE" w:rsidTr="008223EE">
        <w:trPr>
          <w:trHeight w:val="240"/>
        </w:trPr>
        <w:tc>
          <w:tcPr>
            <w:tcW w:w="489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3,268  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3,384  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(1,340)</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(2,092)</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lastRenderedPageBreak/>
        <w:t>The deferred tax asset of £3,016m (2011: £3,010m) mainly relates to amounts in the Barclays Group US Inc. tax group, the US Branch of Barclays Bank Plc and the Spanish tax group. As at 31 December 2012, the deferred tax asset in the Spanish tax group is recoverable, as supported by the latest business forecasts updated for the current economic environment in Spain. The asset has reduced to £602m (2011: £696m) reflecting a lower anticipated tax recovery rate.</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Financial Statement Notes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467"/>
        <w:gridCol w:w="152"/>
        <w:gridCol w:w="1019"/>
        <w:gridCol w:w="1081"/>
        <w:gridCol w:w="105"/>
        <w:gridCol w:w="1017"/>
        <w:gridCol w:w="1293"/>
      </w:tblGrid>
      <w:tr w:rsidR="008223EE" w:rsidRPr="008223EE" w:rsidTr="00CE48B3">
        <w:trPr>
          <w:trHeight w:val="135"/>
        </w:trPr>
        <w:tc>
          <w:tcPr>
            <w:tcW w:w="4619" w:type="dxa"/>
            <w:gridSpan w:val="2"/>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19"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81"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17"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293"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CE48B3">
        <w:trPr>
          <w:trHeight w:val="240"/>
        </w:trPr>
        <w:tc>
          <w:tcPr>
            <w:tcW w:w="9134" w:type="dxa"/>
            <w:gridSpan w:val="7"/>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5.    Non-controlling Interests</w:t>
            </w:r>
          </w:p>
        </w:tc>
      </w:tr>
      <w:tr w:rsidR="008223EE" w:rsidRPr="008223EE" w:rsidTr="00CE48B3">
        <w:trPr>
          <w:trHeight w:val="240"/>
        </w:trPr>
        <w:tc>
          <w:tcPr>
            <w:tcW w:w="4467"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2252" w:type="dxa"/>
            <w:gridSpan w:val="3"/>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Profit Attributable to Non-controlling Interest</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310" w:type="dxa"/>
            <w:gridSpan w:val="2"/>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Equity Attributable to Non-controlling Interest</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4467"/>
        <w:gridCol w:w="1134"/>
        <w:gridCol w:w="1134"/>
        <w:gridCol w:w="141"/>
        <w:gridCol w:w="1212"/>
        <w:gridCol w:w="1046"/>
      </w:tblGrid>
      <w:tr w:rsidR="008223EE" w:rsidRPr="008223EE" w:rsidTr="00CE48B3">
        <w:trPr>
          <w:trHeight w:val="240"/>
        </w:trPr>
        <w:tc>
          <w:tcPr>
            <w:tcW w:w="4467"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134"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Year Ended</w:t>
            </w:r>
          </w:p>
        </w:tc>
        <w:tc>
          <w:tcPr>
            <w:tcW w:w="1134"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Year Ended</w:t>
            </w:r>
          </w:p>
        </w:tc>
        <w:tc>
          <w:tcPr>
            <w:tcW w:w="141"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2"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c>
          <w:tcPr>
            <w:tcW w:w="1046"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CE48B3">
        <w:trPr>
          <w:trHeight w:val="240"/>
        </w:trPr>
        <w:tc>
          <w:tcPr>
            <w:tcW w:w="4467"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134"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134"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141"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2"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46"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CE48B3">
        <w:trPr>
          <w:trHeight w:val="240"/>
        </w:trPr>
        <w:tc>
          <w:tcPr>
            <w:tcW w:w="4467"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134"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134"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41"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212"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46"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CE48B3">
        <w:trPr>
          <w:trHeight w:val="240"/>
        </w:trPr>
        <w:tc>
          <w:tcPr>
            <w:tcW w:w="44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Barclays Bank PLC Issued:</w:t>
            </w:r>
          </w:p>
        </w:tc>
        <w:tc>
          <w:tcPr>
            <w:tcW w:w="1134"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134"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2"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46"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CE48B3">
        <w:trPr>
          <w:trHeight w:val="240"/>
        </w:trPr>
        <w:tc>
          <w:tcPr>
            <w:tcW w:w="4467"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Preference shares</w:t>
            </w:r>
          </w:p>
        </w:tc>
        <w:tc>
          <w:tcPr>
            <w:tcW w:w="113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462 </w:t>
            </w:r>
          </w:p>
        </w:tc>
        <w:tc>
          <w:tcPr>
            <w:tcW w:w="113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465 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5,927 </w:t>
            </w:r>
          </w:p>
        </w:tc>
        <w:tc>
          <w:tcPr>
            <w:tcW w:w="1046"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5,929 </w:t>
            </w:r>
          </w:p>
        </w:tc>
      </w:tr>
      <w:tr w:rsidR="008223EE" w:rsidRPr="008223EE" w:rsidTr="00CE48B3">
        <w:trPr>
          <w:trHeight w:val="240"/>
        </w:trPr>
        <w:tc>
          <w:tcPr>
            <w:tcW w:w="4467"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Reserve Capital Instruments (RCIs)</w:t>
            </w:r>
          </w:p>
        </w:tc>
        <w:tc>
          <w:tcPr>
            <w:tcW w:w="113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13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46"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CE48B3">
        <w:trPr>
          <w:trHeight w:val="240"/>
        </w:trPr>
        <w:tc>
          <w:tcPr>
            <w:tcW w:w="4467"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Upper Tier 2 instruments</w:t>
            </w:r>
          </w:p>
        </w:tc>
        <w:tc>
          <w:tcPr>
            <w:tcW w:w="113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c>
          <w:tcPr>
            <w:tcW w:w="113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591 </w:t>
            </w:r>
          </w:p>
        </w:tc>
        <w:tc>
          <w:tcPr>
            <w:tcW w:w="1046"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586 </w:t>
            </w:r>
          </w:p>
        </w:tc>
      </w:tr>
      <w:tr w:rsidR="008223EE" w:rsidRPr="008223EE" w:rsidTr="00CE48B3">
        <w:trPr>
          <w:trHeight w:val="240"/>
        </w:trPr>
        <w:tc>
          <w:tcPr>
            <w:tcW w:w="4467"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Absa Group Limited </w:t>
            </w:r>
          </w:p>
        </w:tc>
        <w:tc>
          <w:tcPr>
            <w:tcW w:w="113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304 </w:t>
            </w:r>
          </w:p>
        </w:tc>
        <w:tc>
          <w:tcPr>
            <w:tcW w:w="1134"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401 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2"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2,737 </w:t>
            </w:r>
          </w:p>
        </w:tc>
        <w:tc>
          <w:tcPr>
            <w:tcW w:w="1046"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2,861 </w:t>
            </w:r>
          </w:p>
        </w:tc>
      </w:tr>
      <w:tr w:rsidR="008223EE" w:rsidRPr="008223EE" w:rsidTr="00CE48B3">
        <w:trPr>
          <w:trHeight w:val="240"/>
        </w:trPr>
        <w:tc>
          <w:tcPr>
            <w:tcW w:w="4467"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non-controlling interests</w:t>
            </w:r>
          </w:p>
        </w:tc>
        <w:tc>
          <w:tcPr>
            <w:tcW w:w="1134"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35 </w:t>
            </w:r>
          </w:p>
        </w:tc>
        <w:tc>
          <w:tcPr>
            <w:tcW w:w="1134"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212"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116 </w:t>
            </w:r>
          </w:p>
        </w:tc>
        <w:tc>
          <w:tcPr>
            <w:tcW w:w="1046"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231 </w:t>
            </w:r>
          </w:p>
        </w:tc>
      </w:tr>
      <w:tr w:rsidR="008223EE" w:rsidRPr="008223EE" w:rsidTr="00CE48B3">
        <w:trPr>
          <w:trHeight w:val="240"/>
        </w:trPr>
        <w:tc>
          <w:tcPr>
            <w:tcW w:w="4467"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134"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805 </w:t>
            </w:r>
          </w:p>
        </w:tc>
        <w:tc>
          <w:tcPr>
            <w:tcW w:w="1134"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944 </w:t>
            </w:r>
          </w:p>
        </w:tc>
        <w:tc>
          <w:tcPr>
            <w:tcW w:w="141"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2"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9,371 </w:t>
            </w:r>
          </w:p>
        </w:tc>
        <w:tc>
          <w:tcPr>
            <w:tcW w:w="1046"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9,607 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decrease in Absa Group equity attributable to non-controlling interest to £2,737m (2011: £2,861m) is principally due to £247m depreciation of African currencies against Sterling and £194m of dividends paid, offset by retained profits of £304m.</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During 2011 the RCIs, with a nominal value of $2bn, generated £46m of coupons before being redeemed.</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6911"/>
        <w:gridCol w:w="1033"/>
        <w:gridCol w:w="1190"/>
      </w:tblGrid>
      <w:tr w:rsidR="008223EE" w:rsidRPr="008223EE" w:rsidTr="008223EE">
        <w:trPr>
          <w:trHeight w:val="240"/>
        </w:trPr>
        <w:tc>
          <w:tcPr>
            <w:tcW w:w="71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 xml:space="preserve">6.    Earnings Per Share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21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240"/>
        </w:trPr>
        <w:tc>
          <w:tcPr>
            <w:tcW w:w="71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c>
          <w:tcPr>
            <w:tcW w:w="12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40"/>
        </w:trPr>
        <w:tc>
          <w:tcPr>
            <w:tcW w:w="718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21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718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71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(Loss)/profit attributable to equity holders of the parent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(1,041)</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3,007 </w:t>
            </w:r>
          </w:p>
        </w:tc>
      </w:tr>
      <w:tr w:rsidR="008223EE" w:rsidRPr="008223EE" w:rsidTr="008223EE">
        <w:trPr>
          <w:trHeight w:val="240"/>
        </w:trPr>
        <w:tc>
          <w:tcPr>
            <w:tcW w:w="71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Basic weighted average number of shares in issue</w:t>
            </w:r>
            <w:r w:rsidRPr="008223EE">
              <w:rPr>
                <w:rFonts w:ascii="Arial" w:eastAsia="Times New Roman" w:hAnsi="Arial" w:cs="Arial"/>
                <w:b/>
                <w:bCs/>
                <w:color w:val="000000"/>
                <w:sz w:val="13"/>
                <w:szCs w:val="13"/>
                <w:vertAlign w:val="superscript"/>
              </w:rPr>
              <w:t>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12,225m</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11,988m</w:t>
            </w:r>
          </w:p>
        </w:tc>
      </w:tr>
      <w:tr w:rsidR="008223EE" w:rsidRPr="008223EE" w:rsidTr="008223EE">
        <w:trPr>
          <w:trHeight w:val="240"/>
        </w:trPr>
        <w:tc>
          <w:tcPr>
            <w:tcW w:w="71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Number of potential ordinary shares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389m</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538m</w:t>
            </w:r>
          </w:p>
        </w:tc>
      </w:tr>
      <w:tr w:rsidR="008223EE" w:rsidRPr="008223EE" w:rsidTr="008223EE">
        <w:trPr>
          <w:trHeight w:val="240"/>
        </w:trPr>
        <w:tc>
          <w:tcPr>
            <w:tcW w:w="71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Diluted weighted average number of shares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12,614m</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12,526m</w:t>
            </w:r>
          </w:p>
        </w:tc>
      </w:tr>
      <w:tr w:rsidR="008223EE" w:rsidRPr="008223EE" w:rsidTr="008223EE">
        <w:trPr>
          <w:trHeight w:val="240"/>
        </w:trPr>
        <w:tc>
          <w:tcPr>
            <w:tcW w:w="718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718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Basic (loss)/earnings per ordinary share </w:t>
            </w:r>
            <w:r w:rsidRPr="008223EE">
              <w:rPr>
                <w:rFonts w:ascii="Arial" w:eastAsia="Times New Roman" w:hAnsi="Arial" w:cs="Arial"/>
                <w:color w:val="000000"/>
                <w:sz w:val="13"/>
                <w:szCs w:val="13"/>
                <w:vertAlign w:val="superscript"/>
              </w:rPr>
              <w:t>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(8.5p)</w:t>
            </w:r>
          </w:p>
        </w:tc>
        <w:tc>
          <w:tcPr>
            <w:tcW w:w="12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25.1p</w:t>
            </w:r>
          </w:p>
        </w:tc>
      </w:tr>
      <w:tr w:rsidR="008223EE" w:rsidRPr="008223EE" w:rsidTr="008223EE">
        <w:trPr>
          <w:trHeight w:val="240"/>
        </w:trPr>
        <w:tc>
          <w:tcPr>
            <w:tcW w:w="718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Diluted (loss)/earnings per ordinary share</w:t>
            </w:r>
            <w:r w:rsidRPr="008223EE">
              <w:rPr>
                <w:rFonts w:ascii="Arial" w:eastAsia="Times New Roman" w:hAnsi="Arial" w:cs="Arial"/>
                <w:color w:val="000000"/>
                <w:sz w:val="13"/>
                <w:szCs w:val="13"/>
                <w:vertAlign w:val="superscript"/>
              </w:rPr>
              <w:t>2 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(8.5p)</w:t>
            </w:r>
          </w:p>
        </w:tc>
        <w:tc>
          <w:tcPr>
            <w:tcW w:w="12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24.0p</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7.   Dividends on Ordinary Shares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It is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policy to declare and pay dividends quarterly. A final dividend in respect of 2012 of 3.5p per ordinary share will be paid on 15 March 2013 to shareholders on the Share Register on 22 February 2013 and accounted for as a distribution of retained earnings in the year ending 31 December 2013. The financial statements for 2012 include the following dividends paid during the year:</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2666"/>
        <w:gridCol w:w="1038"/>
        <w:gridCol w:w="1038"/>
        <w:gridCol w:w="78"/>
        <w:gridCol w:w="2157"/>
        <w:gridCol w:w="2157"/>
      </w:tblGrid>
      <w:tr w:rsidR="008223EE" w:rsidRPr="008223EE" w:rsidTr="008223EE">
        <w:trPr>
          <w:trHeight w:val="255"/>
        </w:trPr>
        <w:tc>
          <w:tcPr>
            <w:tcW w:w="27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21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 Year Ended 31.12.12</w:t>
            </w:r>
          </w:p>
        </w:tc>
        <w:tc>
          <w:tcPr>
            <w:tcW w:w="2175" w:type="dxa"/>
            <w:tcMar>
              <w:top w:w="0" w:type="dxa"/>
              <w:left w:w="36" w:type="dxa"/>
              <w:bottom w:w="0" w:type="dxa"/>
              <w:right w:w="36" w:type="dxa"/>
            </w:tcMar>
            <w:vAlign w:val="cente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Year Ended 31.12.11</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2698"/>
        <w:gridCol w:w="1049"/>
        <w:gridCol w:w="1049"/>
        <w:gridCol w:w="78"/>
        <w:gridCol w:w="1050"/>
        <w:gridCol w:w="1050"/>
        <w:gridCol w:w="1050"/>
        <w:gridCol w:w="1110"/>
      </w:tblGrid>
      <w:tr w:rsidR="008223EE" w:rsidRPr="008223EE" w:rsidTr="008223EE">
        <w:trPr>
          <w:trHeight w:val="240"/>
        </w:trPr>
        <w:tc>
          <w:tcPr>
            <w:tcW w:w="270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Dividends Paid During the Period</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Per Share</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Per Share</w:t>
            </w:r>
          </w:p>
        </w:tc>
        <w:tc>
          <w:tcPr>
            <w:tcW w:w="1110"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r w:rsidR="008223EE" w:rsidRPr="008223EE" w:rsidTr="008223EE">
        <w:trPr>
          <w:trHeight w:val="240"/>
        </w:trPr>
        <w:tc>
          <w:tcPr>
            <w:tcW w:w="270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Pence</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Pence</w:t>
            </w:r>
          </w:p>
        </w:tc>
        <w:tc>
          <w:tcPr>
            <w:tcW w:w="111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27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Final dividend paid during period</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3.0p</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2.5p</w:t>
            </w:r>
          </w:p>
        </w:tc>
        <w:tc>
          <w:tcPr>
            <w:tcW w:w="11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298 </w:t>
            </w:r>
          </w:p>
        </w:tc>
      </w:tr>
      <w:tr w:rsidR="008223EE" w:rsidRPr="008223EE" w:rsidTr="008223EE">
        <w:trPr>
          <w:trHeight w:val="240"/>
        </w:trPr>
        <w:tc>
          <w:tcPr>
            <w:tcW w:w="270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Interim dividends paid during period</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3.0p</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3.0p</w:t>
            </w:r>
          </w:p>
        </w:tc>
        <w:tc>
          <w:tcPr>
            <w:tcW w:w="111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362 </w:t>
            </w:r>
          </w:p>
        </w:tc>
      </w:tr>
      <w:tr w:rsidR="008223EE" w:rsidRPr="008223EE" w:rsidTr="008223EE">
        <w:trPr>
          <w:trHeight w:val="240"/>
        </w:trPr>
        <w:tc>
          <w:tcPr>
            <w:tcW w:w="270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6.0p</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733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5.5p</w:t>
            </w:r>
          </w:p>
        </w:tc>
        <w:tc>
          <w:tcPr>
            <w:tcW w:w="111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660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lastRenderedPageBreak/>
        <w:t>For qualifying US and Canadian resident ADR holders, the final dividend of 3.5p per ordinary share becomes 14p per ADS (representing four shares). The ADR depositary will post the final dividend on 15 March 2013 to ADR holders on record at close of business on 22 February 2013.</w:t>
      </w:r>
      <w:r w:rsidRPr="008223EE">
        <w:rPr>
          <w:rFonts w:ascii="Arial" w:eastAsia="Times New Roman" w:hAnsi="Arial" w:cs="Arial"/>
          <w:sz w:val="2"/>
          <w:szCs w:val="2"/>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CE48B3">
      <w:pPr>
        <w:spacing w:before="40" w:after="4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 xml:space="preserve">1        </w:t>
      </w:r>
      <w:r w:rsidRPr="008223EE">
        <w:rPr>
          <w:rFonts w:ascii="Arial" w:eastAsia="Times New Roman" w:hAnsi="Arial" w:cs="Arial"/>
          <w:i/>
          <w:iCs/>
          <w:sz w:val="13"/>
          <w:szCs w:val="13"/>
        </w:rPr>
        <w:t>The number of basic weighted average number of shares excludes Treasury shares held in employee benefit trusts for trading.</w:t>
      </w:r>
    </w:p>
    <w:p w:rsidR="008223EE" w:rsidRPr="008223EE" w:rsidRDefault="008223EE" w:rsidP="00CE48B3">
      <w:pPr>
        <w:spacing w:before="40" w:after="4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3"/>
          <w:szCs w:val="13"/>
        </w:rPr>
        <w:t>2       Potential ordinary shares shall be treated as dilutive when, and only when, their conversion to ordinary shares would increase loss per share.</w:t>
      </w:r>
    </w:p>
    <w:p w:rsidR="008223EE" w:rsidRPr="008223EE" w:rsidRDefault="008223EE" w:rsidP="008223EE">
      <w:pPr>
        <w:spacing w:before="40" w:after="40" w:line="240" w:lineRule="auto"/>
        <w:jc w:val="both"/>
        <w:rPr>
          <w:rFonts w:ascii="Arial" w:eastAsia="Times New Roman" w:hAnsi="Arial" w:cs="Arial"/>
          <w:i/>
          <w:iCs/>
          <w:sz w:val="14"/>
          <w:szCs w:val="14"/>
        </w:rPr>
      </w:pPr>
      <w:r w:rsidRPr="008223EE">
        <w:rPr>
          <w:rFonts w:ascii="Arial" w:eastAsia="Times New Roman" w:hAnsi="Arial" w:cs="Arial"/>
          <w:i/>
          <w:iCs/>
          <w:sz w:val="13"/>
          <w:szCs w:val="13"/>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Financial Statement Notes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5977"/>
        <w:gridCol w:w="994"/>
        <w:gridCol w:w="104"/>
        <w:gridCol w:w="989"/>
        <w:gridCol w:w="1070"/>
      </w:tblGrid>
      <w:tr w:rsidR="008223EE" w:rsidRPr="008223EE" w:rsidTr="008223EE">
        <w:trPr>
          <w:trHeight w:val="315"/>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8.    Derivative Financial Instruments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420"/>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05" w:type="dxa"/>
            <w:vMerge w:val="restart"/>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Contract Notional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Amount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208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Fair Value</w:t>
            </w:r>
          </w:p>
        </w:tc>
      </w:tr>
      <w:tr w:rsidR="008223EE" w:rsidRPr="008223EE" w:rsidTr="008223EE">
        <w:trPr>
          <w:trHeight w:val="240"/>
        </w:trPr>
        <w:tc>
          <w:tcPr>
            <w:tcW w:w="61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0" w:type="auto"/>
            <w:vMerge/>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Assets</w:t>
            </w:r>
          </w:p>
        </w:tc>
        <w:tc>
          <w:tcPr>
            <w:tcW w:w="100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Liabilities</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6031"/>
        <w:gridCol w:w="1003"/>
        <w:gridCol w:w="104"/>
        <w:gridCol w:w="997"/>
        <w:gridCol w:w="999"/>
      </w:tblGrid>
      <w:tr w:rsidR="008223EE" w:rsidRPr="008223EE" w:rsidTr="008223EE">
        <w:trPr>
          <w:trHeight w:val="240"/>
        </w:trPr>
        <w:tc>
          <w:tcPr>
            <w:tcW w:w="61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Foreign exchange derivatives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4,423,737 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59,299 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(63,821)</w:t>
            </w:r>
          </w:p>
        </w:tc>
      </w:tr>
      <w:tr w:rsidR="008223EE" w:rsidRPr="008223EE" w:rsidTr="008223EE">
        <w:trPr>
          <w:trHeight w:val="240"/>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Interest rate derivatives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32,995,831 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351,373 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(336,625)</w:t>
            </w:r>
          </w:p>
        </w:tc>
      </w:tr>
      <w:tr w:rsidR="008223EE" w:rsidRPr="008223EE" w:rsidTr="008223EE">
        <w:trPr>
          <w:trHeight w:val="240"/>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Credit derivatives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1,768,180 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29,797 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(29,208)</w:t>
            </w:r>
          </w:p>
        </w:tc>
      </w:tr>
      <w:tr w:rsidR="008223EE" w:rsidRPr="008223EE" w:rsidTr="008223EE">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Equity and stock index and commodity derivatives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1,004,446 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24,878 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(29,680)</w:t>
            </w:r>
          </w:p>
        </w:tc>
      </w:tr>
      <w:tr w:rsidR="008223EE" w:rsidRPr="008223EE" w:rsidTr="008223EE">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Derivative assets/(liabilities) held for trading</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40,192,194 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465,347 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(459,334)</w:t>
            </w:r>
          </w:p>
        </w:tc>
      </w:tr>
      <w:tr w:rsidR="008223EE" w:rsidRPr="008223EE" w:rsidTr="008223EE">
        <w:trPr>
          <w:trHeight w:val="150"/>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Derivatives in Hedge Accounting Relationships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Derivatives designated as cash flow hedges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177,122 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2,043 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(1,097)</w:t>
            </w:r>
          </w:p>
        </w:tc>
      </w:tr>
      <w:tr w:rsidR="008223EE" w:rsidRPr="008223EE" w:rsidTr="008223EE">
        <w:trPr>
          <w:trHeight w:val="240"/>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Derivatives designated as fair value hedges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108,240 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1,576 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(1,984)</w:t>
            </w:r>
          </w:p>
        </w:tc>
      </w:tr>
      <w:tr w:rsidR="008223EE" w:rsidRPr="008223EE" w:rsidTr="008223EE">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Derivatives designated as hedges of net investments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17,460 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w:t>
            </w:r>
          </w:p>
        </w:tc>
      </w:tr>
      <w:tr w:rsidR="008223EE" w:rsidRPr="008223EE" w:rsidTr="008223EE">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Derivative assets/(liabilities) designated in hedge accounting relationships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302,822 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3,799 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(3,134)</w:t>
            </w:r>
          </w:p>
        </w:tc>
      </w:tr>
      <w:tr w:rsidR="008223EE" w:rsidRPr="008223EE" w:rsidTr="008223EE">
        <w:trPr>
          <w:trHeight w:val="15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recognised derivative assets/(liabilities)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40,495,016 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469,146 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(462,468)</w:t>
            </w:r>
          </w:p>
        </w:tc>
      </w:tr>
      <w:tr w:rsidR="008223EE" w:rsidRPr="008223EE" w:rsidTr="008223EE">
        <w:trPr>
          <w:trHeight w:val="150"/>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40"/>
        </w:trPr>
        <w:tc>
          <w:tcPr>
            <w:tcW w:w="61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Foreign exchange derivatives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4,452,874 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63,822 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(67,280)</w:t>
            </w:r>
          </w:p>
        </w:tc>
      </w:tr>
      <w:tr w:rsidR="008223EE" w:rsidRPr="008223EE" w:rsidTr="008223EE">
        <w:trPr>
          <w:trHeight w:val="240"/>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Interest rate derivatives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35,541,980 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372,570 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(357,440)</w:t>
            </w:r>
          </w:p>
        </w:tc>
      </w:tr>
      <w:tr w:rsidR="008223EE" w:rsidRPr="008223EE" w:rsidTr="008223EE">
        <w:trPr>
          <w:trHeight w:val="240"/>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Credit derivatives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1,886,650 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63,312 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(61,348)</w:t>
            </w:r>
          </w:p>
        </w:tc>
      </w:tr>
      <w:tr w:rsidR="008223EE" w:rsidRPr="008223EE" w:rsidTr="008223EE">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Equity and stock index and commodity derivatives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1,214,487 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35,602 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(38,484)</w:t>
            </w:r>
          </w:p>
        </w:tc>
      </w:tr>
      <w:tr w:rsidR="008223EE" w:rsidRPr="008223EE" w:rsidTr="008223EE">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Derivative assets/(liabilities) held for trading</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43,095,991 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535,306 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(524,552)</w:t>
            </w:r>
          </w:p>
        </w:tc>
      </w:tr>
      <w:tr w:rsidR="008223EE" w:rsidRPr="008223EE" w:rsidTr="008223EE">
        <w:trPr>
          <w:trHeight w:val="150"/>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Derivatives in Hedge Accounting Relationships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Derivatives designated as cash flow hedges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157,149 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2,150 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(1,726)</w:t>
            </w:r>
          </w:p>
        </w:tc>
      </w:tr>
      <w:tr w:rsidR="008223EE" w:rsidRPr="008223EE" w:rsidTr="008223EE">
        <w:trPr>
          <w:trHeight w:val="240"/>
        </w:trPr>
        <w:tc>
          <w:tcPr>
            <w:tcW w:w="615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Derivatives designated as fair value hedges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74,375 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1,447 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(1,238)</w:t>
            </w:r>
          </w:p>
        </w:tc>
      </w:tr>
      <w:tr w:rsidR="008223EE" w:rsidRPr="008223EE" w:rsidTr="008223EE">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Derivatives designated as hedges of net investments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12,010 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(394)</w:t>
            </w:r>
          </w:p>
        </w:tc>
      </w:tr>
      <w:tr w:rsidR="008223EE" w:rsidRPr="008223EE" w:rsidTr="008223EE">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Derivative assets/(liabilities) designated in hedge accounting relationships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243,534 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3,658 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(3,358)</w:t>
            </w:r>
          </w:p>
        </w:tc>
      </w:tr>
      <w:tr w:rsidR="008223EE" w:rsidRPr="008223EE" w:rsidTr="008223EE">
        <w:trPr>
          <w:trHeight w:val="15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recognised derivative assets/(liabilities)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43,339,525 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538,964 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(527,910)</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fair value of gross derivative assets decreased by 13% to £469bn primarily reflecting the tightening of credit spreads, and trades matured and terminated during the period.</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Derivative asset exposures would be £435bn (2011: £492bn) lower than reported under IFRS if netting were permitted for assets and liabilities with the same counterparty or for which we hold cash collateral. Similarly, derivative liabilities would be £427bn (£478bn) lower reflecting counterparty netting and collateral placed.</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Financial Statement Notes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9.      Financial Instruments Held at Fair Value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table below shows the financial assets and liabilities that are recognised and measured at fair value analysed by level within the fair value hierarchy.</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645" w:type="dxa"/>
        <w:tblInd w:w="-36" w:type="dxa"/>
        <w:tblCellMar>
          <w:left w:w="0" w:type="dxa"/>
          <w:right w:w="0" w:type="dxa"/>
        </w:tblCellMar>
        <w:tblLook w:val="04A0" w:firstRow="1" w:lastRow="0" w:firstColumn="1" w:lastColumn="0" w:noHBand="0" w:noVBand="1"/>
      </w:tblPr>
      <w:tblGrid>
        <w:gridCol w:w="5234"/>
        <w:gridCol w:w="1037"/>
        <w:gridCol w:w="1037"/>
        <w:gridCol w:w="1192"/>
        <w:gridCol w:w="108"/>
        <w:gridCol w:w="1037"/>
      </w:tblGrid>
      <w:tr w:rsidR="008223EE" w:rsidRPr="008223EE" w:rsidTr="008223EE">
        <w:trPr>
          <w:trHeight w:val="255"/>
        </w:trPr>
        <w:tc>
          <w:tcPr>
            <w:tcW w:w="50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3165" w:type="dxa"/>
            <w:gridSpan w:val="3"/>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Valuations Based on</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765"/>
        </w:trPr>
        <w:tc>
          <w:tcPr>
            <w:tcW w:w="50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Quoted Market Prices</w:t>
            </w:r>
          </w:p>
        </w:tc>
        <w:tc>
          <w:tcPr>
            <w:tcW w:w="100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Observable Inputs</w:t>
            </w:r>
          </w:p>
        </w:tc>
        <w:tc>
          <w:tcPr>
            <w:tcW w:w="1005" w:type="dxa"/>
            <w:tcBorders>
              <w:top w:val="single" w:sz="8" w:space="0" w:color="969696"/>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Significant Unobservable Inputs</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r>
      <w:tr w:rsidR="008223EE" w:rsidRPr="008223EE" w:rsidTr="008223EE">
        <w:trPr>
          <w:trHeight w:val="255"/>
        </w:trPr>
        <w:tc>
          <w:tcPr>
            <w:tcW w:w="507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(Level 1)</w:t>
            </w: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(Level 2)</w:t>
            </w: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(Level 3)</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645" w:type="dxa"/>
        <w:tblInd w:w="-36" w:type="dxa"/>
        <w:tblCellMar>
          <w:left w:w="0" w:type="dxa"/>
          <w:right w:w="0" w:type="dxa"/>
        </w:tblCellMar>
        <w:tblLook w:val="04A0" w:firstRow="1" w:lastRow="0" w:firstColumn="1" w:lastColumn="0" w:noHBand="0" w:noVBand="1"/>
      </w:tblPr>
      <w:tblGrid>
        <w:gridCol w:w="5319"/>
        <w:gridCol w:w="1054"/>
        <w:gridCol w:w="1054"/>
        <w:gridCol w:w="1054"/>
        <w:gridCol w:w="110"/>
        <w:gridCol w:w="1054"/>
      </w:tblGrid>
      <w:tr w:rsidR="008223EE" w:rsidRPr="008223EE" w:rsidTr="008223EE">
        <w:trPr>
          <w:trHeight w:val="255"/>
        </w:trPr>
        <w:tc>
          <w:tcPr>
            <w:tcW w:w="507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31.12.12</w:t>
            </w: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Trading portfolio assets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51,614 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85,930 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7,486 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145,030 </w:t>
            </w:r>
          </w:p>
        </w:tc>
      </w:tr>
      <w:tr w:rsidR="008223EE" w:rsidRPr="008223EE" w:rsidTr="008223EE">
        <w:trPr>
          <w:trHeight w:val="25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assets designated at fair value</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14,405 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25,705 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5,951 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46,061 </w:t>
            </w:r>
          </w:p>
        </w:tc>
      </w:tr>
      <w:tr w:rsidR="008223EE" w:rsidRPr="008223EE" w:rsidTr="008223EE">
        <w:trPr>
          <w:trHeight w:val="270"/>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 financial assets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2,864 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460,139 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6,143 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469,146 </w:t>
            </w:r>
          </w:p>
        </w:tc>
      </w:tr>
      <w:tr w:rsidR="008223EE" w:rsidRPr="008223EE" w:rsidTr="008223EE">
        <w:trPr>
          <w:trHeight w:val="27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Available for sale assets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28,946 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43,283 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2,880 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75,109 </w:t>
            </w:r>
          </w:p>
        </w:tc>
      </w:tr>
      <w:tr w:rsidR="008223EE" w:rsidRPr="008223EE" w:rsidTr="008223EE">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Assets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97,829 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615,057 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22,460 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735,346 </w:t>
            </w:r>
          </w:p>
        </w:tc>
      </w:tr>
      <w:tr w:rsidR="008223EE" w:rsidRPr="008223EE" w:rsidTr="008223EE">
        <w:trPr>
          <w:trHeight w:val="25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5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Trading portfolio liabilities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(20,270)</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(24,522)</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(44,794)</w:t>
            </w:r>
          </w:p>
        </w:tc>
      </w:tr>
      <w:tr w:rsidR="008223EE" w:rsidRPr="008223EE" w:rsidTr="008223EE">
        <w:trPr>
          <w:trHeight w:val="25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liabilities designated at fair value</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(181)</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(75,866)</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(2,233)</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(78,280)</w:t>
            </w:r>
          </w:p>
        </w:tc>
      </w:tr>
      <w:tr w:rsidR="008223EE" w:rsidRPr="008223EE" w:rsidTr="008223EE">
        <w:trPr>
          <w:trHeight w:val="27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 financial liabilities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(2,668)</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(454,896)</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(4,904)</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(462,468)</w:t>
            </w:r>
          </w:p>
        </w:tc>
      </w:tr>
      <w:tr w:rsidR="008223EE" w:rsidRPr="008223EE" w:rsidTr="008223EE">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Liabilities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(23,119)</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(555,284)</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(7,139)</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(585,542)</w:t>
            </w:r>
          </w:p>
        </w:tc>
      </w:tr>
      <w:tr w:rsidR="008223EE" w:rsidRPr="008223EE" w:rsidTr="008223EE">
        <w:trPr>
          <w:trHeight w:val="25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r>
      <w:tr w:rsidR="008223EE" w:rsidRPr="008223EE" w:rsidTr="008223EE">
        <w:trPr>
          <w:trHeight w:val="255"/>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As at 31.12.11</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Trading portfolio assets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61,530 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81,449 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9,204 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152,183 </w:t>
            </w:r>
          </w:p>
        </w:tc>
      </w:tr>
      <w:tr w:rsidR="008223EE" w:rsidRPr="008223EE" w:rsidTr="008223EE">
        <w:trPr>
          <w:trHeight w:val="25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assets designated at fair value</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4,179 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24,091 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8,679 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36,949 </w:t>
            </w:r>
          </w:p>
        </w:tc>
      </w:tr>
      <w:tr w:rsidR="008223EE" w:rsidRPr="008223EE" w:rsidTr="008223EE">
        <w:trPr>
          <w:trHeight w:val="270"/>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 financial assets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2,550 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525,147 </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11,267 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538,964 </w:t>
            </w:r>
          </w:p>
        </w:tc>
      </w:tr>
      <w:tr w:rsidR="008223EE" w:rsidRPr="008223EE" w:rsidTr="008223EE">
        <w:trPr>
          <w:trHeight w:val="27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Available for sale assets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30,857 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34,761 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2,873 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68,491 </w:t>
            </w:r>
          </w:p>
        </w:tc>
      </w:tr>
      <w:tr w:rsidR="008223EE" w:rsidRPr="008223EE" w:rsidTr="008223EE">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Assets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99,116 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665,448 </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32,023 </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796,587 </w:t>
            </w:r>
          </w:p>
        </w:tc>
      </w:tr>
      <w:tr w:rsidR="008223EE" w:rsidRPr="008223EE" w:rsidTr="008223EE">
        <w:trPr>
          <w:trHeight w:val="25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5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Trading portfolio liabilities</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(26,155)</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(19,726)</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(45,887)</w:t>
            </w:r>
          </w:p>
        </w:tc>
      </w:tr>
      <w:tr w:rsidR="008223EE" w:rsidRPr="008223EE" w:rsidTr="008223EE">
        <w:trPr>
          <w:trHeight w:val="255"/>
        </w:trPr>
        <w:tc>
          <w:tcPr>
            <w:tcW w:w="507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Financial liabilities designated at fair value</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(39)</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(84,822)</w:t>
            </w: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(3,136)</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(87,997)</w:t>
            </w:r>
          </w:p>
        </w:tc>
      </w:tr>
      <w:tr w:rsidR="008223EE" w:rsidRPr="008223EE" w:rsidTr="008223EE">
        <w:trPr>
          <w:trHeight w:val="27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Derivative financial liabilities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(2,263)</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(517,066)</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(8,581)</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(527,910)</w:t>
            </w:r>
          </w:p>
        </w:tc>
      </w:tr>
      <w:tr w:rsidR="008223EE" w:rsidRPr="008223EE" w:rsidTr="008223EE">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Liabilities</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(28,457)</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(621,614)</w:t>
            </w: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(11,723)</w:t>
            </w:r>
          </w:p>
        </w:tc>
        <w:tc>
          <w:tcPr>
            <w:tcW w:w="10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0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(661,794)</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Transfers from Level 1 to Level 2 primarily comprised certain government bonds and equity products as a result of regular </w:t>
      </w:r>
      <w:proofErr w:type="spellStart"/>
      <w:r w:rsidRPr="008223EE">
        <w:rPr>
          <w:rFonts w:ascii="Arial" w:eastAsia="Times New Roman" w:hAnsi="Arial" w:cs="Arial"/>
          <w:sz w:val="18"/>
          <w:szCs w:val="18"/>
        </w:rPr>
        <w:t>observeability</w:t>
      </w:r>
      <w:proofErr w:type="spellEnd"/>
      <w:r w:rsidRPr="008223EE">
        <w:rPr>
          <w:rFonts w:ascii="Arial" w:eastAsia="Times New Roman" w:hAnsi="Arial" w:cs="Arial"/>
          <w:sz w:val="18"/>
          <w:szCs w:val="18"/>
        </w:rPr>
        <w:t xml:space="preserve"> reassessments. </w:t>
      </w:r>
    </w:p>
    <w:p w:rsidR="008223EE" w:rsidRPr="008223EE" w:rsidRDefault="008223EE" w:rsidP="008223EE">
      <w:pPr>
        <w:spacing w:before="180" w:after="180" w:line="240" w:lineRule="auto"/>
        <w:rPr>
          <w:rFonts w:ascii="Arial" w:eastAsia="Times New Roman" w:hAnsi="Arial" w:cs="Arial"/>
          <w:sz w:val="18"/>
          <w:szCs w:val="18"/>
        </w:rPr>
      </w:pPr>
      <w:r w:rsidRPr="008223EE">
        <w:rPr>
          <w:rFonts w:ascii="Arial" w:eastAsia="Times New Roman" w:hAnsi="Arial" w:cs="Arial"/>
          <w:sz w:val="18"/>
          <w:szCs w:val="18"/>
        </w:rPr>
        <w:t>The significant movements in the Level 3 positions during the year ended 31 December 2012 are as follows:</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Purchases of £6.9bn primarily comprising £3.6bn in asset backed debt instruments, £1.4bn in commercial real estate loans and £1.0bn in non-asset backed loans</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Sales of £8.6bn primarily comprising £4.7bn of asset backed debt instruments, £1.3bn of commercial real estate loans and £1.5bn of private equity disposals including the sale of an investment in </w:t>
      </w:r>
      <w:proofErr w:type="spellStart"/>
      <w:r w:rsidRPr="008223EE">
        <w:rPr>
          <w:rFonts w:ascii="Arial" w:eastAsia="Times New Roman" w:hAnsi="Arial" w:cs="Arial"/>
          <w:sz w:val="18"/>
          <w:szCs w:val="18"/>
        </w:rPr>
        <w:t>Archstone</w:t>
      </w:r>
      <w:proofErr w:type="spellEnd"/>
      <w:r w:rsidRPr="008223EE">
        <w:rPr>
          <w:rFonts w:ascii="Arial" w:eastAsia="Times New Roman" w:hAnsi="Arial" w:cs="Arial"/>
          <w:sz w:val="18"/>
          <w:szCs w:val="18"/>
        </w:rPr>
        <w:t>, an apartment company, for £0.9bn</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Settlements of £1.3bn including £0.3bn of asset backed debt instruments and £0.7bn in commercial real estate loans</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 xml:space="preserve">Net losses on the fair value of Level 3 assets recognised in the income statement totalled £1.4bn (31 December 2011: £0.3bn) primarily due to a reduction in the fair value of </w:t>
      </w:r>
      <w:proofErr w:type="spellStart"/>
      <w:r w:rsidRPr="008223EE">
        <w:rPr>
          <w:rFonts w:ascii="Arial" w:eastAsia="Times New Roman" w:hAnsi="Arial" w:cs="Arial"/>
          <w:sz w:val="18"/>
          <w:szCs w:val="18"/>
        </w:rPr>
        <w:t>monoline</w:t>
      </w:r>
      <w:proofErr w:type="spellEnd"/>
      <w:r w:rsidRPr="008223EE">
        <w:rPr>
          <w:rFonts w:ascii="Arial" w:eastAsia="Times New Roman" w:hAnsi="Arial" w:cs="Arial"/>
          <w:sz w:val="18"/>
          <w:szCs w:val="18"/>
        </w:rPr>
        <w:t xml:space="preserve"> and non-</w:t>
      </w:r>
      <w:proofErr w:type="spellStart"/>
      <w:r w:rsidRPr="008223EE">
        <w:rPr>
          <w:rFonts w:ascii="Arial" w:eastAsia="Times New Roman" w:hAnsi="Arial" w:cs="Arial"/>
          <w:sz w:val="18"/>
          <w:szCs w:val="18"/>
        </w:rPr>
        <w:t>monoline</w:t>
      </w:r>
      <w:proofErr w:type="spellEnd"/>
      <w:r w:rsidRPr="008223EE">
        <w:rPr>
          <w:rFonts w:ascii="Arial" w:eastAsia="Times New Roman" w:hAnsi="Arial" w:cs="Arial"/>
          <w:sz w:val="18"/>
          <w:szCs w:val="18"/>
        </w:rPr>
        <w:t xml:space="preserve"> credit derivatives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Financial Statement Notes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9.      Financial Instruments Held at Fair Value (continued)</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Unrecognised Gains as a Result of the use of Valuation Models Using Unobservable Inputs</w:t>
      </w:r>
    </w:p>
    <w:p w:rsidR="008223EE" w:rsidRPr="008223EE" w:rsidRDefault="008223EE" w:rsidP="008223EE">
      <w:pPr>
        <w:spacing w:before="120" w:after="180" w:line="240" w:lineRule="auto"/>
        <w:jc w:val="both"/>
        <w:rPr>
          <w:rFonts w:ascii="Arial" w:eastAsia="Times New Roman" w:hAnsi="Arial" w:cs="Arial"/>
          <w:sz w:val="18"/>
          <w:szCs w:val="18"/>
        </w:rPr>
      </w:pPr>
      <w:r w:rsidRPr="008223EE">
        <w:rPr>
          <w:rFonts w:ascii="Arial" w:eastAsia="Times New Roman" w:hAnsi="Arial" w:cs="Arial"/>
          <w:sz w:val="18"/>
          <w:szCs w:val="18"/>
        </w:rPr>
        <w:lastRenderedPageBreak/>
        <w:t>The amount that has yet to be recognised in income that relates to the difference between the transaction price (the fair value at initial recognition) and the amount that would have arisen had valuation models using unobservable inputs been used on initial recognition, less amounts subsequently recognised, was as follows:</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7062"/>
        <w:gridCol w:w="1036"/>
        <w:gridCol w:w="1036"/>
      </w:tblGrid>
      <w:tr w:rsidR="008223EE" w:rsidRPr="008223EE" w:rsidTr="008223EE">
        <w:trPr>
          <w:trHeight w:val="240"/>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Year Ended</w:t>
            </w:r>
          </w:p>
        </w:tc>
      </w:tr>
      <w:tr w:rsidR="008223EE" w:rsidRPr="008223EE" w:rsidTr="008223EE">
        <w:trPr>
          <w:trHeight w:val="240"/>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Opening balance</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137 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Additions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93 </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Amortisation and releases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(47)</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(113)</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Closing balance</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148 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117 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60" w:after="160" w:line="240" w:lineRule="auto"/>
        <w:jc w:val="both"/>
        <w:rPr>
          <w:rFonts w:ascii="Arial" w:eastAsia="Times New Roman" w:hAnsi="Arial" w:cs="Arial"/>
          <w:sz w:val="18"/>
          <w:szCs w:val="18"/>
        </w:rPr>
      </w:pPr>
      <w:r w:rsidRPr="008223EE">
        <w:rPr>
          <w:rFonts w:ascii="Arial" w:eastAsia="Times New Roman" w:hAnsi="Arial" w:cs="Arial"/>
          <w:sz w:val="18"/>
          <w:szCs w:val="18"/>
        </w:rPr>
        <w:t>As part of our risk management processes stress tests on the significant unobservable parameters are applied to generate a range of potentially possible alternative valuations. The results of the most recent stress test showed a potential to increase the fair values by up to £1.7bn (2011: £2.0bn) or to decrease the fair values by up to £1.7bn (2011: £2.1bn) with substantially all the potential effect being recorded in the income statement rather than equity. It is not possible to reliably stress the £1.9bn receivable included within Level 3 assets arising from the Lehman acquisition since its value is dependent in large part on the outcome of legal proceedings. Further detail is provided in note 17.</w:t>
      </w:r>
    </w:p>
    <w:p w:rsidR="008223EE" w:rsidRPr="008223EE" w:rsidRDefault="008223EE" w:rsidP="008223EE">
      <w:pPr>
        <w:spacing w:before="160" w:after="160" w:line="240" w:lineRule="auto"/>
        <w:jc w:val="both"/>
        <w:rPr>
          <w:rFonts w:ascii="Arial" w:eastAsia="Times New Roman" w:hAnsi="Arial" w:cs="Arial"/>
          <w:sz w:val="18"/>
          <w:szCs w:val="18"/>
        </w:rPr>
      </w:pPr>
      <w:r w:rsidRPr="008223EE">
        <w:rPr>
          <w:rFonts w:ascii="Arial" w:eastAsia="Times New Roman" w:hAnsi="Arial" w:cs="Arial"/>
          <w:sz w:val="18"/>
          <w:szCs w:val="18"/>
        </w:rPr>
        <w:t>The stresses applied take account of the nature of valuation techniques used, as well as the availability and reliability of observable proxy and historical data. In all cases, an assessment is made to determine the suitability of available data. The sensitivity methodologies are based on a range, standard deviation or spread data of a reliable reference source or a scenario based on alternative market views. The level of shift or scenarios applied is considered for each product and varies according to the quality of the data and variability of underlying markets.</w:t>
      </w:r>
    </w:p>
    <w:p w:rsidR="008223EE" w:rsidRPr="008223EE" w:rsidRDefault="008223EE" w:rsidP="008223EE">
      <w:pPr>
        <w:spacing w:before="160" w:after="160" w:line="240" w:lineRule="auto"/>
        <w:jc w:val="both"/>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645" w:type="dxa"/>
        <w:tblInd w:w="-36" w:type="dxa"/>
        <w:tblCellMar>
          <w:left w:w="0" w:type="dxa"/>
          <w:right w:w="0" w:type="dxa"/>
        </w:tblCellMar>
        <w:tblLook w:val="04A0" w:firstRow="1" w:lastRow="0" w:firstColumn="1" w:lastColumn="0" w:noHBand="0" w:noVBand="1"/>
      </w:tblPr>
      <w:tblGrid>
        <w:gridCol w:w="7423"/>
        <w:gridCol w:w="1058"/>
        <w:gridCol w:w="1164"/>
      </w:tblGrid>
      <w:tr w:rsidR="008223EE" w:rsidRPr="008223EE" w:rsidTr="008223EE">
        <w:trPr>
          <w:trHeight w:val="240"/>
        </w:trPr>
        <w:tc>
          <w:tcPr>
            <w:tcW w:w="9570" w:type="dxa"/>
            <w:gridSpan w:val="3"/>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10.    Goodwill and Intangible Assets</w:t>
            </w:r>
          </w:p>
        </w:tc>
      </w:tr>
      <w:tr w:rsidR="008223EE" w:rsidRPr="008223EE" w:rsidTr="008223EE">
        <w:trPr>
          <w:trHeight w:val="240"/>
        </w:trPr>
        <w:tc>
          <w:tcPr>
            <w:tcW w:w="736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40"/>
        </w:trPr>
        <w:tc>
          <w:tcPr>
            <w:tcW w:w="736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736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73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Goodwill</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5,206 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5,305 </w:t>
            </w:r>
          </w:p>
        </w:tc>
      </w:tr>
      <w:tr w:rsidR="008223EE" w:rsidRPr="008223EE" w:rsidTr="008223EE">
        <w:trPr>
          <w:trHeight w:val="240"/>
        </w:trPr>
        <w:tc>
          <w:tcPr>
            <w:tcW w:w="73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Intangible assets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2,709 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2,541 </w:t>
            </w:r>
          </w:p>
        </w:tc>
      </w:tr>
      <w:tr w:rsidR="008223EE" w:rsidRPr="008223EE" w:rsidTr="008223EE">
        <w:trPr>
          <w:trHeight w:val="240"/>
        </w:trPr>
        <w:tc>
          <w:tcPr>
            <w:tcW w:w="73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7,915 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7,846 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60" w:after="160" w:line="240" w:lineRule="auto"/>
        <w:jc w:val="both"/>
        <w:rPr>
          <w:rFonts w:ascii="Arial" w:eastAsia="Times New Roman" w:hAnsi="Arial" w:cs="Arial"/>
          <w:sz w:val="18"/>
          <w:szCs w:val="18"/>
        </w:rPr>
      </w:pPr>
      <w:r w:rsidRPr="008223EE">
        <w:rPr>
          <w:rFonts w:ascii="Arial" w:eastAsia="Times New Roman" w:hAnsi="Arial" w:cs="Arial"/>
          <w:sz w:val="18"/>
          <w:szCs w:val="18"/>
        </w:rPr>
        <w:t>Goodwill principally comprised £3,144m held in UK RBB (31 December 2011: £3,145), £863m in Africa RBB (31 December 2011: £947m), £514m in Barclaycard (31 December 2011: £505m) and £391m in Wealth and Investment Management (31 December 2011: £391m).</w:t>
      </w:r>
    </w:p>
    <w:p w:rsidR="008223EE" w:rsidRPr="008223EE" w:rsidRDefault="008223EE" w:rsidP="008223EE">
      <w:pPr>
        <w:spacing w:before="160" w:after="16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Goodwill is reviewed for indicators of impairment quarterly and tested for impairment on an annual basis by comparing the carrying value to its recoverable amount. There has been no goodwill impairment during 2012. Impairment charges of £597m were recognised during 2011 against goodwill in </w:t>
      </w:r>
      <w:proofErr w:type="spellStart"/>
      <w:r w:rsidRPr="008223EE">
        <w:rPr>
          <w:rFonts w:ascii="Arial" w:eastAsia="Times New Roman" w:hAnsi="Arial" w:cs="Arial"/>
          <w:sz w:val="18"/>
          <w:szCs w:val="18"/>
        </w:rPr>
        <w:t>FirstPlus</w:t>
      </w:r>
      <w:proofErr w:type="spellEnd"/>
      <w:r w:rsidRPr="008223EE">
        <w:rPr>
          <w:rFonts w:ascii="Arial" w:eastAsia="Times New Roman" w:hAnsi="Arial" w:cs="Arial"/>
          <w:sz w:val="18"/>
          <w:szCs w:val="18"/>
        </w:rPr>
        <w:t xml:space="preserve"> and Spain.</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9645" w:type="dxa"/>
        <w:tblInd w:w="-36" w:type="dxa"/>
        <w:tblCellMar>
          <w:left w:w="0" w:type="dxa"/>
          <w:right w:w="0" w:type="dxa"/>
        </w:tblCellMar>
        <w:tblLook w:val="04A0" w:firstRow="1" w:lastRow="0" w:firstColumn="1" w:lastColumn="0" w:noHBand="0" w:noVBand="1"/>
      </w:tblPr>
      <w:tblGrid>
        <w:gridCol w:w="7423"/>
        <w:gridCol w:w="1058"/>
        <w:gridCol w:w="1164"/>
      </w:tblGrid>
      <w:tr w:rsidR="008223EE" w:rsidRPr="008223EE" w:rsidTr="008223EE">
        <w:trPr>
          <w:trHeight w:val="240"/>
        </w:trPr>
        <w:tc>
          <w:tcPr>
            <w:tcW w:w="9570" w:type="dxa"/>
            <w:gridSpan w:val="3"/>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11.    Subordinated Liabilities</w:t>
            </w:r>
          </w:p>
        </w:tc>
      </w:tr>
      <w:tr w:rsidR="008223EE" w:rsidRPr="008223EE" w:rsidTr="008223EE">
        <w:trPr>
          <w:trHeight w:val="255"/>
        </w:trPr>
        <w:tc>
          <w:tcPr>
            <w:tcW w:w="736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40"/>
        </w:trPr>
        <w:tc>
          <w:tcPr>
            <w:tcW w:w="736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736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£m </w:t>
            </w:r>
          </w:p>
        </w:tc>
      </w:tr>
      <w:tr w:rsidR="008223EE" w:rsidRPr="008223EE" w:rsidTr="008223EE">
        <w:trPr>
          <w:trHeight w:val="240"/>
        </w:trPr>
        <w:tc>
          <w:tcPr>
            <w:tcW w:w="73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Opening balance as at 1 January</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24,870 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28,499 </w:t>
            </w:r>
          </w:p>
        </w:tc>
      </w:tr>
      <w:tr w:rsidR="008223EE" w:rsidRPr="008223EE" w:rsidTr="008223EE">
        <w:trPr>
          <w:trHeight w:val="240"/>
        </w:trPr>
        <w:tc>
          <w:tcPr>
            <w:tcW w:w="73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Issuances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2,258 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880 </w:t>
            </w:r>
          </w:p>
        </w:tc>
      </w:tr>
      <w:tr w:rsidR="008223EE" w:rsidRPr="008223EE" w:rsidTr="008223EE">
        <w:trPr>
          <w:trHeight w:val="240"/>
        </w:trPr>
        <w:tc>
          <w:tcPr>
            <w:tcW w:w="736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Redemptions</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(2,680)</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(5,116)</w:t>
            </w:r>
          </w:p>
        </w:tc>
      </w:tr>
      <w:tr w:rsidR="008223EE" w:rsidRPr="008223EE" w:rsidTr="008223EE">
        <w:trPr>
          <w:trHeight w:val="240"/>
        </w:trPr>
        <w:tc>
          <w:tcPr>
            <w:tcW w:w="736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607 </w:t>
            </w:r>
          </w:p>
        </w:tc>
      </w:tr>
      <w:tr w:rsidR="008223EE" w:rsidRPr="008223EE" w:rsidTr="008223EE">
        <w:trPr>
          <w:trHeight w:val="240"/>
        </w:trPr>
        <w:tc>
          <w:tcPr>
            <w:tcW w:w="736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 dated and undated subordinated liabilities as at period end</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24,018 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24,870 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60" w:after="160" w:line="240" w:lineRule="auto"/>
        <w:jc w:val="both"/>
        <w:rPr>
          <w:rFonts w:ascii="Arial" w:eastAsia="Times New Roman" w:hAnsi="Arial" w:cs="Arial"/>
          <w:sz w:val="18"/>
          <w:szCs w:val="18"/>
        </w:rPr>
      </w:pPr>
      <w:r w:rsidRPr="008223EE">
        <w:rPr>
          <w:rFonts w:ascii="Arial" w:eastAsia="Times New Roman" w:hAnsi="Arial" w:cs="Arial"/>
          <w:sz w:val="18"/>
          <w:szCs w:val="18"/>
        </w:rPr>
        <w:t>During the year ended 31 December 2012 subordinated liabilities reduced by 3% to £24,018m due to issuances of £1,894m Contingent Capital Notes ($3bn) and £364m subordinated callable notes (ZAR 5bn) and redemptions of a £946m dated callable floating rate note ($1.5bn), a £1.2bn callable floating rate note (€1.5bn), a £314m callable floating rate note ($0.5bn), a £113m subordinated callable note (ZAR 1.5bn) and a £100m subordinated note.</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lastRenderedPageBreak/>
        <w:t>Financial Statement Notes</w:t>
      </w:r>
    </w:p>
    <w:tbl>
      <w:tblPr>
        <w:tblW w:w="9645" w:type="dxa"/>
        <w:tblInd w:w="-36" w:type="dxa"/>
        <w:tblCellMar>
          <w:left w:w="0" w:type="dxa"/>
          <w:right w:w="0" w:type="dxa"/>
        </w:tblCellMar>
        <w:tblLook w:val="04A0" w:firstRow="1" w:lastRow="0" w:firstColumn="1" w:lastColumn="0" w:noHBand="0" w:noVBand="1"/>
      </w:tblPr>
      <w:tblGrid>
        <w:gridCol w:w="7495"/>
        <w:gridCol w:w="1075"/>
        <w:gridCol w:w="1075"/>
      </w:tblGrid>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12.    Provisions</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r>
      <w:tr w:rsidR="008223EE" w:rsidRPr="008223EE" w:rsidTr="008223EE">
        <w:trPr>
          <w:trHeight w:val="170"/>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170"/>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170"/>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27"/>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Redundancy and restructuring</w:t>
            </w:r>
          </w:p>
        </w:tc>
        <w:tc>
          <w:tcPr>
            <w:tcW w:w="105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71 </w:t>
            </w:r>
          </w:p>
        </w:tc>
        <w:tc>
          <w:tcPr>
            <w:tcW w:w="105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216 </w:t>
            </w:r>
          </w:p>
        </w:tc>
      </w:tr>
      <w:tr w:rsidR="008223EE" w:rsidRPr="008223EE" w:rsidTr="008223EE">
        <w:trPr>
          <w:trHeight w:val="227"/>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Undrawn contractually committed facilities and guarantees</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159 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230 </w:t>
            </w:r>
          </w:p>
        </w:tc>
      </w:tr>
      <w:tr w:rsidR="008223EE" w:rsidRPr="008223EE" w:rsidTr="008223EE">
        <w:trPr>
          <w:trHeight w:val="227"/>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Onerous contracts</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104 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116 </w:t>
            </w:r>
          </w:p>
        </w:tc>
      </w:tr>
      <w:tr w:rsidR="008223EE" w:rsidRPr="008223EE" w:rsidTr="008223EE">
        <w:trPr>
          <w:trHeight w:val="227"/>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Payment Protection Insurance redress</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986 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565 </w:t>
            </w:r>
          </w:p>
        </w:tc>
      </w:tr>
      <w:tr w:rsidR="008223EE" w:rsidRPr="008223EE" w:rsidTr="008223EE">
        <w:trPr>
          <w:trHeight w:val="227"/>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Interest rate hedging product redress</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814 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w:t>
            </w:r>
          </w:p>
        </w:tc>
      </w:tr>
      <w:tr w:rsidR="008223EE" w:rsidRPr="008223EE" w:rsidTr="008223EE">
        <w:trPr>
          <w:trHeight w:val="227"/>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Litigation</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200 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140 </w:t>
            </w:r>
          </w:p>
        </w:tc>
      </w:tr>
      <w:tr w:rsidR="008223EE" w:rsidRPr="008223EE" w:rsidTr="008223EE">
        <w:trPr>
          <w:trHeight w:val="227"/>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Sundry provisions</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432 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262 </w:t>
            </w:r>
          </w:p>
        </w:tc>
      </w:tr>
      <w:tr w:rsidR="008223EE" w:rsidRPr="008223EE" w:rsidTr="008223EE">
        <w:trPr>
          <w:trHeight w:val="227"/>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Total</w:t>
            </w:r>
          </w:p>
        </w:tc>
        <w:tc>
          <w:tcPr>
            <w:tcW w:w="105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2,766 </w:t>
            </w:r>
          </w:p>
        </w:tc>
        <w:tc>
          <w:tcPr>
            <w:tcW w:w="1050" w:type="dxa"/>
            <w:tcBorders>
              <w:top w:val="nil"/>
              <w:left w:val="nil"/>
              <w:bottom w:val="nil"/>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1,529 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180" w:after="180" w:line="240" w:lineRule="auto"/>
        <w:jc w:val="both"/>
        <w:rPr>
          <w:rFonts w:ascii="Arial" w:eastAsia="Times New Roman" w:hAnsi="Arial" w:cs="Arial"/>
          <w:b/>
          <w:bCs/>
          <w:sz w:val="20"/>
          <w:szCs w:val="20"/>
        </w:rPr>
      </w:pPr>
      <w:r w:rsidRPr="008223EE">
        <w:rPr>
          <w:rFonts w:ascii="Arial" w:eastAsia="Times New Roman" w:hAnsi="Arial" w:cs="Arial"/>
          <w:b/>
          <w:bCs/>
          <w:sz w:val="20"/>
          <w:szCs w:val="20"/>
        </w:rPr>
        <w:t>Payment Protection Insurance Redress</w:t>
      </w:r>
    </w:p>
    <w:p w:rsidR="008223EE" w:rsidRPr="008223EE" w:rsidRDefault="008223EE" w:rsidP="008223EE">
      <w:pPr>
        <w:spacing w:before="180" w:after="180" w:line="240" w:lineRule="auto"/>
        <w:jc w:val="both"/>
        <w:rPr>
          <w:rFonts w:ascii="Arial" w:eastAsia="Times New Roman" w:hAnsi="Arial" w:cs="Arial"/>
          <w:sz w:val="20"/>
          <w:szCs w:val="20"/>
        </w:rPr>
      </w:pPr>
      <w:r w:rsidRPr="008223EE">
        <w:rPr>
          <w:rFonts w:ascii="Arial" w:eastAsia="Times New Roman" w:hAnsi="Arial" w:cs="Arial"/>
          <w:sz w:val="18"/>
          <w:szCs w:val="18"/>
        </w:rPr>
        <w:t>Following the conclusion of the 2011 judicial review, a provision for PPI redress of £1.0bn was raised in May 2011 based on FSA guidelines and historic industry experience in resolving similar claims. Subsequently, further provisions of £300m were raised in March 2012, £700m in September 2012 and £600m in December 2012, bringing the total provision for PPI redress to £2.6bn. As at 31 December 2012 £1.6bn of the provision had been utilised, including gesture of goodwill payments to customers with accrued claims at the conclusion of the judicial review, leaving a residual provision of £1bn.</w:t>
      </w:r>
    </w:p>
    <w:p w:rsidR="008223EE" w:rsidRPr="008223EE" w:rsidRDefault="008223EE" w:rsidP="008223EE">
      <w:pPr>
        <w:spacing w:before="180" w:after="180" w:line="240" w:lineRule="auto"/>
        <w:jc w:val="both"/>
        <w:rPr>
          <w:rFonts w:ascii="Arial" w:eastAsia="Times New Roman" w:hAnsi="Arial" w:cs="Arial"/>
          <w:sz w:val="20"/>
          <w:szCs w:val="20"/>
        </w:rPr>
      </w:pPr>
      <w:r w:rsidRPr="008223EE">
        <w:rPr>
          <w:rFonts w:ascii="Arial" w:eastAsia="Times New Roman" w:hAnsi="Arial" w:cs="Arial"/>
          <w:sz w:val="18"/>
          <w:szCs w:val="18"/>
        </w:rPr>
        <w:t>As of 31 December 2012, 1.1m customer initiated claims</w:t>
      </w:r>
      <w:r w:rsidRPr="008223EE">
        <w:rPr>
          <w:rFonts w:ascii="Arial" w:eastAsia="Times New Roman" w:hAnsi="Arial" w:cs="Arial"/>
          <w:sz w:val="14"/>
          <w:szCs w:val="14"/>
          <w:vertAlign w:val="superscript"/>
        </w:rPr>
        <w:t>1</w:t>
      </w:r>
      <w:r w:rsidRPr="008223EE">
        <w:rPr>
          <w:rFonts w:ascii="Arial" w:eastAsia="Times New Roman" w:hAnsi="Arial" w:cs="Arial"/>
          <w:sz w:val="18"/>
          <w:szCs w:val="18"/>
        </w:rPr>
        <w:t xml:space="preserve"> have been received and processed. The volume of claims received has declined since a peak in May 2012, although the rate of decline has been lower than previously expected.</w:t>
      </w:r>
    </w:p>
    <w:p w:rsidR="008223EE" w:rsidRPr="008223EE" w:rsidRDefault="008223EE" w:rsidP="008223EE">
      <w:pPr>
        <w:spacing w:before="180" w:after="180" w:line="240" w:lineRule="auto"/>
        <w:jc w:val="both"/>
        <w:rPr>
          <w:rFonts w:ascii="Arial" w:eastAsia="Times New Roman" w:hAnsi="Arial" w:cs="Arial"/>
          <w:sz w:val="20"/>
          <w:szCs w:val="20"/>
        </w:rPr>
      </w:pPr>
      <w:r w:rsidRPr="008223EE">
        <w:rPr>
          <w:rFonts w:ascii="Arial" w:eastAsia="Times New Roman" w:hAnsi="Arial" w:cs="Arial"/>
          <w:sz w:val="18"/>
          <w:szCs w:val="18"/>
        </w:rPr>
        <w:t xml:space="preserve">In addition to customer initiated claims, in August 2012, in accordance with regulatory standards, Barclays commenced proactive mailing of the holders of approximately 750,000 policies. Of this population approximately 100,000 have been mailed as at 31 December and it is anticipated that the remainder will be completed by June 2013. </w:t>
      </w:r>
    </w:p>
    <w:p w:rsidR="008223EE" w:rsidRPr="008223EE" w:rsidRDefault="008223EE" w:rsidP="008223EE">
      <w:pPr>
        <w:spacing w:before="180" w:after="180" w:line="240" w:lineRule="auto"/>
        <w:jc w:val="both"/>
        <w:rPr>
          <w:rFonts w:ascii="Arial" w:eastAsia="Times New Roman" w:hAnsi="Arial" w:cs="Arial"/>
          <w:sz w:val="20"/>
          <w:szCs w:val="20"/>
        </w:rPr>
      </w:pPr>
      <w:r w:rsidRPr="008223EE">
        <w:rPr>
          <w:rFonts w:ascii="Arial" w:eastAsia="Times New Roman" w:hAnsi="Arial" w:cs="Arial"/>
          <w:sz w:val="18"/>
          <w:szCs w:val="18"/>
        </w:rPr>
        <w:t>To date Barclays has upheld on average 39% of all claims received, excluding payment of gestures of goodwill and reflecting a high proportion of claims for which no PPI policy exists. The average redress per valid claim to date is £2,750, comprising, where applicable, the refund of premium, compound interest charged and interest of 8%.   </w:t>
      </w:r>
    </w:p>
    <w:p w:rsidR="008223EE" w:rsidRPr="008223EE" w:rsidRDefault="008223EE" w:rsidP="008223EE">
      <w:pPr>
        <w:spacing w:before="180" w:after="180" w:line="240" w:lineRule="auto"/>
        <w:jc w:val="both"/>
        <w:rPr>
          <w:rFonts w:ascii="Arial" w:eastAsia="Times New Roman" w:hAnsi="Arial" w:cs="Arial"/>
          <w:sz w:val="20"/>
          <w:szCs w:val="20"/>
        </w:rPr>
      </w:pPr>
      <w:r w:rsidRPr="008223EE">
        <w:rPr>
          <w:rFonts w:ascii="Arial" w:eastAsia="Times New Roman" w:hAnsi="Arial" w:cs="Arial"/>
          <w:sz w:val="18"/>
          <w:szCs w:val="18"/>
        </w:rPr>
        <w:t xml:space="preserve">The current provision is calculated based on a number of key assumptions which continue to involve significant management judgement: </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Customer initiated claim volumes - claims received but not yet processed and an estimate of future claims initiated by customers where the volume is anticipated to decline over time</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Proactive response rate - volume of claims in response to proactive mailing</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Uphold rate - the percentage of claims that are upheld as being valid upon review</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Average claim redress - the expected average payment to customers for upheld claims based on the type and age of the policy/policies</w:t>
      </w:r>
    </w:p>
    <w:p w:rsidR="008223EE" w:rsidRPr="008223EE" w:rsidRDefault="008223EE" w:rsidP="008223EE">
      <w:pPr>
        <w:spacing w:before="180" w:after="180" w:line="240" w:lineRule="auto"/>
        <w:jc w:val="both"/>
        <w:rPr>
          <w:rFonts w:ascii="Arial" w:eastAsia="Times New Roman" w:hAnsi="Arial" w:cs="Arial"/>
          <w:sz w:val="16"/>
          <w:szCs w:val="16"/>
        </w:rPr>
      </w:pPr>
      <w:r w:rsidRPr="008223EE">
        <w:rPr>
          <w:rFonts w:ascii="Arial" w:eastAsia="Times New Roman" w:hAnsi="Arial" w:cs="Arial"/>
          <w:sz w:val="18"/>
          <w:szCs w:val="18"/>
        </w:rPr>
        <w:t>The provision also includes an estimate of our claims handling costs and those costs associated with claims that are subsequently referred to the Financial Ombudsman Service.</w:t>
      </w:r>
    </w:p>
    <w:p w:rsidR="008223EE" w:rsidRPr="008223EE" w:rsidRDefault="008223EE" w:rsidP="008223EE">
      <w:pPr>
        <w:spacing w:before="180" w:line="240" w:lineRule="auto"/>
        <w:jc w:val="both"/>
        <w:rPr>
          <w:rFonts w:ascii="Arial" w:eastAsia="Times New Roman" w:hAnsi="Arial" w:cs="Arial"/>
          <w:sz w:val="16"/>
          <w:szCs w:val="16"/>
        </w:rPr>
      </w:pPr>
      <w:r w:rsidRPr="008223EE">
        <w:rPr>
          <w:rFonts w:ascii="Arial" w:eastAsia="Times New Roman" w:hAnsi="Arial" w:cs="Arial"/>
          <w:sz w:val="18"/>
          <w:szCs w:val="18"/>
        </w:rPr>
        <w:t xml:space="preserve">These assumptions remain </w:t>
      </w:r>
      <w:proofErr w:type="gramStart"/>
      <w:r w:rsidRPr="008223EE">
        <w:rPr>
          <w:rFonts w:ascii="Arial" w:eastAsia="Times New Roman" w:hAnsi="Arial" w:cs="Arial"/>
          <w:sz w:val="18"/>
          <w:szCs w:val="18"/>
        </w:rPr>
        <w:t>subjective,</w:t>
      </w:r>
      <w:proofErr w:type="gramEnd"/>
      <w:r w:rsidRPr="008223EE">
        <w:rPr>
          <w:rFonts w:ascii="Arial" w:eastAsia="Times New Roman" w:hAnsi="Arial" w:cs="Arial"/>
          <w:sz w:val="18"/>
          <w:szCs w:val="18"/>
        </w:rPr>
        <w:t xml:space="preserve"> in particular the uncertainty associated with future claims levels. Therefore, it is possible that the eventual outcome may materially differ from current estimates, resulting in an increase or decrease to the required provision. The following table details, by key assumption, actual data through to 31 December 2012, forecast assumptions used in the provision calculation and a sensitivity analysis illustrating the impact on the provision if the future expected assumptions prove too high or too low:</w:t>
      </w:r>
    </w:p>
    <w:tbl>
      <w:tblPr>
        <w:tblW w:w="9660" w:type="dxa"/>
        <w:tblInd w:w="-14" w:type="dxa"/>
        <w:tblCellMar>
          <w:left w:w="0" w:type="dxa"/>
          <w:right w:w="0" w:type="dxa"/>
        </w:tblCellMar>
        <w:tblLook w:val="04A0" w:firstRow="1" w:lastRow="0" w:firstColumn="1" w:lastColumn="0" w:noHBand="0" w:noVBand="1"/>
      </w:tblPr>
      <w:tblGrid>
        <w:gridCol w:w="4275"/>
        <w:gridCol w:w="1795"/>
        <w:gridCol w:w="1795"/>
        <w:gridCol w:w="1795"/>
      </w:tblGrid>
      <w:tr w:rsidR="008223EE" w:rsidRPr="008223EE" w:rsidTr="008223EE">
        <w:trPr>
          <w:trHeight w:val="270"/>
        </w:trPr>
        <w:tc>
          <w:tcPr>
            <w:tcW w:w="4215" w:type="dxa"/>
            <w:tcBorders>
              <w:top w:val="nil"/>
              <w:left w:val="nil"/>
              <w:bottom w:val="single" w:sz="8" w:space="0" w:color="808080"/>
              <w:right w:val="nil"/>
            </w:tcBorders>
            <w:tcMar>
              <w:top w:w="0" w:type="dxa"/>
              <w:left w:w="14" w:type="dxa"/>
              <w:bottom w:w="0" w:type="dxa"/>
              <w:right w:w="14" w:type="dxa"/>
            </w:tcMa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16"/>
                <w:szCs w:val="16"/>
              </w:rPr>
              <w:t> </w:t>
            </w:r>
          </w:p>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sz w:val="16"/>
                <w:szCs w:val="16"/>
              </w:rPr>
              <w:t> </w:t>
            </w:r>
          </w:p>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sz w:val="16"/>
                <w:szCs w:val="16"/>
              </w:rPr>
              <w:t>Assumption</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4"/>
                <w:szCs w:val="4"/>
              </w:rPr>
              <w:t> </w:t>
            </w:r>
          </w:p>
        </w:tc>
        <w:tc>
          <w:tcPr>
            <w:tcW w:w="1770" w:type="dxa"/>
            <w:tcBorders>
              <w:top w:val="nil"/>
              <w:left w:val="nil"/>
              <w:bottom w:val="single" w:sz="8" w:space="0" w:color="808080"/>
              <w:right w:val="nil"/>
            </w:tcBorders>
            <w:tcMar>
              <w:top w:w="0" w:type="dxa"/>
              <w:left w:w="14" w:type="dxa"/>
              <w:bottom w:w="0" w:type="dxa"/>
              <w:right w:w="14"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sz w:val="16"/>
                <w:szCs w:val="16"/>
              </w:rPr>
              <w:t>Cumulative actual</w:t>
            </w:r>
            <w:r w:rsidR="00013CAF">
              <w:rPr>
                <w:rFonts w:ascii="Arial" w:eastAsia="Times New Roman" w:hAnsi="Arial" w:cs="Arial"/>
                <w:b/>
                <w:bCs/>
                <w:sz w:val="16"/>
                <w:szCs w:val="16"/>
              </w:rPr>
              <w:br/>
            </w:r>
            <w:r w:rsidRPr="008223EE">
              <w:rPr>
                <w:rFonts w:ascii="Arial" w:eastAsia="Times New Roman" w:hAnsi="Arial" w:cs="Arial"/>
                <w:b/>
                <w:bCs/>
                <w:sz w:val="16"/>
                <w:szCs w:val="16"/>
              </w:rPr>
              <w:t xml:space="preserve">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sz w:val="16"/>
                <w:szCs w:val="16"/>
              </w:rPr>
              <w:t>   to 31.12.12</w:t>
            </w:r>
          </w:p>
        </w:tc>
        <w:tc>
          <w:tcPr>
            <w:tcW w:w="1770" w:type="dxa"/>
            <w:tcBorders>
              <w:top w:val="nil"/>
              <w:left w:val="nil"/>
              <w:bottom w:val="single" w:sz="8" w:space="0" w:color="808080"/>
              <w:right w:val="nil"/>
            </w:tcBorders>
            <w:tcMar>
              <w:top w:w="0" w:type="dxa"/>
              <w:left w:w="14" w:type="dxa"/>
              <w:bottom w:w="0" w:type="dxa"/>
              <w:right w:w="14"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sz w:val="16"/>
                <w:szCs w:val="16"/>
              </w:rPr>
              <w:t xml:space="preserve">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sz w:val="16"/>
                <w:szCs w:val="16"/>
              </w:rPr>
              <w:t>Future Expected</w:t>
            </w:r>
          </w:p>
        </w:tc>
        <w:tc>
          <w:tcPr>
            <w:tcW w:w="1770" w:type="dxa"/>
            <w:tcBorders>
              <w:top w:val="nil"/>
              <w:left w:val="nil"/>
              <w:bottom w:val="single" w:sz="8" w:space="0" w:color="808080"/>
              <w:right w:val="nil"/>
            </w:tcBorders>
            <w:tcMar>
              <w:top w:w="0" w:type="dxa"/>
              <w:left w:w="14" w:type="dxa"/>
              <w:bottom w:w="0" w:type="dxa"/>
              <w:right w:w="14"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sz w:val="16"/>
                <w:szCs w:val="16"/>
              </w:rPr>
              <w:t>Sensitivity Analysis</w:t>
            </w:r>
            <w:r w:rsidR="00013CAF">
              <w:rPr>
                <w:rFonts w:ascii="Arial" w:eastAsia="Times New Roman" w:hAnsi="Arial" w:cs="Arial"/>
                <w:b/>
                <w:bCs/>
                <w:sz w:val="16"/>
                <w:szCs w:val="16"/>
              </w:rPr>
              <w:br/>
            </w:r>
            <w:r w:rsidRPr="008223EE">
              <w:rPr>
                <w:rFonts w:ascii="Arial" w:eastAsia="Times New Roman" w:hAnsi="Arial" w:cs="Arial"/>
                <w:b/>
                <w:bCs/>
                <w:sz w:val="16"/>
                <w:szCs w:val="16"/>
              </w:rPr>
              <w:t xml:space="preserve"> increase/decrease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sz w:val="16"/>
                <w:szCs w:val="16"/>
              </w:rPr>
              <w:t>in provision</w:t>
            </w:r>
          </w:p>
        </w:tc>
      </w:tr>
      <w:tr w:rsidR="008223EE" w:rsidRPr="008223EE" w:rsidTr="008223EE">
        <w:trPr>
          <w:trHeight w:val="227"/>
        </w:trPr>
        <w:tc>
          <w:tcPr>
            <w:tcW w:w="4215" w:type="dxa"/>
            <w:tcBorders>
              <w:top w:val="nil"/>
              <w:left w:val="nil"/>
              <w:bottom w:val="nil"/>
              <w:right w:val="nil"/>
            </w:tcBorders>
            <w:tcMar>
              <w:top w:w="0" w:type="dxa"/>
              <w:left w:w="14" w:type="dxa"/>
              <w:bottom w:w="0" w:type="dxa"/>
              <w:right w:w="14"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Customer initiated claims</w:t>
            </w:r>
            <w:r w:rsidRPr="008223EE">
              <w:rPr>
                <w:rFonts w:ascii="Arial" w:eastAsia="Times New Roman" w:hAnsi="Arial" w:cs="Arial"/>
                <w:color w:val="000000"/>
                <w:sz w:val="13"/>
                <w:szCs w:val="13"/>
                <w:vertAlign w:val="superscript"/>
              </w:rPr>
              <w:t>1</w:t>
            </w:r>
          </w:p>
        </w:tc>
        <w:tc>
          <w:tcPr>
            <w:tcW w:w="1770" w:type="dxa"/>
            <w:tcBorders>
              <w:top w:val="nil"/>
              <w:left w:val="nil"/>
              <w:bottom w:val="nil"/>
              <w:right w:val="nil"/>
            </w:tcBorders>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1,100k</w:t>
            </w:r>
          </w:p>
        </w:tc>
        <w:tc>
          <w:tcPr>
            <w:tcW w:w="1770" w:type="dxa"/>
            <w:tcBorders>
              <w:top w:val="nil"/>
              <w:left w:val="nil"/>
              <w:bottom w:val="nil"/>
              <w:right w:val="nil"/>
            </w:tcBorders>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450k</w:t>
            </w:r>
          </w:p>
        </w:tc>
        <w:tc>
          <w:tcPr>
            <w:tcW w:w="1770" w:type="dxa"/>
            <w:tcBorders>
              <w:top w:val="nil"/>
              <w:left w:val="nil"/>
              <w:bottom w:val="nil"/>
              <w:right w:val="nil"/>
            </w:tcBorders>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50k = £44m</w:t>
            </w:r>
          </w:p>
        </w:tc>
      </w:tr>
      <w:tr w:rsidR="008223EE" w:rsidRPr="008223EE" w:rsidTr="008223EE">
        <w:trPr>
          <w:trHeight w:val="227"/>
        </w:trPr>
        <w:tc>
          <w:tcPr>
            <w:tcW w:w="4215" w:type="dxa"/>
            <w:tcMar>
              <w:top w:w="0" w:type="dxa"/>
              <w:left w:w="14" w:type="dxa"/>
              <w:bottom w:w="0" w:type="dxa"/>
              <w:right w:w="14"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Proactive mailing</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100k</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650k</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27"/>
        </w:trPr>
        <w:tc>
          <w:tcPr>
            <w:tcW w:w="4215" w:type="dxa"/>
            <w:tcMar>
              <w:top w:w="0" w:type="dxa"/>
              <w:left w:w="14" w:type="dxa"/>
              <w:bottom w:w="0" w:type="dxa"/>
              <w:right w:w="14"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Response rate to proactive mailing</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27%</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29%</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 xml:space="preserve">1% = £9m </w:t>
            </w:r>
          </w:p>
        </w:tc>
      </w:tr>
      <w:tr w:rsidR="008223EE" w:rsidRPr="008223EE" w:rsidTr="008223EE">
        <w:trPr>
          <w:trHeight w:val="227"/>
        </w:trPr>
        <w:tc>
          <w:tcPr>
            <w:tcW w:w="4215" w:type="dxa"/>
            <w:tcMar>
              <w:top w:w="0" w:type="dxa"/>
              <w:left w:w="14" w:type="dxa"/>
              <w:bottom w:w="0" w:type="dxa"/>
              <w:right w:w="14"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Average uphold rate per claim</w:t>
            </w:r>
            <w:r w:rsidRPr="008223EE">
              <w:rPr>
                <w:rFonts w:ascii="Arial" w:eastAsia="Times New Roman" w:hAnsi="Arial" w:cs="Arial"/>
                <w:color w:val="000000"/>
                <w:sz w:val="13"/>
                <w:szCs w:val="13"/>
                <w:vertAlign w:val="superscript"/>
              </w:rPr>
              <w:t>2</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39%</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53%</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1% = £11m</w:t>
            </w:r>
          </w:p>
        </w:tc>
      </w:tr>
      <w:tr w:rsidR="008223EE" w:rsidRPr="008223EE" w:rsidTr="008223EE">
        <w:trPr>
          <w:trHeight w:val="227"/>
        </w:trPr>
        <w:tc>
          <w:tcPr>
            <w:tcW w:w="4215" w:type="dxa"/>
            <w:tcMar>
              <w:top w:w="0" w:type="dxa"/>
              <w:left w:w="14" w:type="dxa"/>
              <w:bottom w:w="0" w:type="dxa"/>
              <w:right w:w="14"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Average redress per valid claim</w:t>
            </w:r>
            <w:r w:rsidRPr="008223EE">
              <w:rPr>
                <w:rFonts w:ascii="Arial" w:eastAsia="Times New Roman" w:hAnsi="Arial" w:cs="Arial"/>
                <w:color w:val="000000"/>
                <w:sz w:val="13"/>
                <w:szCs w:val="13"/>
                <w:vertAlign w:val="superscript"/>
              </w:rPr>
              <w:t>2</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£2,750</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£2,000</w:t>
            </w:r>
          </w:p>
        </w:tc>
        <w:tc>
          <w:tcPr>
            <w:tcW w:w="1770" w:type="dxa"/>
            <w:tcMar>
              <w:top w:w="0" w:type="dxa"/>
              <w:left w:w="14" w:type="dxa"/>
              <w:bottom w:w="0" w:type="dxa"/>
              <w:right w:w="14"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sz w:val="16"/>
                <w:szCs w:val="16"/>
              </w:rPr>
              <w:t>£100 =  £41m</w:t>
            </w:r>
          </w:p>
        </w:tc>
      </w:tr>
    </w:tbl>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sz w:val="2"/>
          <w:szCs w:val="2"/>
        </w:rPr>
        <w:t> </w:t>
      </w:r>
      <w:r w:rsidRPr="008223EE">
        <w:rPr>
          <w:rFonts w:ascii="Arial" w:eastAsia="Times New Roman" w:hAnsi="Arial" w:cs="Arial"/>
          <w:i/>
          <w:iCs/>
          <w:sz w:val="13"/>
          <w:szCs w:val="13"/>
        </w:rPr>
        <w:t> </w:t>
      </w:r>
    </w:p>
    <w:p w:rsidR="008223EE" w:rsidRPr="008223EE" w:rsidRDefault="008223EE" w:rsidP="008223EE">
      <w:pPr>
        <w:spacing w:after="40" w:line="240" w:lineRule="auto"/>
        <w:ind w:left="1854" w:hanging="360"/>
        <w:jc w:val="both"/>
        <w:rPr>
          <w:rFonts w:ascii="Arial" w:eastAsia="Times New Roman" w:hAnsi="Arial" w:cs="Arial"/>
          <w:i/>
          <w:iCs/>
          <w:sz w:val="14"/>
          <w:szCs w:val="14"/>
        </w:rPr>
      </w:pPr>
      <w:r w:rsidRPr="008223EE">
        <w:rPr>
          <w:rFonts w:ascii="Arial" w:eastAsia="Times New Roman" w:hAnsi="Arial" w:cs="Arial"/>
          <w:i/>
          <w:iCs/>
          <w:sz w:val="13"/>
          <w:szCs w:val="13"/>
        </w:rPr>
        <w:t> </w:t>
      </w:r>
    </w:p>
    <w:p w:rsidR="008223EE" w:rsidRPr="008223EE" w:rsidRDefault="008223EE" w:rsidP="00013CAF">
      <w:pPr>
        <w:spacing w:after="4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3"/>
          <w:szCs w:val="13"/>
        </w:rPr>
        <w:t xml:space="preserve">1        Total claims received to date including those for which no PPI policy exists and excluding responses to proactive mailing. </w:t>
      </w:r>
    </w:p>
    <w:p w:rsidR="008223EE" w:rsidRPr="008223EE" w:rsidRDefault="008223EE" w:rsidP="00013CAF">
      <w:pPr>
        <w:spacing w:before="40" w:after="4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3"/>
          <w:szCs w:val="13"/>
        </w:rPr>
        <w:t>2       Claims include both customer initiated and proactive mailings.</w:t>
      </w:r>
    </w:p>
    <w:p w:rsidR="008223EE" w:rsidRPr="008223EE" w:rsidRDefault="008223EE" w:rsidP="00013CAF">
      <w:pPr>
        <w:spacing w:after="180" w:line="240" w:lineRule="auto"/>
        <w:ind w:left="284" w:hanging="284"/>
        <w:jc w:val="both"/>
        <w:rPr>
          <w:rFonts w:ascii="Arial" w:eastAsia="Times New Roman" w:hAnsi="Arial" w:cs="Arial"/>
          <w:b/>
          <w:bCs/>
          <w:color w:val="000000"/>
          <w:sz w:val="24"/>
          <w:szCs w:val="24"/>
        </w:rPr>
      </w:pPr>
      <w:r w:rsidRPr="008223EE">
        <w:rPr>
          <w:rFonts w:ascii="Arial" w:eastAsia="Times New Roman" w:hAnsi="Arial" w:cs="Arial"/>
          <w:color w:val="000000"/>
          <w:sz w:val="20"/>
          <w:szCs w:val="20"/>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Financial Statement Notes</w:t>
      </w:r>
    </w:p>
    <w:p w:rsidR="008223EE" w:rsidRPr="008223EE" w:rsidRDefault="008223EE" w:rsidP="008223EE">
      <w:pPr>
        <w:spacing w:before="180" w:after="180" w:line="240" w:lineRule="auto"/>
        <w:jc w:val="both"/>
        <w:rPr>
          <w:rFonts w:ascii="Arial" w:eastAsia="Times New Roman" w:hAnsi="Arial" w:cs="Arial"/>
          <w:b/>
          <w:bCs/>
          <w:sz w:val="18"/>
          <w:szCs w:val="18"/>
        </w:rPr>
      </w:pPr>
      <w:r w:rsidRPr="008223EE">
        <w:rPr>
          <w:rFonts w:ascii="Arial" w:eastAsia="Times New Roman" w:hAnsi="Arial" w:cs="Arial"/>
          <w:b/>
          <w:bCs/>
          <w:color w:val="000000"/>
          <w:sz w:val="24"/>
          <w:szCs w:val="24"/>
        </w:rPr>
        <w:t>12.    Provisions (continued)</w:t>
      </w:r>
    </w:p>
    <w:p w:rsidR="008223EE" w:rsidRPr="008223EE" w:rsidRDefault="008223EE" w:rsidP="008223EE">
      <w:pPr>
        <w:spacing w:before="180" w:after="180" w:line="240" w:lineRule="auto"/>
        <w:jc w:val="both"/>
        <w:rPr>
          <w:rFonts w:ascii="Arial" w:eastAsia="Times New Roman" w:hAnsi="Arial" w:cs="Arial"/>
          <w:b/>
          <w:bCs/>
          <w:sz w:val="18"/>
          <w:szCs w:val="18"/>
        </w:rPr>
      </w:pPr>
      <w:r w:rsidRPr="008223EE">
        <w:rPr>
          <w:rFonts w:ascii="Arial" w:eastAsia="Times New Roman" w:hAnsi="Arial" w:cs="Arial"/>
          <w:b/>
          <w:bCs/>
          <w:sz w:val="20"/>
          <w:szCs w:val="20"/>
        </w:rPr>
        <w:t>Interest Rate Hedging Product Redress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color w:val="000000"/>
          <w:sz w:val="18"/>
          <w:szCs w:val="18"/>
        </w:rPr>
        <w:t>On 29 June 2012, the FSA announced that it had reached agreement with a number of UK banks, including Barclays, in relation to a review and redress exercise to be carried out in respect of interest rate hedging products sold to small and medium sized enterprises. During H2 2012, Barclays completed a pilot review of a sample of individual cases. On 31 January 2012, the FSA issued a report on the findings of the pilot, along with those conducted by a number of other banks. The report included a number of changes and clarifications to the requirements under which the main review and redress exercise should be conducted. Barclays has agreed to conduct the exercise in line with the approach set out in this report and will commence shortly. Our current analysis suggests that there are approximately 4,000 private or retail classified customers to which interest rate hedging products were sold within the relevant timeframe, of which approximately 3,000 are likely to be categorised as non-sophisticated under the terms of the agreement.</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sz w:val="24"/>
          <w:szCs w:val="24"/>
        </w:rPr>
      </w:pPr>
      <w:r w:rsidRPr="008223EE">
        <w:rPr>
          <w:rFonts w:ascii="Arial" w:eastAsia="Times New Roman" w:hAnsi="Arial" w:cs="Arial"/>
          <w:color w:val="000000"/>
          <w:sz w:val="18"/>
          <w:szCs w:val="18"/>
        </w:rPr>
        <w:t>As at 30 June 2012, a provision of £450m was recognised, reflecting management's initial estimate of future redress to customers categorised as non-sophisticated and related costs. As at 31 December 2012, an additional provision of £400m has been recognised, reflecting the results of the pilot review, an updated estimate of administrative costs and the greater clarity afforded by the implementation requirements agreed with the FSA. The provision recognised in the balance sheet as at 31 December 2012 is £814m, after utilisation of £36m during 2012, primarily related to administrative costs.</w:t>
      </w:r>
    </w:p>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color w:val="000000"/>
          <w:sz w:val="18"/>
          <w:szCs w:val="18"/>
        </w:rPr>
        <w:t>The pilot exercise provides the best currently available information upon which to base an estimate. However, the ultimate cost of the exercise will depend on the extent and nature of redress payable across the impacted population. This will be impacted by a number of factors, including:</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number of customers for which Barclays is deemed not to have complied with relevant regulatory requirements at the time of sale</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nature of any redress offered by Barclays, in particular whether existing products are terminated or replaced with alternative products</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The level of reasonably foreseeable consequential loss payable</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8"/>
          <w:szCs w:val="18"/>
        </w:rPr>
        <w:t xml:space="preserve">The appropriate provision level will be kept under </w:t>
      </w:r>
      <w:proofErr w:type="spellStart"/>
      <w:r w:rsidRPr="008223EE">
        <w:rPr>
          <w:rFonts w:ascii="Arial" w:eastAsia="Times New Roman" w:hAnsi="Arial" w:cs="Arial"/>
          <w:color w:val="000000"/>
          <w:sz w:val="18"/>
          <w:szCs w:val="18"/>
        </w:rPr>
        <w:t>ongoing</w:t>
      </w:r>
      <w:proofErr w:type="spellEnd"/>
      <w:r w:rsidRPr="008223EE">
        <w:rPr>
          <w:rFonts w:ascii="Arial" w:eastAsia="Times New Roman" w:hAnsi="Arial" w:cs="Arial"/>
          <w:color w:val="000000"/>
          <w:sz w:val="18"/>
          <w:szCs w:val="18"/>
        </w:rPr>
        <w:t xml:space="preserve"> review as the main redress and review exercise progresses.</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18"/>
          <w:szCs w:val="18"/>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Financial Statement Notes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13.         Retirement Benefits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Group's IAS 19 pension deficit across all schemes as at 31 December 2012 was £1.3bn (2011: £0.2bn). This reflects net recognised assets of £2.1bn (2011: £1.5bn) and unrecognised actuarial losses of £3.4bn (2011: £1.7bn). The net recognised assets comprised retirement benefit assets of £2.3bn (2011: £1.8bn) and liabilities of £0.3bn (2011: £0.3bn).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Group's main scheme is the UK Retirement Fund (UKRF). As at 31 December 2012, the UKRF had £2.2bn assets recognised on the balance sheet (2011: £1.7bn) and on an IAS 19 basis the scheme liabilities exceeded the assets by £0.8bn (2011: surplus of £0.3bn). The main reason for the change in funding status over the year is a fall of real corporate bond yields relative to inflation of around 30 basis points.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The latest triennial funding valuation of the UKRF was carried out with an effective date of 30 September 2010, and showed a deficit of £5.0bn. The Bank and Trustee agreed a funding plan to eliminate the deficit in the fund. As part of this plan, deficit contributions of £1.8bn were paid to the fund in December 2011 and a further £0.5bn </w:t>
      </w:r>
      <w:r w:rsidRPr="008223EE">
        <w:rPr>
          <w:rFonts w:ascii="Arial" w:eastAsia="Times New Roman" w:hAnsi="Arial" w:cs="Arial"/>
          <w:sz w:val="18"/>
          <w:szCs w:val="18"/>
        </w:rPr>
        <w:lastRenderedPageBreak/>
        <w:t>in April 2012. Further deficit contributions are payable from 2017 to 2021 starting at £0.7bn for 2017 and increasing by approximately 3.5% per annum until 2021. These deficit contributions are in addition to the regular contributions to meet the Group's share of the cost of benefits accruing over each year.</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latest annual funding update prepared by the Scheme Actuary as at 30 September 2012 showed a funding deficit of £3.6bn, which was after the payment of contributions referred to above in December 2011 and April 2012.</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From 1 January 2013, the Group will adopt IAS 19 revised. Had the Group adopted the revisions in these financial statements the net recognised position would reduce by £3.3bn (2011: £1.7bn) resulting in a liability of £1.3bn (2011: £0.2bn). Profit after tax for the period ended 31 December 2012 would have been lower by £22m (2011: £83m) and other comprehensive income lower by £2.4bn (2011: £1.2bn). Shareholders equity would have been reduced by £2.5bn (2011: £1.3bn) and additional deferred tax assets of £0.8bn (2011: £0.5bn) would have been recognised.</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14.         Share Capital and Warrants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Called up share capital comprises 12,243 million (2011: 12,199 million) ordinary shares of 25p each.</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As at 31 December 2012, there were unexercised warrants to subscribe for 379.2 million (2011: 379.2 million) new ordinary shares at a price of £1.97775. The warrants may be exercised at any time up to close of business on 31 October 2013.</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15.         Other Reserves</w:t>
      </w:r>
    </w:p>
    <w:p w:rsidR="008223EE" w:rsidRPr="008223EE" w:rsidRDefault="008223EE" w:rsidP="008223EE">
      <w:pPr>
        <w:spacing w:before="18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Currency Translation Reserve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Currency translation movements in 2012 of £1,578m (2011: £1,607m), including £259m (2011: £598m) associated with non-controlling interests, were largely due to the depreciation of the US Dollar and Rand against Sterling.</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During the period, £24m gain (2011: nil) from the currency translation reserve was recognised in the income statement.</w:t>
      </w:r>
    </w:p>
    <w:p w:rsidR="008223EE" w:rsidRPr="008223EE" w:rsidRDefault="008223EE" w:rsidP="008223EE">
      <w:pPr>
        <w:spacing w:before="18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Available for Sale Reserve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available for sale reserve increased £546m (2011: increased £1,374m), largely driven by £1,193m gains from changes in fair value, £474m losses transferred to income statement due to fair value hedging, offset by £703m gains transferred to the income statement, including the disposal of BlackRock, Inc. and a £352m decrease due to the impact of current and deferred tax movements.</w:t>
      </w:r>
    </w:p>
    <w:p w:rsidR="008223EE" w:rsidRPr="008223EE" w:rsidRDefault="008223EE" w:rsidP="008223EE">
      <w:pPr>
        <w:spacing w:before="18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Cash Flow Hedge Reserve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cash flow hedge reserve represents the cumulative gains and losses on effective cash flow hedging instruments that will be recycled to the income statement when hedged transactions affect profit or loss.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increase in the cash flow hedge reserve of £662m (2011: £1,263m increase) principally reflected £1,535m increases in the fair value of interest rate swaps held for hedging purposes partially offset by £695m gains transferred to net profit.</w:t>
      </w:r>
    </w:p>
    <w:p w:rsidR="008223EE" w:rsidRPr="008223EE" w:rsidRDefault="008223EE" w:rsidP="008223EE">
      <w:pPr>
        <w:spacing w:before="18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Treasury Shares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color w:val="000000"/>
          <w:sz w:val="18"/>
          <w:szCs w:val="18"/>
        </w:rPr>
        <w:t>During the period £979m (2011: £165m) net purchases of treasury shares were made principally reflecting the increase in shares held for the purposes of employee share schemes, and £946m (2011: £499m) was transferred to retained earnings reflecting the vesting of deferred share based payments.</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Financial Statement Notes</w:t>
      </w:r>
    </w:p>
    <w:tbl>
      <w:tblPr>
        <w:tblW w:w="9645" w:type="dxa"/>
        <w:tblInd w:w="-36" w:type="dxa"/>
        <w:tblCellMar>
          <w:left w:w="0" w:type="dxa"/>
          <w:right w:w="0" w:type="dxa"/>
        </w:tblCellMar>
        <w:tblLook w:val="04A0" w:firstRow="1" w:lastRow="0" w:firstColumn="1" w:lastColumn="0" w:noHBand="0" w:noVBand="1"/>
      </w:tblPr>
      <w:tblGrid>
        <w:gridCol w:w="7495"/>
        <w:gridCol w:w="1075"/>
        <w:gridCol w:w="1075"/>
      </w:tblGrid>
      <w:tr w:rsidR="008223EE" w:rsidRPr="008223EE" w:rsidTr="008223EE">
        <w:trPr>
          <w:trHeight w:val="240"/>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24"/>
                <w:szCs w:val="24"/>
              </w:rPr>
              <w:t>16.    Contingent Liabilities and Commitments</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As at</w:t>
            </w:r>
          </w:p>
        </w:tc>
      </w:tr>
      <w:tr w:rsidR="008223EE" w:rsidRPr="008223EE" w:rsidTr="008223EE">
        <w:trPr>
          <w:trHeight w:val="240"/>
        </w:trPr>
        <w:tc>
          <w:tcPr>
            <w:tcW w:w="7320"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Securities lending arrangements</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35,996 </w:t>
            </w:r>
          </w:p>
        </w:tc>
      </w:tr>
      <w:tr w:rsidR="008223EE" w:rsidRPr="008223EE" w:rsidTr="008223EE">
        <w:trPr>
          <w:trHeight w:val="240"/>
        </w:trPr>
        <w:tc>
          <w:tcPr>
            <w:tcW w:w="732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Guarantees and letters of credit pledged as collateral security</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15,855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14,181 </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Performance guarantees, acceptances and endorsements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6,406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8,706 </w:t>
            </w: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Contingent liabilities</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22,261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58,883 </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Documentary credits and other short-term trade related transactions</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1,027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1,358 </w:t>
            </w:r>
          </w:p>
        </w:tc>
      </w:tr>
      <w:tr w:rsidR="008223EE" w:rsidRPr="008223EE" w:rsidTr="008223EE">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Standby facilities, credit lines and other commitments</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247,816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240,282 </w:t>
            </w: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Securities Lending Arrangements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Up to the disposal of Barclays Global Investors on 1 December 2009, the Group facilitated securities lending arrangements for its managed investment funds whereby securities held by funds under management were lent to third parties. Borrowers provided cash or investment grade assets as collateral equal to 100% of the market value of the securities lent plus a margin of 2%-10%. The Group agreed with BlackRock, Inc. to continue to provide indemnities to support these arrangements until 30 November 2012.</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The Financial Services Compensation Scheme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The Financial Services Compensation Scheme (the FSCS) is the UK's compensation scheme for customers of authorised institutions that are unable to pay claims. It provides compensation to depositors in the event that UK licensed deposit taking institutions </w:t>
      </w:r>
      <w:proofErr w:type="gramStart"/>
      <w:r w:rsidRPr="008223EE">
        <w:rPr>
          <w:rFonts w:ascii="Arial" w:eastAsia="Times New Roman" w:hAnsi="Arial" w:cs="Arial"/>
          <w:sz w:val="18"/>
          <w:szCs w:val="18"/>
        </w:rPr>
        <w:t>are</w:t>
      </w:r>
      <w:proofErr w:type="gramEnd"/>
      <w:r w:rsidRPr="008223EE">
        <w:rPr>
          <w:rFonts w:ascii="Arial" w:eastAsia="Times New Roman" w:hAnsi="Arial" w:cs="Arial"/>
          <w:sz w:val="18"/>
          <w:szCs w:val="18"/>
        </w:rPr>
        <w:t xml:space="preserve"> unable to meet their claims. The FSCS raises levies on UK licensed deposit taking institutions to meet such claims based on their share of UK deposits on 31 December of the year </w:t>
      </w:r>
      <w:proofErr w:type="gramStart"/>
      <w:r w:rsidRPr="008223EE">
        <w:rPr>
          <w:rFonts w:ascii="Arial" w:eastAsia="Times New Roman" w:hAnsi="Arial" w:cs="Arial"/>
          <w:sz w:val="18"/>
          <w:szCs w:val="18"/>
        </w:rPr>
        <w:t>preceding</w:t>
      </w:r>
      <w:proofErr w:type="gramEnd"/>
      <w:r w:rsidRPr="008223EE">
        <w:rPr>
          <w:rFonts w:ascii="Arial" w:eastAsia="Times New Roman" w:hAnsi="Arial" w:cs="Arial"/>
          <w:sz w:val="18"/>
          <w:szCs w:val="18"/>
        </w:rPr>
        <w:t xml:space="preserve"> the scheme year (which runs from 1 April to 31 March).</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Compensation has previously been paid out by the FSCS funded by loan facilities totalling approximately £18bn provided by HM Treasury to FSCS in support of FSCS's obligations to the depositors of banks declared in default. In April 2012, the FSCS agreed revised terms on the loan facilities including a 70bps increase in the interest rate payable to 12 month LIBOR plus 100 basis points. This rate will be subject to a floor equal to the HM Treasury's own cost of borrowing. The facilities are expected to be repaid wholly from recoveries from the failed deposit takers, except for an estimated shortfall of £0.8bn. The FSCS has announced it intends to recover this shortfall by levying the industry in three instalments across 2013, 2014 and 2015, in addition to the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interest changes on the outstanding loans. Barclays has included an accrual of £156m in other liabilities as at 31 December 2012 (2011: £58m) in respect of the Barclays portion of the total levies raised by the FSCS.</w:t>
      </w:r>
    </w:p>
    <w:p w:rsidR="008223EE" w:rsidRPr="008223EE" w:rsidRDefault="008223EE" w:rsidP="008223EE">
      <w:pPr>
        <w:spacing w:before="240" w:after="0" w:line="240" w:lineRule="auto"/>
        <w:jc w:val="both"/>
        <w:rPr>
          <w:rFonts w:ascii="Arial" w:eastAsia="Times New Roman" w:hAnsi="Arial" w:cs="Arial"/>
          <w:b/>
          <w:bCs/>
          <w:color w:val="000000"/>
          <w:sz w:val="20"/>
          <w:szCs w:val="20"/>
        </w:rPr>
      </w:pPr>
      <w:r w:rsidRPr="008223EE">
        <w:rPr>
          <w:rFonts w:ascii="Arial" w:eastAsia="Times New Roman" w:hAnsi="Arial" w:cs="Arial"/>
          <w:b/>
          <w:bCs/>
          <w:color w:val="000000"/>
          <w:sz w:val="20"/>
          <w:szCs w:val="20"/>
        </w:rPr>
        <w:t>US Mortgage Activities</w:t>
      </w:r>
    </w:p>
    <w:p w:rsidR="008223EE" w:rsidRPr="008223EE" w:rsidRDefault="008223EE" w:rsidP="008223EE">
      <w:pPr>
        <w:spacing w:before="180" w:after="180" w:line="240" w:lineRule="auto"/>
        <w:jc w:val="both"/>
        <w:rPr>
          <w:rFonts w:ascii="Arial" w:eastAsia="Times New Roman" w:hAnsi="Arial" w:cs="Arial"/>
          <w:sz w:val="18"/>
          <w:szCs w:val="18"/>
        </w:rPr>
      </w:pP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activities within the US residential mortgage sector during the period of 2005 through 2008 included: sponsoring and underwriting of approximately $39bn of private-label securitisations; underwriting of approximately $34bn of other private-label securitisations; sales of approximately $0.2bn of loans to government sponsored enterprises (GSEs); and sales of approximately $3bn of loans to others. Some of the loans sold by Barclays were originated by a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subsidiary. Barclays also performed servicing activities through its US residential mortgage servicing business which Barclays acquired in Q4 2006 and subsequently sold in Q3 2010.</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In connection with Barclays loan sales and sponsored private-label securitisations, Barclays provided certain loan level representations and warranties (R&amp;Ws) generally relating to the underlying borrower, the property, mortgage documentation and/or compliance with law. Under certain circumstances, Barclays may be required to repurchase the related loans or make other payments related to such loans if the R&amp;Ws are breached. Barclays was the sole provider of R&amp;Ws with respect to approximately $5bn of Barclays sponsored securitizations, approximately $0.2bn of sales of loans to GSEs and approximately $3bn of loans sold to others. Other than approximately $1bn of loans sold to others for which R&amp;Ws expired prior to 2012, there are no expiration provisions applicable to the R&amp;Ws made by Barclays. Barclays R&amp;Ws with respect to loans sold to others are related to loans that were generally sold at significant discounts and contained more limited R&amp;Ws than loans sold to GSEs and in respect of the approximately $5bn of Barclays sponsored securitisations discussed above. R&amp;Ws on the remaining approximately $34bn of Barclays sponsored securitisations were primarily provided by third party originators directly to the securitisation trusts with Barclays, as depositor to the securitisation trusts, providing more limited R&amp;Ws. Total unresolved repurchase requests associated with all R&amp;Ws made by Barclays on loans sold to GSEs and others and private-label activities were £0.4bn at 31 December 2012. Barclays currently has no provisions with respect to such repurchase requests, given Barclays analysis of such requests and Barclays belief as to applicable defences with respect thereto. Based upon a large number of defaults occurring in US residential mortgages, there is a potential for additional requests for repurchases.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Claims against Barclays as an underwriter of RMBS offerings have been brought in certain civil actions. Additionally, Barclays has received inquiries from various regulatory and governmental authorities regarding its mortgage-related activities and is cooperating with such inquiries.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It is not practicable to provide an estimate of the financial impact of the potential exposure in relation to Barclays US Mortgage activities.</w:t>
      </w:r>
    </w:p>
    <w:p w:rsidR="008223EE" w:rsidRPr="008223EE" w:rsidRDefault="008223EE" w:rsidP="008223EE">
      <w:pPr>
        <w:spacing w:before="360" w:after="180" w:line="240" w:lineRule="auto"/>
        <w:jc w:val="both"/>
        <w:rPr>
          <w:rFonts w:ascii="Arial" w:eastAsia="Times New Roman" w:hAnsi="Arial" w:cs="Arial"/>
          <w:sz w:val="18"/>
          <w:szCs w:val="18"/>
        </w:rPr>
      </w:pPr>
      <w:r w:rsidRPr="008223EE">
        <w:rPr>
          <w:rFonts w:ascii="Arial" w:eastAsia="Times New Roman" w:hAnsi="Arial" w:cs="Arial"/>
          <w:sz w:val="18"/>
          <w:szCs w:val="18"/>
        </w:rPr>
        <w:lastRenderedPageBreak/>
        <w:t>Further details on contingent liabilities relating to Legal Proceedings and Competition and Regulatory Matters are held in Note 17 and 18 respectively.</w:t>
      </w:r>
    </w:p>
    <w:p w:rsidR="008223EE" w:rsidRPr="008223EE" w:rsidRDefault="008223EE" w:rsidP="008223EE">
      <w:pPr>
        <w:spacing w:before="180"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17.         Legal Proceedings</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t>Lehman Brothers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On 15 September 2009, motions were filed in the United States Bankruptcy Court for the Southern District of New York (the Bankruptcy Court) by Lehman Brothers Holdings Inc. (LBHI), the SIPA Trustee for Lehman Brothers Inc. (the Trustee) and the Official Committee of Unsecured Creditors of Lehman Brothers Holdings Inc. (the Committee). All three motions challenged certain aspects of the transaction pursuant to which BCI and other companies in the Group acquired most of the assets of Lehman Brothers Inc. (LBI) in September 2008 and the Court Order approving such sale (the Sale). The claimants were seeking an order voiding the transfer of certain assets to BCI; requiring BCI to return to the LBI estate alleged excess value BCI received; and declaring that BCI is not entitled to certain assets that it claims pursuant to the sale documents and Order approving the Sale (the Rule 60 Claims). On 16 November 2009, LBHI, the Trustee and the Committee filed separate complaints in the Bankruptcy Court asserting claims against BCI based on the same underlying allegations as the pending motions and seeking relief similar to that which is requested in the motions. On 29 January 2010, BCI filed its response to the motions and also filed a motion seeking delivery of certain assets that LBHI and LBI have failed to deliver as required by the sale documents and the Court Order approving the Sale (together with the Trustee's competing claims to those assets, the Contract Claims). </w:t>
      </w:r>
      <w:proofErr w:type="gramStart"/>
      <w:r w:rsidRPr="008223EE">
        <w:rPr>
          <w:rFonts w:ascii="Arial" w:eastAsia="Times New Roman" w:hAnsi="Arial" w:cs="Arial"/>
          <w:sz w:val="18"/>
          <w:szCs w:val="18"/>
        </w:rPr>
        <w:t>Approximately $4.5bn (£2.8bn) of the assets acquired as part of the acquisition had not been received by 31 December 2012, approximately $3.0bn (£1.9bn) of which were recognised as part of the accounting for the acquisition and are included in the balance sheet as at 31 December 2012.</w:t>
      </w:r>
      <w:proofErr w:type="gramEnd"/>
      <w:r w:rsidRPr="008223EE">
        <w:rPr>
          <w:rFonts w:ascii="Arial" w:eastAsia="Times New Roman" w:hAnsi="Arial" w:cs="Arial"/>
          <w:sz w:val="18"/>
          <w:szCs w:val="18"/>
        </w:rPr>
        <w:t xml:space="preserve"> This results in an effective provision of $1.5bn (£0.9bn) against the uncertainty inherent in the litigation and issues relating to the recovery of certain assets held by institutions outside the United States.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On 22 February 2011, the Bankruptcy Court issued its Opinion in relation to these matters, rejecting the Rule 60 Claims and deciding some of the Contract Claims in the Trustee's favour and some in favour of BCI. On 15 July 2011, the Bankruptcy Court entered final Orders implementing its Opinion. Barclays and the Trustee each appealed the Bankruptcy Court's adverse rulings on the Contract Claims to the United States District Court for the Southern District of New York (the District Court). LBHI and the Committee did not pursue an appeal from the Bankruptcy Court's ruling on the Rule 60 Claims. After briefing and argument, the District Court issued its Opinion on 5 June 2012 in which it reversed one of the Bankruptcy Court's rulings on the Contract Claims that had been adverse to Barclays and affirmed the Bankruptcy Court's other rulings on the Contract Claims. On 17 July 2012, the District Court issued an amended Opinion, correcting certain errors but not otherwise affecting the rulings, and an agreed Judgment implementing the rulings in the Opinion. Barclays and the Trustee have each appealed the adverse rulings of the District Court to the United States Court of Appeals for the Second Circuit.</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Under the Judgment of the District Court, Barclays is entitled to receive:</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$1.1bn (£0.7bn) from the Trustee in respect of "clearance box" assets</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property held at various institutions to secure obligations under the exchange-traded derivatives transferred to Barclays in the Sale (the ETD Margin), subject to the proviso that Barclays will be entitled to receive $507m (£0.3bn) of the ETD Margin only if and to the extent the Trustee has assets available once the Trustee has satisfied all of LBI's customer claims</w:t>
      </w:r>
    </w:p>
    <w:p w:rsidR="008223EE" w:rsidRPr="008223EE" w:rsidRDefault="008223EE" w:rsidP="00013CAF">
      <w:pPr>
        <w:spacing w:before="180" w:after="180" w:line="240" w:lineRule="auto"/>
        <w:ind w:left="284" w:hanging="284"/>
        <w:rPr>
          <w:rFonts w:ascii="Arial" w:eastAsia="Times New Roman" w:hAnsi="Arial" w:cs="Arial"/>
          <w:sz w:val="18"/>
          <w:szCs w:val="18"/>
        </w:rPr>
      </w:pPr>
      <w:r w:rsidRPr="008223EE">
        <w:rPr>
          <w:rFonts w:ascii="Wingdings 2" w:eastAsia="Times New Roman" w:hAnsi="Wingdings 2" w:cs="Arial"/>
          <w:sz w:val="18"/>
          <w:szCs w:val="18"/>
        </w:rPr>
        <w:t></w:t>
      </w:r>
      <w:r w:rsidRPr="008223EE">
        <w:rPr>
          <w:rFonts w:ascii="Wingdings 2" w:eastAsia="Times New Roman" w:hAnsi="Wingdings 2" w:cs="Arial"/>
          <w:sz w:val="18"/>
          <w:szCs w:val="18"/>
        </w:rPr>
        <w:t></w:t>
      </w:r>
      <w:r w:rsidRPr="008223EE">
        <w:rPr>
          <w:rFonts w:ascii="Arial" w:eastAsia="Times New Roman" w:hAnsi="Arial" w:cs="Arial"/>
          <w:sz w:val="18"/>
          <w:szCs w:val="18"/>
        </w:rPr>
        <w:t>$769m (£0.5bn) from the Trustee in respect of LBI's 15c3-3 reserve account assets only if and to the extent the Trustee has assets available once the Trustee has satisfied all of LBI's customer claims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Financial Statement Notes</w:t>
      </w:r>
    </w:p>
    <w:p w:rsidR="008223EE" w:rsidRPr="008223EE" w:rsidRDefault="008223EE" w:rsidP="008223EE">
      <w:pPr>
        <w:spacing w:before="180"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17.         Legal Proceedings (continued)</w:t>
      </w:r>
    </w:p>
    <w:p w:rsidR="008223EE" w:rsidRPr="008223EE" w:rsidRDefault="008223EE" w:rsidP="00013CAF">
      <w:pPr>
        <w:spacing w:before="198" w:after="198" w:line="240" w:lineRule="auto"/>
        <w:jc w:val="both"/>
        <w:rPr>
          <w:rFonts w:ascii="Arial" w:eastAsia="Times New Roman" w:hAnsi="Arial" w:cs="Arial"/>
          <w:sz w:val="2"/>
          <w:szCs w:val="2"/>
        </w:rPr>
      </w:pPr>
      <w:r w:rsidRPr="008223EE">
        <w:rPr>
          <w:rFonts w:ascii="Arial" w:eastAsia="Times New Roman" w:hAnsi="Arial" w:cs="Arial"/>
          <w:sz w:val="18"/>
          <w:szCs w:val="18"/>
        </w:rPr>
        <w:t xml:space="preserve">A portion of the ETD Margin which has not yet been recovered by Barclays or the Trustee is held or owed by certain institutions outside the United States (including several Lehman affiliates that are subject to insolvency or similar proceedings). Barclays cannot reliably estimate at this time how much of the ETD Margin held or owed by such institutions Barclays is ultimately likely to receive. Further, Barclays cannot reliably estimate at this time if and to the extent the Trustee will have assets remaining available to it to pay Barclays the $507m (£0.3bn) in respect of ETD Margin or the $769m (£0.5bn) in respect of LBI's 15c3-3 reserve account assets after satisfying all of LBI's customer claims. In this regard, the Trustee announced in October 2012 that if his proposed settlement agreements with LBHI and with the Administrator for the liquidation of Lehman Brothers Inc. (Europe) are approved by the relevant courts, then the Trustee should be in position to satisfy all customer claims and make meaningful distributions to creditors (without having to use any of the assets that Barclays claims). If the </w:t>
      </w:r>
      <w:r w:rsidRPr="008223EE">
        <w:rPr>
          <w:rFonts w:ascii="Arial" w:eastAsia="Times New Roman" w:hAnsi="Arial" w:cs="Arial"/>
          <w:sz w:val="18"/>
          <w:szCs w:val="18"/>
        </w:rPr>
        <w:lastRenderedPageBreak/>
        <w:t>District Court's rulings were to be unaffected by future proceedings, conservatively assuming no recovery by Barclays of any of the ETD Margin not yet recovered by Barclays or the Trustee that is held or owed by institutions outside the United States and no recovery by Barclays of the $507m (£0.3bn) in respect of ETD Margin or the $769m (£0.5bn) in respect of LBI's 15c3-3 reserve account assets, Barclays estimates its loss would be approximately $0.9bn (£0.5bn). Under the same scenario, but assuming the Trustee's proposed settlement agreements with LBHI and the Administrator for the liquidation of Lehman Brothers Inc. (Europe) are implemented, and result in the receipt by Barclays of the $507m ETD Margin and $769m in respect of the 15c3-3 reserve account assets, Barclays estimates its profit would be approximately $0.4bn (£0.2bn) plus the value of any recovery of the ETD Margin held or owed by institutions outside of the United States. In this context, Barclays is satisfied with the valuation of the asset recognised on its balance sheet and the resulting level of effective provision.</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t xml:space="preserve">American Depositary Shares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Barclays Bank PLC, Barclays PLC and various current and former members of Barclays PLC's Board of Directors have been named as defendants in five proposed securities class actions (which have been consolidated) pending in the United States District Court for the Southern District of New York (the Court). The consolidated amended complaint, dated 12 February 2010, alleges that the registration statements relating to American Depositary Shares representing Preferred Stock, Series 2, 3, 4 and 5 (the ADS) offered by Barclays Bank PLC at various times between 2006 and 2008 contained misstatements and omissions concerning (amongst other things) Barclays portfolio of mortgage-related (including US subprime-related) securities, Barclays exposure to mortgage and credit market risk and Barclays financial condition. The consolidated amended complaint asserts claims under Sections 11, 12(a</w:t>
      </w:r>
      <w:proofErr w:type="gramStart"/>
      <w:r w:rsidRPr="008223EE">
        <w:rPr>
          <w:rFonts w:ascii="Arial" w:eastAsia="Times New Roman" w:hAnsi="Arial" w:cs="Arial"/>
          <w:sz w:val="18"/>
          <w:szCs w:val="18"/>
        </w:rPr>
        <w:t>)(</w:t>
      </w:r>
      <w:proofErr w:type="gramEnd"/>
      <w:r w:rsidRPr="008223EE">
        <w:rPr>
          <w:rFonts w:ascii="Arial" w:eastAsia="Times New Roman" w:hAnsi="Arial" w:cs="Arial"/>
          <w:sz w:val="18"/>
          <w:szCs w:val="18"/>
        </w:rPr>
        <w:t>2) and 15 of the Securities Act of 1933. On 5 January 2011, the Court issued an Order and, on 7 January 2011, Judgment was entered, granting the defendants' motion to dismiss the complaint in its entirety and closing the case. On 4 February 2011, the plaintiffs filed a motion asking the Court to reconsider in part its dismissal order. On 31 May 2011, the Court denied in full the plaintiffs' motion for reconsideration. The plaintiffs have appealed both decisions (the grant of the defendants' motion to dismiss and the denial of the plaintiffs' motion for reconsideration) to the United States Court of Appeals for the Second Circuit. Oral argument was held on 18 October 2012.</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Barclays considers that these ADS-related claims against it are without merit and is defending them vigorously. It is not practicable to estimate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possible loss in relation to these claims or any effect that they might have upon operating results in any particular financial period. </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t>US Federal Housing Finance Agency and Other Residential Mortgage-Backed Securities Litigation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United States Federal Housing Finance Agency (FHFA), acting for two US government sponsored enterprises, Fannie Mae and Freddie Mac (collectively, the GSEs), filed lawsuits against 17 financial institutions in connection with the GSEs' purchases of residential mortgage-backed securities (RMBS). The lawsuits allege, amongst other things, that the RMBS offering materials contained materially false and misleading statements and/or omissions. Barclays Bank PLC and/or certain of its affiliates or former employees are named in two of these lawsuits, relating to sales between 2005 and 2007 of RMBS, in which BCI was lead or co-lead underwriter.</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Both complaints demand, amongst other things: rescission and recovery of the consideration paid for the RMBS; and recovery for the GSEs' alleged monetary losses arising out of their ownership of the RMBS. The complaints are similar to other civil actions filed against Barclays Bank and/or certain of its affiliates by other plaintiffs, including the Federal Home Loan Bank of Seattle, Federal Home Loan Bank of Boston, Federal Home Loan Bank of Chicago, Cambridge Place Investment Management, Inc., HSH </w:t>
      </w:r>
      <w:proofErr w:type="spellStart"/>
      <w:r w:rsidRPr="008223EE">
        <w:rPr>
          <w:rFonts w:ascii="Arial" w:eastAsia="Times New Roman" w:hAnsi="Arial" w:cs="Arial"/>
          <w:sz w:val="18"/>
          <w:szCs w:val="18"/>
        </w:rPr>
        <w:t>Nordbank</w:t>
      </w:r>
      <w:proofErr w:type="spellEnd"/>
      <w:r w:rsidRPr="008223EE">
        <w:rPr>
          <w:rFonts w:ascii="Arial" w:eastAsia="Times New Roman" w:hAnsi="Arial" w:cs="Arial"/>
          <w:sz w:val="18"/>
          <w:szCs w:val="18"/>
        </w:rPr>
        <w:t xml:space="preserve"> AG (and affiliates), </w:t>
      </w:r>
      <w:proofErr w:type="spellStart"/>
      <w:r w:rsidRPr="008223EE">
        <w:rPr>
          <w:rFonts w:ascii="Arial" w:eastAsia="Times New Roman" w:hAnsi="Arial" w:cs="Arial"/>
          <w:sz w:val="18"/>
          <w:szCs w:val="18"/>
        </w:rPr>
        <w:t>Sealink</w:t>
      </w:r>
      <w:proofErr w:type="spellEnd"/>
      <w:r w:rsidRPr="008223EE">
        <w:rPr>
          <w:rFonts w:ascii="Arial" w:eastAsia="Times New Roman" w:hAnsi="Arial" w:cs="Arial"/>
          <w:sz w:val="18"/>
          <w:szCs w:val="18"/>
        </w:rPr>
        <w:t xml:space="preserve"> Funding Limited, </w:t>
      </w:r>
      <w:proofErr w:type="spellStart"/>
      <w:r w:rsidRPr="008223EE">
        <w:rPr>
          <w:rFonts w:ascii="Arial" w:eastAsia="Times New Roman" w:hAnsi="Arial" w:cs="Arial"/>
          <w:sz w:val="18"/>
          <w:szCs w:val="18"/>
        </w:rPr>
        <w:t>Landesbank</w:t>
      </w:r>
      <w:proofErr w:type="spellEnd"/>
      <w:r w:rsidRPr="008223EE">
        <w:rPr>
          <w:rFonts w:ascii="Arial" w:eastAsia="Times New Roman" w:hAnsi="Arial" w:cs="Arial"/>
          <w:sz w:val="18"/>
          <w:szCs w:val="18"/>
        </w:rPr>
        <w:t xml:space="preserve"> Baden-Württemberg (and affiliates), Deutsche </w:t>
      </w:r>
      <w:proofErr w:type="spellStart"/>
      <w:r w:rsidRPr="008223EE">
        <w:rPr>
          <w:rFonts w:ascii="Arial" w:eastAsia="Times New Roman" w:hAnsi="Arial" w:cs="Arial"/>
          <w:sz w:val="18"/>
          <w:szCs w:val="18"/>
        </w:rPr>
        <w:t>Zentral-Genossenschaftsbank</w:t>
      </w:r>
      <w:proofErr w:type="spellEnd"/>
      <w:r w:rsidRPr="008223EE">
        <w:rPr>
          <w:rFonts w:ascii="Arial" w:eastAsia="Times New Roman" w:hAnsi="Arial" w:cs="Arial"/>
          <w:sz w:val="18"/>
          <w:szCs w:val="18"/>
        </w:rPr>
        <w:t xml:space="preserve"> AG (and affiliates), </w:t>
      </w:r>
      <w:proofErr w:type="spellStart"/>
      <w:r w:rsidRPr="008223EE">
        <w:rPr>
          <w:rFonts w:ascii="Arial" w:eastAsia="Times New Roman" w:hAnsi="Arial" w:cs="Arial"/>
          <w:sz w:val="18"/>
          <w:szCs w:val="18"/>
        </w:rPr>
        <w:t>Stichting</w:t>
      </w:r>
      <w:proofErr w:type="spellEnd"/>
      <w:r w:rsidRPr="008223EE">
        <w:rPr>
          <w:rFonts w:ascii="Arial" w:eastAsia="Times New Roman" w:hAnsi="Arial" w:cs="Arial"/>
          <w:sz w:val="18"/>
          <w:szCs w:val="18"/>
        </w:rPr>
        <w:t xml:space="preserve"> </w:t>
      </w:r>
      <w:proofErr w:type="spellStart"/>
      <w:r w:rsidRPr="008223EE">
        <w:rPr>
          <w:rFonts w:ascii="Arial" w:eastAsia="Times New Roman" w:hAnsi="Arial" w:cs="Arial"/>
          <w:sz w:val="18"/>
          <w:szCs w:val="18"/>
        </w:rPr>
        <w:t>Pensioenfonds</w:t>
      </w:r>
      <w:proofErr w:type="spellEnd"/>
      <w:r w:rsidRPr="008223EE">
        <w:rPr>
          <w:rFonts w:ascii="Arial" w:eastAsia="Times New Roman" w:hAnsi="Arial" w:cs="Arial"/>
          <w:sz w:val="18"/>
          <w:szCs w:val="18"/>
        </w:rPr>
        <w:t xml:space="preserve"> ABP, Royal Park Investments SA/NV, </w:t>
      </w:r>
      <w:proofErr w:type="spellStart"/>
      <w:r w:rsidRPr="008223EE">
        <w:rPr>
          <w:rFonts w:ascii="Arial" w:eastAsia="Times New Roman" w:hAnsi="Arial" w:cs="Arial"/>
          <w:sz w:val="18"/>
          <w:szCs w:val="18"/>
        </w:rPr>
        <w:t>Bayerische</w:t>
      </w:r>
      <w:proofErr w:type="spellEnd"/>
      <w:r w:rsidRPr="008223EE">
        <w:rPr>
          <w:rFonts w:ascii="Arial" w:eastAsia="Times New Roman" w:hAnsi="Arial" w:cs="Arial"/>
          <w:sz w:val="18"/>
          <w:szCs w:val="18"/>
        </w:rPr>
        <w:t xml:space="preserve"> </w:t>
      </w:r>
      <w:proofErr w:type="spellStart"/>
      <w:r w:rsidRPr="008223EE">
        <w:rPr>
          <w:rFonts w:ascii="Arial" w:eastAsia="Times New Roman" w:hAnsi="Arial" w:cs="Arial"/>
          <w:sz w:val="18"/>
          <w:szCs w:val="18"/>
        </w:rPr>
        <w:t>Landesbank</w:t>
      </w:r>
      <w:proofErr w:type="spellEnd"/>
      <w:r w:rsidRPr="008223EE">
        <w:rPr>
          <w:rFonts w:ascii="Arial" w:eastAsia="Times New Roman" w:hAnsi="Arial" w:cs="Arial"/>
          <w:sz w:val="18"/>
          <w:szCs w:val="18"/>
        </w:rPr>
        <w:t>, John Hancock Life Insurance Company (and affiliates), Prudential Life Insurance Company of America (and affiliates) and the National Credit Union Administration relating to purchases of RMBS. Barclays considers that the claims against it are without merit and intends to defend them vigorously.</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br/>
        <w:t>Financial Statement Notes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17.         Legal Proceedings (continued)</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The original amount of RMBS related to the claims against Barclays in the FHFA cases and the other civil actions against Barclays Bank PLC and/or certain of its affiliates totalled approximately $8.5bn, of which approximately $2.7bn was outstanding as at 31 December 2012. Cumulative losses reported on these RMBS as at 31 December 2012 were approximately $0.4bn. If Barclays were to lose these cases Barclays believes it could incur a loss of up to the outstanding amount of the RMBS at the time of Judgment (taking into account further principal payments after 31 December 2012), plus any cumulative losses on the RMBS at such time and any interest, fees </w:t>
      </w:r>
      <w:r w:rsidRPr="008223EE">
        <w:rPr>
          <w:rFonts w:ascii="Arial" w:eastAsia="Times New Roman" w:hAnsi="Arial" w:cs="Arial"/>
          <w:sz w:val="18"/>
          <w:szCs w:val="18"/>
        </w:rPr>
        <w:lastRenderedPageBreak/>
        <w:t xml:space="preserve">and costs, less the market value of the RMBS at such time. Barclays has estimated the total market value of the RMBS as at 31 December 2012 to be approximately $1.6bn. Barclays may be entitled to indemnification for a portion of any losses. These figures do not include two related class actions brought on behalf of a putative class of investors in RMBS issued by Countrywide and underwritten by BCI and other underwriters, in which Barclays is indemnified by Countrywide. </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t xml:space="preserve">Devonshire Trust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On 13 January 2009, Barclays commenced an action in the Ontario Superior Court (the Court) seeking an order that its early terminations earlier that day of two credit default swaps under an ISDA Master Agreement with the Devonshire Trust (Devonshire), an asset-backed commercial paper conduit trust, were valid. On the same day, Devonshire purported to terminate the swaps on the ground that Barclays had failed to provide liquidity support to Devonshire's commercial paper when required to do so. On 7 September 2011, the Court ruled that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early terminations were invalid, Devonshire's early terminations were valid and, consequently, Devonshire was entitled to receive back from Barclays cash collateral of approximately C$533m together with accrued interest thereon. Barclays is appealing the Court's decision. If the Court's decision were to be unaffected by future proceedings, Barclays estimates that its loss would be approximately C$500m, less any impairment provisions taken by Barclays for this matter.</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t>LIBOR Civil Actions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Barclays and other banks have been named as defendants in class action and non-class action lawsuits pending in United States Federal Courts in connection with their roles as contributor panel banks to US Dollar LIBOR, the first of which was filed on 15 April 2011. The complaints are substantially similar and allege, amongst other things, that Barclays and the other banks individually and collectively violated various provisions of the Sherman Act, the Commodity Exchange Act, the Racketeer Influenced and Corrupt Organizations Act (RICO) and various state laws by suppressing or otherwise manipulating US Dollar LIBOR rates. The lawsuits seek an unspecified amount of damages and trebling of damages under the Sherman and RICO Acts. The proposed class actions purport to be brought on behalf of (amongst others) plaintiffs that (i) engaged in US Dollar LIBOR-linked over-the-counter transactions; (ii) purchased US Dollar LIBOR-linked financial instruments on an exchange; (iii) purchased US Dollar LIBOR-linked debt securities; (iv) purchased adjustable-rate mortgages linked to US Dollar LIBOR; or (v) issued loans linked to US Dollar LIBOR.</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An additional class action was commenced on 30 April 2012 in the United States District Court for the Southern District of New York (SDNY) against Barclays and other Japanese Yen LIBOR panel banks by plaintiffs involved in exchange-traded derivatives. The complaint also names members of the Japanese Bankers Association's </w:t>
      </w:r>
      <w:proofErr w:type="spellStart"/>
      <w:r w:rsidRPr="008223EE">
        <w:rPr>
          <w:rFonts w:ascii="Arial" w:eastAsia="Times New Roman" w:hAnsi="Arial" w:cs="Arial"/>
          <w:sz w:val="18"/>
          <w:szCs w:val="18"/>
        </w:rPr>
        <w:t>Euroyen</w:t>
      </w:r>
      <w:proofErr w:type="spellEnd"/>
      <w:r w:rsidRPr="008223EE">
        <w:rPr>
          <w:rFonts w:ascii="Arial" w:eastAsia="Times New Roman" w:hAnsi="Arial" w:cs="Arial"/>
          <w:sz w:val="18"/>
          <w:szCs w:val="18"/>
        </w:rPr>
        <w:t xml:space="preserve"> TIBOR panel, of which Barclays is not a member. The complaint alleges, amongst other things, manipulation of the </w:t>
      </w:r>
      <w:proofErr w:type="spellStart"/>
      <w:r w:rsidRPr="008223EE">
        <w:rPr>
          <w:rFonts w:ascii="Arial" w:eastAsia="Times New Roman" w:hAnsi="Arial" w:cs="Arial"/>
          <w:sz w:val="18"/>
          <w:szCs w:val="18"/>
        </w:rPr>
        <w:t>Euroyen</w:t>
      </w:r>
      <w:proofErr w:type="spellEnd"/>
      <w:r w:rsidRPr="008223EE">
        <w:rPr>
          <w:rFonts w:ascii="Arial" w:eastAsia="Times New Roman" w:hAnsi="Arial" w:cs="Arial"/>
          <w:sz w:val="18"/>
          <w:szCs w:val="18"/>
        </w:rPr>
        <w:t xml:space="preserve"> TIBOR and Yen LIBOR rates and breaches of US antitrust laws between 2006 and 2010.</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A further class action was commenced on 6 July 2012 in the SDNY against Barclays and other EURIBOR panel banks by plaintiffs that purchased or sold EURIBOR-related financial instruments. The complaint alleges, amongst other things, manipulation of the EURIBOR rate and breaches of the Sherman Act and the Commodity Exchange Act beginning as early as 1 January 2005 and continuing through to 31 December 2009. On 23 August 2012, the plaintiffs voluntarily dismissed the complaint.</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In addition, Barclays has been granted conditional leniency from the Antitrust Division of the DOJ in connection with potential US antitrust law violations with respect to financial instruments that reference EURIBOR.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Barclays has also been named as a defendant along with four current and former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officers and directors in a proposed securities class action pending in the SDNY in connection with Barclays role as a contributor panel bank to LIBOR. The complaint principally alleges that Barclays Annual Reports for the years 2006-2011 contained misstatements and omissions concerning (amongst other things)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compliance with its operational risk management processes and certain laws and regulations. The complaint also alleges that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daily US Dollar LIBOR submissions themselves constituted false statements in violation of US securities law. The complaint is brought on behalf of a proposed class consisting of all persons or entities (other than the defendants) that purchased Barclays sponsored American Depositary Receipts on an American securities exchange between 10 July 2007 and 27 June 2012. The complaint asserts claims under Sections 10(b) and 20(a) of the Securities Exchange Act 1934.</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It is not practicable to provide an estimate of the financial impact of the potential exposure of any of the actions described or what effect if any that they might have upon operating results, cash flows or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financial position in any particular period.</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See also Note 18.</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lastRenderedPageBreak/>
        <w:t>Other</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Barclays is engaged in various other legal proceedings both in the United Kingdom and a number of overseas jurisdictions, including the United States, involving claims by and against it which arise in the ordinary course of business, including debt collection, consumer claims and contractual disputes. Barclays does not expect the ultimate resolution of any of these proceedings to which Barclays is party to have a material adverse effect on its results of operations, cash flows or the financial position of the Group and Barclays has not disclosed the contingent liabilities associated with these claims either because they cannot reliably be estimated or because such disclosure could be prejudicial to the conduct of the claims. Provisions have been recognised for those cases where Barclays is able reliably to estimate the probable loss where the probable loss is not de </w:t>
      </w:r>
      <w:proofErr w:type="spellStart"/>
      <w:r w:rsidRPr="008223EE">
        <w:rPr>
          <w:rFonts w:ascii="Arial" w:eastAsia="Times New Roman" w:hAnsi="Arial" w:cs="Arial"/>
          <w:sz w:val="18"/>
          <w:szCs w:val="18"/>
        </w:rPr>
        <w:t>minimis</w:t>
      </w:r>
      <w:proofErr w:type="spellEnd"/>
      <w:r w:rsidRPr="008223EE">
        <w:rPr>
          <w:rFonts w:ascii="Arial" w:eastAsia="Times New Roman" w:hAnsi="Arial" w:cs="Arial"/>
          <w:sz w:val="18"/>
          <w:szCs w:val="18"/>
        </w:rPr>
        <w:t>.</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18.     Competition and Regulatory Matters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This note highlights some of the key competition and regulatory challenges facing Barclays, many of which are beyond our control. The extent of the impact of these matters on Barclays and the impact on Barclays of any other competition and regulatory matters in which Barclays is or may in the future become involved cannot always be predicted but may materially impact our businesses and earnings. </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t xml:space="preserve">Regulatory change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There is continuing political and regulatory scrutiny of the banking industry which, in some cases, is leading to increased or changing regulation which is likely to have a significant effect on the industry.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On 4 February 2013, the UK Government introduced the Financial Services (Banking Reform) Bill (the Bill) to the House of Commons. The Bill would give the UK authorities the powers to implement the key recommendations of the Independent Commission on Banking by requiring, amongst other things: (i) the separation of the UK and EEA retail banking activities of UK banks in a legally distinct, operationally separate and economically independent entity (so called "ring fencing") and (ii) the increase of the loss-absorbing capacity of ring-fenced banks and UK headquartered global systemically important banks to levels higher than the Basel 3 guidelines. The Bill would also give depositors protected under the Financial Services Compensation Scheme preference if a bank enters insolvency. At the same time, the Government announced that it will be bringing forward amendments to the Bill to establish a reserve power allowing the regulator, with approval from the Government, to enforce full separation under certain circumstances. The Government is expected to publish draft secondary legislation by late summer this year. The UK Government intends that primary and secondary legislation will be in place by the end of this Parliament (May 2015) and that UK banks will be required to be compliant by 1 January 2019.</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sz w:val="24"/>
          <w:szCs w:val="24"/>
        </w:rPr>
      </w:pPr>
      <w:r w:rsidRPr="008223EE">
        <w:rPr>
          <w:rFonts w:ascii="Arial" w:eastAsia="Times New Roman" w:hAnsi="Arial" w:cs="Arial"/>
          <w:sz w:val="18"/>
          <w:szCs w:val="18"/>
        </w:rPr>
        <w:t xml:space="preserve">The US Dodd-Frank Wall Street Reform and Consumer Protection Act contains far reaching regulatory reform, including potential reform of the regulatory regime for foreign banks operating in the US which may, amongst other things, require the US subsidiaries of foreign banks to be held under a US intermediate holding company subject to a comprehensive set of prudential and supervisory requirements in the US. The full impact on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businesses and markets will not be known until the principal implementing rules are adopted in final form by governmental authorities, a process which is underway and which will take effect over several years. </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t>Interchange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The Office of Fair Trading, as well as other competition authorities elsewhere in Europe, continues to investigate Visa and MasterCard credit and debit interchange rates. These investigations may have an impact on the consumer credit industry as well as having the potential for the imposition of fines. The timing of these cases is uncertain and it is not possible to provide an estimate of the potential financial impact of this matter on Barclays.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Financial Statement Notes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18.     Competition and Regulatory Matters (continued)</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t xml:space="preserve">London Interbank Offered Rate </w:t>
      </w:r>
    </w:p>
    <w:p w:rsidR="008223EE" w:rsidRPr="008223EE" w:rsidRDefault="008223EE" w:rsidP="008223EE">
      <w:pPr>
        <w:spacing w:before="12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The UK Financial Services Authority (the FSA), the US Commodity Futures Trading Commission (the CFTC), the US Securities and Exchange Commission, the US Department of Justice Fraud Section (the DOJ-FS) and Antitrust Division, the European Commission, the UK Serious Fraud Office and various US state attorneys general are amongst various authorities conducting investigations (the Investigations) into submissions made by </w:t>
      </w:r>
      <w:r w:rsidRPr="008223EE">
        <w:rPr>
          <w:rFonts w:ascii="Arial" w:eastAsia="Times New Roman" w:hAnsi="Arial" w:cs="Arial"/>
          <w:sz w:val="18"/>
          <w:szCs w:val="18"/>
        </w:rPr>
        <w:lastRenderedPageBreak/>
        <w:t>Barclays and other panel members to the bodies that set various interbank offered rates, such as the London Interbank Offered Rate (LIBOR) and the Euro Interbank Offered Rate (EURIBOR).</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On 27 June 2012, Barclays announced that it had reached settlements with the FSA, the CFTC and the DOJ-FS in relation to their Investigations and Barclays had agreed to pay total penalties of £290m (pounds sterling equivalent), which have been reflected in operating expenses for 2012. The settlements were made by entry into a Settlement Agreement with the FSA, a Non-Prosecution Agreement (NPA) with the DOJ-FS and a Settlement Order Agreement with the CFTC. In addition, Barclays has been granted conditional leniency from the Antitrust Division of the Department of Justice in connection with potential US antitrust law violations with respect to financial instruments that reference EURIBOR.</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 terms of the Settlement Agreement with the FSA are confidential. However, the Final Notice of the FSA, which imposed a financial penalty of £59.5m, is publicly available on the website of the FSA. This sets out the FSA's reasoning for the penalty, references the settlement principles and sets out the factual context and justification for the terms imposed.  Summaries of the NPA and the CFTC Order are set out below. The full text of the NPA and the CFTC Order are publicly available on the websites of the DOJ and the CFTC, respectively.</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In addition to a $200m civil monetary penalty, the CFTC Order requires Barclays to cease and desist from further violations of specified provisions of the Commodity Exchange Act and take specified steps to ensure the integrity and reliability of its benchmark interest rate submissions, including LIBOR and EURIBOR, and improve related internal controls. Amongst other things, the CFTC Order requires Barclays to:</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Make its submissions based on certain specified factors, with Barclays transactions being given the greatest weight, subject to certain specified adjustments and considerations</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Implement firewalls to prevent improper communications including between traders and submitters</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Prepare and retain certain documents concerning submissions and retain relevant communications</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Implement auditing, monitoring and training measures concerning its submissions and related processes</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Make regular reports to the CFTC concerning compliance with the terms of the CFTC Order</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Use best efforts to encourage the development of rigorous standards for benchmark interest rates</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 xml:space="preserve">Continue to cooperate with the CFTC's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investigation of benchmark interest rates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As part of the NPA, Barclays agreed to pay a $160m penalty. In addition, the DOJ agreed not to prosecute Barclays for any crimes (except for criminal tax violations, as to which the DOJ cannot and does not make any agreement) related to Barclays submissions of benchmark interest rates, including LIBOR and EURIBOR, contingent upon Barclays satisfaction of specified obligations under the NPA. In particular, under the NPA, Barclays agreed for a period of two years from 26 June 2012, amongst other things, to: </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commit no United States crime whatsoever</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truthfully and completely disclose non-privileged information with respect to the activities of Barclays, its officers and employees, and others concerning all matters about which the DOJ inquires of it, which information can be used for any purpose, except as otherwise limited in the NPA</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bring to the DOJ's attention all potentially criminal conduct by Barclays or any of its employees that relates to fraud or violations of the laws governing securities and commodities markets</w:t>
      </w:r>
    </w:p>
    <w:p w:rsidR="008223EE" w:rsidRPr="008223EE" w:rsidRDefault="008223EE" w:rsidP="00013CAF">
      <w:pPr>
        <w:spacing w:before="180" w:after="180" w:line="240" w:lineRule="auto"/>
        <w:ind w:left="284" w:hanging="284"/>
        <w:jc w:val="both"/>
        <w:rPr>
          <w:rFonts w:ascii="Arial" w:eastAsia="Times New Roman" w:hAnsi="Arial" w:cs="Arial"/>
          <w:sz w:val="18"/>
          <w:szCs w:val="18"/>
        </w:rPr>
      </w:pPr>
      <w:r w:rsidRPr="008223EE">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009B0C46">
        <w:rPr>
          <w:rFonts w:ascii="Symbol" w:eastAsia="Times New Roman" w:hAnsi="Symbol" w:cs="Arial"/>
          <w:sz w:val="18"/>
          <w:szCs w:val="18"/>
        </w:rPr>
        <w:t></w:t>
      </w:r>
      <w:r w:rsidRPr="008223EE">
        <w:rPr>
          <w:rFonts w:ascii="Symbol" w:eastAsia="Times New Roman" w:hAnsi="Symbol" w:cs="Arial"/>
          <w:sz w:val="18"/>
          <w:szCs w:val="18"/>
        </w:rPr>
        <w:t></w:t>
      </w:r>
      <w:r w:rsidRPr="008223EE">
        <w:rPr>
          <w:rFonts w:ascii="Arial" w:eastAsia="Times New Roman" w:hAnsi="Arial" w:cs="Arial"/>
          <w:sz w:val="18"/>
          <w:szCs w:val="18"/>
        </w:rPr>
        <w:t>bring to the DOJ's attention all criminal or regulatory investigations, administrative proceedings or civil actions brought by any governmental authority in the United States by or against Barclays or its employees that alleges fraud or violations of the laws governing securities and commodities markets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Financial Statement Notes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18.     Competition and Regulatory Matters (continued)</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Barclays also agreed to cooperate with the DOJ and other government authorities in the United States in connection with any investigation or prosecution arising out of the conduct described in the NPA, which commitment shall remain in force until all such investigations and prosecutions are concluded. Barclays also continues to cooperate with the other </w:t>
      </w:r>
      <w:proofErr w:type="spellStart"/>
      <w:r w:rsidRPr="008223EE">
        <w:rPr>
          <w:rFonts w:ascii="Arial" w:eastAsia="Times New Roman" w:hAnsi="Arial" w:cs="Arial"/>
          <w:sz w:val="18"/>
          <w:szCs w:val="18"/>
        </w:rPr>
        <w:t>ongoing</w:t>
      </w:r>
      <w:proofErr w:type="spellEnd"/>
      <w:r w:rsidRPr="008223EE">
        <w:rPr>
          <w:rFonts w:ascii="Arial" w:eastAsia="Times New Roman" w:hAnsi="Arial" w:cs="Arial"/>
          <w:sz w:val="18"/>
          <w:szCs w:val="18"/>
        </w:rPr>
        <w:t xml:space="preserve"> investigations. </w:t>
      </w:r>
    </w:p>
    <w:p w:rsidR="008223EE" w:rsidRPr="008223EE" w:rsidRDefault="008223EE" w:rsidP="008223EE">
      <w:pPr>
        <w:spacing w:before="198" w:after="198" w:line="240" w:lineRule="auto"/>
        <w:jc w:val="both"/>
        <w:rPr>
          <w:rFonts w:ascii="Arial" w:eastAsia="Times New Roman" w:hAnsi="Arial" w:cs="Arial"/>
          <w:sz w:val="18"/>
          <w:szCs w:val="18"/>
        </w:rPr>
      </w:pPr>
      <w:r w:rsidRPr="008223EE">
        <w:rPr>
          <w:rFonts w:ascii="Arial" w:eastAsia="Times New Roman" w:hAnsi="Arial" w:cs="Arial"/>
          <w:sz w:val="18"/>
          <w:szCs w:val="18"/>
        </w:rPr>
        <w:lastRenderedPageBreak/>
        <w:t xml:space="preserve">It is not practicable to provide an estimate of the financial impact of these matters or what effect, if any, that the matters might have upon operating results, cash flows or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financial position in any particular period.</w:t>
      </w:r>
    </w:p>
    <w:p w:rsidR="008223EE" w:rsidRPr="008223EE" w:rsidRDefault="008223EE" w:rsidP="008223EE">
      <w:pPr>
        <w:spacing w:before="198" w:after="198" w:line="240" w:lineRule="auto"/>
        <w:jc w:val="both"/>
        <w:rPr>
          <w:rFonts w:ascii="Arial" w:eastAsia="Times New Roman" w:hAnsi="Arial" w:cs="Arial"/>
          <w:sz w:val="18"/>
          <w:szCs w:val="18"/>
        </w:rPr>
      </w:pPr>
      <w:r w:rsidRPr="008223EE">
        <w:rPr>
          <w:rFonts w:ascii="Arial" w:eastAsia="Times New Roman" w:hAnsi="Arial" w:cs="Arial"/>
          <w:sz w:val="18"/>
          <w:szCs w:val="18"/>
        </w:rPr>
        <w:t>For a discussion of litigation arising in connection with the Investigations see Note 17.</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t>Interest Rate Hedging Products</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sz w:val="24"/>
          <w:szCs w:val="24"/>
        </w:rPr>
      </w:pPr>
      <w:r w:rsidRPr="008223EE">
        <w:rPr>
          <w:rFonts w:ascii="Arial" w:eastAsia="Times New Roman" w:hAnsi="Arial" w:cs="Arial"/>
          <w:sz w:val="18"/>
          <w:szCs w:val="18"/>
        </w:rPr>
        <w:t xml:space="preserve">See Note 12. </w:t>
      </w:r>
    </w:p>
    <w:p w:rsidR="008223EE" w:rsidRPr="008223EE" w:rsidRDefault="008223EE" w:rsidP="008223EE">
      <w:pPr>
        <w:spacing w:before="198" w:after="198" w:line="260" w:lineRule="atLeast"/>
        <w:jc w:val="both"/>
        <w:rPr>
          <w:rFonts w:ascii="Arial" w:eastAsia="Times New Roman" w:hAnsi="Arial" w:cs="Arial"/>
          <w:i/>
          <w:iCs/>
          <w:sz w:val="18"/>
          <w:szCs w:val="18"/>
        </w:rPr>
      </w:pPr>
      <w:r w:rsidRPr="008223EE">
        <w:rPr>
          <w:rFonts w:ascii="Arial" w:eastAsia="Times New Roman" w:hAnsi="Arial" w:cs="Arial"/>
          <w:i/>
          <w:iCs/>
          <w:sz w:val="18"/>
          <w:szCs w:val="18"/>
        </w:rPr>
        <w:t>FERC Investigation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The United States Federal Energy Regulatory Commission (the FERC) Office of Enforcement investigated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power trading in the western US with respect to the period from late 2006 through 2008. On 31 October 2012, the FERC issued a public Order to Show Cause and Notice of Proposed Penalties (Order and Notice) against Barclays Bank PLC in relation to this matter. In the Order and Notice the FERC asserts that Barclays Bank PLC violated the FERC's Anti-Manipulation Rule by manipulating the electricity markets in and around California from November 2006 to December 2008. The FERC is proposing that Barclays Bank PLC pay a $435m civil penalty and disgorge an additional $34.9m of profits plus interest.  Barclays intends to vigorously defend this matter. </w:t>
      </w:r>
    </w:p>
    <w:p w:rsidR="008223EE" w:rsidRPr="008223EE" w:rsidRDefault="008223EE" w:rsidP="008223EE">
      <w:pPr>
        <w:spacing w:before="100" w:beforeAutospacing="1" w:after="100" w:afterAutospacing="1"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18"/>
          <w:szCs w:val="18"/>
        </w:rPr>
        <w:t>Other Regulatory Investigations</w:t>
      </w:r>
    </w:p>
    <w:p w:rsidR="008223EE" w:rsidRPr="008223EE" w:rsidRDefault="008223EE" w:rsidP="008223EE">
      <w:pPr>
        <w:spacing w:before="198" w:after="198" w:line="240" w:lineRule="auto"/>
        <w:jc w:val="both"/>
        <w:rPr>
          <w:rFonts w:ascii="Arial" w:eastAsia="Times New Roman" w:hAnsi="Arial" w:cs="Arial"/>
          <w:sz w:val="18"/>
          <w:szCs w:val="18"/>
        </w:rPr>
      </w:pPr>
      <w:r w:rsidRPr="008223EE">
        <w:rPr>
          <w:rFonts w:ascii="Arial" w:eastAsia="Times New Roman" w:hAnsi="Arial" w:cs="Arial"/>
          <w:sz w:val="18"/>
          <w:szCs w:val="18"/>
        </w:rPr>
        <w:t>The FSA and the Serious Fraud Office are both investigating certain commercial agreements between Barclays and Qatari interests and whether these may have related to Barclays capital raisings in June and November 2008. The FSA investigation involves four current and former senior employees including Chris Lucas, Group Finance Director, as well as Barclays. The FSA enforcement investigation began in July 2012 and the Serious Fraud Office commenced its investigation in August 2012.</w:t>
      </w:r>
    </w:p>
    <w:p w:rsidR="008223EE" w:rsidRPr="008223EE" w:rsidRDefault="008223EE" w:rsidP="008223EE">
      <w:pPr>
        <w:spacing w:before="198" w:after="198" w:line="240" w:lineRule="auto"/>
        <w:jc w:val="both"/>
        <w:rPr>
          <w:rFonts w:ascii="Arial" w:eastAsia="Times New Roman" w:hAnsi="Arial" w:cs="Arial"/>
          <w:sz w:val="18"/>
          <w:szCs w:val="18"/>
        </w:rPr>
      </w:pPr>
      <w:r w:rsidRPr="008223EE">
        <w:rPr>
          <w:rFonts w:ascii="Arial" w:eastAsia="Times New Roman" w:hAnsi="Arial" w:cs="Arial"/>
          <w:sz w:val="18"/>
          <w:szCs w:val="18"/>
        </w:rPr>
        <w:t>In October 2012 Barclays was informed by the US Department of Justice and the US Securities and Exchange Commission that they had commenced an investigation into whether the Group's relationships with third parties who assist Barclays to win or retain business are compliant with the United States Foreign Corrupt Practices Act. </w:t>
      </w:r>
    </w:p>
    <w:p w:rsidR="008223EE" w:rsidRPr="008223EE" w:rsidRDefault="008223EE" w:rsidP="008223EE">
      <w:pPr>
        <w:spacing w:before="198" w:after="198" w:line="240" w:lineRule="auto"/>
        <w:jc w:val="both"/>
        <w:rPr>
          <w:rFonts w:ascii="Arial" w:eastAsia="Times New Roman" w:hAnsi="Arial" w:cs="Arial"/>
          <w:sz w:val="18"/>
          <w:szCs w:val="18"/>
        </w:rPr>
      </w:pPr>
      <w:r w:rsidRPr="008223EE">
        <w:rPr>
          <w:rFonts w:ascii="Arial" w:eastAsia="Times New Roman" w:hAnsi="Arial" w:cs="Arial"/>
          <w:sz w:val="18"/>
          <w:szCs w:val="18"/>
        </w:rPr>
        <w:t>Barclays is co-operating with all the authorities fully. It is not possible to estimate the financial impact upon Barclays should any adverse findings be made.</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19.         Related Party Transactions</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There were no changes in the related party transactions since 2011 that materially affect the financial position or performance of the Group.</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Financial Statement Notes</w:t>
      </w:r>
    </w:p>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sz w:val="24"/>
          <w:szCs w:val="24"/>
        </w:rPr>
        <w:t>20.         Segmental Reporting</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910"/>
        <w:gridCol w:w="1043"/>
        <w:gridCol w:w="1045"/>
        <w:gridCol w:w="1044"/>
        <w:gridCol w:w="1049"/>
        <w:gridCol w:w="1043"/>
      </w:tblGrid>
      <w:tr w:rsidR="008223EE" w:rsidRPr="008223EE" w:rsidTr="008223EE">
        <w:trPr>
          <w:trHeight w:val="255"/>
        </w:trPr>
        <w:tc>
          <w:tcPr>
            <w:tcW w:w="3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Analysis of results by business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UK RBB</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Europe RBB</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Africa RBB</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Barclaycard</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RBB Total</w:t>
            </w:r>
          </w:p>
        </w:tc>
      </w:tr>
      <w:tr w:rsidR="008223EE" w:rsidRPr="008223EE" w:rsidTr="008223EE">
        <w:trPr>
          <w:trHeight w:val="240"/>
        </w:trPr>
        <w:tc>
          <w:tcPr>
            <w:tcW w:w="3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Year Ended 31 December 2012</w:t>
            </w:r>
            <w:r w:rsidRPr="008223EE">
              <w:rPr>
                <w:rFonts w:ascii="Arial" w:eastAsia="Times New Roman" w:hAnsi="Arial" w:cs="Arial"/>
                <w:color w:val="000000"/>
                <w:sz w:val="16"/>
                <w:szCs w:val="16"/>
                <w:vertAlign w:val="superscript"/>
              </w:rPr>
              <w:t xml:space="preserve">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898"/>
        <w:gridCol w:w="1048"/>
        <w:gridCol w:w="1046"/>
        <w:gridCol w:w="1050"/>
        <w:gridCol w:w="1048"/>
        <w:gridCol w:w="1044"/>
      </w:tblGrid>
      <w:tr w:rsidR="008223EE" w:rsidRPr="008223EE" w:rsidTr="008223EE">
        <w:trPr>
          <w:trHeight w:val="240"/>
        </w:trPr>
        <w:tc>
          <w:tcPr>
            <w:tcW w:w="394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4,421 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915 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3,157 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4,170 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12,663 </w:t>
            </w:r>
          </w:p>
        </w:tc>
      </w:tr>
      <w:tr w:rsidR="008223EE" w:rsidRPr="008223EE" w:rsidTr="008223EE">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(328)</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(646)</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(979)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(2,222)</w:t>
            </w:r>
          </w:p>
        </w:tc>
      </w:tr>
      <w:tr w:rsidR="008223EE" w:rsidRPr="008223EE" w:rsidTr="008223EE">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4,152 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587 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2,511 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3,191 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10,441 </w:t>
            </w:r>
          </w:p>
        </w:tc>
      </w:tr>
      <w:tr w:rsidR="008223EE" w:rsidRPr="008223EE" w:rsidTr="008223EE">
        <w:trPr>
          <w:trHeight w:val="240"/>
        </w:trPr>
        <w:tc>
          <w:tcPr>
            <w:tcW w:w="39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(3,864)</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(839)</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(2,053)</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(2,135)</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(8,891)</w:t>
            </w:r>
          </w:p>
        </w:tc>
      </w:tr>
      <w:tr w:rsidR="008223EE" w:rsidRPr="008223EE" w:rsidTr="008223EE">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income/(losses)</w:t>
            </w:r>
            <w:r w:rsidRPr="008223EE">
              <w:rPr>
                <w:rFonts w:ascii="Arial" w:eastAsia="Times New Roman" w:hAnsi="Arial" w:cs="Arial"/>
                <w:color w:val="000000"/>
                <w:sz w:val="13"/>
                <w:szCs w:val="13"/>
                <w:vertAlign w:val="superscript"/>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57 </w:t>
            </w:r>
          </w:p>
        </w:tc>
      </w:tr>
      <w:tr w:rsidR="008223EE" w:rsidRPr="008223EE" w:rsidTr="008223EE">
        <w:trPr>
          <w:trHeight w:val="48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/(loss) before tax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468 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1,086 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1,607 </w:t>
            </w:r>
          </w:p>
        </w:tc>
      </w:tr>
      <w:tr w:rsidR="008223EE" w:rsidRPr="008223EE" w:rsidTr="008223EE">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assets </w:t>
            </w:r>
            <w:r w:rsidRPr="008223EE">
              <w:rPr>
                <w:rFonts w:ascii="Arial" w:eastAsia="Times New Roman" w:hAnsi="Arial" w:cs="Arial"/>
                <w:b/>
                <w:bCs/>
                <w:color w:val="000000"/>
                <w:sz w:val="13"/>
                <w:szCs w:val="13"/>
                <w:vertAlign w:val="superscript"/>
              </w:rPr>
              <w:t>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136,665 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47,128 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44,798 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37,511 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266,102 </w:t>
            </w:r>
          </w:p>
        </w:tc>
      </w:tr>
      <w:tr w:rsidR="008223EE" w:rsidRPr="008223EE" w:rsidTr="008223EE">
        <w:trPr>
          <w:trHeight w:val="765"/>
        </w:trPr>
        <w:tc>
          <w:tcPr>
            <w:tcW w:w="3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Analysis of results by business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Investment Bank</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Corporate Banking</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Wealth and Investment Management</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Head Office</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and Other</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Operations</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Group Total</w:t>
            </w:r>
          </w:p>
        </w:tc>
      </w:tr>
      <w:tr w:rsidR="008223EE" w:rsidRPr="008223EE" w:rsidTr="008223EE">
        <w:trPr>
          <w:trHeight w:val="240"/>
        </w:trPr>
        <w:tc>
          <w:tcPr>
            <w:tcW w:w="3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6"/>
                <w:szCs w:val="16"/>
              </w:rPr>
              <w:t>Year Ended 31 December 2012 continued</w:t>
            </w:r>
            <w:r w:rsidRPr="008223EE">
              <w:rPr>
                <w:rFonts w:ascii="Arial" w:eastAsia="Times New Roman" w:hAnsi="Arial" w:cs="Arial"/>
                <w:color w:val="000000"/>
                <w:sz w:val="16"/>
                <w:szCs w:val="16"/>
                <w:vertAlign w:val="superscript"/>
              </w:rPr>
              <w:t xml:space="preserve">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908"/>
        <w:gridCol w:w="1047"/>
        <w:gridCol w:w="1044"/>
        <w:gridCol w:w="1044"/>
        <w:gridCol w:w="1044"/>
        <w:gridCol w:w="1047"/>
      </w:tblGrid>
      <w:tr w:rsidR="008223EE" w:rsidRPr="008223EE" w:rsidTr="008223EE">
        <w:trPr>
          <w:trHeight w:val="240"/>
        </w:trPr>
        <w:tc>
          <w:tcPr>
            <w:tcW w:w="394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lastRenderedPageBreak/>
              <w:t xml:space="preserve">Total income net of insurance claims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11,722 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2,918 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1,815 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(4,427)</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24,691 </w:t>
            </w:r>
          </w:p>
        </w:tc>
      </w:tr>
      <w:tr w:rsidR="008223EE" w:rsidRPr="008223EE" w:rsidTr="008223EE">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(872)</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(3,596)</w:t>
            </w:r>
          </w:p>
        </w:tc>
      </w:tr>
      <w:tr w:rsidR="008223EE" w:rsidRPr="008223EE" w:rsidTr="008223EE">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11,262 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2,046 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1,777 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(4,431)</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21,095 </w:t>
            </w:r>
          </w:p>
        </w:tc>
      </w:tr>
      <w:tr w:rsidR="008223EE" w:rsidRPr="008223EE" w:rsidTr="008223EE">
        <w:trPr>
          <w:trHeight w:val="240"/>
        </w:trPr>
        <w:tc>
          <w:tcPr>
            <w:tcW w:w="39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(7,249)</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(2,355)</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(1,463)</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(1,031)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(20,989)</w:t>
            </w:r>
          </w:p>
        </w:tc>
      </w:tr>
      <w:tr w:rsidR="008223EE" w:rsidRPr="008223EE" w:rsidTr="008223EE">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income/(losses)</w:t>
            </w:r>
            <w:r w:rsidRPr="008223EE">
              <w:rPr>
                <w:rFonts w:ascii="Arial" w:eastAsia="Times New Roman" w:hAnsi="Arial" w:cs="Arial"/>
                <w:color w:val="000000"/>
                <w:sz w:val="13"/>
                <w:szCs w:val="13"/>
                <w:vertAlign w:val="superscript"/>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140 </w:t>
            </w:r>
          </w:p>
        </w:tc>
      </w:tr>
      <w:tr w:rsidR="008223EE" w:rsidRPr="008223EE" w:rsidTr="008223EE">
        <w:trPr>
          <w:trHeight w:val="48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/(loss) before tax </w:t>
            </w:r>
            <w:r w:rsidRPr="008223EE">
              <w:rPr>
                <w:rFonts w:ascii="Arial" w:eastAsia="Times New Roman" w:hAnsi="Arial" w:cs="Arial"/>
                <w:b/>
                <w:bCs/>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4,063 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(5,440)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246 </w:t>
            </w:r>
          </w:p>
        </w:tc>
      </w:tr>
      <w:tr w:rsidR="008223EE" w:rsidRPr="008223EE" w:rsidTr="008223EE">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assets </w:t>
            </w:r>
            <w:r w:rsidRPr="008223EE">
              <w:rPr>
                <w:rFonts w:ascii="Arial" w:eastAsia="Times New Roman" w:hAnsi="Arial" w:cs="Arial"/>
                <w:b/>
                <w:bCs/>
                <w:color w:val="000000"/>
                <w:sz w:val="13"/>
                <w:szCs w:val="13"/>
                <w:vertAlign w:val="superscript"/>
              </w:rPr>
              <w:t>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1,074,805 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86,255 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23,716 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39,443 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1,490,321 </w:t>
            </w:r>
          </w:p>
        </w:tc>
      </w:tr>
      <w:tr w:rsidR="008223EE" w:rsidRPr="008223EE" w:rsidTr="008223EE">
        <w:trPr>
          <w:trHeight w:val="240"/>
        </w:trPr>
        <w:tc>
          <w:tcPr>
            <w:tcW w:w="3945" w:type="dxa"/>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105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b/>
                <w:bCs/>
                <w:sz w:val="2"/>
                <w:szCs w:val="2"/>
              </w:rPr>
            </w:pP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910"/>
        <w:gridCol w:w="1043"/>
        <w:gridCol w:w="1045"/>
        <w:gridCol w:w="1044"/>
        <w:gridCol w:w="1049"/>
        <w:gridCol w:w="1043"/>
      </w:tblGrid>
      <w:tr w:rsidR="008223EE" w:rsidRPr="008223EE" w:rsidTr="008223EE">
        <w:trPr>
          <w:trHeight w:val="255"/>
        </w:trPr>
        <w:tc>
          <w:tcPr>
            <w:tcW w:w="3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Analysis of results by business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UK RBB</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Europe RBB</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Africa RBB</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Barclaycard</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RBB Total</w:t>
            </w:r>
          </w:p>
        </w:tc>
      </w:tr>
      <w:tr w:rsidR="008223EE" w:rsidRPr="008223EE" w:rsidTr="008223EE">
        <w:trPr>
          <w:trHeight w:val="255"/>
        </w:trPr>
        <w:tc>
          <w:tcPr>
            <w:tcW w:w="3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31 December 2011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898"/>
        <w:gridCol w:w="1048"/>
        <w:gridCol w:w="1046"/>
        <w:gridCol w:w="1050"/>
        <w:gridCol w:w="1048"/>
        <w:gridCol w:w="1044"/>
      </w:tblGrid>
      <w:tr w:rsidR="008223EE" w:rsidRPr="008223EE" w:rsidTr="008223EE">
        <w:trPr>
          <w:trHeight w:val="255"/>
        </w:trPr>
        <w:tc>
          <w:tcPr>
            <w:tcW w:w="394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4,656 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1,226 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3,571 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4,095 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13,548 </w:t>
            </w:r>
          </w:p>
        </w:tc>
      </w:tr>
      <w:tr w:rsidR="008223EE" w:rsidRPr="008223EE" w:rsidTr="008223EE">
        <w:trPr>
          <w:trHeight w:val="255"/>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(536)</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(261)</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(466)</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(2,522)</w:t>
            </w:r>
          </w:p>
        </w:tc>
      </w:tr>
      <w:tr w:rsidR="008223EE" w:rsidRPr="008223EE" w:rsidTr="008223EE">
        <w:trPr>
          <w:trHeight w:val="255"/>
        </w:trPr>
        <w:tc>
          <w:tcPr>
            <w:tcW w:w="3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4,120 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965 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3,105 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2,836 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11,026 </w:t>
            </w:r>
          </w:p>
        </w:tc>
      </w:tr>
      <w:tr w:rsidR="008223EE" w:rsidRPr="008223EE" w:rsidTr="008223EE">
        <w:trPr>
          <w:trHeight w:val="255"/>
        </w:trPr>
        <w:tc>
          <w:tcPr>
            <w:tcW w:w="39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(3,102)</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(1,638)</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(2,279)</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(2,306)</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(9,325)</w:t>
            </w:r>
          </w:p>
        </w:tc>
      </w:tr>
      <w:tr w:rsidR="008223EE" w:rsidRPr="008223EE" w:rsidTr="008223EE">
        <w:trPr>
          <w:trHeight w:val="255"/>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income/(losses)</w:t>
            </w:r>
            <w:r w:rsidRPr="008223EE">
              <w:rPr>
                <w:rFonts w:ascii="Arial" w:eastAsia="Times New Roman" w:hAnsi="Arial" w:cs="Arial"/>
                <w:color w:val="000000"/>
                <w:sz w:val="13"/>
                <w:szCs w:val="13"/>
                <w:vertAlign w:val="superscript"/>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51 </w:t>
            </w:r>
          </w:p>
        </w:tc>
      </w:tr>
      <w:tr w:rsidR="008223EE" w:rsidRPr="008223EE" w:rsidTr="008223EE">
        <w:trPr>
          <w:trHeight w:val="48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/(loss) before tax </w:t>
            </w:r>
            <w:r w:rsidRPr="008223EE">
              <w:rPr>
                <w:rFonts w:ascii="Arial" w:eastAsia="Times New Roman" w:hAnsi="Arial" w:cs="Arial"/>
                <w:b/>
                <w:bCs/>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1,020 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(661)</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832 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561 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1,752 </w:t>
            </w:r>
          </w:p>
        </w:tc>
      </w:tr>
      <w:tr w:rsidR="008223EE" w:rsidRPr="008223EE" w:rsidTr="008223EE">
        <w:trPr>
          <w:trHeight w:val="255"/>
        </w:trPr>
        <w:tc>
          <w:tcPr>
            <w:tcW w:w="3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assets </w:t>
            </w:r>
            <w:r w:rsidRPr="008223EE">
              <w:rPr>
                <w:rFonts w:ascii="Arial" w:eastAsia="Times New Roman" w:hAnsi="Arial" w:cs="Arial"/>
                <w:b/>
                <w:bCs/>
                <w:color w:val="000000"/>
                <w:sz w:val="13"/>
                <w:szCs w:val="13"/>
                <w:vertAlign w:val="superscript"/>
              </w:rPr>
              <w:t>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127,845 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51,310 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48,243 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33,838 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261,236 </w:t>
            </w:r>
          </w:p>
        </w:tc>
      </w:tr>
      <w:tr w:rsidR="008223EE" w:rsidRPr="008223EE" w:rsidTr="008223EE">
        <w:trPr>
          <w:trHeight w:val="765"/>
        </w:trPr>
        <w:tc>
          <w:tcPr>
            <w:tcW w:w="3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 xml:space="preserve">Analysis of results by business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Investment Bank</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Corporate Banking</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Wealth and Investment Management</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Head Office</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and Other</w:t>
            </w:r>
          </w:p>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Operations</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Group Total</w:t>
            </w:r>
          </w:p>
        </w:tc>
      </w:tr>
      <w:tr w:rsidR="008223EE" w:rsidRPr="008223EE" w:rsidTr="008223EE">
        <w:trPr>
          <w:trHeight w:val="240"/>
        </w:trPr>
        <w:tc>
          <w:tcPr>
            <w:tcW w:w="3945" w:type="dxa"/>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Year Ended 31 December 2011 continued </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c>
          <w:tcPr>
            <w:tcW w:w="1050" w:type="dxa"/>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£m</w:t>
            </w:r>
          </w:p>
        </w:tc>
      </w:tr>
    </w:tbl>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36" w:type="dxa"/>
        <w:tblCellMar>
          <w:left w:w="0" w:type="dxa"/>
          <w:right w:w="0" w:type="dxa"/>
        </w:tblCellMar>
        <w:tblLook w:val="04A0" w:firstRow="1" w:lastRow="0" w:firstColumn="1" w:lastColumn="0" w:noHBand="0" w:noVBand="1"/>
      </w:tblPr>
      <w:tblGrid>
        <w:gridCol w:w="3908"/>
        <w:gridCol w:w="1047"/>
        <w:gridCol w:w="1044"/>
        <w:gridCol w:w="1044"/>
        <w:gridCol w:w="1044"/>
        <w:gridCol w:w="1047"/>
      </w:tblGrid>
      <w:tr w:rsidR="008223EE" w:rsidRPr="008223EE" w:rsidTr="008223EE">
        <w:trPr>
          <w:trHeight w:val="240"/>
        </w:trPr>
        <w:tc>
          <w:tcPr>
            <w:tcW w:w="3945"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Total income net of insurance claims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10,335 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3,108 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1,744 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3,557 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32,292 </w:t>
            </w:r>
          </w:p>
        </w:tc>
      </w:tr>
      <w:tr w:rsidR="008223EE" w:rsidRPr="008223EE" w:rsidTr="008223EE">
        <w:trPr>
          <w:trHeight w:val="240"/>
        </w:trPr>
        <w:tc>
          <w:tcPr>
            <w:tcW w:w="39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Credit impairment charges and other provisions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(93)</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(1,147)</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(41)</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(3,802)</w:t>
            </w:r>
          </w:p>
        </w:tc>
      </w:tr>
      <w:tr w:rsidR="008223EE" w:rsidRPr="008223EE" w:rsidTr="008223EE">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Impairment of investment in BlackRock, </w:t>
            </w:r>
            <w:proofErr w:type="spellStart"/>
            <w:r w:rsidRPr="008223EE">
              <w:rPr>
                <w:rFonts w:ascii="Arial" w:eastAsia="Times New Roman" w:hAnsi="Arial" w:cs="Arial"/>
                <w:color w:val="000000"/>
                <w:sz w:val="16"/>
                <w:szCs w:val="16"/>
              </w:rPr>
              <w:t>Inc</w:t>
            </w:r>
            <w:proofErr w:type="spellEnd"/>
            <w:r w:rsidRPr="008223EE">
              <w:rPr>
                <w:rFonts w:ascii="Arial" w:eastAsia="Times New Roman" w:hAnsi="Arial" w:cs="Arial"/>
                <w:color w:val="000000"/>
                <w:sz w:val="16"/>
                <w:szCs w:val="16"/>
              </w:rPr>
              <w:t xml:space="preserve">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(1,800)</w:t>
            </w:r>
          </w:p>
        </w:tc>
      </w:tr>
      <w:tr w:rsidR="008223EE" w:rsidRPr="008223EE" w:rsidTr="008223EE">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Net operating income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10,242 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1,961 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1,703 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1,758 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26,690 </w:t>
            </w:r>
          </w:p>
        </w:tc>
      </w:tr>
      <w:tr w:rsidR="008223EE" w:rsidRPr="008223EE" w:rsidTr="008223EE">
        <w:trPr>
          <w:trHeight w:val="240"/>
        </w:trPr>
        <w:tc>
          <w:tcPr>
            <w:tcW w:w="394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Operating expenses </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(7,289)</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(1,882)</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(1,493)</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(788)</w:t>
            </w:r>
          </w:p>
        </w:tc>
        <w:tc>
          <w:tcPr>
            <w:tcW w:w="105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(20,777)</w:t>
            </w:r>
          </w:p>
        </w:tc>
      </w:tr>
      <w:tr w:rsidR="008223EE" w:rsidRPr="008223EE" w:rsidTr="008223EE">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Other income/(losses)</w:t>
            </w:r>
            <w:r w:rsidRPr="008223EE">
              <w:rPr>
                <w:rFonts w:ascii="Arial" w:eastAsia="Times New Roman" w:hAnsi="Arial" w:cs="Arial"/>
                <w:color w:val="000000"/>
                <w:sz w:val="13"/>
                <w:szCs w:val="13"/>
                <w:vertAlign w:val="superscript"/>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(71)</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(23)</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(34)</w:t>
            </w:r>
          </w:p>
        </w:tc>
      </w:tr>
      <w:tr w:rsidR="008223EE" w:rsidRPr="008223EE" w:rsidTr="008223EE">
        <w:trPr>
          <w:trHeight w:val="48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Profit /(loss) before tax </w:t>
            </w:r>
            <w:r w:rsidRPr="008223EE">
              <w:rPr>
                <w:rFonts w:ascii="Arial" w:eastAsia="Times New Roman" w:hAnsi="Arial" w:cs="Arial"/>
                <w:b/>
                <w:bCs/>
                <w:color w:val="000000"/>
                <w:sz w:val="13"/>
                <w:szCs w:val="13"/>
                <w:vertAlign w:val="superscript"/>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2,965 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947 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5,879 </w:t>
            </w:r>
          </w:p>
        </w:tc>
      </w:tr>
      <w:tr w:rsidR="008223EE" w:rsidRPr="008223EE" w:rsidTr="008223EE">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assets </w:t>
            </w:r>
            <w:r w:rsidRPr="008223EE">
              <w:rPr>
                <w:rFonts w:ascii="Arial" w:eastAsia="Times New Roman" w:hAnsi="Arial" w:cs="Arial"/>
                <w:b/>
                <w:bCs/>
                <w:color w:val="000000"/>
                <w:sz w:val="13"/>
                <w:szCs w:val="13"/>
                <w:vertAlign w:val="superscript"/>
              </w:rPr>
              <w:t>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1,158,350 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91,190 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20,866 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31,885 </w:t>
            </w:r>
          </w:p>
        </w:tc>
        <w:tc>
          <w:tcPr>
            <w:tcW w:w="105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1,563,527 </w:t>
            </w:r>
          </w:p>
        </w:tc>
      </w:tr>
      <w:tr w:rsidR="008223EE" w:rsidRPr="008223EE" w:rsidTr="008223EE">
        <w:trPr>
          <w:trHeight w:val="240"/>
        </w:trPr>
        <w:tc>
          <w:tcPr>
            <w:tcW w:w="3945" w:type="dxa"/>
            <w:tcMar>
              <w:top w:w="0" w:type="dxa"/>
              <w:left w:w="36" w:type="dxa"/>
              <w:bottom w:w="0" w:type="dxa"/>
              <w:right w:w="36" w:type="dxa"/>
            </w:tcMa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5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p>
        </w:tc>
        <w:tc>
          <w:tcPr>
            <w:tcW w:w="1050" w:type="dxa"/>
            <w:tcMar>
              <w:top w:w="0" w:type="dxa"/>
              <w:left w:w="36" w:type="dxa"/>
              <w:bottom w:w="0" w:type="dxa"/>
              <w:right w:w="36" w:type="dxa"/>
            </w:tcMar>
            <w:hideMark/>
          </w:tcPr>
          <w:p w:rsidR="008223EE" w:rsidRPr="008223EE" w:rsidRDefault="008223EE" w:rsidP="008223EE">
            <w:pPr>
              <w:spacing w:after="0" w:line="240" w:lineRule="auto"/>
              <w:jc w:val="right"/>
              <w:rPr>
                <w:rFonts w:ascii="Arial" w:eastAsia="Times New Roman" w:hAnsi="Arial" w:cs="Arial"/>
                <w:sz w:val="2"/>
                <w:szCs w:val="2"/>
              </w:rPr>
            </w:pPr>
          </w:p>
        </w:tc>
      </w:tr>
    </w:tbl>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after="0" w:line="240" w:lineRule="auto"/>
        <w:rPr>
          <w:rFonts w:ascii="Times New Roman" w:eastAsia="Times New Roman" w:hAnsi="Times New Roman" w:cs="Times New Roman"/>
          <w:sz w:val="24"/>
          <w:szCs w:val="24"/>
        </w:rPr>
      </w:pPr>
      <w:r w:rsidRPr="008223EE">
        <w:rPr>
          <w:rFonts w:ascii="Times New Roman" w:eastAsia="Times New Roman" w:hAnsi="Times New Roman" w:cs="Times New Roman"/>
          <w:sz w:val="24"/>
          <w:szCs w:val="24"/>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Arial" w:eastAsia="Times New Roman" w:hAnsi="Arial" w:cs="Arial"/>
          <w:i/>
          <w:iCs/>
          <w:sz w:val="14"/>
          <w:szCs w:val="14"/>
        </w:rPr>
      </w:pPr>
      <w:r w:rsidRPr="008223EE">
        <w:rPr>
          <w:rFonts w:ascii="Arial" w:eastAsia="Times New Roman" w:hAnsi="Arial" w:cs="Arial"/>
          <w:i/>
          <w:iCs/>
          <w:sz w:val="2"/>
          <w:szCs w:val="2"/>
        </w:rPr>
        <w:t> </w:t>
      </w:r>
    </w:p>
    <w:p w:rsidR="008223EE" w:rsidRPr="008223EE" w:rsidRDefault="008223EE" w:rsidP="00013CAF">
      <w:pPr>
        <w:spacing w:before="20" w:line="240" w:lineRule="auto"/>
        <w:ind w:left="284" w:hanging="284"/>
        <w:rPr>
          <w:rFonts w:ascii="Arial" w:eastAsia="Times New Roman" w:hAnsi="Arial" w:cs="Arial"/>
          <w:i/>
          <w:iCs/>
          <w:sz w:val="14"/>
          <w:szCs w:val="14"/>
        </w:rPr>
      </w:pPr>
      <w:r w:rsidRPr="008223EE">
        <w:rPr>
          <w:rFonts w:ascii="Arial" w:eastAsia="Times New Roman" w:hAnsi="Arial" w:cs="Arial"/>
          <w:i/>
          <w:iCs/>
          <w:sz w:val="14"/>
          <w:szCs w:val="14"/>
        </w:rPr>
        <w:t>1        Other income</w:t>
      </w:r>
      <w:proofErr w:type="gramStart"/>
      <w:r w:rsidRPr="008223EE">
        <w:rPr>
          <w:rFonts w:ascii="Arial" w:eastAsia="Times New Roman" w:hAnsi="Arial" w:cs="Arial"/>
          <w:i/>
          <w:iCs/>
          <w:sz w:val="14"/>
          <w:szCs w:val="14"/>
        </w:rPr>
        <w:t>/(</w:t>
      </w:r>
      <w:proofErr w:type="gramEnd"/>
      <w:r w:rsidRPr="008223EE">
        <w:rPr>
          <w:rFonts w:ascii="Arial" w:eastAsia="Times New Roman" w:hAnsi="Arial" w:cs="Arial"/>
          <w:i/>
          <w:iCs/>
          <w:sz w:val="14"/>
          <w:szCs w:val="14"/>
        </w:rPr>
        <w:t>losses) represents: share of post-tax results of associates and joint ventures; profit or (loss) on disposal of subsidiaries, associates and joint ventures; and gains on acquisition.</w:t>
      </w:r>
    </w:p>
    <w:p w:rsidR="008223EE" w:rsidRPr="008223EE" w:rsidRDefault="008223EE" w:rsidP="008223EE">
      <w:pPr>
        <w:spacing w:before="100" w:beforeAutospacing="1" w:after="100" w:afterAutospacing="1" w:line="240" w:lineRule="auto"/>
        <w:rPr>
          <w:rFonts w:ascii="Times New Roman" w:eastAsia="Times New Roman" w:hAnsi="Times New Roman" w:cs="Times New Roman"/>
          <w:i/>
          <w:iCs/>
          <w:sz w:val="24"/>
          <w:szCs w:val="24"/>
        </w:rPr>
      </w:pPr>
    </w:p>
    <w:tbl>
      <w:tblPr>
        <w:tblW w:w="0" w:type="auto"/>
        <w:tblInd w:w="-115" w:type="dxa"/>
        <w:tblCellMar>
          <w:left w:w="0" w:type="dxa"/>
          <w:right w:w="0" w:type="dxa"/>
        </w:tblCellMar>
        <w:tblLook w:val="04A0" w:firstRow="1" w:lastRow="0" w:firstColumn="1" w:lastColumn="0" w:noHBand="0" w:noVBand="1"/>
      </w:tblPr>
      <w:tblGrid>
        <w:gridCol w:w="3495"/>
        <w:gridCol w:w="2655"/>
        <w:gridCol w:w="236"/>
        <w:gridCol w:w="2655"/>
      </w:tblGrid>
      <w:tr w:rsidR="008223EE" w:rsidRPr="008223EE" w:rsidTr="008223EE">
        <w:trPr>
          <w:trHeight w:val="281"/>
        </w:trPr>
        <w:tc>
          <w:tcPr>
            <w:tcW w:w="3495" w:type="dxa"/>
            <w:tcMar>
              <w:top w:w="0" w:type="dxa"/>
              <w:left w:w="115" w:type="dxa"/>
              <w:bottom w:w="0" w:type="dxa"/>
              <w:right w:w="115" w:type="dxa"/>
            </w:tcMar>
            <w:vAlign w:val="bottom"/>
            <w:hideMark/>
          </w:tcPr>
          <w:p w:rsidR="008223EE" w:rsidRPr="008223EE" w:rsidRDefault="008223EE" w:rsidP="008223EE">
            <w:pPr>
              <w:spacing w:after="18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Other Financial Information</w:t>
            </w:r>
          </w:p>
        </w:tc>
        <w:tc>
          <w:tcPr>
            <w:tcW w:w="2655" w:type="dxa"/>
            <w:tcMar>
              <w:top w:w="0" w:type="dxa"/>
              <w:left w:w="115" w:type="dxa"/>
              <w:bottom w:w="0" w:type="dxa"/>
              <w:right w:w="115" w:type="dxa"/>
            </w:tcMar>
            <w:hideMark/>
          </w:tcPr>
          <w:p w:rsidR="008223EE" w:rsidRPr="008223EE" w:rsidRDefault="008223EE" w:rsidP="008223EE">
            <w:pPr>
              <w:spacing w:after="0" w:line="240" w:lineRule="auto"/>
              <w:jc w:val="center"/>
              <w:rPr>
                <w:rFonts w:ascii="Arial" w:eastAsia="Times New Roman" w:hAnsi="Arial" w:cs="Arial"/>
                <w:b/>
                <w:bCs/>
                <w:sz w:val="2"/>
                <w:szCs w:val="2"/>
              </w:rPr>
            </w:pPr>
          </w:p>
        </w:tc>
        <w:tc>
          <w:tcPr>
            <w:tcW w:w="15" w:type="dxa"/>
            <w:tcMar>
              <w:top w:w="0" w:type="dxa"/>
              <w:left w:w="115" w:type="dxa"/>
              <w:bottom w:w="0" w:type="dxa"/>
              <w:right w:w="115" w:type="dxa"/>
            </w:tcMar>
            <w:hideMark/>
          </w:tcPr>
          <w:p w:rsidR="008223EE" w:rsidRPr="008223EE" w:rsidRDefault="008223EE" w:rsidP="008223EE">
            <w:pPr>
              <w:spacing w:after="0" w:line="240" w:lineRule="auto"/>
              <w:jc w:val="right"/>
              <w:rPr>
                <w:rFonts w:ascii="Arial" w:eastAsia="Times New Roman" w:hAnsi="Arial" w:cs="Arial"/>
                <w:sz w:val="2"/>
                <w:szCs w:val="2"/>
              </w:rPr>
            </w:pPr>
          </w:p>
        </w:tc>
        <w:tc>
          <w:tcPr>
            <w:tcW w:w="2655" w:type="dxa"/>
            <w:tcMar>
              <w:top w:w="0" w:type="dxa"/>
              <w:left w:w="115" w:type="dxa"/>
              <w:bottom w:w="0" w:type="dxa"/>
              <w:right w:w="115" w:type="dxa"/>
            </w:tcMar>
            <w:hideMark/>
          </w:tcPr>
          <w:p w:rsidR="008223EE" w:rsidRPr="008223EE" w:rsidRDefault="008223EE" w:rsidP="008223EE">
            <w:pPr>
              <w:spacing w:after="0" w:line="240" w:lineRule="auto"/>
              <w:jc w:val="center"/>
              <w:rPr>
                <w:rFonts w:ascii="Arial" w:eastAsia="Times New Roman" w:hAnsi="Arial" w:cs="Arial"/>
                <w:b/>
                <w:bCs/>
                <w:sz w:val="2"/>
                <w:szCs w:val="2"/>
              </w:rPr>
            </w:pPr>
          </w:p>
        </w:tc>
      </w:tr>
    </w:tbl>
    <w:p w:rsidR="008223EE" w:rsidRPr="008223EE" w:rsidRDefault="008223EE" w:rsidP="008223EE">
      <w:pPr>
        <w:spacing w:after="0"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16"/>
          <w:szCs w:val="16"/>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rPr>
          <w:rFonts w:ascii="Arial" w:eastAsia="Times New Roman" w:hAnsi="Arial" w:cs="Arial"/>
          <w:sz w:val="2"/>
          <w:szCs w:val="2"/>
        </w:rPr>
      </w:pPr>
      <w:r w:rsidRPr="008223EE">
        <w:rPr>
          <w:rFonts w:ascii="Arial" w:eastAsia="Times New Roman" w:hAnsi="Arial" w:cs="Arial"/>
          <w:sz w:val="2"/>
          <w:szCs w:val="2"/>
        </w:rPr>
        <w:t> </w:t>
      </w:r>
    </w:p>
    <w:tbl>
      <w:tblPr>
        <w:tblW w:w="0" w:type="auto"/>
        <w:tblInd w:w="-115" w:type="dxa"/>
        <w:tblCellMar>
          <w:left w:w="0" w:type="dxa"/>
          <w:right w:w="0" w:type="dxa"/>
        </w:tblCellMar>
        <w:tblLook w:val="04A0" w:firstRow="1" w:lastRow="0" w:firstColumn="1" w:lastColumn="0" w:noHBand="0" w:noVBand="1"/>
      </w:tblPr>
      <w:tblGrid>
        <w:gridCol w:w="3389"/>
        <w:gridCol w:w="853"/>
        <w:gridCol w:w="853"/>
        <w:gridCol w:w="1167"/>
        <w:gridCol w:w="236"/>
        <w:gridCol w:w="853"/>
        <w:gridCol w:w="853"/>
        <w:gridCol w:w="1167"/>
      </w:tblGrid>
      <w:tr w:rsidR="008223EE" w:rsidRPr="008223EE" w:rsidTr="008223EE">
        <w:trPr>
          <w:trHeight w:val="95"/>
        </w:trPr>
        <w:tc>
          <w:tcPr>
            <w:tcW w:w="3495" w:type="dxa"/>
            <w:tcMar>
              <w:top w:w="0" w:type="dxa"/>
              <w:left w:w="115" w:type="dxa"/>
              <w:bottom w:w="0" w:type="dxa"/>
              <w:right w:w="115"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Income by Geographic Region</w:t>
            </w:r>
            <w:r w:rsidRPr="008223EE">
              <w:rPr>
                <w:rFonts w:ascii="Arial" w:eastAsia="Times New Roman" w:hAnsi="Arial" w:cs="Arial"/>
                <w:color w:val="000000"/>
                <w:sz w:val="16"/>
                <w:szCs w:val="16"/>
                <w:vertAlign w:val="superscript"/>
              </w:rPr>
              <w:t>1 </w:t>
            </w:r>
          </w:p>
        </w:tc>
        <w:tc>
          <w:tcPr>
            <w:tcW w:w="2655" w:type="dxa"/>
            <w:gridSpan w:val="3"/>
            <w:tcBorders>
              <w:top w:val="nil"/>
              <w:left w:val="nil"/>
              <w:bottom w:val="single" w:sz="8" w:space="0" w:color="969696"/>
              <w:right w:val="nil"/>
            </w:tcBorders>
            <w:tcMar>
              <w:top w:w="0" w:type="dxa"/>
              <w:left w:w="115" w:type="dxa"/>
              <w:bottom w:w="0" w:type="dxa"/>
              <w:right w:w="115" w:type="dxa"/>
            </w:tcMar>
            <w:hideMark/>
          </w:tcPr>
          <w:p w:rsidR="008223EE" w:rsidRPr="008223EE" w:rsidRDefault="008223EE" w:rsidP="008223EE">
            <w:pPr>
              <w:spacing w:after="0" w:line="240" w:lineRule="auto"/>
              <w:jc w:val="center"/>
              <w:rPr>
                <w:rFonts w:ascii="Arial" w:eastAsia="Times New Roman" w:hAnsi="Arial" w:cs="Arial"/>
                <w:sz w:val="2"/>
                <w:szCs w:val="2"/>
              </w:rPr>
            </w:pPr>
            <w:r w:rsidRPr="008223EE">
              <w:rPr>
                <w:rFonts w:ascii="Arial" w:eastAsia="Times New Roman" w:hAnsi="Arial" w:cs="Arial"/>
                <w:b/>
                <w:bCs/>
                <w:color w:val="000000"/>
                <w:sz w:val="16"/>
                <w:szCs w:val="16"/>
              </w:rPr>
              <w:t>Adjusted</w:t>
            </w:r>
            <w:r w:rsidRPr="008223EE">
              <w:rPr>
                <w:rFonts w:ascii="Arial" w:eastAsia="Times New Roman" w:hAnsi="Arial" w:cs="Arial"/>
                <w:color w:val="000000"/>
                <w:sz w:val="16"/>
                <w:szCs w:val="16"/>
                <w:vertAlign w:val="superscript"/>
              </w:rPr>
              <w:t>2 </w:t>
            </w:r>
          </w:p>
        </w:tc>
        <w:tc>
          <w:tcPr>
            <w:tcW w:w="15" w:type="dxa"/>
            <w:tcMar>
              <w:top w:w="0" w:type="dxa"/>
              <w:left w:w="115" w:type="dxa"/>
              <w:bottom w:w="0" w:type="dxa"/>
              <w:right w:w="115" w:type="dxa"/>
            </w:tcMar>
            <w:hideMark/>
          </w:tcPr>
          <w:p w:rsidR="008223EE" w:rsidRPr="008223EE" w:rsidRDefault="008223EE" w:rsidP="008223EE">
            <w:pPr>
              <w:spacing w:after="0" w:line="240" w:lineRule="auto"/>
              <w:jc w:val="right"/>
              <w:rPr>
                <w:rFonts w:ascii="Arial" w:eastAsia="Times New Roman" w:hAnsi="Arial" w:cs="Arial"/>
                <w:sz w:val="2"/>
                <w:szCs w:val="2"/>
              </w:rPr>
            </w:pPr>
          </w:p>
        </w:tc>
        <w:tc>
          <w:tcPr>
            <w:tcW w:w="2655" w:type="dxa"/>
            <w:gridSpan w:val="3"/>
            <w:tcBorders>
              <w:top w:val="nil"/>
              <w:left w:val="nil"/>
              <w:bottom w:val="single" w:sz="8" w:space="0" w:color="969696"/>
              <w:right w:val="nil"/>
            </w:tcBorders>
            <w:tcMar>
              <w:top w:w="0" w:type="dxa"/>
              <w:left w:w="115" w:type="dxa"/>
              <w:bottom w:w="0" w:type="dxa"/>
              <w:right w:w="115" w:type="dxa"/>
            </w:tcMar>
            <w:hideMark/>
          </w:tcPr>
          <w:p w:rsidR="008223EE" w:rsidRPr="008223EE" w:rsidRDefault="008223EE" w:rsidP="008223EE">
            <w:pPr>
              <w:spacing w:after="0" w:line="240" w:lineRule="auto"/>
              <w:jc w:val="center"/>
              <w:rPr>
                <w:rFonts w:ascii="Arial" w:eastAsia="Times New Roman" w:hAnsi="Arial" w:cs="Arial"/>
                <w:b/>
                <w:bCs/>
                <w:sz w:val="2"/>
                <w:szCs w:val="2"/>
              </w:rPr>
            </w:pPr>
            <w:r w:rsidRPr="008223EE">
              <w:rPr>
                <w:rFonts w:ascii="Arial" w:eastAsia="Times New Roman" w:hAnsi="Arial" w:cs="Arial"/>
                <w:b/>
                <w:bCs/>
                <w:color w:val="000000"/>
                <w:sz w:val="16"/>
                <w:szCs w:val="16"/>
              </w:rPr>
              <w:t>Statutory</w:t>
            </w:r>
          </w:p>
        </w:tc>
      </w:tr>
      <w:tr w:rsidR="008223EE" w:rsidRPr="008223EE" w:rsidTr="008223EE">
        <w:trPr>
          <w:trHeight w:val="240"/>
        </w:trPr>
        <w:tc>
          <w:tcPr>
            <w:tcW w:w="3495" w:type="dxa"/>
            <w:tcMar>
              <w:top w:w="0" w:type="dxa"/>
              <w:left w:w="115" w:type="dxa"/>
              <w:bottom w:w="0" w:type="dxa"/>
              <w:right w:w="115"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735" w:type="dxa"/>
            <w:tcBorders>
              <w:top w:val="nil"/>
              <w:left w:val="nil"/>
              <w:bottom w:val="nil"/>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5" w:type="dxa"/>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Borders>
              <w:top w:val="nil"/>
              <w:left w:val="nil"/>
              <w:bottom w:val="nil"/>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p>
        </w:tc>
      </w:tr>
      <w:tr w:rsidR="008223EE" w:rsidRPr="008223EE" w:rsidTr="008223EE">
        <w:trPr>
          <w:trHeight w:val="240"/>
        </w:trPr>
        <w:tc>
          <w:tcPr>
            <w:tcW w:w="349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20"/>
                <w:szCs w:val="20"/>
              </w:rPr>
              <w:t> </w:t>
            </w:r>
            <w:r w:rsidRPr="008223EE">
              <w:rPr>
                <w:rFonts w:ascii="Arial" w:eastAsia="Times New Roman" w:hAnsi="Arial" w:cs="Arial"/>
                <w:color w:val="000000"/>
                <w:sz w:val="16"/>
                <w:szCs w:val="16"/>
                <w:vertAlign w:val="superscript"/>
              </w:rPr>
              <w:t> </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b/>
                <w:bCs/>
                <w:color w:val="000000"/>
                <w:sz w:val="16"/>
                <w:szCs w:val="16"/>
              </w:rPr>
              <w:t>% Change</w:t>
            </w:r>
            <w:r w:rsidRPr="008223EE">
              <w:rPr>
                <w:rFonts w:ascii="Arial" w:eastAsia="Times New Roman" w:hAnsi="Arial" w:cs="Arial"/>
                <w:color w:val="000000"/>
                <w:sz w:val="16"/>
                <w:szCs w:val="16"/>
                <w:vertAlign w:val="superscript"/>
              </w:rPr>
              <w:t xml:space="preserve"> </w:t>
            </w:r>
          </w:p>
        </w:tc>
        <w:tc>
          <w:tcPr>
            <w:tcW w:w="15" w:type="dxa"/>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Change</w:t>
            </w:r>
          </w:p>
        </w:tc>
      </w:tr>
      <w:tr w:rsidR="008223EE" w:rsidRPr="008223EE" w:rsidTr="008223EE">
        <w:trPr>
          <w:trHeight w:val="240"/>
        </w:trPr>
        <w:tc>
          <w:tcPr>
            <w:tcW w:w="349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UK </w:t>
            </w: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12,012 </w:t>
            </w: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11,981 </w:t>
            </w: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 </w:t>
            </w:r>
          </w:p>
        </w:tc>
        <w:tc>
          <w:tcPr>
            <w:tcW w:w="1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7,433 </w:t>
            </w: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15,819 </w:t>
            </w: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(53)</w:t>
            </w:r>
          </w:p>
        </w:tc>
      </w:tr>
      <w:tr w:rsidR="008223EE" w:rsidRPr="008223EE" w:rsidTr="008223EE">
        <w:trPr>
          <w:trHeight w:val="240"/>
        </w:trPr>
        <w:tc>
          <w:tcPr>
            <w:tcW w:w="349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Europe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3,816 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4,207 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 </w:t>
            </w:r>
          </w:p>
        </w:tc>
        <w:tc>
          <w:tcPr>
            <w:tcW w:w="1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3,816 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4,207 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w:t>
            </w:r>
          </w:p>
        </w:tc>
      </w:tr>
      <w:tr w:rsidR="008223EE" w:rsidRPr="008223EE" w:rsidTr="008223EE">
        <w:trPr>
          <w:trHeight w:val="240"/>
        </w:trPr>
        <w:tc>
          <w:tcPr>
            <w:tcW w:w="349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Americas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7,599 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6,083 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25  </w:t>
            </w:r>
          </w:p>
        </w:tc>
        <w:tc>
          <w:tcPr>
            <w:tcW w:w="1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7,826 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6,025 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30 </w:t>
            </w:r>
          </w:p>
        </w:tc>
      </w:tr>
      <w:tr w:rsidR="008223EE" w:rsidRPr="008223EE" w:rsidTr="008223EE">
        <w:trPr>
          <w:trHeight w:val="240"/>
        </w:trPr>
        <w:tc>
          <w:tcPr>
            <w:tcW w:w="3495" w:type="dxa"/>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Africa and Middle East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4,510 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4,967 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 </w:t>
            </w:r>
          </w:p>
        </w:tc>
        <w:tc>
          <w:tcPr>
            <w:tcW w:w="1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4,510 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4,967 </w:t>
            </w:r>
          </w:p>
        </w:tc>
        <w:tc>
          <w:tcPr>
            <w:tcW w:w="73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(9)</w:t>
            </w:r>
          </w:p>
        </w:tc>
      </w:tr>
      <w:tr w:rsidR="008223EE" w:rsidRPr="008223EE" w:rsidTr="008223EE">
        <w:trPr>
          <w:trHeight w:val="240"/>
        </w:trPr>
        <w:tc>
          <w:tcPr>
            <w:tcW w:w="349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Asia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1,106 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1,274 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(13) </w:t>
            </w:r>
          </w:p>
        </w:tc>
        <w:tc>
          <w:tcPr>
            <w:tcW w:w="1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1,106 </w:t>
            </w:r>
          </w:p>
        </w:tc>
        <w:tc>
          <w:tcPr>
            <w:tcW w:w="735" w:type="dxa"/>
            <w:tcBorders>
              <w:top w:val="nil"/>
              <w:left w:val="nil"/>
              <w:bottom w:val="single" w:sz="8" w:space="0" w:color="A5A5A5"/>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1,274 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w:t>
            </w:r>
          </w:p>
        </w:tc>
      </w:tr>
      <w:tr w:rsidR="008223EE" w:rsidRPr="008223EE" w:rsidTr="008223EE">
        <w:trPr>
          <w:trHeight w:val="300"/>
        </w:trPr>
        <w:tc>
          <w:tcPr>
            <w:tcW w:w="349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Total  </w:t>
            </w:r>
            <w:r w:rsidRPr="008223EE">
              <w:rPr>
                <w:rFonts w:ascii="Arial" w:eastAsia="Times New Roman" w:hAnsi="Arial" w:cs="Arial"/>
                <w:b/>
                <w:bCs/>
                <w:color w:val="000000"/>
                <w:sz w:val="13"/>
                <w:szCs w:val="13"/>
                <w:vertAlign w:val="superscript"/>
              </w:rPr>
              <w:t> </w:t>
            </w: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29,043 </w:t>
            </w: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28,512 </w:t>
            </w: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xml:space="preserve"> 2  </w:t>
            </w:r>
          </w:p>
        </w:tc>
        <w:tc>
          <w:tcPr>
            <w:tcW w:w="15" w:type="dxa"/>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24,691 </w:t>
            </w: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32,292 </w:t>
            </w:r>
          </w:p>
        </w:tc>
        <w:tc>
          <w:tcPr>
            <w:tcW w:w="735" w:type="dxa"/>
            <w:tcBorders>
              <w:top w:val="nil"/>
              <w:left w:val="nil"/>
              <w:bottom w:val="nil"/>
              <w:right w:val="nil"/>
            </w:tcBorders>
            <w:tcMar>
              <w:top w:w="0" w:type="dxa"/>
              <w:left w:w="115" w:type="dxa"/>
              <w:bottom w:w="0" w:type="dxa"/>
              <w:right w:w="115"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(24)</w:t>
            </w:r>
          </w:p>
        </w:tc>
      </w:tr>
    </w:tbl>
    <w:p w:rsidR="008223EE" w:rsidRPr="008223EE" w:rsidRDefault="008223EE" w:rsidP="008223EE">
      <w:pPr>
        <w:spacing w:after="0" w:line="240" w:lineRule="auto"/>
        <w:jc w:val="both"/>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8223EE">
      <w:pPr>
        <w:spacing w:after="0" w:line="240" w:lineRule="auto"/>
        <w:ind w:left="1418"/>
        <w:jc w:val="both"/>
        <w:rPr>
          <w:rFonts w:ascii="Times New Roman" w:eastAsia="Times New Roman" w:hAnsi="Times New Roman" w:cs="Times New Roman"/>
          <w:i/>
          <w:iCs/>
          <w:sz w:val="24"/>
          <w:szCs w:val="24"/>
        </w:rPr>
      </w:pPr>
      <w:r w:rsidRPr="008223EE">
        <w:rPr>
          <w:rFonts w:ascii="Arial" w:eastAsia="Times New Roman" w:hAnsi="Arial" w:cs="Arial"/>
          <w:i/>
          <w:iCs/>
          <w:sz w:val="2"/>
          <w:szCs w:val="2"/>
        </w:rPr>
        <w:lastRenderedPageBreak/>
        <w:t> </w:t>
      </w:r>
    </w:p>
    <w:p w:rsidR="008223EE" w:rsidRPr="008223EE" w:rsidRDefault="008223EE" w:rsidP="008223EE">
      <w:pPr>
        <w:spacing w:after="0" w:line="240" w:lineRule="auto"/>
        <w:ind w:left="1418"/>
        <w:jc w:val="both"/>
        <w:rPr>
          <w:rFonts w:ascii="Times New Roman" w:eastAsia="Times New Roman" w:hAnsi="Times New Roman" w:cs="Times New Roman"/>
          <w:i/>
          <w:iCs/>
          <w:sz w:val="24"/>
          <w:szCs w:val="24"/>
        </w:rPr>
      </w:pPr>
      <w:r w:rsidRPr="008223EE">
        <w:rPr>
          <w:rFonts w:ascii="Arial" w:eastAsia="Times New Roman" w:hAnsi="Arial" w:cs="Arial"/>
          <w:i/>
          <w:iCs/>
          <w:sz w:val="2"/>
          <w:szCs w:val="2"/>
        </w:rPr>
        <w:t> </w:t>
      </w:r>
    </w:p>
    <w:p w:rsidR="008223EE" w:rsidRPr="008223EE" w:rsidRDefault="008223EE" w:rsidP="00013CAF">
      <w:pPr>
        <w:spacing w:after="0" w:line="240" w:lineRule="auto"/>
        <w:ind w:left="284" w:hanging="284"/>
        <w:jc w:val="both"/>
        <w:rPr>
          <w:rFonts w:ascii="Times New Roman" w:eastAsia="Times New Roman" w:hAnsi="Times New Roman" w:cs="Times New Roman"/>
          <w:sz w:val="24"/>
          <w:szCs w:val="24"/>
        </w:rPr>
      </w:pPr>
      <w:r w:rsidRPr="008223EE">
        <w:rPr>
          <w:rFonts w:ascii="Arial" w:eastAsia="Times New Roman" w:hAnsi="Arial" w:cs="Arial"/>
          <w:i/>
          <w:iCs/>
          <w:sz w:val="14"/>
          <w:szCs w:val="14"/>
        </w:rPr>
        <w:t xml:space="preserve">1        </w:t>
      </w:r>
      <w:r w:rsidRPr="008223EE">
        <w:rPr>
          <w:rFonts w:ascii="Arial" w:eastAsia="Times New Roman" w:hAnsi="Arial" w:cs="Arial"/>
          <w:i/>
          <w:iCs/>
          <w:color w:val="000000"/>
          <w:sz w:val="14"/>
          <w:szCs w:val="14"/>
        </w:rPr>
        <w:t>Total income net of insurance claims based on counterparty location.</w:t>
      </w:r>
    </w:p>
    <w:p w:rsidR="008223EE" w:rsidRPr="008223EE" w:rsidRDefault="008223EE" w:rsidP="00013CAF">
      <w:pPr>
        <w:spacing w:after="0" w:line="240" w:lineRule="auto"/>
        <w:ind w:left="284" w:hanging="284"/>
        <w:jc w:val="both"/>
        <w:rPr>
          <w:rFonts w:ascii="Times New Roman" w:eastAsia="Times New Roman" w:hAnsi="Times New Roman" w:cs="Times New Roman"/>
          <w:i/>
          <w:iCs/>
          <w:sz w:val="24"/>
          <w:szCs w:val="24"/>
        </w:rPr>
      </w:pPr>
      <w:r w:rsidRPr="008223EE">
        <w:rPr>
          <w:rFonts w:ascii="Arial" w:eastAsia="Times New Roman" w:hAnsi="Arial" w:cs="Arial"/>
          <w:i/>
          <w:iCs/>
          <w:sz w:val="14"/>
          <w:szCs w:val="14"/>
        </w:rPr>
        <w:t xml:space="preserve">2       Adjusted income excludes the impact of an own credit charge of £4,579m (2011: gains on own credit of £2,708m), gains on debt buybacks of £nil (2011: £1,130m) and gain on disposal of strategic investment in BlackRock, Inc. of £227m (2011: loss of £58m).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sz w:val="14"/>
          <w:szCs w:val="14"/>
        </w:rPr>
        <w:t> </w:t>
      </w:r>
    </w:p>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sz w:val="14"/>
          <w:szCs w:val="14"/>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Shareholder Information</w:t>
      </w:r>
    </w:p>
    <w:tbl>
      <w:tblPr>
        <w:tblW w:w="0" w:type="auto"/>
        <w:tblInd w:w="-36" w:type="dxa"/>
        <w:tblCellMar>
          <w:left w:w="0" w:type="dxa"/>
          <w:right w:w="0" w:type="dxa"/>
        </w:tblCellMar>
        <w:tblLook w:val="04A0" w:firstRow="1" w:lastRow="0" w:firstColumn="1" w:lastColumn="0" w:noHBand="0" w:noVBand="1"/>
      </w:tblPr>
      <w:tblGrid>
        <w:gridCol w:w="6317"/>
        <w:gridCol w:w="815"/>
        <w:gridCol w:w="170"/>
        <w:gridCol w:w="985"/>
        <w:gridCol w:w="847"/>
      </w:tblGrid>
      <w:tr w:rsidR="008223EE" w:rsidRPr="008223EE" w:rsidTr="008223EE">
        <w:trPr>
          <w:trHeight w:val="240"/>
        </w:trPr>
        <w:tc>
          <w:tcPr>
            <w:tcW w:w="6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b/>
                <w:bCs/>
                <w:color w:val="000000"/>
                <w:sz w:val="18"/>
                <w:szCs w:val="18"/>
              </w:rPr>
              <w:t>Results Timetable</w:t>
            </w:r>
            <w:r w:rsidRPr="008223EE">
              <w:rPr>
                <w:rFonts w:ascii="Arial" w:eastAsia="Times New Roman" w:hAnsi="Arial" w:cs="Arial"/>
                <w:color w:val="000000"/>
                <w:sz w:val="18"/>
                <w:szCs w:val="18"/>
                <w:vertAlign w:val="superscript"/>
              </w:rPr>
              <w:t>1 </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8"/>
                <w:szCs w:val="18"/>
              </w:rPr>
              <w:t>Date</w:t>
            </w:r>
          </w:p>
        </w:tc>
        <w:tc>
          <w:tcPr>
            <w:tcW w:w="1110"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sz w:val="2"/>
                <w:szCs w:val="2"/>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color w:val="000000"/>
                <w:sz w:val="16"/>
                <w:szCs w:val="16"/>
                <w:vertAlign w:val="superscript"/>
              </w:rPr>
              <w:t> </w:t>
            </w:r>
          </w:p>
        </w:tc>
      </w:tr>
      <w:tr w:rsidR="008223EE" w:rsidRPr="008223EE" w:rsidTr="008223EE">
        <w:trPr>
          <w:trHeight w:val="240"/>
        </w:trPr>
        <w:tc>
          <w:tcPr>
            <w:tcW w:w="6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Ex-dividend date </w:t>
            </w:r>
          </w:p>
        </w:tc>
        <w:tc>
          <w:tcPr>
            <w:tcW w:w="2010" w:type="dxa"/>
            <w:gridSpan w:val="3"/>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20 February 2013</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Dividend Record date </w:t>
            </w:r>
          </w:p>
        </w:tc>
        <w:tc>
          <w:tcPr>
            <w:tcW w:w="2010" w:type="dxa"/>
            <w:gridSpan w:val="3"/>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22 February 2013</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Dividend Payment date </w:t>
            </w:r>
          </w:p>
        </w:tc>
        <w:tc>
          <w:tcPr>
            <w:tcW w:w="2010" w:type="dxa"/>
            <w:gridSpan w:val="3"/>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15 March 2013</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Q1 2013 Interim Management Statement </w:t>
            </w:r>
          </w:p>
        </w:tc>
        <w:tc>
          <w:tcPr>
            <w:tcW w:w="2010" w:type="dxa"/>
            <w:gridSpan w:val="3"/>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24 April 2013</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2013 Annual General Meeting </w:t>
            </w:r>
          </w:p>
        </w:tc>
        <w:tc>
          <w:tcPr>
            <w:tcW w:w="2010" w:type="dxa"/>
            <w:gridSpan w:val="3"/>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25 April 2013</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6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Exchange Rates</w:t>
            </w:r>
            <w:r w:rsidRPr="008223EE">
              <w:rPr>
                <w:rFonts w:ascii="Arial" w:eastAsia="Times New Roman" w:hAnsi="Arial" w:cs="Arial"/>
                <w:b/>
                <w:bCs/>
                <w:color w:val="000000"/>
                <w:sz w:val="13"/>
                <w:szCs w:val="13"/>
                <w:vertAlign w:val="superscript"/>
              </w:rPr>
              <w:t>2 </w:t>
            </w:r>
          </w:p>
        </w:tc>
        <w:tc>
          <w:tcPr>
            <w:tcW w:w="100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Change</w:t>
            </w:r>
            <w:r w:rsidRPr="008223EE">
              <w:rPr>
                <w:rFonts w:ascii="Arial" w:eastAsia="Times New Roman" w:hAnsi="Arial" w:cs="Arial"/>
                <w:b/>
                <w:bCs/>
                <w:color w:val="000000"/>
                <w:sz w:val="13"/>
                <w:szCs w:val="13"/>
                <w:vertAlign w:val="superscript"/>
              </w:rPr>
              <w:t>3 </w:t>
            </w:r>
          </w:p>
        </w:tc>
      </w:tr>
      <w:tr w:rsidR="008223EE" w:rsidRPr="008223EE" w:rsidTr="008223EE">
        <w:trPr>
          <w:trHeight w:val="240"/>
        </w:trPr>
        <w:tc>
          <w:tcPr>
            <w:tcW w:w="6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Period end - US$/£ </w:t>
            </w:r>
          </w:p>
        </w:tc>
        <w:tc>
          <w:tcPr>
            <w:tcW w:w="100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1.62 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1.54 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(5%)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Average - US$/£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1.59 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1.61 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Period end - €/£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1.19 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(3%)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Average - €/£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1.15 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(7%)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Period end - ZAR/£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13.74 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12.52 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(9%)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Average - ZAR/£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13.03 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11.60 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xml:space="preserve">(11%)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both"/>
              <w:rPr>
                <w:rFonts w:ascii="Arial" w:eastAsia="Times New Roman" w:hAnsi="Arial" w:cs="Arial"/>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6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Share Price Data </w:t>
            </w:r>
          </w:p>
        </w:tc>
        <w:tc>
          <w:tcPr>
            <w:tcW w:w="1005" w:type="dxa"/>
            <w:gridSpan w:val="2"/>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31.12.12</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31.12.11</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jc w:val="right"/>
              <w:rPr>
                <w:rFonts w:ascii="Arial" w:eastAsia="Times New Roman" w:hAnsi="Arial" w:cs="Arial"/>
                <w:b/>
                <w:bCs/>
                <w:sz w:val="2"/>
                <w:szCs w:val="2"/>
              </w:rPr>
            </w:pPr>
            <w:r w:rsidRPr="008223EE">
              <w:rPr>
                <w:rFonts w:ascii="Arial" w:eastAsia="Times New Roman" w:hAnsi="Arial" w:cs="Arial"/>
                <w:b/>
                <w:bCs/>
                <w:color w:val="000000"/>
                <w:sz w:val="16"/>
                <w:szCs w:val="16"/>
              </w:rPr>
              <w:t> </w:t>
            </w:r>
            <w:r w:rsidRPr="008223EE">
              <w:rPr>
                <w:rFonts w:ascii="Arial" w:eastAsia="Times New Roman" w:hAnsi="Arial" w:cs="Arial"/>
                <w:b/>
                <w:bCs/>
                <w:color w:val="000000"/>
                <w:sz w:val="13"/>
                <w:szCs w:val="13"/>
                <w:vertAlign w:val="superscript"/>
              </w:rPr>
              <w:t> </w:t>
            </w:r>
          </w:p>
        </w:tc>
      </w:tr>
      <w:tr w:rsidR="008223EE" w:rsidRPr="008223EE" w:rsidTr="008223EE">
        <w:trPr>
          <w:trHeight w:val="240"/>
        </w:trPr>
        <w:tc>
          <w:tcPr>
            <w:tcW w:w="6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Barclays PLC (p) </w:t>
            </w:r>
          </w:p>
        </w:tc>
        <w:tc>
          <w:tcPr>
            <w:tcW w:w="1005" w:type="dxa"/>
            <w:gridSpan w:val="2"/>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262.40 </w:t>
            </w:r>
          </w:p>
        </w:tc>
        <w:tc>
          <w:tcPr>
            <w:tcW w:w="91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176.05 </w:t>
            </w:r>
          </w:p>
        </w:tc>
        <w:tc>
          <w:tcPr>
            <w:tcW w:w="780"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Absa Group Limited (ZAR)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164.00 </w:t>
            </w: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141.00 </w:t>
            </w: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jc w:val="right"/>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For Further Information Please Contact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b/>
                <w:bCs/>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667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c>
          <w:tcPr>
            <w:tcW w:w="1005" w:type="dxa"/>
            <w:gridSpan w:val="2"/>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915"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p>
        </w:tc>
        <w:tc>
          <w:tcPr>
            <w:tcW w:w="780" w:type="dxa"/>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w:t>
            </w:r>
            <w:r w:rsidRPr="008223EE">
              <w:rPr>
                <w:rFonts w:ascii="Arial" w:eastAsia="Times New Roman" w:hAnsi="Arial" w:cs="Arial"/>
                <w:color w:val="000000"/>
                <w:sz w:val="13"/>
                <w:szCs w:val="13"/>
                <w:vertAlign w:val="superscript"/>
              </w:rPr>
              <w:t> </w:t>
            </w:r>
          </w:p>
        </w:tc>
      </w:tr>
      <w:tr w:rsidR="008223EE" w:rsidRPr="008223EE" w:rsidTr="008223EE">
        <w:trPr>
          <w:trHeight w:val="240"/>
        </w:trPr>
        <w:tc>
          <w:tcPr>
            <w:tcW w:w="6675" w:type="dxa"/>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Investor Relations </w:t>
            </w:r>
          </w:p>
        </w:tc>
        <w:tc>
          <w:tcPr>
            <w:tcW w:w="2850" w:type="dxa"/>
            <w:gridSpan w:val="4"/>
            <w:tcBorders>
              <w:top w:val="nil"/>
              <w:left w:val="nil"/>
              <w:bottom w:val="single" w:sz="8" w:space="0" w:color="969696"/>
              <w:right w:val="nil"/>
            </w:tcBorders>
            <w:tcMar>
              <w:top w:w="0" w:type="dxa"/>
              <w:left w:w="36" w:type="dxa"/>
              <w:bottom w:w="0" w:type="dxa"/>
              <w:right w:w="36" w:type="dxa"/>
            </w:tcMar>
            <w:vAlign w:val="bottom"/>
            <w:hideMark/>
          </w:tcPr>
          <w:p w:rsidR="008223EE" w:rsidRPr="008223EE" w:rsidRDefault="008223EE" w:rsidP="008223EE">
            <w:pPr>
              <w:spacing w:after="0" w:line="240" w:lineRule="auto"/>
              <w:rPr>
                <w:rFonts w:ascii="Arial" w:eastAsia="Times New Roman" w:hAnsi="Arial" w:cs="Arial"/>
                <w:b/>
                <w:bCs/>
                <w:sz w:val="2"/>
                <w:szCs w:val="2"/>
              </w:rPr>
            </w:pPr>
            <w:r w:rsidRPr="008223EE">
              <w:rPr>
                <w:rFonts w:ascii="Arial" w:eastAsia="Times New Roman" w:hAnsi="Arial" w:cs="Arial"/>
                <w:b/>
                <w:bCs/>
                <w:color w:val="000000"/>
                <w:sz w:val="16"/>
                <w:szCs w:val="16"/>
              </w:rPr>
              <w:t xml:space="preserve">Media Relations </w:t>
            </w:r>
          </w:p>
        </w:tc>
      </w:tr>
      <w:tr w:rsidR="008223EE" w:rsidRPr="008223EE" w:rsidTr="008223EE">
        <w:trPr>
          <w:trHeight w:val="240"/>
        </w:trPr>
        <w:tc>
          <w:tcPr>
            <w:tcW w:w="6675" w:type="dxa"/>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Charlie </w:t>
            </w:r>
            <w:proofErr w:type="spellStart"/>
            <w:r w:rsidRPr="008223EE">
              <w:rPr>
                <w:rFonts w:ascii="Arial" w:eastAsia="Times New Roman" w:hAnsi="Arial" w:cs="Arial"/>
                <w:color w:val="000000"/>
                <w:sz w:val="16"/>
                <w:szCs w:val="16"/>
              </w:rPr>
              <w:t>Rozes</w:t>
            </w:r>
            <w:proofErr w:type="spellEnd"/>
            <w:r w:rsidRPr="008223EE">
              <w:rPr>
                <w:rFonts w:ascii="Arial" w:eastAsia="Times New Roman" w:hAnsi="Arial" w:cs="Arial"/>
                <w:color w:val="000000"/>
                <w:sz w:val="16"/>
                <w:szCs w:val="16"/>
              </w:rPr>
              <w:t xml:space="preserve"> +44 (0) 20 7116 5752 </w:t>
            </w:r>
          </w:p>
        </w:tc>
        <w:tc>
          <w:tcPr>
            <w:tcW w:w="2850" w:type="dxa"/>
            <w:gridSpan w:val="4"/>
            <w:tcBorders>
              <w:top w:val="nil"/>
              <w:left w:val="nil"/>
              <w:bottom w:val="nil"/>
              <w:right w:val="nil"/>
            </w:tcBorders>
            <w:tcMar>
              <w:top w:w="0" w:type="dxa"/>
              <w:left w:w="36" w:type="dxa"/>
              <w:bottom w:w="0" w:type="dxa"/>
              <w:right w:w="36" w:type="dxa"/>
            </w:tcMar>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color w:val="000000"/>
                <w:sz w:val="16"/>
                <w:szCs w:val="16"/>
              </w:rPr>
              <w:t xml:space="preserve">Giles </w:t>
            </w:r>
            <w:proofErr w:type="spellStart"/>
            <w:r w:rsidRPr="008223EE">
              <w:rPr>
                <w:rFonts w:ascii="Arial" w:eastAsia="Times New Roman" w:hAnsi="Arial" w:cs="Arial"/>
                <w:color w:val="000000"/>
                <w:sz w:val="16"/>
                <w:szCs w:val="16"/>
              </w:rPr>
              <w:t>Croot</w:t>
            </w:r>
            <w:proofErr w:type="spellEnd"/>
            <w:r w:rsidRPr="008223EE">
              <w:rPr>
                <w:rFonts w:ascii="Arial" w:eastAsia="Times New Roman" w:hAnsi="Arial" w:cs="Arial"/>
                <w:color w:val="000000"/>
                <w:sz w:val="16"/>
                <w:szCs w:val="16"/>
              </w:rPr>
              <w:t xml:space="preserve"> +44 (0) 20 7116 6132 </w:t>
            </w:r>
          </w:p>
        </w:tc>
      </w:tr>
      <w:tr w:rsidR="008223EE" w:rsidRPr="008223EE" w:rsidTr="008223EE">
        <w:tc>
          <w:tcPr>
            <w:tcW w:w="667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82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8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99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85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after="0" w:line="240" w:lineRule="auto"/>
        <w:rPr>
          <w:rFonts w:ascii="Arial" w:eastAsia="Times New Roman" w:hAnsi="Arial" w:cs="Arial"/>
          <w:i/>
          <w:iCs/>
          <w:sz w:val="2"/>
          <w:szCs w:val="2"/>
        </w:rPr>
      </w:pPr>
      <w:r w:rsidRPr="008223EE">
        <w:rPr>
          <w:rFonts w:ascii="Arial" w:eastAsia="Times New Roman" w:hAnsi="Arial" w:cs="Arial"/>
          <w:i/>
          <w:iCs/>
          <w:sz w:val="14"/>
          <w:szCs w:val="14"/>
        </w:rPr>
        <w:t> </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More information on Barclays can be found on our website: www.barclays.com.</w:t>
      </w:r>
    </w:p>
    <w:p w:rsidR="008223EE" w:rsidRPr="008223EE" w:rsidRDefault="008223EE" w:rsidP="008223EE">
      <w:pPr>
        <w:spacing w:before="180" w:after="18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t>Registered Office</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1 Churchill Place, London, E14 5HP, United Kingdom. Tel: +44 (0) 20 7116 1000. Company number: 48839</w:t>
      </w:r>
    </w:p>
    <w:p w:rsidR="008223EE" w:rsidRPr="008223EE" w:rsidRDefault="008223EE" w:rsidP="008223EE">
      <w:pPr>
        <w:spacing w:before="180" w:after="18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t xml:space="preserve">Registrar </w:t>
      </w:r>
    </w:p>
    <w:p w:rsidR="008223EE" w:rsidRPr="008223EE" w:rsidRDefault="008223EE" w:rsidP="008223EE">
      <w:pPr>
        <w:spacing w:before="180" w:after="180" w:line="240" w:lineRule="auto"/>
        <w:jc w:val="both"/>
        <w:rPr>
          <w:rFonts w:ascii="Arial" w:eastAsia="Times New Roman" w:hAnsi="Arial" w:cs="Arial"/>
          <w:sz w:val="18"/>
          <w:szCs w:val="18"/>
        </w:rPr>
      </w:pPr>
      <w:proofErr w:type="gramStart"/>
      <w:r w:rsidRPr="008223EE">
        <w:rPr>
          <w:rFonts w:ascii="Arial" w:eastAsia="Times New Roman" w:hAnsi="Arial" w:cs="Arial"/>
          <w:sz w:val="18"/>
          <w:szCs w:val="18"/>
        </w:rPr>
        <w:t>The Registrar to Barclays, Aspect House, Spencer Road, Lancing, West Sussex, BN99 6DA, United Kingdom.</w:t>
      </w:r>
      <w:proofErr w:type="gramEnd"/>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Tel: 0871 384 2055</w:t>
      </w:r>
      <w:r w:rsidRPr="008223EE">
        <w:rPr>
          <w:rFonts w:ascii="Arial" w:eastAsia="Times New Roman" w:hAnsi="Arial" w:cs="Arial"/>
          <w:sz w:val="14"/>
          <w:szCs w:val="14"/>
          <w:vertAlign w:val="superscript"/>
        </w:rPr>
        <w:t>4</w:t>
      </w:r>
      <w:r w:rsidRPr="008223EE">
        <w:rPr>
          <w:rFonts w:ascii="Arial" w:eastAsia="Times New Roman" w:hAnsi="Arial" w:cs="Arial"/>
          <w:sz w:val="18"/>
          <w:szCs w:val="18"/>
        </w:rPr>
        <w:t xml:space="preserve"> from the UK or +44 121 415 7004 from overseas.</w:t>
      </w:r>
    </w:p>
    <w:p w:rsidR="008223EE" w:rsidRPr="008223EE" w:rsidRDefault="008223EE" w:rsidP="008223EE">
      <w:pPr>
        <w:spacing w:before="180" w:after="18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t>Listing</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The principal trading market for Barclays PLC ordinary shares is the London Stock Exchange. Trading on the New York Stock Exchange is in the form of ADSs under the ticker symbol 'BCS'. Each </w:t>
      </w:r>
      <w:proofErr w:type="gramStart"/>
      <w:r w:rsidRPr="008223EE">
        <w:rPr>
          <w:rFonts w:ascii="Arial" w:eastAsia="Times New Roman" w:hAnsi="Arial" w:cs="Arial"/>
          <w:sz w:val="18"/>
          <w:szCs w:val="18"/>
        </w:rPr>
        <w:t>ADS</w:t>
      </w:r>
      <w:proofErr w:type="gramEnd"/>
      <w:r w:rsidRPr="008223EE">
        <w:rPr>
          <w:rFonts w:ascii="Arial" w:eastAsia="Times New Roman" w:hAnsi="Arial" w:cs="Arial"/>
          <w:sz w:val="18"/>
          <w:szCs w:val="18"/>
        </w:rPr>
        <w:t xml:space="preserve"> represents four ordinary shares of 25p each and is evidenced by an ADR. The ADR depositary is JP Morgan Chase Bank, whose international telephone number is +1-651-453-2128, domestic telephone number is 1-800-990-1135 and address is JPMorgan Chase Bank, PO Box 64504, St. Paul, MN 55164-0504, USA.</w:t>
      </w:r>
    </w:p>
    <w:p w:rsidR="008223EE" w:rsidRPr="008223EE" w:rsidRDefault="008223EE" w:rsidP="008223EE">
      <w:pPr>
        <w:spacing w:before="180" w:after="180" w:line="240" w:lineRule="auto"/>
        <w:jc w:val="both"/>
        <w:rPr>
          <w:rFonts w:ascii="Arial" w:eastAsia="Times New Roman" w:hAnsi="Arial" w:cs="Arial"/>
          <w:b/>
          <w:bCs/>
          <w:color w:val="000000"/>
          <w:sz w:val="20"/>
          <w:szCs w:val="20"/>
        </w:rPr>
      </w:pPr>
      <w:r w:rsidRPr="008223EE">
        <w:rPr>
          <w:rFonts w:ascii="Arial" w:eastAsia="Times New Roman" w:hAnsi="Arial" w:cs="Arial"/>
          <w:b/>
          <w:bCs/>
          <w:sz w:val="20"/>
          <w:szCs w:val="20"/>
        </w:rPr>
        <w:t>Dividend Reinvestment Plan</w:t>
      </w:r>
    </w:p>
    <w:p w:rsidR="008223EE" w:rsidRPr="008223EE" w:rsidRDefault="008223EE" w:rsidP="008223EE">
      <w:pPr>
        <w:spacing w:before="180" w:after="180" w:line="240" w:lineRule="auto"/>
        <w:jc w:val="both"/>
        <w:rPr>
          <w:rFonts w:ascii="Arial" w:eastAsia="Times New Roman" w:hAnsi="Arial" w:cs="Arial"/>
          <w:sz w:val="18"/>
          <w:szCs w:val="18"/>
        </w:rPr>
      </w:pPr>
      <w:r w:rsidRPr="008223EE">
        <w:rPr>
          <w:rFonts w:ascii="Arial" w:eastAsia="Times New Roman" w:hAnsi="Arial" w:cs="Arial"/>
          <w:sz w:val="18"/>
          <w:szCs w:val="18"/>
        </w:rPr>
        <w:t xml:space="preserve">Shareholders may have their dividends reinvested in </w:t>
      </w:r>
      <w:proofErr w:type="gramStart"/>
      <w:r w:rsidRPr="008223EE">
        <w:rPr>
          <w:rFonts w:ascii="Arial" w:eastAsia="Times New Roman" w:hAnsi="Arial" w:cs="Arial"/>
          <w:sz w:val="18"/>
          <w:szCs w:val="18"/>
        </w:rPr>
        <w:t>Barclays</w:t>
      </w:r>
      <w:proofErr w:type="gramEnd"/>
      <w:r w:rsidRPr="008223EE">
        <w:rPr>
          <w:rFonts w:ascii="Arial" w:eastAsia="Times New Roman" w:hAnsi="Arial" w:cs="Arial"/>
          <w:sz w:val="18"/>
          <w:szCs w:val="18"/>
        </w:rPr>
        <w:t xml:space="preserve"> shares by joining the Barclays Dividend Reinvestment Plan (DRIP). The DRIP is a straightforward and cost-effective way of using your dividends to build your shareholding in Barclays. For further details, including application information, please visit www.barclays.com or alternatively contact: The Plan Administrator to Barclays DRIP, Aspect House, Spencer Road, Lancing, West Sussex, BN99 6DA, United Kingdom, or by telephoning 0871 384 2055</w:t>
      </w:r>
      <w:r w:rsidRPr="008223EE">
        <w:rPr>
          <w:rFonts w:ascii="Arial" w:eastAsia="Times New Roman" w:hAnsi="Arial" w:cs="Arial"/>
          <w:sz w:val="14"/>
          <w:szCs w:val="14"/>
          <w:vertAlign w:val="superscript"/>
        </w:rPr>
        <w:t>4</w:t>
      </w:r>
      <w:r w:rsidRPr="008223EE">
        <w:rPr>
          <w:rFonts w:ascii="Arial" w:eastAsia="Times New Roman" w:hAnsi="Arial" w:cs="Arial"/>
          <w:sz w:val="18"/>
          <w:szCs w:val="18"/>
        </w:rPr>
        <w:t xml:space="preserve"> from the UK or +44 121 415 7004 from overseas.</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color w:val="1F497D"/>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color w:val="1F497D"/>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color w:val="1F497D"/>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color w:val="1F497D"/>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color w:val="1F497D"/>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color w:val="1F497D"/>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color w:val="1F497D"/>
          <w:sz w:val="2"/>
          <w:szCs w:val="2"/>
        </w:rPr>
        <w:t> </w:t>
      </w:r>
    </w:p>
    <w:p w:rsidR="008223EE" w:rsidRPr="008223EE" w:rsidRDefault="008223EE" w:rsidP="008223EE">
      <w:pPr>
        <w:spacing w:after="0" w:line="240" w:lineRule="auto"/>
        <w:jc w:val="both"/>
        <w:rPr>
          <w:rFonts w:ascii="Arial" w:eastAsia="Times New Roman" w:hAnsi="Arial" w:cs="Arial"/>
          <w:i/>
          <w:iCs/>
          <w:sz w:val="14"/>
          <w:szCs w:val="14"/>
        </w:rPr>
      </w:pPr>
      <w:r w:rsidRPr="008223EE">
        <w:rPr>
          <w:rFonts w:ascii="Arial" w:eastAsia="Times New Roman" w:hAnsi="Arial" w:cs="Arial"/>
          <w:i/>
          <w:iCs/>
          <w:color w:val="1F497D"/>
          <w:sz w:val="2"/>
          <w:szCs w:val="2"/>
        </w:rPr>
        <w:t> </w:t>
      </w:r>
    </w:p>
    <w:p w:rsidR="008223EE" w:rsidRPr="008223EE" w:rsidRDefault="008223EE" w:rsidP="0065174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1        Note that these announcement dates are provisional and subject to change.</w:t>
      </w:r>
    </w:p>
    <w:p w:rsidR="008223EE" w:rsidRPr="008223EE" w:rsidRDefault="008223EE" w:rsidP="0065174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2       The average rates shown above are derived from daily spot rates during the year used to convert foreign currency transactions into Sterling for accounting</w:t>
      </w:r>
      <w:proofErr w:type="gramStart"/>
      <w:r w:rsidRPr="008223EE">
        <w:rPr>
          <w:rFonts w:ascii="Arial" w:eastAsia="Times New Roman" w:hAnsi="Arial" w:cs="Arial"/>
          <w:i/>
          <w:iCs/>
          <w:sz w:val="14"/>
          <w:szCs w:val="14"/>
        </w:rPr>
        <w:t>  purposes</w:t>
      </w:r>
      <w:proofErr w:type="gramEnd"/>
      <w:r w:rsidRPr="008223EE">
        <w:rPr>
          <w:rFonts w:ascii="Arial" w:eastAsia="Times New Roman" w:hAnsi="Arial" w:cs="Arial"/>
          <w:i/>
          <w:iCs/>
          <w:sz w:val="14"/>
          <w:szCs w:val="14"/>
        </w:rPr>
        <w:t>. </w:t>
      </w:r>
    </w:p>
    <w:p w:rsidR="008223EE" w:rsidRPr="008223EE" w:rsidRDefault="008223EE" w:rsidP="0065174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lastRenderedPageBreak/>
        <w:t>3        The change is the impact to Sterling reported information.</w:t>
      </w:r>
    </w:p>
    <w:p w:rsidR="008223EE" w:rsidRPr="008223EE" w:rsidRDefault="008223EE" w:rsidP="0065174F">
      <w:pPr>
        <w:spacing w:before="20" w:after="20" w:line="240" w:lineRule="auto"/>
        <w:ind w:left="284" w:hanging="284"/>
        <w:jc w:val="both"/>
        <w:rPr>
          <w:rFonts w:ascii="Arial" w:eastAsia="Times New Roman" w:hAnsi="Arial" w:cs="Arial"/>
          <w:i/>
          <w:iCs/>
          <w:sz w:val="14"/>
          <w:szCs w:val="14"/>
        </w:rPr>
      </w:pPr>
      <w:r w:rsidRPr="008223EE">
        <w:rPr>
          <w:rFonts w:ascii="Arial" w:eastAsia="Times New Roman" w:hAnsi="Arial" w:cs="Arial"/>
          <w:i/>
          <w:iCs/>
          <w:sz w:val="14"/>
          <w:szCs w:val="14"/>
        </w:rPr>
        <w:t>4       Calls cost 8p per minute plus network extras. Lines open 8:30am to 5:30pm, Monday to Friday.</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before="20" w:after="20" w:line="240" w:lineRule="auto"/>
        <w:ind w:left="1418"/>
        <w:jc w:val="both"/>
        <w:rPr>
          <w:rFonts w:ascii="Arial" w:eastAsia="Times New Roman" w:hAnsi="Arial" w:cs="Arial"/>
          <w:i/>
          <w:iCs/>
          <w:sz w:val="14"/>
          <w:szCs w:val="14"/>
        </w:rPr>
      </w:pPr>
      <w:r w:rsidRPr="008223EE">
        <w:rPr>
          <w:rFonts w:ascii="Arial" w:eastAsia="Times New Roman" w:hAnsi="Arial" w:cs="Arial"/>
          <w:i/>
          <w:iCs/>
          <w:sz w:val="14"/>
          <w:szCs w:val="14"/>
        </w:rPr>
        <w:t> </w:t>
      </w:r>
    </w:p>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p w:rsidR="008223EE" w:rsidRPr="008223EE" w:rsidRDefault="008223EE" w:rsidP="008223EE">
      <w:pPr>
        <w:spacing w:line="240" w:lineRule="auto"/>
        <w:jc w:val="both"/>
        <w:rPr>
          <w:rFonts w:ascii="Arial" w:eastAsia="Times New Roman" w:hAnsi="Arial" w:cs="Arial"/>
          <w:b/>
          <w:bCs/>
          <w:color w:val="000000"/>
          <w:sz w:val="24"/>
          <w:szCs w:val="24"/>
        </w:rPr>
      </w:pPr>
      <w:r w:rsidRPr="008223EE">
        <w:rPr>
          <w:rFonts w:ascii="Arial" w:eastAsia="Times New Roman" w:hAnsi="Arial" w:cs="Arial"/>
          <w:b/>
          <w:bCs/>
          <w:color w:val="000000"/>
          <w:sz w:val="24"/>
          <w:szCs w:val="24"/>
        </w:rPr>
        <w:t>Index</w:t>
      </w:r>
    </w:p>
    <w:tbl>
      <w:tblPr>
        <w:tblW w:w="10320" w:type="dxa"/>
        <w:tblInd w:w="-108" w:type="dxa"/>
        <w:tblCellMar>
          <w:left w:w="0" w:type="dxa"/>
          <w:right w:w="0" w:type="dxa"/>
        </w:tblCellMar>
        <w:tblLook w:val="04A0" w:firstRow="1" w:lastRow="0" w:firstColumn="1" w:lastColumn="0" w:noHBand="0" w:noVBand="1"/>
      </w:tblPr>
      <w:tblGrid>
        <w:gridCol w:w="89"/>
        <w:gridCol w:w="3719"/>
        <w:gridCol w:w="599"/>
        <w:gridCol w:w="267"/>
        <w:gridCol w:w="3719"/>
        <w:gridCol w:w="1121"/>
        <w:gridCol w:w="806"/>
      </w:tblGrid>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Africa Retail and Business Banking</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18</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Margins and balances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40</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Administration and general expenses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85</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Market risk</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83</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Balance sheet</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11</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Net interest income</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85</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Balance sheet leverage</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47</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Non-controlling interests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86</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Barclaycard</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20</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Other reserves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92</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Basis of preparation</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84</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Performance highlights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2</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Capital ratios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43</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Potential credit risk loans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62</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Capital resources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43</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Principal risks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42</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Cash flow statement</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13</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Provisions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90</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Chief Executive's statement</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4</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Related party transactions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99</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Competition and regulatory matters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97</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Remuneration</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35</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Contingent liabilities and commitments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93</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Results by quarter</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8, 33</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Corporate Banking</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26</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Results timetable</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102</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Credit impairment charges and other credit provisions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58</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Retail credit risk</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61</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Credit market exposures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82</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Retail forbearance programmes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66</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Credit risk</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56</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Retirement benefits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92</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Derivative financial instruments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87</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Returns and equity by business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39</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Dividends on ordinary shares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86</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Risk weighted assets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45</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Earnings per share</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86</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Segmental reporting</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100</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Europe Retail and Business Banking</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16</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Share capital</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92</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Financial instruments held at fair value</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88</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Share price data</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102</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Finance Director's review</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6</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Statement of profit or loss and other comprehensive income</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10</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Funding and liquidity</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7, 48</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Statement of changes in equity</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12</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Goodwill and intangible assets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89</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Subordinated liabilities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89</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Group exposure to Eurozone Countries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72</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Taxation</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85</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Head Office and Other Operations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32</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Tier 1 capital ratio</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43</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Income statement</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9</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Total assets</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56</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Investment Bank</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22</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UK Retail and Business Banking</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14</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Legal proceedings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94</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Wealth and Investment Management</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30</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Liquidity pool</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49</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Wholesale credit risk</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68</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Loans and advances to customers and banks</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57</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Wholesale forbearance</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right"/>
              <w:rPr>
                <w:rFonts w:ascii="Arial" w:eastAsia="Times New Roman" w:hAnsi="Arial" w:cs="Arial"/>
                <w:sz w:val="18"/>
                <w:szCs w:val="18"/>
              </w:rPr>
            </w:pPr>
            <w:r w:rsidRPr="008223EE">
              <w:rPr>
                <w:rFonts w:ascii="Arial" w:eastAsia="Times New Roman" w:hAnsi="Arial" w:cs="Arial"/>
                <w:sz w:val="18"/>
                <w:szCs w:val="18"/>
              </w:rPr>
              <w:t>71</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c>
          <w:tcPr>
            <w:tcW w:w="360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585" w:type="dxa"/>
            <w:tcMar>
              <w:top w:w="0" w:type="dxa"/>
              <w:left w:w="108" w:type="dxa"/>
              <w:bottom w:w="0" w:type="dxa"/>
              <w:right w:w="108" w:type="dxa"/>
            </w:tcMar>
            <w:vAlign w:val="center"/>
            <w:hideMark/>
          </w:tcPr>
          <w:p w:rsidR="008223EE" w:rsidRPr="008223EE" w:rsidRDefault="008223EE" w:rsidP="008223EE">
            <w:pPr>
              <w:spacing w:before="80" w:after="80" w:line="240" w:lineRule="auto"/>
              <w:jc w:val="center"/>
              <w:rPr>
                <w:rFonts w:ascii="Arial" w:eastAsia="Times New Roman" w:hAnsi="Arial" w:cs="Arial"/>
                <w:sz w:val="18"/>
                <w:szCs w:val="18"/>
              </w:rPr>
            </w:pPr>
            <w:r w:rsidRPr="008223EE">
              <w:rPr>
                <w:rFonts w:ascii="Arial" w:eastAsia="Times New Roman" w:hAnsi="Arial" w:cs="Arial"/>
                <w:sz w:val="18"/>
                <w:szCs w:val="18"/>
              </w:rPr>
              <w:t> </w:t>
            </w:r>
          </w:p>
        </w:tc>
        <w:tc>
          <w:tcPr>
            <w:tcW w:w="150"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before="80" w:after="8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780" w:type="dxa"/>
            <w:tcMar>
              <w:top w:w="0" w:type="dxa"/>
              <w:left w:w="108" w:type="dxa"/>
              <w:bottom w:w="0" w:type="dxa"/>
              <w:right w:w="108" w:type="dxa"/>
            </w:tcMar>
            <w:vAlign w:val="center"/>
            <w:hideMark/>
          </w:tcPr>
          <w:p w:rsidR="008223EE" w:rsidRPr="008223EE" w:rsidRDefault="008223EE" w:rsidP="008223EE">
            <w:pPr>
              <w:spacing w:before="80" w:after="80" w:line="240" w:lineRule="auto"/>
              <w:jc w:val="center"/>
              <w:rPr>
                <w:rFonts w:ascii="Arial" w:eastAsia="Times New Roman" w:hAnsi="Arial" w:cs="Arial"/>
                <w:sz w:val="18"/>
                <w:szCs w:val="18"/>
              </w:rPr>
            </w:pPr>
            <w:r w:rsidRPr="008223EE">
              <w:rPr>
                <w:rFonts w:ascii="Arial" w:eastAsia="Times New Roman" w:hAnsi="Arial" w:cs="Arial"/>
                <w:sz w:val="18"/>
                <w:szCs w:val="18"/>
              </w:rPr>
              <w:t> </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lastRenderedPageBreak/>
              <w:t> </w:t>
            </w:r>
          </w:p>
        </w:tc>
        <w:tc>
          <w:tcPr>
            <w:tcW w:w="3600" w:type="dxa"/>
            <w:tcMar>
              <w:top w:w="0" w:type="dxa"/>
              <w:left w:w="108" w:type="dxa"/>
              <w:bottom w:w="0" w:type="dxa"/>
              <w:right w:w="108" w:type="dxa"/>
            </w:tcMar>
            <w:vAlign w:val="center"/>
            <w:hideMark/>
          </w:tcPr>
          <w:p w:rsidR="008223EE" w:rsidRPr="008223EE" w:rsidRDefault="008223EE" w:rsidP="008223EE">
            <w:pPr>
              <w:spacing w:after="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585" w:type="dxa"/>
            <w:tcMar>
              <w:top w:w="0" w:type="dxa"/>
              <w:left w:w="108" w:type="dxa"/>
              <w:bottom w:w="0" w:type="dxa"/>
              <w:right w:w="108" w:type="dxa"/>
            </w:tcMar>
            <w:vAlign w:val="center"/>
            <w:hideMark/>
          </w:tcPr>
          <w:p w:rsidR="008223EE" w:rsidRPr="008223EE" w:rsidRDefault="008223EE" w:rsidP="008223EE">
            <w:pPr>
              <w:spacing w:before="10" w:after="10" w:line="240" w:lineRule="auto"/>
              <w:jc w:val="center"/>
              <w:rPr>
                <w:rFonts w:ascii="Arial" w:eastAsia="Times New Roman" w:hAnsi="Arial" w:cs="Arial"/>
                <w:sz w:val="18"/>
                <w:szCs w:val="18"/>
              </w:rPr>
            </w:pPr>
            <w:r w:rsidRPr="008223EE">
              <w:rPr>
                <w:rFonts w:ascii="Arial" w:eastAsia="Times New Roman" w:hAnsi="Arial" w:cs="Arial"/>
                <w:sz w:val="18"/>
                <w:szCs w:val="18"/>
              </w:rPr>
              <w:t> </w:t>
            </w:r>
          </w:p>
        </w:tc>
        <w:tc>
          <w:tcPr>
            <w:tcW w:w="150" w:type="dxa"/>
            <w:tcMar>
              <w:top w:w="0" w:type="dxa"/>
              <w:left w:w="108" w:type="dxa"/>
              <w:bottom w:w="0" w:type="dxa"/>
              <w:right w:w="108" w:type="dxa"/>
            </w:tcMar>
            <w:vAlign w:val="center"/>
            <w:hideMark/>
          </w:tcPr>
          <w:p w:rsidR="008223EE" w:rsidRPr="008223EE" w:rsidRDefault="008223EE" w:rsidP="008223EE">
            <w:pPr>
              <w:spacing w:after="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3615" w:type="dxa"/>
            <w:tcMar>
              <w:top w:w="0" w:type="dxa"/>
              <w:left w:w="108" w:type="dxa"/>
              <w:bottom w:w="0" w:type="dxa"/>
              <w:right w:w="108" w:type="dxa"/>
            </w:tcMar>
            <w:vAlign w:val="center"/>
            <w:hideMark/>
          </w:tcPr>
          <w:p w:rsidR="008223EE" w:rsidRPr="008223EE" w:rsidRDefault="008223EE" w:rsidP="008223EE">
            <w:pPr>
              <w:spacing w:after="0" w:line="240" w:lineRule="auto"/>
              <w:rPr>
                <w:rFonts w:ascii="Arial" w:eastAsia="Times New Roman" w:hAnsi="Arial" w:cs="Arial"/>
                <w:sz w:val="18"/>
                <w:szCs w:val="18"/>
              </w:rPr>
            </w:pPr>
            <w:r w:rsidRPr="008223EE">
              <w:rPr>
                <w:rFonts w:ascii="Arial" w:eastAsia="Times New Roman" w:hAnsi="Arial" w:cs="Arial"/>
                <w:sz w:val="18"/>
                <w:szCs w:val="18"/>
              </w:rPr>
              <w:t> </w:t>
            </w:r>
          </w:p>
        </w:tc>
        <w:tc>
          <w:tcPr>
            <w:tcW w:w="780" w:type="dxa"/>
            <w:tcMar>
              <w:top w:w="0" w:type="dxa"/>
              <w:left w:w="108" w:type="dxa"/>
              <w:bottom w:w="0" w:type="dxa"/>
              <w:right w:w="108" w:type="dxa"/>
            </w:tcMar>
            <w:vAlign w:val="center"/>
            <w:hideMark/>
          </w:tcPr>
          <w:p w:rsidR="008223EE" w:rsidRPr="008223EE" w:rsidRDefault="008223EE" w:rsidP="008223EE">
            <w:pPr>
              <w:spacing w:before="10" w:after="10" w:line="240" w:lineRule="auto"/>
              <w:jc w:val="center"/>
              <w:rPr>
                <w:rFonts w:ascii="Arial" w:eastAsia="Times New Roman" w:hAnsi="Arial" w:cs="Arial"/>
                <w:sz w:val="18"/>
                <w:szCs w:val="18"/>
              </w:rPr>
            </w:pPr>
            <w:r w:rsidRPr="008223EE">
              <w:rPr>
                <w:rFonts w:ascii="Arial" w:eastAsia="Times New Roman" w:hAnsi="Arial" w:cs="Arial"/>
                <w:sz w:val="18"/>
                <w:szCs w:val="18"/>
              </w:rPr>
              <w:t> </w:t>
            </w:r>
          </w:p>
        </w:tc>
        <w:tc>
          <w:tcPr>
            <w:tcW w:w="435" w:type="dxa"/>
            <w:tcBorders>
              <w:top w:val="nil"/>
              <w:left w:val="nil"/>
              <w:bottom w:val="nil"/>
              <w:right w:val="nil"/>
            </w:tcBorders>
            <w:vAlign w:val="center"/>
            <w:hideMark/>
          </w:tcPr>
          <w:p w:rsidR="008223EE" w:rsidRPr="008223EE" w:rsidRDefault="008223EE" w:rsidP="008223EE">
            <w:pPr>
              <w:spacing w:after="0" w:line="240" w:lineRule="auto"/>
              <w:rPr>
                <w:rFonts w:ascii="Arial" w:eastAsia="Times New Roman" w:hAnsi="Arial" w:cs="Arial"/>
                <w:sz w:val="2"/>
                <w:szCs w:val="2"/>
              </w:rPr>
            </w:pPr>
            <w:r w:rsidRPr="008223EE">
              <w:rPr>
                <w:rFonts w:ascii="Arial" w:eastAsia="Times New Roman" w:hAnsi="Arial" w:cs="Arial"/>
                <w:sz w:val="2"/>
                <w:szCs w:val="2"/>
              </w:rPr>
              <w:t> </w:t>
            </w:r>
          </w:p>
        </w:tc>
      </w:tr>
      <w:tr w:rsidR="008223EE" w:rsidRPr="008223EE" w:rsidTr="008223EE">
        <w:trPr>
          <w:trHeight w:val="243"/>
        </w:trPr>
        <w:tc>
          <w:tcPr>
            <w:tcW w:w="9120" w:type="dxa"/>
            <w:gridSpan w:val="6"/>
            <w:tcMar>
              <w:top w:w="0" w:type="dxa"/>
              <w:left w:w="108" w:type="dxa"/>
              <w:bottom w:w="0" w:type="dxa"/>
              <w:right w:w="108" w:type="dxa"/>
            </w:tcMar>
            <w:vAlign w:val="bottom"/>
            <w:hideMark/>
          </w:tcPr>
          <w:p w:rsidR="008223EE" w:rsidRPr="008223EE" w:rsidRDefault="008223EE" w:rsidP="008223EE">
            <w:pPr>
              <w:spacing w:after="0" w:line="240" w:lineRule="auto"/>
              <w:rPr>
                <w:rFonts w:ascii="Arial" w:eastAsia="Times New Roman" w:hAnsi="Arial" w:cs="Arial"/>
                <w:sz w:val="18"/>
                <w:szCs w:val="18"/>
              </w:rPr>
            </w:pPr>
            <w:r w:rsidRPr="008223EE">
              <w:rPr>
                <w:rFonts w:ascii="Arial" w:eastAsia="Times New Roman" w:hAnsi="Arial" w:cs="Arial"/>
                <w:sz w:val="18"/>
                <w:szCs w:val="18"/>
              </w:rPr>
              <w:t> </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18"/>
                <w:szCs w:val="18"/>
              </w:rPr>
              <w:t>The glossary of terms can be found on:</w:t>
            </w:r>
          </w:p>
          <w:p w:rsidR="008223EE" w:rsidRPr="008223EE" w:rsidRDefault="008223EE" w:rsidP="008223EE">
            <w:pPr>
              <w:spacing w:after="0" w:line="240" w:lineRule="auto"/>
              <w:jc w:val="both"/>
              <w:rPr>
                <w:rFonts w:ascii="Arial" w:eastAsia="Times New Roman" w:hAnsi="Arial" w:cs="Arial"/>
                <w:sz w:val="18"/>
                <w:szCs w:val="18"/>
              </w:rPr>
            </w:pPr>
            <w:r w:rsidRPr="008223EE">
              <w:rPr>
                <w:rFonts w:ascii="Arial" w:eastAsia="Times New Roman" w:hAnsi="Arial" w:cs="Arial"/>
                <w:sz w:val="18"/>
                <w:szCs w:val="18"/>
              </w:rPr>
              <w:t>http://group.barclays.com/about-barclays/investor-relations#institutional-investors</w:t>
            </w:r>
          </w:p>
        </w:tc>
        <w:tc>
          <w:tcPr>
            <w:tcW w:w="780" w:type="dxa"/>
            <w:tcMar>
              <w:top w:w="0" w:type="dxa"/>
              <w:left w:w="108" w:type="dxa"/>
              <w:bottom w:w="0" w:type="dxa"/>
              <w:right w:w="108" w:type="dxa"/>
            </w:tcMar>
            <w:hideMark/>
          </w:tcPr>
          <w:p w:rsidR="008223EE" w:rsidRPr="008223EE" w:rsidRDefault="008223EE" w:rsidP="008223EE">
            <w:pPr>
              <w:spacing w:before="10" w:after="10" w:line="240" w:lineRule="auto"/>
              <w:jc w:val="right"/>
              <w:rPr>
                <w:rFonts w:ascii="Arial" w:eastAsia="Times New Roman" w:hAnsi="Arial" w:cs="Arial"/>
                <w:sz w:val="18"/>
                <w:szCs w:val="18"/>
              </w:rPr>
            </w:pPr>
            <w:r w:rsidRPr="008223EE">
              <w:rPr>
                <w:rFonts w:ascii="Arial" w:eastAsia="Times New Roman" w:hAnsi="Arial" w:cs="Arial"/>
                <w:sz w:val="18"/>
                <w:szCs w:val="18"/>
              </w:rPr>
              <w:t> </w:t>
            </w:r>
          </w:p>
        </w:tc>
      </w:tr>
      <w:tr w:rsidR="008223EE" w:rsidRPr="008223EE" w:rsidTr="008223EE">
        <w:tc>
          <w:tcPr>
            <w:tcW w:w="9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373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60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22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373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1125"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c>
          <w:tcPr>
            <w:tcW w:w="810" w:type="dxa"/>
            <w:tcBorders>
              <w:top w:val="nil"/>
              <w:left w:val="nil"/>
              <w:bottom w:val="nil"/>
              <w:right w:val="nil"/>
            </w:tcBorders>
            <w:vAlign w:val="center"/>
            <w:hideMark/>
          </w:tcPr>
          <w:p w:rsidR="008223EE" w:rsidRPr="008223EE" w:rsidRDefault="008223EE" w:rsidP="008223EE">
            <w:pPr>
              <w:spacing w:after="0" w:line="240" w:lineRule="auto"/>
              <w:rPr>
                <w:rFonts w:ascii="Times New Roman" w:eastAsia="Times New Roman" w:hAnsi="Times New Roman" w:cs="Times New Roman"/>
                <w:sz w:val="1"/>
                <w:szCs w:val="24"/>
              </w:rPr>
            </w:pPr>
          </w:p>
        </w:tc>
      </w:tr>
    </w:tbl>
    <w:p w:rsidR="008223EE" w:rsidRPr="008223EE" w:rsidRDefault="008223EE" w:rsidP="008223EE">
      <w:pPr>
        <w:spacing w:after="0" w:line="240" w:lineRule="auto"/>
        <w:rPr>
          <w:rFonts w:ascii="Times New Roman" w:eastAsia="Times New Roman" w:hAnsi="Times New Roman" w:cs="Times New Roman"/>
          <w:sz w:val="4"/>
          <w:szCs w:val="4"/>
        </w:rPr>
      </w:pPr>
      <w:r w:rsidRPr="008223EE">
        <w:rPr>
          <w:rFonts w:ascii="Times New Roman" w:eastAsia="Times New Roman" w:hAnsi="Times New Roman" w:cs="Times New Roman"/>
          <w:sz w:val="4"/>
          <w:szCs w:val="4"/>
        </w:rPr>
        <w:t> </w:t>
      </w:r>
    </w:p>
    <w:p w:rsidR="008223EE" w:rsidRPr="008223EE" w:rsidRDefault="008223EE" w:rsidP="008223EE">
      <w:pPr>
        <w:spacing w:line="240" w:lineRule="auto"/>
        <w:rPr>
          <w:rFonts w:ascii="Times New Roman" w:eastAsia="Times New Roman" w:hAnsi="Times New Roman" w:cs="Times New Roman"/>
          <w:sz w:val="4"/>
          <w:szCs w:val="4"/>
        </w:rPr>
      </w:pPr>
      <w:r w:rsidRPr="008223EE">
        <w:rPr>
          <w:rFonts w:ascii="Times New Roman" w:eastAsia="Times New Roman" w:hAnsi="Times New Roman" w:cs="Times New Roman"/>
          <w:sz w:val="4"/>
          <w:szCs w:val="4"/>
        </w:rPr>
        <w:t> </w:t>
      </w:r>
    </w:p>
    <w:p w:rsidR="008223EE" w:rsidRDefault="008223EE"/>
    <w:sectPr w:rsidR="00822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EE"/>
    <w:rsid w:val="00013CAF"/>
    <w:rsid w:val="0002570F"/>
    <w:rsid w:val="000D0C0B"/>
    <w:rsid w:val="001E2205"/>
    <w:rsid w:val="001F6E11"/>
    <w:rsid w:val="002437C0"/>
    <w:rsid w:val="00306806"/>
    <w:rsid w:val="00351E2D"/>
    <w:rsid w:val="00360973"/>
    <w:rsid w:val="00363210"/>
    <w:rsid w:val="003B43BF"/>
    <w:rsid w:val="003F7632"/>
    <w:rsid w:val="005623B3"/>
    <w:rsid w:val="0065174F"/>
    <w:rsid w:val="008223EE"/>
    <w:rsid w:val="008F5F56"/>
    <w:rsid w:val="0091196F"/>
    <w:rsid w:val="009225DA"/>
    <w:rsid w:val="0093310B"/>
    <w:rsid w:val="0096290B"/>
    <w:rsid w:val="00964CF8"/>
    <w:rsid w:val="009B0C46"/>
    <w:rsid w:val="009F2A04"/>
    <w:rsid w:val="00A12E68"/>
    <w:rsid w:val="00A171D2"/>
    <w:rsid w:val="00A22C62"/>
    <w:rsid w:val="00AA62EA"/>
    <w:rsid w:val="00B27D25"/>
    <w:rsid w:val="00BB5E29"/>
    <w:rsid w:val="00CE48B3"/>
    <w:rsid w:val="00D14970"/>
    <w:rsid w:val="00E146FC"/>
    <w:rsid w:val="00E15D38"/>
    <w:rsid w:val="00F52162"/>
    <w:rsid w:val="00F909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C46"/>
    <w:rPr>
      <w:color w:val="0000FF" w:themeColor="hyperlink"/>
      <w:u w:val="single"/>
    </w:rPr>
  </w:style>
  <w:style w:type="table" w:styleId="TableGrid">
    <w:name w:val="Table Grid"/>
    <w:basedOn w:val="TableNormal"/>
    <w:uiPriority w:val="59"/>
    <w:rsid w:val="00243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C46"/>
    <w:rPr>
      <w:color w:val="0000FF" w:themeColor="hyperlink"/>
      <w:u w:val="single"/>
    </w:rPr>
  </w:style>
  <w:style w:type="table" w:styleId="TableGrid">
    <w:name w:val="Table Grid"/>
    <w:basedOn w:val="TableNormal"/>
    <w:uiPriority w:val="59"/>
    <w:rsid w:val="00243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787354">
      <w:bodyDiv w:val="1"/>
      <w:marLeft w:val="0"/>
      <w:marRight w:val="0"/>
      <w:marTop w:val="0"/>
      <w:marBottom w:val="0"/>
      <w:divBdr>
        <w:top w:val="none" w:sz="0" w:space="0" w:color="auto"/>
        <w:left w:val="none" w:sz="0" w:space="0" w:color="auto"/>
        <w:bottom w:val="none" w:sz="0" w:space="0" w:color="auto"/>
        <w:right w:val="none" w:sz="0" w:space="0" w:color="auto"/>
      </w:divBdr>
      <w:divsChild>
        <w:div w:id="1067609501">
          <w:marLeft w:val="1134"/>
          <w:marRight w:val="1134"/>
          <w:marTop w:val="851"/>
          <w:marBottom w:val="567"/>
          <w:divBdr>
            <w:top w:val="none" w:sz="0" w:space="0" w:color="auto"/>
            <w:left w:val="none" w:sz="0" w:space="0" w:color="auto"/>
            <w:bottom w:val="none" w:sz="0" w:space="0" w:color="auto"/>
            <w:right w:val="none" w:sz="0" w:space="0" w:color="auto"/>
          </w:divBdr>
          <w:divsChild>
            <w:div w:id="101581855">
              <w:marLeft w:val="0"/>
              <w:marRight w:val="0"/>
              <w:marTop w:val="0"/>
              <w:marBottom w:val="0"/>
              <w:divBdr>
                <w:top w:val="single" w:sz="8" w:space="1" w:color="auto"/>
                <w:left w:val="none" w:sz="0" w:space="0" w:color="auto"/>
                <w:bottom w:val="none" w:sz="0" w:space="0" w:color="auto"/>
                <w:right w:val="none" w:sz="0" w:space="0" w:color="auto"/>
              </w:divBdr>
            </w:div>
            <w:div w:id="1161116978">
              <w:marLeft w:val="0"/>
              <w:marRight w:val="0"/>
              <w:marTop w:val="0"/>
              <w:marBottom w:val="0"/>
              <w:divBdr>
                <w:top w:val="single" w:sz="8" w:space="1" w:color="auto"/>
                <w:left w:val="none" w:sz="0" w:space="0" w:color="auto"/>
                <w:bottom w:val="none" w:sz="0" w:space="0" w:color="auto"/>
                <w:right w:val="none" w:sz="0" w:space="0" w:color="auto"/>
              </w:divBdr>
            </w:div>
            <w:div w:id="276834705">
              <w:marLeft w:val="0"/>
              <w:marRight w:val="0"/>
              <w:marTop w:val="0"/>
              <w:marBottom w:val="0"/>
              <w:divBdr>
                <w:top w:val="single" w:sz="8" w:space="1" w:color="auto"/>
                <w:left w:val="none" w:sz="0" w:space="0" w:color="auto"/>
                <w:bottom w:val="none" w:sz="0" w:space="0" w:color="auto"/>
                <w:right w:val="none" w:sz="0" w:space="0" w:color="auto"/>
              </w:divBdr>
            </w:div>
            <w:div w:id="2066172961">
              <w:marLeft w:val="0"/>
              <w:marRight w:val="0"/>
              <w:marTop w:val="0"/>
              <w:marBottom w:val="0"/>
              <w:divBdr>
                <w:top w:val="single" w:sz="8" w:space="1" w:color="auto"/>
                <w:left w:val="none" w:sz="0" w:space="0" w:color="auto"/>
                <w:bottom w:val="none" w:sz="0" w:space="0" w:color="auto"/>
                <w:right w:val="none" w:sz="0" w:space="0" w:color="auto"/>
              </w:divBdr>
            </w:div>
            <w:div w:id="531654507">
              <w:marLeft w:val="0"/>
              <w:marRight w:val="0"/>
              <w:marTop w:val="0"/>
              <w:marBottom w:val="0"/>
              <w:divBdr>
                <w:top w:val="single" w:sz="8" w:space="1" w:color="969696"/>
                <w:left w:val="single" w:sz="8" w:space="1" w:color="969696"/>
                <w:bottom w:val="single" w:sz="8" w:space="13" w:color="969696"/>
                <w:right w:val="single" w:sz="8" w:space="1" w:color="969696"/>
              </w:divBdr>
            </w:div>
          </w:divsChild>
        </w:div>
        <w:div w:id="1701928502">
          <w:marLeft w:val="1134"/>
          <w:marRight w:val="1134"/>
          <w:marTop w:val="851"/>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c.gov" TargetMode="External"/><Relationship Id="rId5" Type="http://schemas.openxmlformats.org/officeDocument/2006/relationships/hyperlink" Target="http://group.barclays.com/about-barclays/investor-re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48158</Words>
  <Characters>274501</Characters>
  <Application>Microsoft Office Word</Application>
  <DocSecurity>0</DocSecurity>
  <Lines>2287</Lines>
  <Paragraphs>644</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322015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Stewart-Gutierrez</dc:creator>
  <cp:keywords/>
  <dc:description/>
  <cp:lastModifiedBy>Marie Stewart-Gutierrez</cp:lastModifiedBy>
  <cp:revision>2</cp:revision>
  <dcterms:created xsi:type="dcterms:W3CDTF">2013-02-13T06:45:00Z</dcterms:created>
  <dcterms:modified xsi:type="dcterms:W3CDTF">2013-02-13T06:45:00Z</dcterms:modified>
</cp:coreProperties>
</file>