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14E" w:rsidRDefault="002B214E" w:rsidP="002B214E">
      <w:pPr>
        <w:pStyle w:val="NormalWeb"/>
      </w:pPr>
      <w:r>
        <w:t>﻿</w:t>
      </w:r>
      <w:bookmarkStart w:id="0" w:name="_GoBack"/>
      <w:bookmarkEnd w:id="0"/>
    </w:p>
    <w:p w:rsidR="002B214E" w:rsidRDefault="002B214E" w:rsidP="002B214E">
      <w:pPr>
        <w:pStyle w:val="bh"/>
      </w:pPr>
      <w:r>
        <w:rPr>
          <w:rStyle w:val="bf"/>
        </w:rPr>
        <w:t> </w:t>
      </w:r>
    </w:p>
    <w:p w:rsidR="002B214E" w:rsidRDefault="002B214E" w:rsidP="002B214E">
      <w:pPr>
        <w:pStyle w:val="bi"/>
      </w:pPr>
      <w:r>
        <w:rPr>
          <w:rStyle w:val="bf"/>
        </w:rPr>
        <w:t> </w:t>
      </w:r>
    </w:p>
    <w:p w:rsidR="002B214E" w:rsidRDefault="002B214E" w:rsidP="002B214E">
      <w:pPr>
        <w:pStyle w:val="bi"/>
      </w:pPr>
      <w:r>
        <w:rPr>
          <w:rStyle w:val="bf"/>
        </w:rPr>
        <w:t>12 February 2013</w:t>
      </w:r>
    </w:p>
    <w:p w:rsidR="002B214E" w:rsidRDefault="002B214E" w:rsidP="002B214E">
      <w:pPr>
        <w:pStyle w:val="bh"/>
      </w:pPr>
      <w:r>
        <w:rPr>
          <w:rStyle w:val="bc"/>
        </w:rPr>
        <w:t> </w:t>
      </w:r>
    </w:p>
    <w:p w:rsidR="002B214E" w:rsidRDefault="002B214E" w:rsidP="002B214E">
      <w:pPr>
        <w:pStyle w:val="bj"/>
      </w:pPr>
      <w:r>
        <w:rPr>
          <w:rStyle w:val="bf"/>
        </w:rPr>
        <w:t>Barclays PLC</w:t>
      </w:r>
    </w:p>
    <w:p w:rsidR="002B214E" w:rsidRDefault="002B214E" w:rsidP="002B214E">
      <w:pPr>
        <w:pStyle w:val="bj"/>
      </w:pPr>
      <w:r>
        <w:rPr>
          <w:rStyle w:val="bf"/>
        </w:rPr>
        <w:t> </w:t>
      </w:r>
    </w:p>
    <w:p w:rsidR="002B214E" w:rsidRDefault="002B214E" w:rsidP="002B214E">
      <w:pPr>
        <w:pStyle w:val="bj"/>
      </w:pPr>
      <w:r>
        <w:rPr>
          <w:rStyle w:val="bf"/>
        </w:rPr>
        <w:t> </w:t>
      </w:r>
    </w:p>
    <w:p w:rsidR="002B214E" w:rsidRDefault="002B214E" w:rsidP="002B214E">
      <w:pPr>
        <w:pStyle w:val="bj"/>
      </w:pPr>
      <w:r>
        <w:rPr>
          <w:rStyle w:val="bf"/>
        </w:rPr>
        <w:t>Barclays announces the outcome of its strategic review and sets out commitments for 2015</w:t>
      </w:r>
    </w:p>
    <w:p w:rsidR="002B214E" w:rsidRDefault="002B214E" w:rsidP="002B214E">
      <w:pPr>
        <w:pStyle w:val="bk"/>
      </w:pPr>
      <w:r>
        <w:rPr>
          <w:rStyle w:val="ba"/>
        </w:rPr>
        <w:t> </w:t>
      </w:r>
    </w:p>
    <w:p w:rsidR="002B214E" w:rsidRDefault="002B214E" w:rsidP="002B214E">
      <w:pPr>
        <w:pStyle w:val="bk"/>
      </w:pPr>
      <w:r>
        <w:rPr>
          <w:rStyle w:val="ba"/>
        </w:rPr>
        <w:t>Antony Jenkins, Barclays PLC ("Barclays"), Group Chief Executive said today: "Barclays is changing. We intend to change what Barclays does and how we do it and have set out clear commitments against which our progress can be measured. Our goal is to make Barclays the 'Go-To' bank for all our stakeholders. The plan that we set out today is critical to delivering that goal.</w:t>
      </w:r>
    </w:p>
    <w:p w:rsidR="002B214E" w:rsidRDefault="002B214E" w:rsidP="002B214E">
      <w:pPr>
        <w:pStyle w:val="bk"/>
      </w:pPr>
      <w:r>
        <w:rPr>
          <w:rStyle w:val="ba"/>
        </w:rPr>
        <w:t> </w:t>
      </w:r>
    </w:p>
    <w:p w:rsidR="002B214E" w:rsidRDefault="002B214E" w:rsidP="002B214E">
      <w:pPr>
        <w:pStyle w:val="bk"/>
      </w:pPr>
      <w:r>
        <w:rPr>
          <w:rStyle w:val="ba"/>
        </w:rPr>
        <w:t xml:space="preserve">Our plan is built on a rigorous review of 75 distinct business units to determine not only their ability to generate an appropriate and sustainable return on equity, but also their strategic attractiveness, including their impact on </w:t>
      </w:r>
      <w:proofErr w:type="gramStart"/>
      <w:r>
        <w:rPr>
          <w:rStyle w:val="ba"/>
        </w:rPr>
        <w:t>Barclays</w:t>
      </w:r>
      <w:proofErr w:type="gramEnd"/>
      <w:r>
        <w:rPr>
          <w:rStyle w:val="ba"/>
        </w:rPr>
        <w:t xml:space="preserve"> reputation. We expect to make good progress towards our financial commitments by 2014 and deliver them fully during 2015.</w:t>
      </w:r>
    </w:p>
    <w:p w:rsidR="002B214E" w:rsidRDefault="002B214E" w:rsidP="002B214E">
      <w:pPr>
        <w:pStyle w:val="bk"/>
      </w:pPr>
      <w:r>
        <w:rPr>
          <w:rStyle w:val="ba"/>
        </w:rPr>
        <w:t> </w:t>
      </w:r>
    </w:p>
    <w:p w:rsidR="002B214E" w:rsidRDefault="002B214E" w:rsidP="002B214E">
      <w:pPr>
        <w:pStyle w:val="bk"/>
      </w:pPr>
      <w:r>
        <w:rPr>
          <w:rStyle w:val="ba"/>
        </w:rPr>
        <w:t>We have today set out a new course for the future of Barclays. I am extremely proud of the way our 140,000 staff have overcome the difficulties of the last year and shown the resilience necessary to deliver the results we announced this morning. It gives me great confidence in our ability to deliver our goal and from today I am determined that no-one should be able to question our intent or our commitment to the path that I have set out."</w:t>
      </w:r>
    </w:p>
    <w:p w:rsidR="002B214E" w:rsidRDefault="002B214E" w:rsidP="002B214E">
      <w:pPr>
        <w:pStyle w:val="bk"/>
      </w:pPr>
      <w:r>
        <w:rPr>
          <w:rStyle w:val="ba"/>
        </w:rPr>
        <w:t> </w:t>
      </w:r>
    </w:p>
    <w:p w:rsidR="002B214E" w:rsidRDefault="002B214E" w:rsidP="002B214E">
      <w:pPr>
        <w:pStyle w:val="bk"/>
      </w:pPr>
      <w:r>
        <w:rPr>
          <w:rStyle w:val="ba"/>
        </w:rPr>
        <w:t> </w:t>
      </w:r>
    </w:p>
    <w:p w:rsidR="002B214E" w:rsidRDefault="002B214E" w:rsidP="002B214E">
      <w:pPr>
        <w:pStyle w:val="bl"/>
      </w:pPr>
      <w:r>
        <w:rPr>
          <w:rStyle w:val="ba"/>
        </w:rPr>
        <w:t>Commitments</w:t>
      </w:r>
    </w:p>
    <w:p w:rsidR="002B214E" w:rsidRDefault="002B214E" w:rsidP="002B214E">
      <w:pPr>
        <w:pStyle w:val="bk"/>
      </w:pPr>
      <w:r>
        <w:rPr>
          <w:rStyle w:val="ba"/>
        </w:rPr>
        <w:t> </w:t>
      </w:r>
    </w:p>
    <w:p w:rsidR="002B214E" w:rsidRDefault="002B214E" w:rsidP="002B214E">
      <w:pPr>
        <w:pStyle w:val="bk"/>
      </w:pPr>
      <w:r>
        <w:rPr>
          <w:rStyle w:val="ba"/>
        </w:rPr>
        <w:t xml:space="preserve">Based on the results of its strategic review, Barclays is today making several commitments.  Barclays seeks to: </w:t>
      </w:r>
    </w:p>
    <w:p w:rsidR="002B214E" w:rsidRDefault="002B214E" w:rsidP="002B214E">
      <w:pPr>
        <w:pStyle w:val="bk"/>
      </w:pPr>
      <w:r>
        <w:rPr>
          <w:rStyle w:val="ba"/>
        </w:rPr>
        <w:t> </w:t>
      </w:r>
    </w:p>
    <w:p w:rsidR="002B214E" w:rsidRDefault="002B214E" w:rsidP="002B214E">
      <w:pPr>
        <w:pStyle w:val="bm"/>
      </w:pPr>
      <w:r>
        <w:rPr>
          <w:rStyle w:val="ba"/>
        </w:rPr>
        <w:t>Financial commitments</w:t>
      </w:r>
    </w:p>
    <w:p w:rsidR="002B214E" w:rsidRDefault="002B214E" w:rsidP="002B214E">
      <w:pPr>
        <w:pStyle w:val="bn"/>
      </w:pPr>
      <w:r>
        <w:rPr>
          <w:rStyle w:val="aw"/>
        </w:rPr>
        <w:t></w:t>
      </w:r>
      <w:r>
        <w:rPr>
          <w:rStyle w:val="aw"/>
        </w:rPr>
        <w:tab/>
      </w:r>
      <w:r>
        <w:rPr>
          <w:rStyle w:val="bf"/>
        </w:rPr>
        <w:t>Deliver a return on equity for the Group in excess of the Group cost of equity in 2015, which we have assumed will remain at the current 11.5% level;</w:t>
      </w:r>
    </w:p>
    <w:p w:rsidR="002B214E" w:rsidRDefault="002B214E" w:rsidP="002B214E">
      <w:pPr>
        <w:pStyle w:val="bo"/>
      </w:pPr>
      <w:r>
        <w:rPr>
          <w:rStyle w:val="aw"/>
        </w:rPr>
        <w:t></w:t>
      </w:r>
      <w:r>
        <w:rPr>
          <w:rStyle w:val="aw"/>
        </w:rPr>
        <w:t></w:t>
      </w:r>
      <w:r>
        <w:rPr>
          <w:rStyle w:val="aw"/>
        </w:rPr>
        <w:tab/>
      </w:r>
      <w:proofErr w:type="gramStart"/>
      <w:r>
        <w:rPr>
          <w:rStyle w:val="bf"/>
        </w:rPr>
        <w:t>In</w:t>
      </w:r>
      <w:proofErr w:type="gramEnd"/>
      <w:r>
        <w:rPr>
          <w:rStyle w:val="bf"/>
        </w:rPr>
        <w:t xml:space="preserve"> 2013, reduce headcount by at least 3,700 across the Group, including 1,800 in the Corporate &amp; Investment Bank and 1,900 in Europe Retail and Business Banking.  This is expected to result in a restructuring charge of close to £500m in Q1 2013;</w:t>
      </w:r>
    </w:p>
    <w:p w:rsidR="002B214E" w:rsidRDefault="002B214E" w:rsidP="002B214E">
      <w:pPr>
        <w:pStyle w:val="bo"/>
      </w:pPr>
      <w:r>
        <w:rPr>
          <w:rStyle w:val="aw"/>
        </w:rPr>
        <w:t></w:t>
      </w:r>
      <w:r>
        <w:rPr>
          <w:rStyle w:val="aw"/>
        </w:rPr>
        <w:tab/>
      </w:r>
      <w:r>
        <w:rPr>
          <w:rStyle w:val="bf"/>
        </w:rPr>
        <w:t xml:space="preserve">Reduce the Group's total cost base by £1.7bn to £16.8bn in 2015, including interim cost estimates of £18.5bn and £17.5bn in 2013 and 2014 respectively.  This excludes 'one-time' costs to achieve the strategic plan of £1bn in 2013, £1bn in 2014 and £0.7bn in 2015, delivering a Group cost to income ratio in the mid 50s in 2015; </w:t>
      </w:r>
    </w:p>
    <w:p w:rsidR="002B214E" w:rsidRDefault="002B214E" w:rsidP="002B214E">
      <w:pPr>
        <w:pStyle w:val="bo"/>
      </w:pPr>
      <w:r>
        <w:rPr>
          <w:rStyle w:val="aw"/>
        </w:rPr>
        <w:t></w:t>
      </w:r>
      <w:r>
        <w:rPr>
          <w:rStyle w:val="aw"/>
        </w:rPr>
        <w:tab/>
      </w:r>
      <w:r>
        <w:rPr>
          <w:rStyle w:val="bf"/>
        </w:rPr>
        <w:t>Target Risk Weighted Assets (RWAs) of £440bn by the end of 2015, after mitigating the estimated impact of CRD IV (£81bn) through legacy asset and other RWA reductions (£75bn), enabling RWA investment in selected areas;</w:t>
      </w:r>
    </w:p>
    <w:p w:rsidR="002B214E" w:rsidRDefault="002B214E" w:rsidP="002B214E">
      <w:pPr>
        <w:pStyle w:val="bo"/>
      </w:pPr>
      <w:r>
        <w:rPr>
          <w:rStyle w:val="aw"/>
        </w:rPr>
        <w:t></w:t>
      </w:r>
      <w:r>
        <w:rPr>
          <w:rStyle w:val="aw"/>
        </w:rPr>
        <w:tab/>
      </w:r>
      <w:r>
        <w:rPr>
          <w:rStyle w:val="bf"/>
        </w:rPr>
        <w:t>Report a transitional Common Equity Tier 1 ratio above its target ratio of 10.5% in 2015; and</w:t>
      </w:r>
    </w:p>
    <w:p w:rsidR="002B214E" w:rsidRDefault="002B214E" w:rsidP="002B214E">
      <w:pPr>
        <w:pStyle w:val="bp"/>
      </w:pPr>
      <w:r>
        <w:rPr>
          <w:rStyle w:val="aw"/>
        </w:rPr>
        <w:t></w:t>
      </w:r>
      <w:r>
        <w:rPr>
          <w:rStyle w:val="aw"/>
        </w:rPr>
        <w:tab/>
      </w:r>
      <w:proofErr w:type="gramStart"/>
      <w:r>
        <w:rPr>
          <w:rStyle w:val="bf"/>
        </w:rPr>
        <w:t>From</w:t>
      </w:r>
      <w:proofErr w:type="gramEnd"/>
      <w:r>
        <w:rPr>
          <w:rStyle w:val="bf"/>
        </w:rPr>
        <w:t xml:space="preserve"> 2014, accelerate our progressive dividend policy, targeting a </w:t>
      </w:r>
      <w:proofErr w:type="spellStart"/>
      <w:r>
        <w:rPr>
          <w:rStyle w:val="bf"/>
        </w:rPr>
        <w:t>payout</w:t>
      </w:r>
      <w:proofErr w:type="spellEnd"/>
      <w:r>
        <w:rPr>
          <w:rStyle w:val="bf"/>
        </w:rPr>
        <w:t xml:space="preserve"> ratio of 30% over time.</w:t>
      </w:r>
    </w:p>
    <w:p w:rsidR="002B214E" w:rsidRDefault="002B214E" w:rsidP="002B214E">
      <w:pPr>
        <w:pStyle w:val="bk"/>
      </w:pPr>
      <w:r>
        <w:rPr>
          <w:rStyle w:val="ba"/>
        </w:rPr>
        <w:t> </w:t>
      </w:r>
    </w:p>
    <w:p w:rsidR="002B214E" w:rsidRDefault="002B214E" w:rsidP="002B214E">
      <w:pPr>
        <w:pStyle w:val="bm"/>
      </w:pPr>
      <w:r>
        <w:rPr>
          <w:rStyle w:val="ba"/>
        </w:rPr>
        <w:t>Non-financial commitments</w:t>
      </w:r>
    </w:p>
    <w:p w:rsidR="002B214E" w:rsidRDefault="002B214E" w:rsidP="002B214E">
      <w:pPr>
        <w:pStyle w:val="bn"/>
      </w:pPr>
      <w:r>
        <w:rPr>
          <w:rStyle w:val="aw"/>
        </w:rPr>
        <w:t></w:t>
      </w:r>
      <w:r>
        <w:rPr>
          <w:rStyle w:val="aw"/>
        </w:rPr>
        <w:tab/>
      </w:r>
      <w:r>
        <w:rPr>
          <w:rStyle w:val="bf"/>
        </w:rPr>
        <w:t>Provide greater disclosure and transparency around our financial performance;</w:t>
      </w:r>
    </w:p>
    <w:p w:rsidR="002B214E" w:rsidRDefault="002B214E" w:rsidP="002B214E">
      <w:pPr>
        <w:pStyle w:val="bp"/>
      </w:pPr>
      <w:r>
        <w:rPr>
          <w:rStyle w:val="aw"/>
        </w:rPr>
        <w:lastRenderedPageBreak/>
        <w:t></w:t>
      </w:r>
      <w:r>
        <w:rPr>
          <w:rStyle w:val="aw"/>
        </w:rPr>
        <w:tab/>
      </w:r>
      <w:proofErr w:type="gramStart"/>
      <w:r>
        <w:rPr>
          <w:rStyle w:val="bf"/>
        </w:rPr>
        <w:t>Embed</w:t>
      </w:r>
      <w:proofErr w:type="gramEnd"/>
      <w:r>
        <w:rPr>
          <w:rStyle w:val="bf"/>
        </w:rPr>
        <w:t xml:space="preserve"> our purpose and values across Barclays and publish an annual scorecard assessing our performance</w:t>
      </w:r>
    </w:p>
    <w:p w:rsidR="002B214E" w:rsidRDefault="002B214E" w:rsidP="002B214E">
      <w:pPr>
        <w:pStyle w:val="bh"/>
      </w:pPr>
      <w:r>
        <w:rPr>
          <w:rStyle w:val="bf"/>
        </w:rPr>
        <w:t>Actions</w:t>
      </w:r>
    </w:p>
    <w:p w:rsidR="002B214E" w:rsidRDefault="002B214E" w:rsidP="002B214E">
      <w:pPr>
        <w:pStyle w:val="bk"/>
      </w:pPr>
      <w:r>
        <w:rPr>
          <w:rStyle w:val="ba"/>
        </w:rPr>
        <w:t> </w:t>
      </w:r>
    </w:p>
    <w:p w:rsidR="002B214E" w:rsidRDefault="002B214E" w:rsidP="002B214E">
      <w:pPr>
        <w:pStyle w:val="bk"/>
      </w:pPr>
      <w:r>
        <w:rPr>
          <w:rStyle w:val="ba"/>
        </w:rPr>
        <w:t xml:space="preserve">The strategic review concluded that Barclays will: </w:t>
      </w:r>
    </w:p>
    <w:p w:rsidR="002B214E" w:rsidRDefault="002B214E" w:rsidP="002B214E">
      <w:pPr>
        <w:pStyle w:val="bk"/>
      </w:pPr>
      <w:r>
        <w:rPr>
          <w:rStyle w:val="ba"/>
        </w:rPr>
        <w:t> </w:t>
      </w:r>
    </w:p>
    <w:p w:rsidR="002B214E" w:rsidRDefault="002B214E" w:rsidP="002B214E">
      <w:pPr>
        <w:pStyle w:val="bn"/>
      </w:pPr>
      <w:r>
        <w:rPr>
          <w:rStyle w:val="aw"/>
        </w:rPr>
        <w:t></w:t>
      </w:r>
      <w:r>
        <w:rPr>
          <w:rStyle w:val="aw"/>
        </w:rPr>
        <w:tab/>
      </w:r>
      <w:r>
        <w:rPr>
          <w:rStyle w:val="bf"/>
        </w:rPr>
        <w:t>Focus solely on activities that support customers and clients in geographic markets and businesses where Barclays has scale and competitive advantage;</w:t>
      </w:r>
    </w:p>
    <w:p w:rsidR="002B214E" w:rsidRDefault="002B214E" w:rsidP="002B214E">
      <w:pPr>
        <w:pStyle w:val="bo"/>
      </w:pPr>
      <w:r>
        <w:rPr>
          <w:rStyle w:val="aw"/>
        </w:rPr>
        <w:t></w:t>
      </w:r>
      <w:r>
        <w:rPr>
          <w:rStyle w:val="aw"/>
        </w:rPr>
        <w:tab/>
      </w:r>
      <w:r>
        <w:rPr>
          <w:rStyle w:val="bf"/>
        </w:rPr>
        <w:t>Focus investment in the UK, US and Africa, whilst maintaining an appropriate presence across Europe and Asia to support our global Investment Banking franchise;</w:t>
      </w:r>
    </w:p>
    <w:p w:rsidR="002B214E" w:rsidRDefault="002B214E" w:rsidP="002B214E">
      <w:pPr>
        <w:pStyle w:val="bo"/>
      </w:pPr>
      <w:r>
        <w:rPr>
          <w:rStyle w:val="aw"/>
        </w:rPr>
        <w:t></w:t>
      </w:r>
      <w:r>
        <w:rPr>
          <w:rStyle w:val="aw"/>
        </w:rPr>
        <w:tab/>
      </w:r>
      <w:r>
        <w:rPr>
          <w:rStyle w:val="bf"/>
        </w:rPr>
        <w:t>Restructure Barclays European retail operations to focus on the mass affluent customer segment;</w:t>
      </w:r>
    </w:p>
    <w:p w:rsidR="002B214E" w:rsidRDefault="002B214E" w:rsidP="002B214E">
      <w:pPr>
        <w:pStyle w:val="bo"/>
      </w:pPr>
      <w:r>
        <w:rPr>
          <w:rStyle w:val="aw"/>
        </w:rPr>
        <w:t></w:t>
      </w:r>
      <w:r>
        <w:rPr>
          <w:rStyle w:val="aw"/>
        </w:rPr>
        <w:tab/>
      </w:r>
      <w:r>
        <w:rPr>
          <w:rStyle w:val="bf"/>
        </w:rPr>
        <w:t>Reposition Barclays European and Asian Equities and Investment Banking Division businesses to reflect the market opportunities and maintain a relevant proposition for our clients;</w:t>
      </w:r>
    </w:p>
    <w:p w:rsidR="002B214E" w:rsidRDefault="002B214E" w:rsidP="002B214E">
      <w:pPr>
        <w:pStyle w:val="bo"/>
      </w:pPr>
      <w:r>
        <w:rPr>
          <w:rStyle w:val="aw"/>
        </w:rPr>
        <w:t></w:t>
      </w:r>
      <w:r>
        <w:rPr>
          <w:rStyle w:val="aw"/>
        </w:rPr>
        <w:tab/>
      </w:r>
      <w:r>
        <w:rPr>
          <w:rStyle w:val="bf"/>
        </w:rPr>
        <w:t>Close the Structured Capital Markets business unit;</w:t>
      </w:r>
    </w:p>
    <w:p w:rsidR="002B214E" w:rsidRDefault="002B214E" w:rsidP="002B214E">
      <w:pPr>
        <w:pStyle w:val="bo"/>
      </w:pPr>
      <w:r>
        <w:rPr>
          <w:rStyle w:val="aw"/>
        </w:rPr>
        <w:t></w:t>
      </w:r>
      <w:r>
        <w:rPr>
          <w:rStyle w:val="aw"/>
        </w:rPr>
        <w:tab/>
      </w:r>
      <w:r>
        <w:rPr>
          <w:rStyle w:val="bf"/>
        </w:rPr>
        <w:t>Manage RWAs more efficiently through a run-off of legacy assets in Europe and the Investment Bank and invest in high-return businesses such as UK mortgages, Barclaycard and Wealth; and</w:t>
      </w:r>
    </w:p>
    <w:p w:rsidR="002B214E" w:rsidRDefault="002B214E" w:rsidP="002B214E">
      <w:pPr>
        <w:pStyle w:val="bp"/>
      </w:pPr>
      <w:r>
        <w:rPr>
          <w:rStyle w:val="aw"/>
        </w:rPr>
        <w:t></w:t>
      </w:r>
      <w:r>
        <w:rPr>
          <w:rStyle w:val="aw"/>
        </w:rPr>
        <w:tab/>
      </w:r>
      <w:r>
        <w:rPr>
          <w:rStyle w:val="bf"/>
        </w:rPr>
        <w:t>Reduce total costs significantly across the Group by operating more efficiently.</w:t>
      </w:r>
    </w:p>
    <w:p w:rsidR="002B214E" w:rsidRDefault="002B214E" w:rsidP="002B214E">
      <w:pPr>
        <w:pStyle w:val="bk"/>
      </w:pPr>
      <w:r>
        <w:rPr>
          <w:rStyle w:val="ba"/>
        </w:rPr>
        <w:t> </w:t>
      </w:r>
    </w:p>
    <w:p w:rsidR="002B214E" w:rsidRDefault="002B214E" w:rsidP="002B214E">
      <w:pPr>
        <w:pStyle w:val="bl"/>
      </w:pPr>
      <w:r>
        <w:rPr>
          <w:rStyle w:val="ba"/>
        </w:rPr>
        <w:t>Context</w:t>
      </w:r>
    </w:p>
    <w:p w:rsidR="002B214E" w:rsidRDefault="002B214E" w:rsidP="002B214E">
      <w:pPr>
        <w:pStyle w:val="bk"/>
      </w:pPr>
      <w:r>
        <w:rPr>
          <w:rStyle w:val="ba"/>
        </w:rPr>
        <w:t> </w:t>
      </w:r>
    </w:p>
    <w:p w:rsidR="002B214E" w:rsidRDefault="002B214E" w:rsidP="002B214E">
      <w:pPr>
        <w:pStyle w:val="bk"/>
      </w:pPr>
      <w:r>
        <w:rPr>
          <w:rStyle w:val="ba"/>
        </w:rPr>
        <w:t>The actions and commitments set out by Barclays today are built around a programme called Transform, composed of three parts: Turnaround; Return Acceptable Numbers; and Sustain Forward Momentum. That work includes:</w:t>
      </w:r>
    </w:p>
    <w:p w:rsidR="002B214E" w:rsidRDefault="002B214E" w:rsidP="002B214E">
      <w:pPr>
        <w:pStyle w:val="bq"/>
      </w:pPr>
      <w:r>
        <w:rPr>
          <w:rStyle w:val="bf"/>
        </w:rPr>
        <w:t> </w:t>
      </w:r>
    </w:p>
    <w:p w:rsidR="002B214E" w:rsidRDefault="002B214E" w:rsidP="002B214E">
      <w:pPr>
        <w:pStyle w:val="bo"/>
      </w:pPr>
      <w:r>
        <w:rPr>
          <w:rStyle w:val="aw"/>
        </w:rPr>
        <w:t></w:t>
      </w:r>
      <w:r>
        <w:rPr>
          <w:rStyle w:val="aw"/>
        </w:rPr>
        <w:tab/>
      </w:r>
      <w:r>
        <w:rPr>
          <w:rStyle w:val="bf"/>
        </w:rPr>
        <w:t xml:space="preserve">Introducing new Goals, Purpose and Values for the Group on 17 January 2013; </w:t>
      </w:r>
    </w:p>
    <w:p w:rsidR="002B214E" w:rsidRDefault="002B214E" w:rsidP="002B214E">
      <w:pPr>
        <w:pStyle w:val="bo"/>
      </w:pPr>
      <w:r>
        <w:rPr>
          <w:rStyle w:val="aw"/>
        </w:rPr>
        <w:t></w:t>
      </w:r>
      <w:r>
        <w:rPr>
          <w:rStyle w:val="aw"/>
        </w:rPr>
        <w:tab/>
      </w:r>
      <w:r>
        <w:rPr>
          <w:rStyle w:val="bf"/>
        </w:rPr>
        <w:t xml:space="preserve">Completing a </w:t>
      </w:r>
      <w:proofErr w:type="gramStart"/>
      <w:r>
        <w:rPr>
          <w:rStyle w:val="bf"/>
        </w:rPr>
        <w:t>detailed  analysis</w:t>
      </w:r>
      <w:proofErr w:type="gramEnd"/>
      <w:r>
        <w:rPr>
          <w:rStyle w:val="bf"/>
        </w:rPr>
        <w:t xml:space="preserve"> of 75 business units, assessing  each against two criteria: 1) the attractiveness of the market (reflecting overall size, profit pools, reputational risk, competitor positioning and regulation) and 2) our ability to generate a sustainable return on equity in excess of our Group cost of equity, which is assumed to remain constant for the life of the plan;</w:t>
      </w:r>
    </w:p>
    <w:p w:rsidR="002B214E" w:rsidRDefault="002B214E" w:rsidP="002B214E">
      <w:pPr>
        <w:pStyle w:val="bo"/>
      </w:pPr>
      <w:r>
        <w:rPr>
          <w:rStyle w:val="aw"/>
        </w:rPr>
        <w:t></w:t>
      </w:r>
      <w:r>
        <w:rPr>
          <w:rStyle w:val="aw"/>
        </w:rPr>
        <w:tab/>
      </w:r>
      <w:r>
        <w:rPr>
          <w:rStyle w:val="bf"/>
        </w:rPr>
        <w:t>Building a financial plan based on conservative assumptions for the economic outlook and regulatory reform and factoring in the pro-forma impacts of Basel III and allocation of head office into decisions;</w:t>
      </w:r>
    </w:p>
    <w:p w:rsidR="002B214E" w:rsidRDefault="002B214E" w:rsidP="002B214E">
      <w:pPr>
        <w:pStyle w:val="bp"/>
      </w:pPr>
      <w:proofErr w:type="gramStart"/>
      <w:r>
        <w:rPr>
          <w:rStyle w:val="aw"/>
        </w:rPr>
        <w:t></w:t>
      </w:r>
      <w:r>
        <w:rPr>
          <w:rStyle w:val="aw"/>
        </w:rPr>
        <w:tab/>
      </w:r>
      <w:r>
        <w:rPr>
          <w:rStyle w:val="bf"/>
        </w:rPr>
        <w:t>Building new capabilities to ensure sustainable financial performance, including changes to culture, rewards, control and cost management.</w:t>
      </w:r>
      <w:proofErr w:type="gramEnd"/>
    </w:p>
    <w:p w:rsidR="002B214E" w:rsidRDefault="002B214E" w:rsidP="002B214E">
      <w:pPr>
        <w:pStyle w:val="bk"/>
      </w:pPr>
      <w:r>
        <w:rPr>
          <w:rStyle w:val="ba"/>
        </w:rPr>
        <w:t> </w:t>
      </w:r>
    </w:p>
    <w:p w:rsidR="002B214E" w:rsidRDefault="002B214E" w:rsidP="002B214E">
      <w:pPr>
        <w:pStyle w:val="bk"/>
      </w:pPr>
      <w:r>
        <w:rPr>
          <w:rStyle w:val="ba"/>
        </w:rPr>
        <w:t>A presentation for institutional investors and analysts will be held today at 12:30 GMT, Lindley Hall, London SW1P 2QW.</w:t>
      </w:r>
    </w:p>
    <w:p w:rsidR="002B214E" w:rsidRDefault="002B214E" w:rsidP="002B214E">
      <w:pPr>
        <w:pStyle w:val="bk"/>
      </w:pPr>
      <w:r>
        <w:rPr>
          <w:rStyle w:val="ba"/>
        </w:rPr>
        <w:t> </w:t>
      </w:r>
    </w:p>
    <w:p w:rsidR="002B214E" w:rsidRDefault="002B214E" w:rsidP="002B214E">
      <w:pPr>
        <w:pStyle w:val="bk"/>
      </w:pPr>
      <w:r>
        <w:rPr>
          <w:rStyle w:val="ba"/>
        </w:rPr>
        <w:t xml:space="preserve">The briefing will be webcast via </w:t>
      </w:r>
      <w:hyperlink r:id="rId5" w:history="1">
        <w:r>
          <w:rPr>
            <w:rStyle w:val="Hyperlink"/>
            <w:rFonts w:ascii="Arial" w:hAnsi="Arial" w:cs="Arial"/>
            <w:sz w:val="22"/>
            <w:szCs w:val="22"/>
          </w:rPr>
          <w:t>www.barclays.com/investorrelations</w:t>
        </w:r>
      </w:hyperlink>
      <w:r>
        <w:rPr>
          <w:rStyle w:val="bf"/>
        </w:rPr>
        <w:t xml:space="preserve"> and a live conference call facility made available by dialling 0845-401-0014 (UK) or +44 (0)203-059-8116 (all other locations) and quoting 'Barclays'. Following the presentation there will be an opportunity to participate in a Q&amp;A session.</w:t>
      </w:r>
    </w:p>
    <w:p w:rsidR="002B214E" w:rsidRDefault="002B214E" w:rsidP="002B214E">
      <w:pPr>
        <w:pStyle w:val="bk"/>
      </w:pPr>
      <w:r>
        <w:rPr>
          <w:rStyle w:val="ba"/>
        </w:rPr>
        <w:t> </w:t>
      </w:r>
    </w:p>
    <w:p w:rsidR="002B214E" w:rsidRDefault="002B214E" w:rsidP="002B214E">
      <w:pPr>
        <w:pStyle w:val="bk"/>
      </w:pPr>
      <w:r>
        <w:rPr>
          <w:rStyle w:val="ba"/>
        </w:rPr>
        <w:t xml:space="preserve">Supporting presentation slides will be made available for viewing and access at </w:t>
      </w:r>
      <w:hyperlink r:id="rId6" w:history="1">
        <w:r>
          <w:rPr>
            <w:rStyle w:val="Hyperlink"/>
            <w:rFonts w:ascii="Arial" w:hAnsi="Arial" w:cs="Arial"/>
            <w:sz w:val="22"/>
            <w:szCs w:val="22"/>
          </w:rPr>
          <w:t>www.barclays.com/investorrelations</w:t>
        </w:r>
      </w:hyperlink>
      <w:r>
        <w:rPr>
          <w:rStyle w:val="bf"/>
        </w:rPr>
        <w:t>. Speech transcripts will be posted later in the day.</w:t>
      </w:r>
    </w:p>
    <w:p w:rsidR="002B214E" w:rsidRDefault="002B214E" w:rsidP="002B214E">
      <w:pPr>
        <w:pStyle w:val="br"/>
      </w:pPr>
      <w:r>
        <w:rPr>
          <w:rStyle w:val="bf"/>
        </w:rPr>
        <w:t> </w:t>
      </w:r>
    </w:p>
    <w:p w:rsidR="002B214E" w:rsidRDefault="002B214E" w:rsidP="002B214E">
      <w:pPr>
        <w:pStyle w:val="br"/>
      </w:pPr>
      <w:r>
        <w:rPr>
          <w:rStyle w:val="bf"/>
        </w:rPr>
        <w:t>- Ends -</w:t>
      </w:r>
    </w:p>
    <w:p w:rsidR="002B214E" w:rsidRDefault="002B214E" w:rsidP="002B214E">
      <w:pPr>
        <w:pStyle w:val="bh"/>
      </w:pPr>
      <w:r>
        <w:rPr>
          <w:rStyle w:val="as"/>
        </w:rPr>
        <w:t> </w:t>
      </w:r>
    </w:p>
    <w:p w:rsidR="002B214E" w:rsidRDefault="002B214E" w:rsidP="002B214E">
      <w:pPr>
        <w:pStyle w:val="bh"/>
      </w:pPr>
      <w:r>
        <w:rPr>
          <w:rStyle w:val="as"/>
        </w:rPr>
        <w:t> </w:t>
      </w:r>
    </w:p>
    <w:p w:rsidR="002B214E" w:rsidRDefault="002B214E" w:rsidP="002B214E">
      <w:pPr>
        <w:pStyle w:val="bh"/>
      </w:pPr>
      <w:r>
        <w:rPr>
          <w:rStyle w:val="as"/>
        </w:rPr>
        <w:t>For further information, please contact:</w:t>
      </w:r>
    </w:p>
    <w:p w:rsidR="002B214E" w:rsidRDefault="002B214E" w:rsidP="002B214E">
      <w:pPr>
        <w:pStyle w:val="bs"/>
      </w:pPr>
      <w:r>
        <w:rPr>
          <w:rStyle w:val="ar"/>
        </w:rPr>
        <w:t> </w:t>
      </w:r>
    </w:p>
    <w:p w:rsidR="002B214E" w:rsidRDefault="002B214E" w:rsidP="002B214E">
      <w:pPr>
        <w:pStyle w:val="bt"/>
      </w:pPr>
      <w:r>
        <w:rPr>
          <w:rStyle w:val="ap"/>
        </w:rPr>
        <w:t>Barclays</w:t>
      </w:r>
    </w:p>
    <w:p w:rsidR="002B214E" w:rsidRDefault="002B214E" w:rsidP="002B214E">
      <w:pPr>
        <w:pStyle w:val="bs"/>
      </w:pPr>
      <w:r>
        <w:rPr>
          <w:rStyle w:val="an"/>
        </w:rPr>
        <w:lastRenderedPageBreak/>
        <w:t>Investor Relations</w:t>
      </w:r>
      <w:r>
        <w:rPr>
          <w:rStyle w:val="al"/>
        </w:rPr>
        <w:t xml:space="preserve">                                                            </w:t>
      </w:r>
      <w:r>
        <w:rPr>
          <w:rStyle w:val="am"/>
          <w:rFonts w:ascii="Arial" w:hAnsi="Arial" w:cs="Arial"/>
          <w:color w:val="000000"/>
          <w:sz w:val="22"/>
          <w:szCs w:val="22"/>
        </w:rPr>
        <w:t>Media Relations</w:t>
      </w:r>
      <w:r>
        <w:rPr>
          <w:rStyle w:val="al"/>
        </w:rPr>
        <w:t xml:space="preserve">                </w:t>
      </w:r>
    </w:p>
    <w:p w:rsidR="002B214E" w:rsidRDefault="002B214E" w:rsidP="002B214E">
      <w:pPr>
        <w:pStyle w:val="bs"/>
      </w:pPr>
      <w:r>
        <w:rPr>
          <w:rStyle w:val="ap"/>
        </w:rPr>
        <w:t>Charlie Rozes                                     </w:t>
      </w:r>
      <w:r>
        <w:rPr>
          <w:rStyle w:val="ap"/>
        </w:rPr>
        <w:t>                             </w:t>
      </w:r>
      <w:r>
        <w:rPr>
          <w:rStyle w:val="ap"/>
        </w:rPr>
        <w:t xml:space="preserve">Giles </w:t>
      </w:r>
      <w:proofErr w:type="spellStart"/>
      <w:r>
        <w:rPr>
          <w:rStyle w:val="ap"/>
        </w:rPr>
        <w:t>Croot</w:t>
      </w:r>
      <w:proofErr w:type="spellEnd"/>
    </w:p>
    <w:p w:rsidR="002B214E" w:rsidRDefault="002B214E" w:rsidP="002B214E">
      <w:pPr>
        <w:pStyle w:val="bs"/>
      </w:pPr>
      <w:r>
        <w:rPr>
          <w:rStyle w:val="ap"/>
        </w:rPr>
        <w:t>+44 (0) 207-116-5752                                                     +44 (0) 207-116-4755</w:t>
      </w:r>
    </w:p>
    <w:p w:rsidR="002B214E" w:rsidRDefault="002B214E" w:rsidP="002B214E">
      <w:pPr>
        <w:pStyle w:val="bl"/>
      </w:pPr>
      <w:r>
        <w:rPr>
          <w:rStyle w:val="ba"/>
        </w:rPr>
        <w:t> </w:t>
      </w:r>
    </w:p>
    <w:p w:rsidR="002B214E" w:rsidRDefault="002B214E" w:rsidP="002B214E">
      <w:pPr>
        <w:pStyle w:val="bl"/>
      </w:pPr>
      <w:r>
        <w:rPr>
          <w:rStyle w:val="ba"/>
        </w:rPr>
        <w:t>About Barclays</w:t>
      </w:r>
    </w:p>
    <w:p w:rsidR="002B214E" w:rsidRDefault="002B214E" w:rsidP="002B214E">
      <w:pPr>
        <w:pStyle w:val="bk"/>
      </w:pPr>
      <w:r>
        <w:rPr>
          <w:rStyle w:val="ba"/>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approximately 140,000 people. </w:t>
      </w:r>
      <w:proofErr w:type="gramStart"/>
      <w:r>
        <w:rPr>
          <w:rStyle w:val="ba"/>
        </w:rPr>
        <w:t>Barclays moves, lends, invests and protects money for customers and clients worldwide.</w:t>
      </w:r>
      <w:proofErr w:type="gramEnd"/>
      <w:r>
        <w:rPr>
          <w:rStyle w:val="ba"/>
        </w:rPr>
        <w:t xml:space="preserve"> </w:t>
      </w:r>
      <w:r>
        <w:rPr>
          <w:rStyle w:val="bf"/>
        </w:rPr>
        <w:t xml:space="preserve">For more information, please visit the Barclays website: </w:t>
      </w:r>
      <w:hyperlink r:id="rId7" w:history="1">
        <w:r>
          <w:rPr>
            <w:rStyle w:val="Hyperlink"/>
            <w:rFonts w:ascii="Arial" w:hAnsi="Arial" w:cs="Arial"/>
            <w:sz w:val="22"/>
            <w:szCs w:val="22"/>
          </w:rPr>
          <w:t>www.barclays.com</w:t>
        </w:r>
      </w:hyperlink>
      <w:r>
        <w:rPr>
          <w:rStyle w:val="bf"/>
        </w:rPr>
        <w:t>.</w:t>
      </w:r>
    </w:p>
    <w:p w:rsidR="002B214E" w:rsidRDefault="002B214E" w:rsidP="002B214E">
      <w:pPr>
        <w:pStyle w:val="bk"/>
      </w:pPr>
      <w:r>
        <w:rPr>
          <w:rStyle w:val="bf"/>
        </w:rPr>
        <w:t> </w:t>
      </w:r>
    </w:p>
    <w:p w:rsidR="002B214E" w:rsidRDefault="002B214E" w:rsidP="002B214E">
      <w:pPr>
        <w:pStyle w:val="bl"/>
      </w:pPr>
      <w:r>
        <w:rPr>
          <w:rStyle w:val="bf"/>
        </w:rPr>
        <w:t>Forward-looking statements</w:t>
      </w:r>
    </w:p>
    <w:p w:rsidR="002B214E" w:rsidRDefault="002B214E" w:rsidP="002B214E">
      <w:pPr>
        <w:pStyle w:val="bk"/>
      </w:pPr>
      <w:r>
        <w:rPr>
          <w:rStyle w:val="ba"/>
        </w:rPr>
        <w:t> </w:t>
      </w:r>
    </w:p>
    <w:p w:rsidR="002B214E" w:rsidRDefault="002B214E" w:rsidP="002B214E">
      <w:pPr>
        <w:pStyle w:val="bk"/>
      </w:pPr>
      <w:r>
        <w:rPr>
          <w:rStyle w:val="ba"/>
        </w:rPr>
        <w:t xml:space="preserve">This document contains certain forward-looking statements within the meaning of Section 21E of the US Securities Exchange Act of 1934, as amended, and Section 27A of the US Securities Act of 1933, as amended, with respect to certain of the Barclays Group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w:t>
      </w:r>
    </w:p>
    <w:p w:rsidR="002B214E" w:rsidRDefault="002B214E" w:rsidP="002B214E">
      <w:pPr>
        <w:pStyle w:val="bk"/>
      </w:pPr>
      <w:r>
        <w:rPr>
          <w:rStyle w:val="ba"/>
        </w:rPr>
        <w:t> </w:t>
      </w:r>
    </w:p>
    <w:p w:rsidR="002B214E" w:rsidRDefault="002B214E" w:rsidP="002B214E">
      <w:pPr>
        <w:pStyle w:val="bk"/>
      </w:pPr>
      <w:r>
        <w:rPr>
          <w:rStyle w:val="ba"/>
        </w:rPr>
        <w:t xml:space="preserve">These forward-looking statements can be identified by the fact that they do not relate only to historical or current facts. </w:t>
      </w:r>
    </w:p>
    <w:p w:rsidR="002B214E" w:rsidRDefault="002B214E" w:rsidP="002B214E">
      <w:pPr>
        <w:pStyle w:val="bk"/>
      </w:pPr>
      <w:r>
        <w:rPr>
          <w:rStyle w:val="ba"/>
        </w:rPr>
        <w:t> </w:t>
      </w:r>
    </w:p>
    <w:p w:rsidR="002B214E" w:rsidRDefault="002B214E" w:rsidP="002B214E">
      <w:pPr>
        <w:pStyle w:val="bk"/>
      </w:pPr>
      <w:r>
        <w:rPr>
          <w:rStyle w:val="ba"/>
        </w:rPr>
        <w:t>Forward-looking statements sometimes use words such as "may", "will", "seek", "continue", "aim", "anticipate", "target", "projected",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forward-looking statements involve risk and uncertainty because they relate to future events and circumstances, including, but not limited to, UK domestic, Eurozone and global macroeconomic and business conditions, the effects of continued volatility in credit markets, market related risks such as changes in interest rates and foreign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Eurozone), changes in legislation, the further development of standards and interpretations under International Financial Reporting Standards ("IFRS") applicable to past, current and future periods, evolving practices with regard to the interpretation and application of standards under IFRS, the outcome of current and future legal proceedings, the success of future acquisitions and other strategic transactions and the impact of competition, a number of which factors being beyond the Group's control. As a result, the Group's actual future results may differ materially from the plans, goals, and expectations set forth in the Group's forward-looking statements.</w:t>
      </w:r>
    </w:p>
    <w:p w:rsidR="002B214E" w:rsidRDefault="002B214E" w:rsidP="002B214E">
      <w:pPr>
        <w:pStyle w:val="bk"/>
      </w:pPr>
      <w:r>
        <w:rPr>
          <w:rStyle w:val="ba"/>
        </w:rPr>
        <w:t> </w:t>
      </w:r>
    </w:p>
    <w:p w:rsidR="00097459" w:rsidRPr="002B214E" w:rsidRDefault="002B214E" w:rsidP="002B214E">
      <w:pPr>
        <w:pStyle w:val="bk"/>
      </w:pPr>
      <w:r>
        <w:rPr>
          <w:rStyle w:val="ba"/>
        </w:rPr>
        <w:t xml:space="preserve">Any forward-looking statements made herein speak only as of the date they are made. Except as required by the UK Financial Services Authority, the London Stock Exchange </w:t>
      </w:r>
      <w:proofErr w:type="spellStart"/>
      <w:r>
        <w:rPr>
          <w:rStyle w:val="ba"/>
        </w:rPr>
        <w:t>plc</w:t>
      </w:r>
      <w:proofErr w:type="spellEnd"/>
      <w:r>
        <w:rPr>
          <w:rStyle w:val="ba"/>
        </w:rPr>
        <w:t xml:space="preserve"> (LSE) or applicable law, Barclays expressly disclaims any obligation or undertaking to release publicly any updates or revisions to any forward-looking statements contained herein to reflect any change in Barclays expectations with regard thereto or any change in events, conditions or circumstances on which any such statement is based. The reader should, however, consult any additional disclosures that Barclays has made or may make in </w:t>
      </w:r>
      <w:r>
        <w:rPr>
          <w:rStyle w:val="ba"/>
        </w:rPr>
        <w:lastRenderedPageBreak/>
        <w:t>documents it has published or may publish via the Regulatory News Service of the LSE and/or has filed or may file with the US Securities and Exchange Commission.</w:t>
      </w:r>
    </w:p>
    <w:sectPr w:rsidR="00097459" w:rsidRPr="002B214E" w:rsidSect="00097459">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35A"/>
    <w:rsid w:val="00097459"/>
    <w:rsid w:val="0010035A"/>
    <w:rsid w:val="002B214E"/>
    <w:rsid w:val="00A16DE0"/>
    <w:rsid w:val="00BF4795"/>
    <w:rsid w:val="00FE2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
    <w:name w:val="bh"/>
    <w:basedOn w:val="Normal"/>
    <w:rsid w:val="0010035A"/>
    <w:pPr>
      <w:spacing w:after="0" w:line="240" w:lineRule="auto"/>
    </w:pPr>
    <w:rPr>
      <w:rFonts w:ascii="Times New Roman" w:eastAsia="Times New Roman" w:hAnsi="Times New Roman" w:cs="Times New Roman"/>
      <w:b/>
      <w:bCs/>
      <w:sz w:val="24"/>
      <w:szCs w:val="24"/>
      <w:lang w:eastAsia="en-GB"/>
    </w:rPr>
  </w:style>
  <w:style w:type="paragraph" w:customStyle="1" w:styleId="bi">
    <w:name w:val="bi"/>
    <w:basedOn w:val="Normal"/>
    <w:rsid w:val="0010035A"/>
    <w:pPr>
      <w:spacing w:after="0" w:line="240" w:lineRule="auto"/>
      <w:jc w:val="right"/>
    </w:pPr>
    <w:rPr>
      <w:rFonts w:ascii="Times New Roman" w:eastAsia="Times New Roman" w:hAnsi="Times New Roman" w:cs="Times New Roman"/>
      <w:b/>
      <w:bCs/>
      <w:sz w:val="24"/>
      <w:szCs w:val="24"/>
      <w:lang w:eastAsia="en-GB"/>
    </w:rPr>
  </w:style>
  <w:style w:type="paragraph" w:customStyle="1" w:styleId="bj">
    <w:name w:val="bj"/>
    <w:basedOn w:val="Normal"/>
    <w:rsid w:val="0010035A"/>
    <w:pPr>
      <w:spacing w:after="0" w:line="240" w:lineRule="auto"/>
      <w:jc w:val="center"/>
    </w:pPr>
    <w:rPr>
      <w:rFonts w:ascii="Times New Roman" w:eastAsia="Times New Roman" w:hAnsi="Times New Roman" w:cs="Times New Roman"/>
      <w:b/>
      <w:bCs/>
      <w:sz w:val="24"/>
      <w:szCs w:val="24"/>
      <w:lang w:eastAsia="en-GB"/>
    </w:rPr>
  </w:style>
  <w:style w:type="paragraph" w:customStyle="1" w:styleId="bk">
    <w:name w:val="bk"/>
    <w:basedOn w:val="Normal"/>
    <w:rsid w:val="0010035A"/>
    <w:pPr>
      <w:spacing w:after="0" w:line="240" w:lineRule="auto"/>
      <w:jc w:val="both"/>
    </w:pPr>
    <w:rPr>
      <w:rFonts w:ascii="Times New Roman" w:eastAsia="Times New Roman" w:hAnsi="Times New Roman" w:cs="Times New Roman"/>
      <w:sz w:val="24"/>
      <w:szCs w:val="24"/>
      <w:lang w:eastAsia="en-GB"/>
    </w:rPr>
  </w:style>
  <w:style w:type="paragraph" w:customStyle="1" w:styleId="bl">
    <w:name w:val="bl"/>
    <w:basedOn w:val="Normal"/>
    <w:rsid w:val="0010035A"/>
    <w:pPr>
      <w:spacing w:after="0" w:line="240" w:lineRule="auto"/>
      <w:jc w:val="both"/>
    </w:pPr>
    <w:rPr>
      <w:rFonts w:ascii="Times New Roman" w:eastAsia="Times New Roman" w:hAnsi="Times New Roman" w:cs="Times New Roman"/>
      <w:b/>
      <w:bCs/>
      <w:sz w:val="24"/>
      <w:szCs w:val="24"/>
      <w:lang w:eastAsia="en-GB"/>
    </w:rPr>
  </w:style>
  <w:style w:type="paragraph" w:customStyle="1" w:styleId="bm">
    <w:name w:val="bm"/>
    <w:basedOn w:val="Normal"/>
    <w:rsid w:val="0010035A"/>
    <w:pPr>
      <w:spacing w:after="0" w:line="240" w:lineRule="auto"/>
      <w:jc w:val="both"/>
    </w:pPr>
    <w:rPr>
      <w:rFonts w:ascii="Times New Roman" w:eastAsia="Times New Roman" w:hAnsi="Times New Roman" w:cs="Times New Roman"/>
      <w:i/>
      <w:iCs/>
      <w:sz w:val="24"/>
      <w:szCs w:val="24"/>
      <w:lang w:eastAsia="en-GB"/>
    </w:rPr>
  </w:style>
  <w:style w:type="paragraph" w:customStyle="1" w:styleId="bn">
    <w:name w:val="bn"/>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o">
    <w:name w:val="bo"/>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p">
    <w:name w:val="bp"/>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q">
    <w:name w:val="bq"/>
    <w:basedOn w:val="Normal"/>
    <w:rsid w:val="0010035A"/>
    <w:pPr>
      <w:spacing w:after="0" w:line="240" w:lineRule="auto"/>
      <w:ind w:left="360"/>
      <w:jc w:val="both"/>
    </w:pPr>
    <w:rPr>
      <w:rFonts w:ascii="Times New Roman" w:eastAsia="Times New Roman" w:hAnsi="Times New Roman" w:cs="Times New Roman"/>
      <w:sz w:val="24"/>
      <w:szCs w:val="24"/>
      <w:lang w:eastAsia="en-GB"/>
    </w:rPr>
  </w:style>
  <w:style w:type="paragraph" w:customStyle="1" w:styleId="br">
    <w:name w:val="br"/>
    <w:basedOn w:val="Normal"/>
    <w:rsid w:val="0010035A"/>
    <w:pPr>
      <w:spacing w:after="0" w:line="240" w:lineRule="auto"/>
      <w:jc w:val="center"/>
    </w:pPr>
    <w:rPr>
      <w:rFonts w:ascii="Times New Roman" w:eastAsia="Times New Roman" w:hAnsi="Times New Roman" w:cs="Times New Roman"/>
      <w:b/>
      <w:bCs/>
      <w:sz w:val="24"/>
      <w:szCs w:val="24"/>
      <w:lang w:eastAsia="en-GB"/>
    </w:rPr>
  </w:style>
  <w:style w:type="paragraph" w:customStyle="1" w:styleId="bs">
    <w:name w:val="bs"/>
    <w:basedOn w:val="Normal"/>
    <w:rsid w:val="0010035A"/>
    <w:pPr>
      <w:spacing w:after="0" w:line="240" w:lineRule="auto"/>
      <w:jc w:val="both"/>
    </w:pPr>
    <w:rPr>
      <w:rFonts w:ascii="Times New Roman" w:eastAsia="Times New Roman" w:hAnsi="Times New Roman" w:cs="Times New Roman"/>
      <w:sz w:val="24"/>
      <w:szCs w:val="24"/>
      <w:lang w:eastAsia="en-GB"/>
    </w:rPr>
  </w:style>
  <w:style w:type="paragraph" w:customStyle="1" w:styleId="bt">
    <w:name w:val="bt"/>
    <w:basedOn w:val="Normal"/>
    <w:rsid w:val="0010035A"/>
    <w:pPr>
      <w:spacing w:after="0" w:line="240" w:lineRule="auto"/>
      <w:jc w:val="both"/>
    </w:pPr>
    <w:rPr>
      <w:rFonts w:ascii="Times New Roman" w:eastAsia="Times New Roman" w:hAnsi="Times New Roman" w:cs="Times New Roman"/>
      <w:b/>
      <w:bCs/>
      <w:sz w:val="24"/>
      <w:szCs w:val="24"/>
      <w:lang w:eastAsia="en-GB"/>
    </w:rPr>
  </w:style>
  <w:style w:type="character" w:customStyle="1" w:styleId="bf">
    <w:name w:val="bf"/>
    <w:basedOn w:val="DefaultParagraphFont"/>
    <w:rsid w:val="0010035A"/>
    <w:rPr>
      <w:rFonts w:ascii="Arial" w:hAnsi="Arial" w:cs="Arial" w:hint="default"/>
      <w:sz w:val="22"/>
      <w:szCs w:val="22"/>
    </w:rPr>
  </w:style>
  <w:style w:type="character" w:customStyle="1" w:styleId="bc">
    <w:name w:val="bc"/>
    <w:basedOn w:val="DefaultParagraphFont"/>
    <w:rsid w:val="0010035A"/>
    <w:rPr>
      <w:rFonts w:ascii="Arial" w:hAnsi="Arial" w:cs="Arial" w:hint="default"/>
      <w:sz w:val="20"/>
      <w:szCs w:val="20"/>
    </w:rPr>
  </w:style>
  <w:style w:type="character" w:customStyle="1" w:styleId="ba">
    <w:name w:val="ba"/>
    <w:basedOn w:val="DefaultParagraphFont"/>
    <w:rsid w:val="0010035A"/>
    <w:rPr>
      <w:rFonts w:ascii="Arial" w:hAnsi="Arial" w:cs="Arial" w:hint="default"/>
      <w:sz w:val="22"/>
      <w:szCs w:val="22"/>
    </w:rPr>
  </w:style>
  <w:style w:type="character" w:customStyle="1" w:styleId="aw">
    <w:name w:val="aw"/>
    <w:basedOn w:val="DefaultParagraphFont"/>
    <w:rsid w:val="0010035A"/>
    <w:rPr>
      <w:rFonts w:ascii="Symbol" w:hAnsi="Symbol" w:hint="default"/>
      <w:sz w:val="22"/>
      <w:szCs w:val="22"/>
    </w:rPr>
  </w:style>
  <w:style w:type="character" w:customStyle="1" w:styleId="as">
    <w:name w:val="as"/>
    <w:basedOn w:val="DefaultParagraphFont"/>
    <w:rsid w:val="0010035A"/>
    <w:rPr>
      <w:rFonts w:ascii="Arial" w:hAnsi="Arial" w:cs="Arial" w:hint="default"/>
      <w:color w:val="000000"/>
      <w:sz w:val="22"/>
      <w:szCs w:val="22"/>
    </w:rPr>
  </w:style>
  <w:style w:type="character" w:customStyle="1" w:styleId="ar">
    <w:name w:val="ar"/>
    <w:basedOn w:val="DefaultParagraphFont"/>
    <w:rsid w:val="0010035A"/>
    <w:rPr>
      <w:rFonts w:ascii="Arial" w:hAnsi="Arial" w:cs="Arial" w:hint="default"/>
      <w:color w:val="000000"/>
      <w:sz w:val="20"/>
      <w:szCs w:val="20"/>
    </w:rPr>
  </w:style>
  <w:style w:type="character" w:customStyle="1" w:styleId="ap">
    <w:name w:val="ap"/>
    <w:basedOn w:val="DefaultParagraphFont"/>
    <w:rsid w:val="0010035A"/>
    <w:rPr>
      <w:rFonts w:ascii="Arial" w:hAnsi="Arial" w:cs="Arial" w:hint="default"/>
      <w:color w:val="000000"/>
      <w:sz w:val="22"/>
      <w:szCs w:val="22"/>
    </w:rPr>
  </w:style>
  <w:style w:type="character" w:customStyle="1" w:styleId="an">
    <w:name w:val="an"/>
    <w:basedOn w:val="DefaultParagraphFont"/>
    <w:rsid w:val="0010035A"/>
    <w:rPr>
      <w:rFonts w:ascii="Arial" w:hAnsi="Arial" w:cs="Arial" w:hint="default"/>
      <w:color w:val="000000"/>
      <w:sz w:val="22"/>
      <w:szCs w:val="22"/>
      <w:u w:val="single"/>
    </w:rPr>
  </w:style>
  <w:style w:type="character" w:customStyle="1" w:styleId="al">
    <w:name w:val="al"/>
    <w:basedOn w:val="DefaultParagraphFont"/>
    <w:rsid w:val="0010035A"/>
    <w:rPr>
      <w:rFonts w:ascii="Arial" w:hAnsi="Arial" w:cs="Arial" w:hint="default"/>
      <w:color w:val="000000"/>
      <w:sz w:val="22"/>
      <w:szCs w:val="22"/>
    </w:rPr>
  </w:style>
  <w:style w:type="character" w:customStyle="1" w:styleId="am">
    <w:name w:val="am"/>
    <w:basedOn w:val="DefaultParagraphFont"/>
    <w:rsid w:val="0010035A"/>
    <w:rPr>
      <w:u w:val="single"/>
    </w:rPr>
  </w:style>
  <w:style w:type="character" w:styleId="Hyperlink">
    <w:name w:val="Hyperlink"/>
    <w:basedOn w:val="DefaultParagraphFont"/>
    <w:uiPriority w:val="99"/>
    <w:semiHidden/>
    <w:unhideWhenUsed/>
    <w:rsid w:val="0010035A"/>
    <w:rPr>
      <w:color w:val="0000FF"/>
      <w:u w:val="single"/>
    </w:rPr>
  </w:style>
  <w:style w:type="paragraph" w:styleId="BalloonText">
    <w:name w:val="Balloon Text"/>
    <w:basedOn w:val="Normal"/>
    <w:link w:val="BalloonTextChar"/>
    <w:uiPriority w:val="99"/>
    <w:semiHidden/>
    <w:unhideWhenUsed/>
    <w:rsid w:val="002B2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0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h">
    <w:name w:val="bh"/>
    <w:basedOn w:val="Normal"/>
    <w:rsid w:val="0010035A"/>
    <w:pPr>
      <w:spacing w:after="0" w:line="240" w:lineRule="auto"/>
    </w:pPr>
    <w:rPr>
      <w:rFonts w:ascii="Times New Roman" w:eastAsia="Times New Roman" w:hAnsi="Times New Roman" w:cs="Times New Roman"/>
      <w:b/>
      <w:bCs/>
      <w:sz w:val="24"/>
      <w:szCs w:val="24"/>
      <w:lang w:eastAsia="en-GB"/>
    </w:rPr>
  </w:style>
  <w:style w:type="paragraph" w:customStyle="1" w:styleId="bi">
    <w:name w:val="bi"/>
    <w:basedOn w:val="Normal"/>
    <w:rsid w:val="0010035A"/>
    <w:pPr>
      <w:spacing w:after="0" w:line="240" w:lineRule="auto"/>
      <w:jc w:val="right"/>
    </w:pPr>
    <w:rPr>
      <w:rFonts w:ascii="Times New Roman" w:eastAsia="Times New Roman" w:hAnsi="Times New Roman" w:cs="Times New Roman"/>
      <w:b/>
      <w:bCs/>
      <w:sz w:val="24"/>
      <w:szCs w:val="24"/>
      <w:lang w:eastAsia="en-GB"/>
    </w:rPr>
  </w:style>
  <w:style w:type="paragraph" w:customStyle="1" w:styleId="bj">
    <w:name w:val="bj"/>
    <w:basedOn w:val="Normal"/>
    <w:rsid w:val="0010035A"/>
    <w:pPr>
      <w:spacing w:after="0" w:line="240" w:lineRule="auto"/>
      <w:jc w:val="center"/>
    </w:pPr>
    <w:rPr>
      <w:rFonts w:ascii="Times New Roman" w:eastAsia="Times New Roman" w:hAnsi="Times New Roman" w:cs="Times New Roman"/>
      <w:b/>
      <w:bCs/>
      <w:sz w:val="24"/>
      <w:szCs w:val="24"/>
      <w:lang w:eastAsia="en-GB"/>
    </w:rPr>
  </w:style>
  <w:style w:type="paragraph" w:customStyle="1" w:styleId="bk">
    <w:name w:val="bk"/>
    <w:basedOn w:val="Normal"/>
    <w:rsid w:val="0010035A"/>
    <w:pPr>
      <w:spacing w:after="0" w:line="240" w:lineRule="auto"/>
      <w:jc w:val="both"/>
    </w:pPr>
    <w:rPr>
      <w:rFonts w:ascii="Times New Roman" w:eastAsia="Times New Roman" w:hAnsi="Times New Roman" w:cs="Times New Roman"/>
      <w:sz w:val="24"/>
      <w:szCs w:val="24"/>
      <w:lang w:eastAsia="en-GB"/>
    </w:rPr>
  </w:style>
  <w:style w:type="paragraph" w:customStyle="1" w:styleId="bl">
    <w:name w:val="bl"/>
    <w:basedOn w:val="Normal"/>
    <w:rsid w:val="0010035A"/>
    <w:pPr>
      <w:spacing w:after="0" w:line="240" w:lineRule="auto"/>
      <w:jc w:val="both"/>
    </w:pPr>
    <w:rPr>
      <w:rFonts w:ascii="Times New Roman" w:eastAsia="Times New Roman" w:hAnsi="Times New Roman" w:cs="Times New Roman"/>
      <w:b/>
      <w:bCs/>
      <w:sz w:val="24"/>
      <w:szCs w:val="24"/>
      <w:lang w:eastAsia="en-GB"/>
    </w:rPr>
  </w:style>
  <w:style w:type="paragraph" w:customStyle="1" w:styleId="bm">
    <w:name w:val="bm"/>
    <w:basedOn w:val="Normal"/>
    <w:rsid w:val="0010035A"/>
    <w:pPr>
      <w:spacing w:after="0" w:line="240" w:lineRule="auto"/>
      <w:jc w:val="both"/>
    </w:pPr>
    <w:rPr>
      <w:rFonts w:ascii="Times New Roman" w:eastAsia="Times New Roman" w:hAnsi="Times New Roman" w:cs="Times New Roman"/>
      <w:i/>
      <w:iCs/>
      <w:sz w:val="24"/>
      <w:szCs w:val="24"/>
      <w:lang w:eastAsia="en-GB"/>
    </w:rPr>
  </w:style>
  <w:style w:type="paragraph" w:customStyle="1" w:styleId="bn">
    <w:name w:val="bn"/>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o">
    <w:name w:val="bo"/>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p">
    <w:name w:val="bp"/>
    <w:basedOn w:val="Normal"/>
    <w:rsid w:val="0010035A"/>
    <w:pPr>
      <w:spacing w:after="0" w:line="240" w:lineRule="auto"/>
      <w:ind w:left="360" w:hanging="360"/>
      <w:jc w:val="both"/>
    </w:pPr>
    <w:rPr>
      <w:rFonts w:ascii="Times New Roman" w:eastAsia="Times New Roman" w:hAnsi="Times New Roman" w:cs="Times New Roman"/>
      <w:sz w:val="24"/>
      <w:szCs w:val="24"/>
      <w:lang w:eastAsia="en-GB"/>
    </w:rPr>
  </w:style>
  <w:style w:type="paragraph" w:customStyle="1" w:styleId="bq">
    <w:name w:val="bq"/>
    <w:basedOn w:val="Normal"/>
    <w:rsid w:val="0010035A"/>
    <w:pPr>
      <w:spacing w:after="0" w:line="240" w:lineRule="auto"/>
      <w:ind w:left="360"/>
      <w:jc w:val="both"/>
    </w:pPr>
    <w:rPr>
      <w:rFonts w:ascii="Times New Roman" w:eastAsia="Times New Roman" w:hAnsi="Times New Roman" w:cs="Times New Roman"/>
      <w:sz w:val="24"/>
      <w:szCs w:val="24"/>
      <w:lang w:eastAsia="en-GB"/>
    </w:rPr>
  </w:style>
  <w:style w:type="paragraph" w:customStyle="1" w:styleId="br">
    <w:name w:val="br"/>
    <w:basedOn w:val="Normal"/>
    <w:rsid w:val="0010035A"/>
    <w:pPr>
      <w:spacing w:after="0" w:line="240" w:lineRule="auto"/>
      <w:jc w:val="center"/>
    </w:pPr>
    <w:rPr>
      <w:rFonts w:ascii="Times New Roman" w:eastAsia="Times New Roman" w:hAnsi="Times New Roman" w:cs="Times New Roman"/>
      <w:b/>
      <w:bCs/>
      <w:sz w:val="24"/>
      <w:szCs w:val="24"/>
      <w:lang w:eastAsia="en-GB"/>
    </w:rPr>
  </w:style>
  <w:style w:type="paragraph" w:customStyle="1" w:styleId="bs">
    <w:name w:val="bs"/>
    <w:basedOn w:val="Normal"/>
    <w:rsid w:val="0010035A"/>
    <w:pPr>
      <w:spacing w:after="0" w:line="240" w:lineRule="auto"/>
      <w:jc w:val="both"/>
    </w:pPr>
    <w:rPr>
      <w:rFonts w:ascii="Times New Roman" w:eastAsia="Times New Roman" w:hAnsi="Times New Roman" w:cs="Times New Roman"/>
      <w:sz w:val="24"/>
      <w:szCs w:val="24"/>
      <w:lang w:eastAsia="en-GB"/>
    </w:rPr>
  </w:style>
  <w:style w:type="paragraph" w:customStyle="1" w:styleId="bt">
    <w:name w:val="bt"/>
    <w:basedOn w:val="Normal"/>
    <w:rsid w:val="0010035A"/>
    <w:pPr>
      <w:spacing w:after="0" w:line="240" w:lineRule="auto"/>
      <w:jc w:val="both"/>
    </w:pPr>
    <w:rPr>
      <w:rFonts w:ascii="Times New Roman" w:eastAsia="Times New Roman" w:hAnsi="Times New Roman" w:cs="Times New Roman"/>
      <w:b/>
      <w:bCs/>
      <w:sz w:val="24"/>
      <w:szCs w:val="24"/>
      <w:lang w:eastAsia="en-GB"/>
    </w:rPr>
  </w:style>
  <w:style w:type="character" w:customStyle="1" w:styleId="bf">
    <w:name w:val="bf"/>
    <w:basedOn w:val="DefaultParagraphFont"/>
    <w:rsid w:val="0010035A"/>
    <w:rPr>
      <w:rFonts w:ascii="Arial" w:hAnsi="Arial" w:cs="Arial" w:hint="default"/>
      <w:sz w:val="22"/>
      <w:szCs w:val="22"/>
    </w:rPr>
  </w:style>
  <w:style w:type="character" w:customStyle="1" w:styleId="bc">
    <w:name w:val="bc"/>
    <w:basedOn w:val="DefaultParagraphFont"/>
    <w:rsid w:val="0010035A"/>
    <w:rPr>
      <w:rFonts w:ascii="Arial" w:hAnsi="Arial" w:cs="Arial" w:hint="default"/>
      <w:sz w:val="20"/>
      <w:szCs w:val="20"/>
    </w:rPr>
  </w:style>
  <w:style w:type="character" w:customStyle="1" w:styleId="ba">
    <w:name w:val="ba"/>
    <w:basedOn w:val="DefaultParagraphFont"/>
    <w:rsid w:val="0010035A"/>
    <w:rPr>
      <w:rFonts w:ascii="Arial" w:hAnsi="Arial" w:cs="Arial" w:hint="default"/>
      <w:sz w:val="22"/>
      <w:szCs w:val="22"/>
    </w:rPr>
  </w:style>
  <w:style w:type="character" w:customStyle="1" w:styleId="aw">
    <w:name w:val="aw"/>
    <w:basedOn w:val="DefaultParagraphFont"/>
    <w:rsid w:val="0010035A"/>
    <w:rPr>
      <w:rFonts w:ascii="Symbol" w:hAnsi="Symbol" w:hint="default"/>
      <w:sz w:val="22"/>
      <w:szCs w:val="22"/>
    </w:rPr>
  </w:style>
  <w:style w:type="character" w:customStyle="1" w:styleId="as">
    <w:name w:val="as"/>
    <w:basedOn w:val="DefaultParagraphFont"/>
    <w:rsid w:val="0010035A"/>
    <w:rPr>
      <w:rFonts w:ascii="Arial" w:hAnsi="Arial" w:cs="Arial" w:hint="default"/>
      <w:color w:val="000000"/>
      <w:sz w:val="22"/>
      <w:szCs w:val="22"/>
    </w:rPr>
  </w:style>
  <w:style w:type="character" w:customStyle="1" w:styleId="ar">
    <w:name w:val="ar"/>
    <w:basedOn w:val="DefaultParagraphFont"/>
    <w:rsid w:val="0010035A"/>
    <w:rPr>
      <w:rFonts w:ascii="Arial" w:hAnsi="Arial" w:cs="Arial" w:hint="default"/>
      <w:color w:val="000000"/>
      <w:sz w:val="20"/>
      <w:szCs w:val="20"/>
    </w:rPr>
  </w:style>
  <w:style w:type="character" w:customStyle="1" w:styleId="ap">
    <w:name w:val="ap"/>
    <w:basedOn w:val="DefaultParagraphFont"/>
    <w:rsid w:val="0010035A"/>
    <w:rPr>
      <w:rFonts w:ascii="Arial" w:hAnsi="Arial" w:cs="Arial" w:hint="default"/>
      <w:color w:val="000000"/>
      <w:sz w:val="22"/>
      <w:szCs w:val="22"/>
    </w:rPr>
  </w:style>
  <w:style w:type="character" w:customStyle="1" w:styleId="an">
    <w:name w:val="an"/>
    <w:basedOn w:val="DefaultParagraphFont"/>
    <w:rsid w:val="0010035A"/>
    <w:rPr>
      <w:rFonts w:ascii="Arial" w:hAnsi="Arial" w:cs="Arial" w:hint="default"/>
      <w:color w:val="000000"/>
      <w:sz w:val="22"/>
      <w:szCs w:val="22"/>
      <w:u w:val="single"/>
    </w:rPr>
  </w:style>
  <w:style w:type="character" w:customStyle="1" w:styleId="al">
    <w:name w:val="al"/>
    <w:basedOn w:val="DefaultParagraphFont"/>
    <w:rsid w:val="0010035A"/>
    <w:rPr>
      <w:rFonts w:ascii="Arial" w:hAnsi="Arial" w:cs="Arial" w:hint="default"/>
      <w:color w:val="000000"/>
      <w:sz w:val="22"/>
      <w:szCs w:val="22"/>
    </w:rPr>
  </w:style>
  <w:style w:type="character" w:customStyle="1" w:styleId="am">
    <w:name w:val="am"/>
    <w:basedOn w:val="DefaultParagraphFont"/>
    <w:rsid w:val="0010035A"/>
    <w:rPr>
      <w:u w:val="single"/>
    </w:rPr>
  </w:style>
  <w:style w:type="character" w:styleId="Hyperlink">
    <w:name w:val="Hyperlink"/>
    <w:basedOn w:val="DefaultParagraphFont"/>
    <w:uiPriority w:val="99"/>
    <w:semiHidden/>
    <w:unhideWhenUsed/>
    <w:rsid w:val="0010035A"/>
    <w:rPr>
      <w:color w:val="0000FF"/>
      <w:u w:val="single"/>
    </w:rPr>
  </w:style>
  <w:style w:type="paragraph" w:styleId="BalloonText">
    <w:name w:val="Balloon Text"/>
    <w:basedOn w:val="Normal"/>
    <w:link w:val="BalloonTextChar"/>
    <w:uiPriority w:val="99"/>
    <w:semiHidden/>
    <w:unhideWhenUsed/>
    <w:rsid w:val="002B2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4065">
      <w:bodyDiv w:val="1"/>
      <w:marLeft w:val="0"/>
      <w:marRight w:val="0"/>
      <w:marTop w:val="0"/>
      <w:marBottom w:val="0"/>
      <w:divBdr>
        <w:top w:val="none" w:sz="0" w:space="0" w:color="auto"/>
        <w:left w:val="none" w:sz="0" w:space="0" w:color="auto"/>
        <w:bottom w:val="none" w:sz="0" w:space="0" w:color="auto"/>
        <w:right w:val="none" w:sz="0" w:space="0" w:color="auto"/>
      </w:divBdr>
      <w:divsChild>
        <w:div w:id="965694066">
          <w:marLeft w:val="1247"/>
          <w:marRight w:val="1247"/>
          <w:marTop w:val="1247"/>
          <w:marBottom w:val="1247"/>
          <w:divBdr>
            <w:top w:val="none" w:sz="0" w:space="0" w:color="auto"/>
            <w:left w:val="none" w:sz="0" w:space="0" w:color="auto"/>
            <w:bottom w:val="none" w:sz="0" w:space="0" w:color="auto"/>
            <w:right w:val="none" w:sz="0" w:space="0" w:color="auto"/>
          </w:divBdr>
        </w:div>
      </w:divsChild>
    </w:div>
    <w:div w:id="509754561">
      <w:bodyDiv w:val="1"/>
      <w:marLeft w:val="0"/>
      <w:marRight w:val="0"/>
      <w:marTop w:val="0"/>
      <w:marBottom w:val="0"/>
      <w:divBdr>
        <w:top w:val="none" w:sz="0" w:space="0" w:color="auto"/>
        <w:left w:val="none" w:sz="0" w:space="0" w:color="auto"/>
        <w:bottom w:val="none" w:sz="0" w:space="0" w:color="auto"/>
        <w:right w:val="none" w:sz="0" w:space="0" w:color="auto"/>
      </w:divBdr>
      <w:divsChild>
        <w:div w:id="422528898">
          <w:marLeft w:val="1134"/>
          <w:marRight w:val="1134"/>
          <w:marTop w:val="851"/>
          <w:marBottom w:val="567"/>
          <w:divBdr>
            <w:top w:val="none" w:sz="0" w:space="0" w:color="auto"/>
            <w:left w:val="none" w:sz="0" w:space="0" w:color="auto"/>
            <w:bottom w:val="none" w:sz="0" w:space="0" w:color="auto"/>
            <w:right w:val="none" w:sz="0" w:space="0" w:color="auto"/>
          </w:divBdr>
          <w:divsChild>
            <w:div w:id="1249576117">
              <w:marLeft w:val="0"/>
              <w:marRight w:val="0"/>
              <w:marTop w:val="0"/>
              <w:marBottom w:val="0"/>
              <w:divBdr>
                <w:top w:val="single" w:sz="8" w:space="1" w:color="auto"/>
                <w:left w:val="none" w:sz="0" w:space="0" w:color="auto"/>
                <w:bottom w:val="none" w:sz="0" w:space="0" w:color="auto"/>
                <w:right w:val="none" w:sz="0" w:space="0" w:color="auto"/>
              </w:divBdr>
            </w:div>
            <w:div w:id="2005010515">
              <w:marLeft w:val="0"/>
              <w:marRight w:val="0"/>
              <w:marTop w:val="0"/>
              <w:marBottom w:val="0"/>
              <w:divBdr>
                <w:top w:val="single" w:sz="8" w:space="1" w:color="auto"/>
                <w:left w:val="none" w:sz="0" w:space="0" w:color="auto"/>
                <w:bottom w:val="none" w:sz="0" w:space="0" w:color="auto"/>
                <w:right w:val="none" w:sz="0" w:space="0" w:color="auto"/>
              </w:divBdr>
            </w:div>
            <w:div w:id="955134953">
              <w:marLeft w:val="0"/>
              <w:marRight w:val="0"/>
              <w:marTop w:val="0"/>
              <w:marBottom w:val="0"/>
              <w:divBdr>
                <w:top w:val="single" w:sz="8" w:space="1" w:color="auto"/>
                <w:left w:val="none" w:sz="0" w:space="0" w:color="auto"/>
                <w:bottom w:val="none" w:sz="0" w:space="0" w:color="auto"/>
                <w:right w:val="none" w:sz="0" w:space="0" w:color="auto"/>
              </w:divBdr>
            </w:div>
            <w:div w:id="2061394462">
              <w:marLeft w:val="0"/>
              <w:marRight w:val="0"/>
              <w:marTop w:val="0"/>
              <w:marBottom w:val="0"/>
              <w:divBdr>
                <w:top w:val="single" w:sz="8" w:space="1" w:color="auto"/>
                <w:left w:val="none" w:sz="0" w:space="0" w:color="auto"/>
                <w:bottom w:val="none" w:sz="0" w:space="0" w:color="auto"/>
                <w:right w:val="none" w:sz="0" w:space="0" w:color="auto"/>
              </w:divBdr>
            </w:div>
            <w:div w:id="847450239">
              <w:marLeft w:val="0"/>
              <w:marRight w:val="0"/>
              <w:marTop w:val="0"/>
              <w:marBottom w:val="0"/>
              <w:divBdr>
                <w:top w:val="single" w:sz="8" w:space="1" w:color="969696"/>
                <w:left w:val="single" w:sz="8" w:space="1" w:color="969696"/>
                <w:bottom w:val="single" w:sz="8" w:space="13" w:color="969696"/>
                <w:right w:val="single" w:sz="8" w:space="1" w:color="969696"/>
              </w:divBdr>
            </w:div>
          </w:divsChild>
        </w:div>
        <w:div w:id="613948789">
          <w:marLeft w:val="1134"/>
          <w:marRight w:val="1134"/>
          <w:marTop w:val="851"/>
          <w:marBottom w:val="567"/>
          <w:divBdr>
            <w:top w:val="none" w:sz="0" w:space="0" w:color="auto"/>
            <w:left w:val="none" w:sz="0" w:space="0" w:color="auto"/>
            <w:bottom w:val="none" w:sz="0" w:space="0" w:color="auto"/>
            <w:right w:val="none" w:sz="0" w:space="0" w:color="auto"/>
          </w:divBdr>
        </w:div>
      </w:divsChild>
    </w:div>
    <w:div w:id="1102453080">
      <w:bodyDiv w:val="1"/>
      <w:marLeft w:val="0"/>
      <w:marRight w:val="0"/>
      <w:marTop w:val="0"/>
      <w:marBottom w:val="0"/>
      <w:divBdr>
        <w:top w:val="none" w:sz="0" w:space="0" w:color="auto"/>
        <w:left w:val="none" w:sz="0" w:space="0" w:color="auto"/>
        <w:bottom w:val="none" w:sz="0" w:space="0" w:color="auto"/>
        <w:right w:val="none" w:sz="0" w:space="0" w:color="auto"/>
      </w:divBdr>
      <w:divsChild>
        <w:div w:id="1103693798">
          <w:marLeft w:val="0"/>
          <w:marRight w:val="0"/>
          <w:marTop w:val="0"/>
          <w:marBottom w:val="0"/>
          <w:divBdr>
            <w:top w:val="none" w:sz="0" w:space="0" w:color="auto"/>
            <w:left w:val="none" w:sz="0" w:space="0" w:color="auto"/>
            <w:bottom w:val="none" w:sz="0" w:space="0" w:color="auto"/>
            <w:right w:val="none" w:sz="0" w:space="0" w:color="auto"/>
          </w:divBdr>
        </w:div>
        <w:div w:id="159735714">
          <w:marLeft w:val="0"/>
          <w:marRight w:val="0"/>
          <w:marTop w:val="0"/>
          <w:marBottom w:val="0"/>
          <w:divBdr>
            <w:top w:val="none" w:sz="0" w:space="0" w:color="auto"/>
            <w:left w:val="none" w:sz="0" w:space="0" w:color="auto"/>
            <w:bottom w:val="none" w:sz="0" w:space="0" w:color="auto"/>
            <w:right w:val="none" w:sz="0" w:space="0" w:color="auto"/>
          </w:divBdr>
        </w:div>
        <w:div w:id="1631014845">
          <w:marLeft w:val="0"/>
          <w:marRight w:val="0"/>
          <w:marTop w:val="0"/>
          <w:marBottom w:val="0"/>
          <w:divBdr>
            <w:top w:val="none" w:sz="0" w:space="0" w:color="auto"/>
            <w:left w:val="none" w:sz="0" w:space="0" w:color="auto"/>
            <w:bottom w:val="none" w:sz="0" w:space="0" w:color="auto"/>
            <w:right w:val="none" w:sz="0" w:space="0" w:color="auto"/>
          </w:divBdr>
        </w:div>
        <w:div w:id="617103778">
          <w:marLeft w:val="0"/>
          <w:marRight w:val="0"/>
          <w:marTop w:val="0"/>
          <w:marBottom w:val="0"/>
          <w:divBdr>
            <w:top w:val="none" w:sz="0" w:space="0" w:color="auto"/>
            <w:left w:val="none" w:sz="0" w:space="0" w:color="auto"/>
            <w:bottom w:val="none" w:sz="0" w:space="0" w:color="auto"/>
            <w:right w:val="none" w:sz="0" w:space="0" w:color="auto"/>
          </w:divBdr>
        </w:div>
        <w:div w:id="277179672">
          <w:marLeft w:val="0"/>
          <w:marRight w:val="0"/>
          <w:marTop w:val="0"/>
          <w:marBottom w:val="0"/>
          <w:divBdr>
            <w:top w:val="none" w:sz="0" w:space="0" w:color="auto"/>
            <w:left w:val="none" w:sz="0" w:space="0" w:color="auto"/>
            <w:bottom w:val="none" w:sz="0" w:space="0" w:color="auto"/>
            <w:right w:val="none" w:sz="0" w:space="0" w:color="auto"/>
          </w:divBdr>
        </w:div>
        <w:div w:id="1761901974">
          <w:marLeft w:val="0"/>
          <w:marRight w:val="0"/>
          <w:marTop w:val="0"/>
          <w:marBottom w:val="0"/>
          <w:divBdr>
            <w:top w:val="none" w:sz="0" w:space="0" w:color="auto"/>
            <w:left w:val="none" w:sz="0" w:space="0" w:color="auto"/>
            <w:bottom w:val="none" w:sz="0" w:space="0" w:color="auto"/>
            <w:right w:val="none" w:sz="0" w:space="0" w:color="auto"/>
          </w:divBdr>
        </w:div>
        <w:div w:id="179974545">
          <w:marLeft w:val="0"/>
          <w:marRight w:val="0"/>
          <w:marTop w:val="0"/>
          <w:marBottom w:val="0"/>
          <w:divBdr>
            <w:top w:val="none" w:sz="0" w:space="0" w:color="auto"/>
            <w:left w:val="none" w:sz="0" w:space="0" w:color="auto"/>
            <w:bottom w:val="none" w:sz="0" w:space="0" w:color="auto"/>
            <w:right w:val="none" w:sz="0" w:space="0" w:color="auto"/>
          </w:divBdr>
        </w:div>
        <w:div w:id="207229872">
          <w:marLeft w:val="0"/>
          <w:marRight w:val="0"/>
          <w:marTop w:val="0"/>
          <w:marBottom w:val="0"/>
          <w:divBdr>
            <w:top w:val="none" w:sz="0" w:space="0" w:color="auto"/>
            <w:left w:val="none" w:sz="0" w:space="0" w:color="auto"/>
            <w:bottom w:val="none" w:sz="0" w:space="0" w:color="auto"/>
            <w:right w:val="none" w:sz="0" w:space="0" w:color="auto"/>
          </w:divBdr>
        </w:div>
        <w:div w:id="1194731523">
          <w:marLeft w:val="0"/>
          <w:marRight w:val="0"/>
          <w:marTop w:val="0"/>
          <w:marBottom w:val="0"/>
          <w:divBdr>
            <w:top w:val="none" w:sz="0" w:space="0" w:color="auto"/>
            <w:left w:val="none" w:sz="0" w:space="0" w:color="auto"/>
            <w:bottom w:val="none" w:sz="0" w:space="0" w:color="auto"/>
            <w:right w:val="none" w:sz="0" w:space="0" w:color="auto"/>
          </w:divBdr>
        </w:div>
        <w:div w:id="230313614">
          <w:marLeft w:val="0"/>
          <w:marRight w:val="0"/>
          <w:marTop w:val="0"/>
          <w:marBottom w:val="0"/>
          <w:divBdr>
            <w:top w:val="none" w:sz="0" w:space="0" w:color="auto"/>
            <w:left w:val="none" w:sz="0" w:space="0" w:color="auto"/>
            <w:bottom w:val="none" w:sz="0" w:space="0" w:color="auto"/>
            <w:right w:val="none" w:sz="0" w:space="0" w:color="auto"/>
          </w:divBdr>
        </w:div>
        <w:div w:id="1156140972">
          <w:marLeft w:val="0"/>
          <w:marRight w:val="0"/>
          <w:marTop w:val="0"/>
          <w:marBottom w:val="0"/>
          <w:divBdr>
            <w:top w:val="none" w:sz="0" w:space="0" w:color="auto"/>
            <w:left w:val="none" w:sz="0" w:space="0" w:color="auto"/>
            <w:bottom w:val="none" w:sz="0" w:space="0" w:color="auto"/>
            <w:right w:val="none" w:sz="0" w:space="0" w:color="auto"/>
          </w:divBdr>
        </w:div>
        <w:div w:id="615984187">
          <w:marLeft w:val="0"/>
          <w:marRight w:val="0"/>
          <w:marTop w:val="0"/>
          <w:marBottom w:val="0"/>
          <w:divBdr>
            <w:top w:val="none" w:sz="0" w:space="0" w:color="auto"/>
            <w:left w:val="none" w:sz="0" w:space="0" w:color="auto"/>
            <w:bottom w:val="none" w:sz="0" w:space="0" w:color="auto"/>
            <w:right w:val="none" w:sz="0" w:space="0" w:color="auto"/>
          </w:divBdr>
        </w:div>
        <w:div w:id="1476482551">
          <w:marLeft w:val="0"/>
          <w:marRight w:val="0"/>
          <w:marTop w:val="0"/>
          <w:marBottom w:val="0"/>
          <w:divBdr>
            <w:top w:val="none" w:sz="0" w:space="0" w:color="auto"/>
            <w:left w:val="none" w:sz="0" w:space="0" w:color="auto"/>
            <w:bottom w:val="none" w:sz="0" w:space="0" w:color="auto"/>
            <w:right w:val="none" w:sz="0" w:space="0" w:color="auto"/>
          </w:divBdr>
        </w:div>
        <w:div w:id="2019187649">
          <w:marLeft w:val="0"/>
          <w:marRight w:val="0"/>
          <w:marTop w:val="0"/>
          <w:marBottom w:val="0"/>
          <w:divBdr>
            <w:top w:val="none" w:sz="0" w:space="0" w:color="auto"/>
            <w:left w:val="none" w:sz="0" w:space="0" w:color="auto"/>
            <w:bottom w:val="none" w:sz="0" w:space="0" w:color="auto"/>
            <w:right w:val="none" w:sz="0" w:space="0" w:color="auto"/>
          </w:divBdr>
        </w:div>
        <w:div w:id="758599499">
          <w:marLeft w:val="0"/>
          <w:marRight w:val="0"/>
          <w:marTop w:val="0"/>
          <w:marBottom w:val="0"/>
          <w:divBdr>
            <w:top w:val="none" w:sz="0" w:space="0" w:color="auto"/>
            <w:left w:val="none" w:sz="0" w:space="0" w:color="auto"/>
            <w:bottom w:val="none" w:sz="0" w:space="0" w:color="auto"/>
            <w:right w:val="none" w:sz="0" w:space="0" w:color="auto"/>
          </w:divBdr>
        </w:div>
        <w:div w:id="156041941">
          <w:marLeft w:val="0"/>
          <w:marRight w:val="0"/>
          <w:marTop w:val="0"/>
          <w:marBottom w:val="0"/>
          <w:divBdr>
            <w:top w:val="none" w:sz="0" w:space="0" w:color="auto"/>
            <w:left w:val="none" w:sz="0" w:space="0" w:color="auto"/>
            <w:bottom w:val="none" w:sz="0" w:space="0" w:color="auto"/>
            <w:right w:val="none" w:sz="0" w:space="0" w:color="auto"/>
          </w:divBdr>
        </w:div>
        <w:div w:id="1068263926">
          <w:marLeft w:val="0"/>
          <w:marRight w:val="0"/>
          <w:marTop w:val="0"/>
          <w:marBottom w:val="0"/>
          <w:divBdr>
            <w:top w:val="none" w:sz="0" w:space="0" w:color="auto"/>
            <w:left w:val="none" w:sz="0" w:space="0" w:color="auto"/>
            <w:bottom w:val="none" w:sz="0" w:space="0" w:color="auto"/>
            <w:right w:val="none" w:sz="0" w:space="0" w:color="auto"/>
          </w:divBdr>
        </w:div>
        <w:div w:id="507793309">
          <w:marLeft w:val="0"/>
          <w:marRight w:val="0"/>
          <w:marTop w:val="0"/>
          <w:marBottom w:val="0"/>
          <w:divBdr>
            <w:top w:val="none" w:sz="0" w:space="0" w:color="auto"/>
            <w:left w:val="none" w:sz="0" w:space="0" w:color="auto"/>
            <w:bottom w:val="none" w:sz="0" w:space="0" w:color="auto"/>
            <w:right w:val="none" w:sz="0" w:space="0" w:color="auto"/>
          </w:divBdr>
        </w:div>
        <w:div w:id="1654945888">
          <w:marLeft w:val="0"/>
          <w:marRight w:val="0"/>
          <w:marTop w:val="0"/>
          <w:marBottom w:val="0"/>
          <w:divBdr>
            <w:top w:val="none" w:sz="0" w:space="0" w:color="auto"/>
            <w:left w:val="none" w:sz="0" w:space="0" w:color="auto"/>
            <w:bottom w:val="none" w:sz="0" w:space="0" w:color="auto"/>
            <w:right w:val="none" w:sz="0" w:space="0" w:color="auto"/>
          </w:divBdr>
        </w:div>
        <w:div w:id="777068938">
          <w:marLeft w:val="0"/>
          <w:marRight w:val="0"/>
          <w:marTop w:val="0"/>
          <w:marBottom w:val="0"/>
          <w:divBdr>
            <w:top w:val="none" w:sz="0" w:space="0" w:color="auto"/>
            <w:left w:val="none" w:sz="0" w:space="0" w:color="auto"/>
            <w:bottom w:val="none" w:sz="0" w:space="0" w:color="auto"/>
            <w:right w:val="none" w:sz="0" w:space="0" w:color="auto"/>
          </w:divBdr>
        </w:div>
        <w:div w:id="917640399">
          <w:marLeft w:val="0"/>
          <w:marRight w:val="0"/>
          <w:marTop w:val="0"/>
          <w:marBottom w:val="0"/>
          <w:divBdr>
            <w:top w:val="none" w:sz="0" w:space="0" w:color="auto"/>
            <w:left w:val="none" w:sz="0" w:space="0" w:color="auto"/>
            <w:bottom w:val="none" w:sz="0" w:space="0" w:color="auto"/>
            <w:right w:val="none" w:sz="0" w:space="0" w:color="auto"/>
          </w:divBdr>
        </w:div>
        <w:div w:id="1482696627">
          <w:marLeft w:val="0"/>
          <w:marRight w:val="0"/>
          <w:marTop w:val="0"/>
          <w:marBottom w:val="0"/>
          <w:divBdr>
            <w:top w:val="none" w:sz="0" w:space="0" w:color="auto"/>
            <w:left w:val="none" w:sz="0" w:space="0" w:color="auto"/>
            <w:bottom w:val="none" w:sz="0" w:space="0" w:color="auto"/>
            <w:right w:val="none" w:sz="0" w:space="0" w:color="auto"/>
          </w:divBdr>
        </w:div>
        <w:div w:id="275453261">
          <w:marLeft w:val="0"/>
          <w:marRight w:val="0"/>
          <w:marTop w:val="0"/>
          <w:marBottom w:val="0"/>
          <w:divBdr>
            <w:top w:val="none" w:sz="0" w:space="0" w:color="auto"/>
            <w:left w:val="none" w:sz="0" w:space="0" w:color="auto"/>
            <w:bottom w:val="none" w:sz="0" w:space="0" w:color="auto"/>
            <w:right w:val="none" w:sz="0" w:space="0" w:color="auto"/>
          </w:divBdr>
        </w:div>
        <w:div w:id="1025324261">
          <w:marLeft w:val="0"/>
          <w:marRight w:val="0"/>
          <w:marTop w:val="0"/>
          <w:marBottom w:val="0"/>
          <w:divBdr>
            <w:top w:val="none" w:sz="0" w:space="0" w:color="auto"/>
            <w:left w:val="none" w:sz="0" w:space="0" w:color="auto"/>
            <w:bottom w:val="none" w:sz="0" w:space="0" w:color="auto"/>
            <w:right w:val="none" w:sz="0" w:space="0" w:color="auto"/>
          </w:divBdr>
        </w:div>
        <w:div w:id="1596861409">
          <w:marLeft w:val="0"/>
          <w:marRight w:val="0"/>
          <w:marTop w:val="0"/>
          <w:marBottom w:val="0"/>
          <w:divBdr>
            <w:top w:val="none" w:sz="0" w:space="0" w:color="auto"/>
            <w:left w:val="none" w:sz="0" w:space="0" w:color="auto"/>
            <w:bottom w:val="none" w:sz="0" w:space="0" w:color="auto"/>
            <w:right w:val="none" w:sz="0" w:space="0" w:color="auto"/>
          </w:divBdr>
        </w:div>
        <w:div w:id="2026052296">
          <w:marLeft w:val="0"/>
          <w:marRight w:val="0"/>
          <w:marTop w:val="0"/>
          <w:marBottom w:val="0"/>
          <w:divBdr>
            <w:top w:val="none" w:sz="0" w:space="0" w:color="auto"/>
            <w:left w:val="none" w:sz="0" w:space="0" w:color="auto"/>
            <w:bottom w:val="none" w:sz="0" w:space="0" w:color="auto"/>
            <w:right w:val="none" w:sz="0" w:space="0" w:color="auto"/>
          </w:divBdr>
        </w:div>
        <w:div w:id="80683003">
          <w:marLeft w:val="0"/>
          <w:marRight w:val="0"/>
          <w:marTop w:val="0"/>
          <w:marBottom w:val="0"/>
          <w:divBdr>
            <w:top w:val="none" w:sz="0" w:space="0" w:color="auto"/>
            <w:left w:val="none" w:sz="0" w:space="0" w:color="auto"/>
            <w:bottom w:val="none" w:sz="0" w:space="0" w:color="auto"/>
            <w:right w:val="none" w:sz="0" w:space="0" w:color="auto"/>
          </w:divBdr>
        </w:div>
        <w:div w:id="2108623091">
          <w:marLeft w:val="0"/>
          <w:marRight w:val="0"/>
          <w:marTop w:val="0"/>
          <w:marBottom w:val="0"/>
          <w:divBdr>
            <w:top w:val="none" w:sz="0" w:space="0" w:color="auto"/>
            <w:left w:val="none" w:sz="0" w:space="0" w:color="auto"/>
            <w:bottom w:val="none" w:sz="0" w:space="0" w:color="auto"/>
            <w:right w:val="none" w:sz="0" w:space="0" w:color="auto"/>
          </w:divBdr>
        </w:div>
        <w:div w:id="1689328652">
          <w:marLeft w:val="0"/>
          <w:marRight w:val="0"/>
          <w:marTop w:val="0"/>
          <w:marBottom w:val="0"/>
          <w:divBdr>
            <w:top w:val="none" w:sz="0" w:space="0" w:color="auto"/>
            <w:left w:val="none" w:sz="0" w:space="0" w:color="auto"/>
            <w:bottom w:val="none" w:sz="0" w:space="0" w:color="auto"/>
            <w:right w:val="none" w:sz="0" w:space="0" w:color="auto"/>
          </w:divBdr>
        </w:div>
        <w:div w:id="34475308">
          <w:marLeft w:val="0"/>
          <w:marRight w:val="0"/>
          <w:marTop w:val="0"/>
          <w:marBottom w:val="0"/>
          <w:divBdr>
            <w:top w:val="none" w:sz="0" w:space="0" w:color="auto"/>
            <w:left w:val="none" w:sz="0" w:space="0" w:color="auto"/>
            <w:bottom w:val="none" w:sz="0" w:space="0" w:color="auto"/>
            <w:right w:val="none" w:sz="0" w:space="0" w:color="auto"/>
          </w:divBdr>
        </w:div>
        <w:div w:id="1853492473">
          <w:marLeft w:val="0"/>
          <w:marRight w:val="0"/>
          <w:marTop w:val="0"/>
          <w:marBottom w:val="0"/>
          <w:divBdr>
            <w:top w:val="none" w:sz="0" w:space="0" w:color="auto"/>
            <w:left w:val="none" w:sz="0" w:space="0" w:color="auto"/>
            <w:bottom w:val="none" w:sz="0" w:space="0" w:color="auto"/>
            <w:right w:val="none" w:sz="0" w:space="0" w:color="auto"/>
          </w:divBdr>
        </w:div>
        <w:div w:id="964192236">
          <w:marLeft w:val="0"/>
          <w:marRight w:val="0"/>
          <w:marTop w:val="0"/>
          <w:marBottom w:val="0"/>
          <w:divBdr>
            <w:top w:val="none" w:sz="0" w:space="0" w:color="auto"/>
            <w:left w:val="none" w:sz="0" w:space="0" w:color="auto"/>
            <w:bottom w:val="none" w:sz="0" w:space="0" w:color="auto"/>
            <w:right w:val="none" w:sz="0" w:space="0" w:color="auto"/>
          </w:divBdr>
        </w:div>
        <w:div w:id="1556817285">
          <w:marLeft w:val="0"/>
          <w:marRight w:val="0"/>
          <w:marTop w:val="0"/>
          <w:marBottom w:val="0"/>
          <w:divBdr>
            <w:top w:val="none" w:sz="0" w:space="0" w:color="auto"/>
            <w:left w:val="none" w:sz="0" w:space="0" w:color="auto"/>
            <w:bottom w:val="none" w:sz="0" w:space="0" w:color="auto"/>
            <w:right w:val="none" w:sz="0" w:space="0" w:color="auto"/>
          </w:divBdr>
        </w:div>
        <w:div w:id="1964383937">
          <w:marLeft w:val="0"/>
          <w:marRight w:val="0"/>
          <w:marTop w:val="0"/>
          <w:marBottom w:val="0"/>
          <w:divBdr>
            <w:top w:val="none" w:sz="0" w:space="0" w:color="auto"/>
            <w:left w:val="none" w:sz="0" w:space="0" w:color="auto"/>
            <w:bottom w:val="none" w:sz="0" w:space="0" w:color="auto"/>
            <w:right w:val="none" w:sz="0" w:space="0" w:color="auto"/>
          </w:divBdr>
        </w:div>
        <w:div w:id="1475567537">
          <w:marLeft w:val="0"/>
          <w:marRight w:val="0"/>
          <w:marTop w:val="0"/>
          <w:marBottom w:val="0"/>
          <w:divBdr>
            <w:top w:val="none" w:sz="0" w:space="0" w:color="auto"/>
            <w:left w:val="none" w:sz="0" w:space="0" w:color="auto"/>
            <w:bottom w:val="none" w:sz="0" w:space="0" w:color="auto"/>
            <w:right w:val="none" w:sz="0" w:space="0" w:color="auto"/>
          </w:divBdr>
        </w:div>
        <w:div w:id="2091465923">
          <w:marLeft w:val="0"/>
          <w:marRight w:val="0"/>
          <w:marTop w:val="0"/>
          <w:marBottom w:val="0"/>
          <w:divBdr>
            <w:top w:val="none" w:sz="0" w:space="0" w:color="auto"/>
            <w:left w:val="none" w:sz="0" w:space="0" w:color="auto"/>
            <w:bottom w:val="none" w:sz="0" w:space="0" w:color="auto"/>
            <w:right w:val="none" w:sz="0" w:space="0" w:color="auto"/>
          </w:divBdr>
          <w:divsChild>
            <w:div w:id="701637471">
              <w:marLeft w:val="0"/>
              <w:marRight w:val="0"/>
              <w:marTop w:val="0"/>
              <w:marBottom w:val="0"/>
              <w:divBdr>
                <w:top w:val="none" w:sz="0" w:space="0" w:color="auto"/>
                <w:left w:val="none" w:sz="0" w:space="0" w:color="auto"/>
                <w:bottom w:val="none" w:sz="0" w:space="0" w:color="auto"/>
                <w:right w:val="none" w:sz="0" w:space="0" w:color="auto"/>
              </w:divBdr>
            </w:div>
          </w:divsChild>
        </w:div>
        <w:div w:id="448663443">
          <w:marLeft w:val="0"/>
          <w:marRight w:val="0"/>
          <w:marTop w:val="0"/>
          <w:marBottom w:val="0"/>
          <w:divBdr>
            <w:top w:val="none" w:sz="0" w:space="0" w:color="auto"/>
            <w:left w:val="none" w:sz="0" w:space="0" w:color="auto"/>
            <w:bottom w:val="none" w:sz="0" w:space="0" w:color="auto"/>
            <w:right w:val="none" w:sz="0" w:space="0" w:color="auto"/>
          </w:divBdr>
        </w:div>
        <w:div w:id="68582787">
          <w:marLeft w:val="0"/>
          <w:marRight w:val="0"/>
          <w:marTop w:val="0"/>
          <w:marBottom w:val="0"/>
          <w:divBdr>
            <w:top w:val="none" w:sz="0" w:space="0" w:color="auto"/>
            <w:left w:val="none" w:sz="0" w:space="0" w:color="auto"/>
            <w:bottom w:val="none" w:sz="0" w:space="0" w:color="auto"/>
            <w:right w:val="none" w:sz="0" w:space="0" w:color="auto"/>
          </w:divBdr>
        </w:div>
        <w:div w:id="687608549">
          <w:marLeft w:val="0"/>
          <w:marRight w:val="0"/>
          <w:marTop w:val="0"/>
          <w:marBottom w:val="0"/>
          <w:divBdr>
            <w:top w:val="none" w:sz="0" w:space="0" w:color="auto"/>
            <w:left w:val="none" w:sz="0" w:space="0" w:color="auto"/>
            <w:bottom w:val="none" w:sz="0" w:space="0" w:color="auto"/>
            <w:right w:val="none" w:sz="0" w:space="0" w:color="auto"/>
          </w:divBdr>
        </w:div>
        <w:div w:id="1448499584">
          <w:marLeft w:val="0"/>
          <w:marRight w:val="0"/>
          <w:marTop w:val="0"/>
          <w:marBottom w:val="0"/>
          <w:divBdr>
            <w:top w:val="none" w:sz="0" w:space="0" w:color="auto"/>
            <w:left w:val="none" w:sz="0" w:space="0" w:color="auto"/>
            <w:bottom w:val="none" w:sz="0" w:space="0" w:color="auto"/>
            <w:right w:val="none" w:sz="0" w:space="0" w:color="auto"/>
          </w:divBdr>
        </w:div>
        <w:div w:id="740060937">
          <w:marLeft w:val="0"/>
          <w:marRight w:val="0"/>
          <w:marTop w:val="0"/>
          <w:marBottom w:val="0"/>
          <w:divBdr>
            <w:top w:val="none" w:sz="0" w:space="0" w:color="auto"/>
            <w:left w:val="none" w:sz="0" w:space="0" w:color="auto"/>
            <w:bottom w:val="none" w:sz="0" w:space="0" w:color="auto"/>
            <w:right w:val="none" w:sz="0" w:space="0" w:color="auto"/>
          </w:divBdr>
        </w:div>
        <w:div w:id="1747920806">
          <w:marLeft w:val="0"/>
          <w:marRight w:val="0"/>
          <w:marTop w:val="0"/>
          <w:marBottom w:val="0"/>
          <w:divBdr>
            <w:top w:val="none" w:sz="0" w:space="0" w:color="auto"/>
            <w:left w:val="none" w:sz="0" w:space="0" w:color="auto"/>
            <w:bottom w:val="none" w:sz="0" w:space="0" w:color="auto"/>
            <w:right w:val="none" w:sz="0" w:space="0" w:color="auto"/>
          </w:divBdr>
        </w:div>
        <w:div w:id="1539322239">
          <w:marLeft w:val="0"/>
          <w:marRight w:val="0"/>
          <w:marTop w:val="0"/>
          <w:marBottom w:val="0"/>
          <w:divBdr>
            <w:top w:val="none" w:sz="0" w:space="0" w:color="auto"/>
            <w:left w:val="none" w:sz="0" w:space="0" w:color="auto"/>
            <w:bottom w:val="none" w:sz="0" w:space="0" w:color="auto"/>
            <w:right w:val="none" w:sz="0" w:space="0" w:color="auto"/>
          </w:divBdr>
          <w:divsChild>
            <w:div w:id="1790587356">
              <w:marLeft w:val="0"/>
              <w:marRight w:val="0"/>
              <w:marTop w:val="0"/>
              <w:marBottom w:val="0"/>
              <w:divBdr>
                <w:top w:val="none" w:sz="0" w:space="0" w:color="auto"/>
                <w:left w:val="none" w:sz="0" w:space="0" w:color="auto"/>
                <w:bottom w:val="none" w:sz="0" w:space="0" w:color="auto"/>
                <w:right w:val="none" w:sz="0" w:space="0" w:color="auto"/>
              </w:divBdr>
              <w:divsChild>
                <w:div w:id="548147048">
                  <w:marLeft w:val="0"/>
                  <w:marRight w:val="0"/>
                  <w:marTop w:val="0"/>
                  <w:marBottom w:val="0"/>
                  <w:divBdr>
                    <w:top w:val="none" w:sz="0" w:space="0" w:color="auto"/>
                    <w:left w:val="none" w:sz="0" w:space="0" w:color="auto"/>
                    <w:bottom w:val="none" w:sz="0" w:space="0" w:color="auto"/>
                    <w:right w:val="none" w:sz="0" w:space="0" w:color="auto"/>
                  </w:divBdr>
                </w:div>
                <w:div w:id="238833280">
                  <w:marLeft w:val="0"/>
                  <w:marRight w:val="0"/>
                  <w:marTop w:val="0"/>
                  <w:marBottom w:val="0"/>
                  <w:divBdr>
                    <w:top w:val="none" w:sz="0" w:space="0" w:color="auto"/>
                    <w:left w:val="none" w:sz="0" w:space="0" w:color="auto"/>
                    <w:bottom w:val="none" w:sz="0" w:space="0" w:color="auto"/>
                    <w:right w:val="none" w:sz="0" w:space="0" w:color="auto"/>
                  </w:divBdr>
                </w:div>
                <w:div w:id="588465754">
                  <w:marLeft w:val="0"/>
                  <w:marRight w:val="0"/>
                  <w:marTop w:val="0"/>
                  <w:marBottom w:val="0"/>
                  <w:divBdr>
                    <w:top w:val="none" w:sz="0" w:space="0" w:color="auto"/>
                    <w:left w:val="none" w:sz="0" w:space="0" w:color="auto"/>
                    <w:bottom w:val="none" w:sz="0" w:space="0" w:color="auto"/>
                    <w:right w:val="none" w:sz="0" w:space="0" w:color="auto"/>
                  </w:divBdr>
                </w:div>
                <w:div w:id="197670794">
                  <w:marLeft w:val="0"/>
                  <w:marRight w:val="0"/>
                  <w:marTop w:val="0"/>
                  <w:marBottom w:val="0"/>
                  <w:divBdr>
                    <w:top w:val="none" w:sz="0" w:space="0" w:color="auto"/>
                    <w:left w:val="none" w:sz="0" w:space="0" w:color="auto"/>
                    <w:bottom w:val="none" w:sz="0" w:space="0" w:color="auto"/>
                    <w:right w:val="none" w:sz="0" w:space="0" w:color="auto"/>
                  </w:divBdr>
                </w:div>
                <w:div w:id="930241642">
                  <w:marLeft w:val="0"/>
                  <w:marRight w:val="0"/>
                  <w:marTop w:val="0"/>
                  <w:marBottom w:val="0"/>
                  <w:divBdr>
                    <w:top w:val="none" w:sz="0" w:space="0" w:color="auto"/>
                    <w:left w:val="none" w:sz="0" w:space="0" w:color="auto"/>
                    <w:bottom w:val="none" w:sz="0" w:space="0" w:color="auto"/>
                    <w:right w:val="none" w:sz="0" w:space="0" w:color="auto"/>
                  </w:divBdr>
                </w:div>
                <w:div w:id="1774979084">
                  <w:marLeft w:val="0"/>
                  <w:marRight w:val="0"/>
                  <w:marTop w:val="0"/>
                  <w:marBottom w:val="0"/>
                  <w:divBdr>
                    <w:top w:val="none" w:sz="0" w:space="0" w:color="auto"/>
                    <w:left w:val="none" w:sz="0" w:space="0" w:color="auto"/>
                    <w:bottom w:val="none" w:sz="0" w:space="0" w:color="auto"/>
                    <w:right w:val="none" w:sz="0" w:space="0" w:color="auto"/>
                  </w:divBdr>
                </w:div>
                <w:div w:id="1189218646">
                  <w:marLeft w:val="0"/>
                  <w:marRight w:val="0"/>
                  <w:marTop w:val="0"/>
                  <w:marBottom w:val="0"/>
                  <w:divBdr>
                    <w:top w:val="none" w:sz="0" w:space="0" w:color="auto"/>
                    <w:left w:val="none" w:sz="0" w:space="0" w:color="auto"/>
                    <w:bottom w:val="none" w:sz="0" w:space="0" w:color="auto"/>
                    <w:right w:val="none" w:sz="0" w:space="0" w:color="auto"/>
                  </w:divBdr>
                </w:div>
                <w:div w:id="837888606">
                  <w:marLeft w:val="0"/>
                  <w:marRight w:val="0"/>
                  <w:marTop w:val="0"/>
                  <w:marBottom w:val="0"/>
                  <w:divBdr>
                    <w:top w:val="none" w:sz="0" w:space="0" w:color="auto"/>
                    <w:left w:val="none" w:sz="0" w:space="0" w:color="auto"/>
                    <w:bottom w:val="none" w:sz="0" w:space="0" w:color="auto"/>
                    <w:right w:val="none" w:sz="0" w:space="0" w:color="auto"/>
                  </w:divBdr>
                </w:div>
                <w:div w:id="2064524293">
                  <w:marLeft w:val="0"/>
                  <w:marRight w:val="0"/>
                  <w:marTop w:val="0"/>
                  <w:marBottom w:val="0"/>
                  <w:divBdr>
                    <w:top w:val="none" w:sz="0" w:space="0" w:color="auto"/>
                    <w:left w:val="none" w:sz="0" w:space="0" w:color="auto"/>
                    <w:bottom w:val="none" w:sz="0" w:space="0" w:color="auto"/>
                    <w:right w:val="none" w:sz="0" w:space="0" w:color="auto"/>
                  </w:divBdr>
                </w:div>
                <w:div w:id="1758403627">
                  <w:marLeft w:val="0"/>
                  <w:marRight w:val="0"/>
                  <w:marTop w:val="0"/>
                  <w:marBottom w:val="0"/>
                  <w:divBdr>
                    <w:top w:val="none" w:sz="0" w:space="0" w:color="auto"/>
                    <w:left w:val="none" w:sz="0" w:space="0" w:color="auto"/>
                    <w:bottom w:val="none" w:sz="0" w:space="0" w:color="auto"/>
                    <w:right w:val="none" w:sz="0" w:space="0" w:color="auto"/>
                  </w:divBdr>
                </w:div>
                <w:div w:id="980229555">
                  <w:marLeft w:val="0"/>
                  <w:marRight w:val="0"/>
                  <w:marTop w:val="0"/>
                  <w:marBottom w:val="0"/>
                  <w:divBdr>
                    <w:top w:val="none" w:sz="0" w:space="0" w:color="auto"/>
                    <w:left w:val="none" w:sz="0" w:space="0" w:color="auto"/>
                    <w:bottom w:val="none" w:sz="0" w:space="0" w:color="auto"/>
                    <w:right w:val="none" w:sz="0" w:space="0" w:color="auto"/>
                  </w:divBdr>
                </w:div>
                <w:div w:id="1948807534">
                  <w:marLeft w:val="0"/>
                  <w:marRight w:val="0"/>
                  <w:marTop w:val="0"/>
                  <w:marBottom w:val="0"/>
                  <w:divBdr>
                    <w:top w:val="none" w:sz="0" w:space="0" w:color="auto"/>
                    <w:left w:val="none" w:sz="0" w:space="0" w:color="auto"/>
                    <w:bottom w:val="none" w:sz="0" w:space="0" w:color="auto"/>
                    <w:right w:val="none" w:sz="0" w:space="0" w:color="auto"/>
                  </w:divBdr>
                </w:div>
                <w:div w:id="973951989">
                  <w:marLeft w:val="0"/>
                  <w:marRight w:val="0"/>
                  <w:marTop w:val="0"/>
                  <w:marBottom w:val="0"/>
                  <w:divBdr>
                    <w:top w:val="none" w:sz="0" w:space="0" w:color="auto"/>
                    <w:left w:val="none" w:sz="0" w:space="0" w:color="auto"/>
                    <w:bottom w:val="none" w:sz="0" w:space="0" w:color="auto"/>
                    <w:right w:val="none" w:sz="0" w:space="0" w:color="auto"/>
                  </w:divBdr>
                </w:div>
                <w:div w:id="1336496273">
                  <w:marLeft w:val="0"/>
                  <w:marRight w:val="0"/>
                  <w:marTop w:val="0"/>
                  <w:marBottom w:val="0"/>
                  <w:divBdr>
                    <w:top w:val="none" w:sz="0" w:space="0" w:color="auto"/>
                    <w:left w:val="none" w:sz="0" w:space="0" w:color="auto"/>
                    <w:bottom w:val="none" w:sz="0" w:space="0" w:color="auto"/>
                    <w:right w:val="none" w:sz="0" w:space="0" w:color="auto"/>
                  </w:divBdr>
                  <w:divsChild>
                    <w:div w:id="12072304">
                      <w:marLeft w:val="0"/>
                      <w:marRight w:val="0"/>
                      <w:marTop w:val="0"/>
                      <w:marBottom w:val="0"/>
                      <w:divBdr>
                        <w:top w:val="none" w:sz="0" w:space="0" w:color="auto"/>
                        <w:left w:val="none" w:sz="0" w:space="0" w:color="auto"/>
                        <w:bottom w:val="none" w:sz="0" w:space="0" w:color="auto"/>
                        <w:right w:val="none" w:sz="0" w:space="0" w:color="auto"/>
                      </w:divBdr>
                    </w:div>
                    <w:div w:id="613561710">
                      <w:marLeft w:val="0"/>
                      <w:marRight w:val="0"/>
                      <w:marTop w:val="0"/>
                      <w:marBottom w:val="0"/>
                      <w:divBdr>
                        <w:top w:val="none" w:sz="0" w:space="0" w:color="auto"/>
                        <w:left w:val="none" w:sz="0" w:space="0" w:color="auto"/>
                        <w:bottom w:val="none" w:sz="0" w:space="0" w:color="auto"/>
                        <w:right w:val="none" w:sz="0" w:space="0" w:color="auto"/>
                      </w:divBdr>
                    </w:div>
                  </w:divsChild>
                </w:div>
                <w:div w:id="1934700165">
                  <w:marLeft w:val="0"/>
                  <w:marRight w:val="0"/>
                  <w:marTop w:val="0"/>
                  <w:marBottom w:val="0"/>
                  <w:divBdr>
                    <w:top w:val="none" w:sz="0" w:space="0" w:color="auto"/>
                    <w:left w:val="none" w:sz="0" w:space="0" w:color="auto"/>
                    <w:bottom w:val="none" w:sz="0" w:space="0" w:color="auto"/>
                    <w:right w:val="none" w:sz="0" w:space="0" w:color="auto"/>
                  </w:divBdr>
                </w:div>
                <w:div w:id="679282951">
                  <w:marLeft w:val="0"/>
                  <w:marRight w:val="0"/>
                  <w:marTop w:val="0"/>
                  <w:marBottom w:val="0"/>
                  <w:divBdr>
                    <w:top w:val="none" w:sz="0" w:space="0" w:color="auto"/>
                    <w:left w:val="none" w:sz="0" w:space="0" w:color="auto"/>
                    <w:bottom w:val="none" w:sz="0" w:space="0" w:color="auto"/>
                    <w:right w:val="none" w:sz="0" w:space="0" w:color="auto"/>
                  </w:divBdr>
                </w:div>
                <w:div w:id="697315252">
                  <w:marLeft w:val="0"/>
                  <w:marRight w:val="0"/>
                  <w:marTop w:val="0"/>
                  <w:marBottom w:val="0"/>
                  <w:divBdr>
                    <w:top w:val="none" w:sz="0" w:space="0" w:color="auto"/>
                    <w:left w:val="none" w:sz="0" w:space="0" w:color="auto"/>
                    <w:bottom w:val="none" w:sz="0" w:space="0" w:color="auto"/>
                    <w:right w:val="none" w:sz="0" w:space="0" w:color="auto"/>
                  </w:divBdr>
                  <w:divsChild>
                    <w:div w:id="714231666">
                      <w:marLeft w:val="0"/>
                      <w:marRight w:val="0"/>
                      <w:marTop w:val="0"/>
                      <w:marBottom w:val="0"/>
                      <w:divBdr>
                        <w:top w:val="none" w:sz="0" w:space="0" w:color="auto"/>
                        <w:left w:val="none" w:sz="0" w:space="0" w:color="auto"/>
                        <w:bottom w:val="none" w:sz="0" w:space="0" w:color="auto"/>
                        <w:right w:val="none" w:sz="0" w:space="0" w:color="auto"/>
                      </w:divBdr>
                    </w:div>
                    <w:div w:id="1651594858">
                      <w:marLeft w:val="0"/>
                      <w:marRight w:val="0"/>
                      <w:marTop w:val="0"/>
                      <w:marBottom w:val="0"/>
                      <w:divBdr>
                        <w:top w:val="none" w:sz="0" w:space="0" w:color="auto"/>
                        <w:left w:val="none" w:sz="0" w:space="0" w:color="auto"/>
                        <w:bottom w:val="none" w:sz="0" w:space="0" w:color="auto"/>
                        <w:right w:val="none" w:sz="0" w:space="0" w:color="auto"/>
                      </w:divBdr>
                    </w:div>
                  </w:divsChild>
                </w:div>
                <w:div w:id="738133368">
                  <w:marLeft w:val="0"/>
                  <w:marRight w:val="0"/>
                  <w:marTop w:val="0"/>
                  <w:marBottom w:val="0"/>
                  <w:divBdr>
                    <w:top w:val="none" w:sz="0" w:space="0" w:color="auto"/>
                    <w:left w:val="none" w:sz="0" w:space="0" w:color="auto"/>
                    <w:bottom w:val="none" w:sz="0" w:space="0" w:color="auto"/>
                    <w:right w:val="none" w:sz="0" w:space="0" w:color="auto"/>
                  </w:divBdr>
                </w:div>
                <w:div w:id="1524781609">
                  <w:marLeft w:val="0"/>
                  <w:marRight w:val="0"/>
                  <w:marTop w:val="0"/>
                  <w:marBottom w:val="0"/>
                  <w:divBdr>
                    <w:top w:val="none" w:sz="0" w:space="0" w:color="auto"/>
                    <w:left w:val="none" w:sz="0" w:space="0" w:color="auto"/>
                    <w:bottom w:val="none" w:sz="0" w:space="0" w:color="auto"/>
                    <w:right w:val="none" w:sz="0" w:space="0" w:color="auto"/>
                  </w:divBdr>
                </w:div>
                <w:div w:id="950668213">
                  <w:marLeft w:val="0"/>
                  <w:marRight w:val="0"/>
                  <w:marTop w:val="0"/>
                  <w:marBottom w:val="0"/>
                  <w:divBdr>
                    <w:top w:val="none" w:sz="0" w:space="0" w:color="auto"/>
                    <w:left w:val="none" w:sz="0" w:space="0" w:color="auto"/>
                    <w:bottom w:val="none" w:sz="0" w:space="0" w:color="auto"/>
                    <w:right w:val="none" w:sz="0" w:space="0" w:color="auto"/>
                  </w:divBdr>
                  <w:divsChild>
                    <w:div w:id="522743824">
                      <w:marLeft w:val="0"/>
                      <w:marRight w:val="0"/>
                      <w:marTop w:val="0"/>
                      <w:marBottom w:val="0"/>
                      <w:divBdr>
                        <w:top w:val="none" w:sz="0" w:space="0" w:color="auto"/>
                        <w:left w:val="none" w:sz="0" w:space="0" w:color="auto"/>
                        <w:bottom w:val="none" w:sz="0" w:space="0" w:color="auto"/>
                        <w:right w:val="none" w:sz="0" w:space="0" w:color="auto"/>
                      </w:divBdr>
                    </w:div>
                    <w:div w:id="1016542080">
                      <w:marLeft w:val="0"/>
                      <w:marRight w:val="0"/>
                      <w:marTop w:val="0"/>
                      <w:marBottom w:val="0"/>
                      <w:divBdr>
                        <w:top w:val="none" w:sz="0" w:space="0" w:color="auto"/>
                        <w:left w:val="none" w:sz="0" w:space="0" w:color="auto"/>
                        <w:bottom w:val="none" w:sz="0" w:space="0" w:color="auto"/>
                        <w:right w:val="none" w:sz="0" w:space="0" w:color="auto"/>
                      </w:divBdr>
                    </w:div>
                  </w:divsChild>
                </w:div>
                <w:div w:id="749892076">
                  <w:marLeft w:val="0"/>
                  <w:marRight w:val="0"/>
                  <w:marTop w:val="0"/>
                  <w:marBottom w:val="0"/>
                  <w:divBdr>
                    <w:top w:val="none" w:sz="0" w:space="0" w:color="auto"/>
                    <w:left w:val="none" w:sz="0" w:space="0" w:color="auto"/>
                    <w:bottom w:val="none" w:sz="0" w:space="0" w:color="auto"/>
                    <w:right w:val="none" w:sz="0" w:space="0" w:color="auto"/>
                  </w:divBdr>
                </w:div>
                <w:div w:id="563105895">
                  <w:marLeft w:val="0"/>
                  <w:marRight w:val="0"/>
                  <w:marTop w:val="0"/>
                  <w:marBottom w:val="0"/>
                  <w:divBdr>
                    <w:top w:val="none" w:sz="0" w:space="0" w:color="auto"/>
                    <w:left w:val="none" w:sz="0" w:space="0" w:color="auto"/>
                    <w:bottom w:val="none" w:sz="0" w:space="0" w:color="auto"/>
                    <w:right w:val="none" w:sz="0" w:space="0" w:color="auto"/>
                  </w:divBdr>
                </w:div>
                <w:div w:id="1333558514">
                  <w:marLeft w:val="0"/>
                  <w:marRight w:val="0"/>
                  <w:marTop w:val="0"/>
                  <w:marBottom w:val="0"/>
                  <w:divBdr>
                    <w:top w:val="none" w:sz="0" w:space="0" w:color="auto"/>
                    <w:left w:val="none" w:sz="0" w:space="0" w:color="auto"/>
                    <w:bottom w:val="none" w:sz="0" w:space="0" w:color="auto"/>
                    <w:right w:val="none" w:sz="0" w:space="0" w:color="auto"/>
                  </w:divBdr>
                </w:div>
                <w:div w:id="1863281794">
                  <w:marLeft w:val="0"/>
                  <w:marRight w:val="0"/>
                  <w:marTop w:val="0"/>
                  <w:marBottom w:val="0"/>
                  <w:divBdr>
                    <w:top w:val="none" w:sz="0" w:space="0" w:color="auto"/>
                    <w:left w:val="none" w:sz="0" w:space="0" w:color="auto"/>
                    <w:bottom w:val="none" w:sz="0" w:space="0" w:color="auto"/>
                    <w:right w:val="none" w:sz="0" w:space="0" w:color="auto"/>
                  </w:divBdr>
                </w:div>
                <w:div w:id="590237634">
                  <w:marLeft w:val="0"/>
                  <w:marRight w:val="0"/>
                  <w:marTop w:val="0"/>
                  <w:marBottom w:val="0"/>
                  <w:divBdr>
                    <w:top w:val="none" w:sz="0" w:space="0" w:color="auto"/>
                    <w:left w:val="none" w:sz="0" w:space="0" w:color="auto"/>
                    <w:bottom w:val="none" w:sz="0" w:space="0" w:color="auto"/>
                    <w:right w:val="none" w:sz="0" w:space="0" w:color="auto"/>
                  </w:divBdr>
                  <w:divsChild>
                    <w:div w:id="1499610112">
                      <w:marLeft w:val="0"/>
                      <w:marRight w:val="0"/>
                      <w:marTop w:val="0"/>
                      <w:marBottom w:val="0"/>
                      <w:divBdr>
                        <w:top w:val="none" w:sz="0" w:space="0" w:color="auto"/>
                        <w:left w:val="none" w:sz="0" w:space="0" w:color="auto"/>
                        <w:bottom w:val="none" w:sz="0" w:space="0" w:color="auto"/>
                        <w:right w:val="none" w:sz="0" w:space="0" w:color="auto"/>
                      </w:divBdr>
                    </w:div>
                    <w:div w:id="1730372575">
                      <w:marLeft w:val="0"/>
                      <w:marRight w:val="0"/>
                      <w:marTop w:val="0"/>
                      <w:marBottom w:val="0"/>
                      <w:divBdr>
                        <w:top w:val="none" w:sz="0" w:space="0" w:color="auto"/>
                        <w:left w:val="none" w:sz="0" w:space="0" w:color="auto"/>
                        <w:bottom w:val="none" w:sz="0" w:space="0" w:color="auto"/>
                        <w:right w:val="none" w:sz="0" w:space="0" w:color="auto"/>
                      </w:divBdr>
                    </w:div>
                  </w:divsChild>
                </w:div>
                <w:div w:id="1793090379">
                  <w:marLeft w:val="0"/>
                  <w:marRight w:val="0"/>
                  <w:marTop w:val="0"/>
                  <w:marBottom w:val="0"/>
                  <w:divBdr>
                    <w:top w:val="none" w:sz="0" w:space="0" w:color="auto"/>
                    <w:left w:val="none" w:sz="0" w:space="0" w:color="auto"/>
                    <w:bottom w:val="none" w:sz="0" w:space="0" w:color="auto"/>
                    <w:right w:val="none" w:sz="0" w:space="0" w:color="auto"/>
                  </w:divBdr>
                </w:div>
                <w:div w:id="1377125358">
                  <w:marLeft w:val="0"/>
                  <w:marRight w:val="0"/>
                  <w:marTop w:val="0"/>
                  <w:marBottom w:val="0"/>
                  <w:divBdr>
                    <w:top w:val="none" w:sz="0" w:space="0" w:color="auto"/>
                    <w:left w:val="none" w:sz="0" w:space="0" w:color="auto"/>
                    <w:bottom w:val="none" w:sz="0" w:space="0" w:color="auto"/>
                    <w:right w:val="none" w:sz="0" w:space="0" w:color="auto"/>
                  </w:divBdr>
                </w:div>
                <w:div w:id="1760249954">
                  <w:marLeft w:val="0"/>
                  <w:marRight w:val="0"/>
                  <w:marTop w:val="0"/>
                  <w:marBottom w:val="0"/>
                  <w:divBdr>
                    <w:top w:val="none" w:sz="0" w:space="0" w:color="auto"/>
                    <w:left w:val="none" w:sz="0" w:space="0" w:color="auto"/>
                    <w:bottom w:val="none" w:sz="0" w:space="0" w:color="auto"/>
                    <w:right w:val="none" w:sz="0" w:space="0" w:color="auto"/>
                  </w:divBdr>
                </w:div>
                <w:div w:id="1941913568">
                  <w:marLeft w:val="0"/>
                  <w:marRight w:val="0"/>
                  <w:marTop w:val="0"/>
                  <w:marBottom w:val="0"/>
                  <w:divBdr>
                    <w:top w:val="none" w:sz="0" w:space="0" w:color="auto"/>
                    <w:left w:val="none" w:sz="0" w:space="0" w:color="auto"/>
                    <w:bottom w:val="none" w:sz="0" w:space="0" w:color="auto"/>
                    <w:right w:val="none" w:sz="0" w:space="0" w:color="auto"/>
                  </w:divBdr>
                </w:div>
                <w:div w:id="114061544">
                  <w:marLeft w:val="0"/>
                  <w:marRight w:val="0"/>
                  <w:marTop w:val="0"/>
                  <w:marBottom w:val="0"/>
                  <w:divBdr>
                    <w:top w:val="none" w:sz="0" w:space="0" w:color="auto"/>
                    <w:left w:val="none" w:sz="0" w:space="0" w:color="auto"/>
                    <w:bottom w:val="none" w:sz="0" w:space="0" w:color="auto"/>
                    <w:right w:val="none" w:sz="0" w:space="0" w:color="auto"/>
                  </w:divBdr>
                </w:div>
                <w:div w:id="1257206240">
                  <w:marLeft w:val="0"/>
                  <w:marRight w:val="0"/>
                  <w:marTop w:val="0"/>
                  <w:marBottom w:val="0"/>
                  <w:divBdr>
                    <w:top w:val="none" w:sz="0" w:space="0" w:color="auto"/>
                    <w:left w:val="none" w:sz="0" w:space="0" w:color="auto"/>
                    <w:bottom w:val="none" w:sz="0" w:space="0" w:color="auto"/>
                    <w:right w:val="none" w:sz="0" w:space="0" w:color="auto"/>
                  </w:divBdr>
                  <w:divsChild>
                    <w:div w:id="487675581">
                      <w:marLeft w:val="0"/>
                      <w:marRight w:val="0"/>
                      <w:marTop w:val="0"/>
                      <w:marBottom w:val="0"/>
                      <w:divBdr>
                        <w:top w:val="none" w:sz="0" w:space="0" w:color="auto"/>
                        <w:left w:val="none" w:sz="0" w:space="0" w:color="auto"/>
                        <w:bottom w:val="none" w:sz="0" w:space="0" w:color="auto"/>
                        <w:right w:val="none" w:sz="0" w:space="0" w:color="auto"/>
                      </w:divBdr>
                    </w:div>
                    <w:div w:id="753211164">
                      <w:marLeft w:val="0"/>
                      <w:marRight w:val="0"/>
                      <w:marTop w:val="0"/>
                      <w:marBottom w:val="0"/>
                      <w:divBdr>
                        <w:top w:val="none" w:sz="0" w:space="0" w:color="auto"/>
                        <w:left w:val="none" w:sz="0" w:space="0" w:color="auto"/>
                        <w:bottom w:val="none" w:sz="0" w:space="0" w:color="auto"/>
                        <w:right w:val="none" w:sz="0" w:space="0" w:color="auto"/>
                      </w:divBdr>
                    </w:div>
                  </w:divsChild>
                </w:div>
                <w:div w:id="969943437">
                  <w:marLeft w:val="0"/>
                  <w:marRight w:val="0"/>
                  <w:marTop w:val="0"/>
                  <w:marBottom w:val="0"/>
                  <w:divBdr>
                    <w:top w:val="none" w:sz="0" w:space="0" w:color="auto"/>
                    <w:left w:val="none" w:sz="0" w:space="0" w:color="auto"/>
                    <w:bottom w:val="none" w:sz="0" w:space="0" w:color="auto"/>
                    <w:right w:val="none" w:sz="0" w:space="0" w:color="auto"/>
                  </w:divBdr>
                </w:div>
                <w:div w:id="669481819">
                  <w:marLeft w:val="0"/>
                  <w:marRight w:val="0"/>
                  <w:marTop w:val="0"/>
                  <w:marBottom w:val="0"/>
                  <w:divBdr>
                    <w:top w:val="none" w:sz="0" w:space="0" w:color="auto"/>
                    <w:left w:val="none" w:sz="0" w:space="0" w:color="auto"/>
                    <w:bottom w:val="none" w:sz="0" w:space="0" w:color="auto"/>
                    <w:right w:val="none" w:sz="0" w:space="0" w:color="auto"/>
                  </w:divBdr>
                </w:div>
                <w:div w:id="1380399695">
                  <w:marLeft w:val="0"/>
                  <w:marRight w:val="0"/>
                  <w:marTop w:val="0"/>
                  <w:marBottom w:val="0"/>
                  <w:divBdr>
                    <w:top w:val="none" w:sz="0" w:space="0" w:color="auto"/>
                    <w:left w:val="none" w:sz="0" w:space="0" w:color="auto"/>
                    <w:bottom w:val="none" w:sz="0" w:space="0" w:color="auto"/>
                    <w:right w:val="none" w:sz="0" w:space="0" w:color="auto"/>
                  </w:divBdr>
                  <w:divsChild>
                    <w:div w:id="299072798">
                      <w:marLeft w:val="0"/>
                      <w:marRight w:val="0"/>
                      <w:marTop w:val="0"/>
                      <w:marBottom w:val="0"/>
                      <w:divBdr>
                        <w:top w:val="none" w:sz="0" w:space="0" w:color="auto"/>
                        <w:left w:val="none" w:sz="0" w:space="0" w:color="auto"/>
                        <w:bottom w:val="none" w:sz="0" w:space="0" w:color="auto"/>
                        <w:right w:val="none" w:sz="0" w:space="0" w:color="auto"/>
                      </w:divBdr>
                    </w:div>
                    <w:div w:id="235746837">
                      <w:marLeft w:val="0"/>
                      <w:marRight w:val="0"/>
                      <w:marTop w:val="0"/>
                      <w:marBottom w:val="0"/>
                      <w:divBdr>
                        <w:top w:val="none" w:sz="0" w:space="0" w:color="auto"/>
                        <w:left w:val="none" w:sz="0" w:space="0" w:color="auto"/>
                        <w:bottom w:val="none" w:sz="0" w:space="0" w:color="auto"/>
                        <w:right w:val="none" w:sz="0" w:space="0" w:color="auto"/>
                      </w:divBdr>
                    </w:div>
                  </w:divsChild>
                </w:div>
                <w:div w:id="1898276150">
                  <w:marLeft w:val="0"/>
                  <w:marRight w:val="0"/>
                  <w:marTop w:val="0"/>
                  <w:marBottom w:val="0"/>
                  <w:divBdr>
                    <w:top w:val="none" w:sz="0" w:space="0" w:color="auto"/>
                    <w:left w:val="none" w:sz="0" w:space="0" w:color="auto"/>
                    <w:bottom w:val="none" w:sz="0" w:space="0" w:color="auto"/>
                    <w:right w:val="none" w:sz="0" w:space="0" w:color="auto"/>
                  </w:divBdr>
                </w:div>
                <w:div w:id="2020690871">
                  <w:marLeft w:val="0"/>
                  <w:marRight w:val="0"/>
                  <w:marTop w:val="0"/>
                  <w:marBottom w:val="0"/>
                  <w:divBdr>
                    <w:top w:val="none" w:sz="0" w:space="0" w:color="auto"/>
                    <w:left w:val="none" w:sz="0" w:space="0" w:color="auto"/>
                    <w:bottom w:val="none" w:sz="0" w:space="0" w:color="auto"/>
                    <w:right w:val="none" w:sz="0" w:space="0" w:color="auto"/>
                  </w:divBdr>
                </w:div>
                <w:div w:id="1258909097">
                  <w:marLeft w:val="0"/>
                  <w:marRight w:val="0"/>
                  <w:marTop w:val="0"/>
                  <w:marBottom w:val="0"/>
                  <w:divBdr>
                    <w:top w:val="none" w:sz="0" w:space="0" w:color="auto"/>
                    <w:left w:val="none" w:sz="0" w:space="0" w:color="auto"/>
                    <w:bottom w:val="none" w:sz="0" w:space="0" w:color="auto"/>
                    <w:right w:val="none" w:sz="0" w:space="0" w:color="auto"/>
                  </w:divBdr>
                  <w:divsChild>
                    <w:div w:id="1005983883">
                      <w:marLeft w:val="0"/>
                      <w:marRight w:val="0"/>
                      <w:marTop w:val="0"/>
                      <w:marBottom w:val="0"/>
                      <w:divBdr>
                        <w:top w:val="none" w:sz="0" w:space="0" w:color="auto"/>
                        <w:left w:val="none" w:sz="0" w:space="0" w:color="auto"/>
                        <w:bottom w:val="none" w:sz="0" w:space="0" w:color="auto"/>
                        <w:right w:val="none" w:sz="0" w:space="0" w:color="auto"/>
                      </w:divBdr>
                    </w:div>
                    <w:div w:id="495538205">
                      <w:marLeft w:val="0"/>
                      <w:marRight w:val="0"/>
                      <w:marTop w:val="0"/>
                      <w:marBottom w:val="0"/>
                      <w:divBdr>
                        <w:top w:val="none" w:sz="0" w:space="0" w:color="auto"/>
                        <w:left w:val="none" w:sz="0" w:space="0" w:color="auto"/>
                        <w:bottom w:val="none" w:sz="0" w:space="0" w:color="auto"/>
                        <w:right w:val="none" w:sz="0" w:space="0" w:color="auto"/>
                      </w:divBdr>
                    </w:div>
                  </w:divsChild>
                </w:div>
                <w:div w:id="527914614">
                  <w:marLeft w:val="0"/>
                  <w:marRight w:val="0"/>
                  <w:marTop w:val="0"/>
                  <w:marBottom w:val="0"/>
                  <w:divBdr>
                    <w:top w:val="none" w:sz="0" w:space="0" w:color="auto"/>
                    <w:left w:val="none" w:sz="0" w:space="0" w:color="auto"/>
                    <w:bottom w:val="none" w:sz="0" w:space="0" w:color="auto"/>
                    <w:right w:val="none" w:sz="0" w:space="0" w:color="auto"/>
                  </w:divBdr>
                </w:div>
                <w:div w:id="219830474">
                  <w:marLeft w:val="0"/>
                  <w:marRight w:val="0"/>
                  <w:marTop w:val="0"/>
                  <w:marBottom w:val="0"/>
                  <w:divBdr>
                    <w:top w:val="none" w:sz="0" w:space="0" w:color="auto"/>
                    <w:left w:val="none" w:sz="0" w:space="0" w:color="auto"/>
                    <w:bottom w:val="none" w:sz="0" w:space="0" w:color="auto"/>
                    <w:right w:val="none" w:sz="0" w:space="0" w:color="auto"/>
                  </w:divBdr>
                </w:div>
                <w:div w:id="358774342">
                  <w:marLeft w:val="0"/>
                  <w:marRight w:val="0"/>
                  <w:marTop w:val="0"/>
                  <w:marBottom w:val="0"/>
                  <w:divBdr>
                    <w:top w:val="none" w:sz="0" w:space="0" w:color="auto"/>
                    <w:left w:val="none" w:sz="0" w:space="0" w:color="auto"/>
                    <w:bottom w:val="none" w:sz="0" w:space="0" w:color="auto"/>
                    <w:right w:val="none" w:sz="0" w:space="0" w:color="auto"/>
                  </w:divBdr>
                  <w:divsChild>
                    <w:div w:id="1637949541">
                      <w:marLeft w:val="0"/>
                      <w:marRight w:val="0"/>
                      <w:marTop w:val="0"/>
                      <w:marBottom w:val="0"/>
                      <w:divBdr>
                        <w:top w:val="none" w:sz="0" w:space="0" w:color="auto"/>
                        <w:left w:val="none" w:sz="0" w:space="0" w:color="auto"/>
                        <w:bottom w:val="none" w:sz="0" w:space="0" w:color="auto"/>
                        <w:right w:val="none" w:sz="0" w:space="0" w:color="auto"/>
                      </w:divBdr>
                    </w:div>
                    <w:div w:id="1707024897">
                      <w:marLeft w:val="0"/>
                      <w:marRight w:val="0"/>
                      <w:marTop w:val="0"/>
                      <w:marBottom w:val="0"/>
                      <w:divBdr>
                        <w:top w:val="none" w:sz="0" w:space="0" w:color="auto"/>
                        <w:left w:val="none" w:sz="0" w:space="0" w:color="auto"/>
                        <w:bottom w:val="none" w:sz="0" w:space="0" w:color="auto"/>
                        <w:right w:val="none" w:sz="0" w:space="0" w:color="auto"/>
                      </w:divBdr>
                    </w:div>
                  </w:divsChild>
                </w:div>
                <w:div w:id="2014332501">
                  <w:marLeft w:val="0"/>
                  <w:marRight w:val="0"/>
                  <w:marTop w:val="0"/>
                  <w:marBottom w:val="0"/>
                  <w:divBdr>
                    <w:top w:val="none" w:sz="0" w:space="0" w:color="auto"/>
                    <w:left w:val="none" w:sz="0" w:space="0" w:color="auto"/>
                    <w:bottom w:val="none" w:sz="0" w:space="0" w:color="auto"/>
                    <w:right w:val="none" w:sz="0" w:space="0" w:color="auto"/>
                  </w:divBdr>
                </w:div>
                <w:div w:id="1359426164">
                  <w:marLeft w:val="0"/>
                  <w:marRight w:val="0"/>
                  <w:marTop w:val="0"/>
                  <w:marBottom w:val="0"/>
                  <w:divBdr>
                    <w:top w:val="none" w:sz="0" w:space="0" w:color="auto"/>
                    <w:left w:val="none" w:sz="0" w:space="0" w:color="auto"/>
                    <w:bottom w:val="none" w:sz="0" w:space="0" w:color="auto"/>
                    <w:right w:val="none" w:sz="0" w:space="0" w:color="auto"/>
                  </w:divBdr>
                </w:div>
                <w:div w:id="314377997">
                  <w:marLeft w:val="0"/>
                  <w:marRight w:val="0"/>
                  <w:marTop w:val="0"/>
                  <w:marBottom w:val="0"/>
                  <w:divBdr>
                    <w:top w:val="none" w:sz="0" w:space="0" w:color="auto"/>
                    <w:left w:val="none" w:sz="0" w:space="0" w:color="auto"/>
                    <w:bottom w:val="none" w:sz="0" w:space="0" w:color="auto"/>
                    <w:right w:val="none" w:sz="0" w:space="0" w:color="auto"/>
                  </w:divBdr>
                </w:div>
                <w:div w:id="244606716">
                  <w:marLeft w:val="0"/>
                  <w:marRight w:val="0"/>
                  <w:marTop w:val="0"/>
                  <w:marBottom w:val="0"/>
                  <w:divBdr>
                    <w:top w:val="none" w:sz="0" w:space="0" w:color="auto"/>
                    <w:left w:val="none" w:sz="0" w:space="0" w:color="auto"/>
                    <w:bottom w:val="none" w:sz="0" w:space="0" w:color="auto"/>
                    <w:right w:val="none" w:sz="0" w:space="0" w:color="auto"/>
                  </w:divBdr>
                </w:div>
                <w:div w:id="2042708667">
                  <w:marLeft w:val="360"/>
                  <w:marRight w:val="0"/>
                  <w:marTop w:val="0"/>
                  <w:marBottom w:val="0"/>
                  <w:divBdr>
                    <w:top w:val="none" w:sz="0" w:space="0" w:color="auto"/>
                    <w:left w:val="none" w:sz="0" w:space="0" w:color="auto"/>
                    <w:bottom w:val="none" w:sz="0" w:space="0" w:color="auto"/>
                    <w:right w:val="none" w:sz="0" w:space="0" w:color="auto"/>
                  </w:divBdr>
                </w:div>
                <w:div w:id="1750954730">
                  <w:marLeft w:val="0"/>
                  <w:marRight w:val="0"/>
                  <w:marTop w:val="0"/>
                  <w:marBottom w:val="0"/>
                  <w:divBdr>
                    <w:top w:val="none" w:sz="0" w:space="0" w:color="auto"/>
                    <w:left w:val="none" w:sz="0" w:space="0" w:color="auto"/>
                    <w:bottom w:val="none" w:sz="0" w:space="0" w:color="auto"/>
                    <w:right w:val="none" w:sz="0" w:space="0" w:color="auto"/>
                  </w:divBdr>
                  <w:divsChild>
                    <w:div w:id="636643459">
                      <w:marLeft w:val="0"/>
                      <w:marRight w:val="0"/>
                      <w:marTop w:val="0"/>
                      <w:marBottom w:val="0"/>
                      <w:divBdr>
                        <w:top w:val="none" w:sz="0" w:space="0" w:color="auto"/>
                        <w:left w:val="none" w:sz="0" w:space="0" w:color="auto"/>
                        <w:bottom w:val="none" w:sz="0" w:space="0" w:color="auto"/>
                        <w:right w:val="none" w:sz="0" w:space="0" w:color="auto"/>
                      </w:divBdr>
                    </w:div>
                    <w:div w:id="2138796638">
                      <w:marLeft w:val="0"/>
                      <w:marRight w:val="0"/>
                      <w:marTop w:val="0"/>
                      <w:marBottom w:val="0"/>
                      <w:divBdr>
                        <w:top w:val="none" w:sz="0" w:space="0" w:color="auto"/>
                        <w:left w:val="none" w:sz="0" w:space="0" w:color="auto"/>
                        <w:bottom w:val="none" w:sz="0" w:space="0" w:color="auto"/>
                        <w:right w:val="none" w:sz="0" w:space="0" w:color="auto"/>
                      </w:divBdr>
                    </w:div>
                  </w:divsChild>
                </w:div>
                <w:div w:id="871840175">
                  <w:marLeft w:val="0"/>
                  <w:marRight w:val="0"/>
                  <w:marTop w:val="0"/>
                  <w:marBottom w:val="0"/>
                  <w:divBdr>
                    <w:top w:val="none" w:sz="0" w:space="0" w:color="auto"/>
                    <w:left w:val="none" w:sz="0" w:space="0" w:color="auto"/>
                    <w:bottom w:val="none" w:sz="0" w:space="0" w:color="auto"/>
                    <w:right w:val="none" w:sz="0" w:space="0" w:color="auto"/>
                  </w:divBdr>
                </w:div>
                <w:div w:id="2146466892">
                  <w:marLeft w:val="0"/>
                  <w:marRight w:val="0"/>
                  <w:marTop w:val="0"/>
                  <w:marBottom w:val="0"/>
                  <w:divBdr>
                    <w:top w:val="none" w:sz="0" w:space="0" w:color="auto"/>
                    <w:left w:val="none" w:sz="0" w:space="0" w:color="auto"/>
                    <w:bottom w:val="none" w:sz="0" w:space="0" w:color="auto"/>
                    <w:right w:val="none" w:sz="0" w:space="0" w:color="auto"/>
                  </w:divBdr>
                </w:div>
                <w:div w:id="2109885982">
                  <w:marLeft w:val="0"/>
                  <w:marRight w:val="0"/>
                  <w:marTop w:val="0"/>
                  <w:marBottom w:val="0"/>
                  <w:divBdr>
                    <w:top w:val="none" w:sz="0" w:space="0" w:color="auto"/>
                    <w:left w:val="none" w:sz="0" w:space="0" w:color="auto"/>
                    <w:bottom w:val="none" w:sz="0" w:space="0" w:color="auto"/>
                    <w:right w:val="none" w:sz="0" w:space="0" w:color="auto"/>
                  </w:divBdr>
                  <w:divsChild>
                    <w:div w:id="1877237578">
                      <w:marLeft w:val="0"/>
                      <w:marRight w:val="0"/>
                      <w:marTop w:val="0"/>
                      <w:marBottom w:val="0"/>
                      <w:divBdr>
                        <w:top w:val="none" w:sz="0" w:space="0" w:color="auto"/>
                        <w:left w:val="none" w:sz="0" w:space="0" w:color="auto"/>
                        <w:bottom w:val="none" w:sz="0" w:space="0" w:color="auto"/>
                        <w:right w:val="none" w:sz="0" w:space="0" w:color="auto"/>
                      </w:divBdr>
                    </w:div>
                    <w:div w:id="729692040">
                      <w:marLeft w:val="0"/>
                      <w:marRight w:val="0"/>
                      <w:marTop w:val="0"/>
                      <w:marBottom w:val="0"/>
                      <w:divBdr>
                        <w:top w:val="none" w:sz="0" w:space="0" w:color="auto"/>
                        <w:left w:val="none" w:sz="0" w:space="0" w:color="auto"/>
                        <w:bottom w:val="none" w:sz="0" w:space="0" w:color="auto"/>
                        <w:right w:val="none" w:sz="0" w:space="0" w:color="auto"/>
                      </w:divBdr>
                    </w:div>
                  </w:divsChild>
                </w:div>
                <w:div w:id="2046366037">
                  <w:marLeft w:val="0"/>
                  <w:marRight w:val="0"/>
                  <w:marTop w:val="0"/>
                  <w:marBottom w:val="0"/>
                  <w:divBdr>
                    <w:top w:val="none" w:sz="0" w:space="0" w:color="auto"/>
                    <w:left w:val="none" w:sz="0" w:space="0" w:color="auto"/>
                    <w:bottom w:val="none" w:sz="0" w:space="0" w:color="auto"/>
                    <w:right w:val="none" w:sz="0" w:space="0" w:color="auto"/>
                  </w:divBdr>
                </w:div>
                <w:div w:id="2077124976">
                  <w:marLeft w:val="0"/>
                  <w:marRight w:val="0"/>
                  <w:marTop w:val="0"/>
                  <w:marBottom w:val="0"/>
                  <w:divBdr>
                    <w:top w:val="none" w:sz="0" w:space="0" w:color="auto"/>
                    <w:left w:val="none" w:sz="0" w:space="0" w:color="auto"/>
                    <w:bottom w:val="none" w:sz="0" w:space="0" w:color="auto"/>
                    <w:right w:val="none" w:sz="0" w:space="0" w:color="auto"/>
                  </w:divBdr>
                </w:div>
                <w:div w:id="375588495">
                  <w:marLeft w:val="0"/>
                  <w:marRight w:val="0"/>
                  <w:marTop w:val="0"/>
                  <w:marBottom w:val="0"/>
                  <w:divBdr>
                    <w:top w:val="none" w:sz="0" w:space="0" w:color="auto"/>
                    <w:left w:val="none" w:sz="0" w:space="0" w:color="auto"/>
                    <w:bottom w:val="none" w:sz="0" w:space="0" w:color="auto"/>
                    <w:right w:val="none" w:sz="0" w:space="0" w:color="auto"/>
                  </w:divBdr>
                </w:div>
                <w:div w:id="937833450">
                  <w:marLeft w:val="0"/>
                  <w:marRight w:val="0"/>
                  <w:marTop w:val="0"/>
                  <w:marBottom w:val="0"/>
                  <w:divBdr>
                    <w:top w:val="none" w:sz="0" w:space="0" w:color="auto"/>
                    <w:left w:val="none" w:sz="0" w:space="0" w:color="auto"/>
                    <w:bottom w:val="none" w:sz="0" w:space="0" w:color="auto"/>
                    <w:right w:val="none" w:sz="0" w:space="0" w:color="auto"/>
                  </w:divBdr>
                </w:div>
                <w:div w:id="557664464">
                  <w:marLeft w:val="0"/>
                  <w:marRight w:val="0"/>
                  <w:marTop w:val="0"/>
                  <w:marBottom w:val="0"/>
                  <w:divBdr>
                    <w:top w:val="none" w:sz="0" w:space="0" w:color="auto"/>
                    <w:left w:val="none" w:sz="0" w:space="0" w:color="auto"/>
                    <w:bottom w:val="none" w:sz="0" w:space="0" w:color="auto"/>
                    <w:right w:val="none" w:sz="0" w:space="0" w:color="auto"/>
                  </w:divBdr>
                </w:div>
                <w:div w:id="2120562487">
                  <w:marLeft w:val="0"/>
                  <w:marRight w:val="0"/>
                  <w:marTop w:val="0"/>
                  <w:marBottom w:val="0"/>
                  <w:divBdr>
                    <w:top w:val="none" w:sz="0" w:space="0" w:color="auto"/>
                    <w:left w:val="none" w:sz="0" w:space="0" w:color="auto"/>
                    <w:bottom w:val="none" w:sz="0" w:space="0" w:color="auto"/>
                    <w:right w:val="none" w:sz="0" w:space="0" w:color="auto"/>
                  </w:divBdr>
                </w:div>
                <w:div w:id="1667787324">
                  <w:marLeft w:val="0"/>
                  <w:marRight w:val="0"/>
                  <w:marTop w:val="0"/>
                  <w:marBottom w:val="0"/>
                  <w:divBdr>
                    <w:top w:val="none" w:sz="0" w:space="0" w:color="auto"/>
                    <w:left w:val="none" w:sz="0" w:space="0" w:color="auto"/>
                    <w:bottom w:val="none" w:sz="0" w:space="0" w:color="auto"/>
                    <w:right w:val="none" w:sz="0" w:space="0" w:color="auto"/>
                  </w:divBdr>
                </w:div>
                <w:div w:id="358899771">
                  <w:marLeft w:val="0"/>
                  <w:marRight w:val="0"/>
                  <w:marTop w:val="0"/>
                  <w:marBottom w:val="0"/>
                  <w:divBdr>
                    <w:top w:val="none" w:sz="0" w:space="0" w:color="auto"/>
                    <w:left w:val="none" w:sz="0" w:space="0" w:color="auto"/>
                    <w:bottom w:val="none" w:sz="0" w:space="0" w:color="auto"/>
                    <w:right w:val="none" w:sz="0" w:space="0" w:color="auto"/>
                  </w:divBdr>
                </w:div>
                <w:div w:id="1728335338">
                  <w:marLeft w:val="0"/>
                  <w:marRight w:val="0"/>
                  <w:marTop w:val="0"/>
                  <w:marBottom w:val="0"/>
                  <w:divBdr>
                    <w:top w:val="none" w:sz="0" w:space="0" w:color="auto"/>
                    <w:left w:val="none" w:sz="0" w:space="0" w:color="auto"/>
                    <w:bottom w:val="none" w:sz="0" w:space="0" w:color="auto"/>
                    <w:right w:val="none" w:sz="0" w:space="0" w:color="auto"/>
                  </w:divBdr>
                </w:div>
                <w:div w:id="585310522">
                  <w:marLeft w:val="0"/>
                  <w:marRight w:val="0"/>
                  <w:marTop w:val="0"/>
                  <w:marBottom w:val="0"/>
                  <w:divBdr>
                    <w:top w:val="none" w:sz="0" w:space="0" w:color="auto"/>
                    <w:left w:val="none" w:sz="0" w:space="0" w:color="auto"/>
                    <w:bottom w:val="none" w:sz="0" w:space="0" w:color="auto"/>
                    <w:right w:val="none" w:sz="0" w:space="0" w:color="auto"/>
                  </w:divBdr>
                </w:div>
                <w:div w:id="891886221">
                  <w:marLeft w:val="0"/>
                  <w:marRight w:val="0"/>
                  <w:marTop w:val="0"/>
                  <w:marBottom w:val="0"/>
                  <w:divBdr>
                    <w:top w:val="none" w:sz="0" w:space="0" w:color="auto"/>
                    <w:left w:val="none" w:sz="0" w:space="0" w:color="auto"/>
                    <w:bottom w:val="none" w:sz="0" w:space="0" w:color="auto"/>
                    <w:right w:val="none" w:sz="0" w:space="0" w:color="auto"/>
                  </w:divBdr>
                </w:div>
                <w:div w:id="806511678">
                  <w:marLeft w:val="0"/>
                  <w:marRight w:val="0"/>
                  <w:marTop w:val="0"/>
                  <w:marBottom w:val="0"/>
                  <w:divBdr>
                    <w:top w:val="none" w:sz="0" w:space="0" w:color="auto"/>
                    <w:left w:val="none" w:sz="0" w:space="0" w:color="auto"/>
                    <w:bottom w:val="none" w:sz="0" w:space="0" w:color="auto"/>
                    <w:right w:val="none" w:sz="0" w:space="0" w:color="auto"/>
                  </w:divBdr>
                </w:div>
                <w:div w:id="1233587411">
                  <w:marLeft w:val="0"/>
                  <w:marRight w:val="0"/>
                  <w:marTop w:val="0"/>
                  <w:marBottom w:val="0"/>
                  <w:divBdr>
                    <w:top w:val="none" w:sz="0" w:space="0" w:color="auto"/>
                    <w:left w:val="none" w:sz="0" w:space="0" w:color="auto"/>
                    <w:bottom w:val="none" w:sz="0" w:space="0" w:color="auto"/>
                    <w:right w:val="none" w:sz="0" w:space="0" w:color="auto"/>
                  </w:divBdr>
                </w:div>
                <w:div w:id="145706244">
                  <w:marLeft w:val="0"/>
                  <w:marRight w:val="0"/>
                  <w:marTop w:val="0"/>
                  <w:marBottom w:val="0"/>
                  <w:divBdr>
                    <w:top w:val="none" w:sz="0" w:space="0" w:color="auto"/>
                    <w:left w:val="none" w:sz="0" w:space="0" w:color="auto"/>
                    <w:bottom w:val="none" w:sz="0" w:space="0" w:color="auto"/>
                    <w:right w:val="none" w:sz="0" w:space="0" w:color="auto"/>
                  </w:divBdr>
                </w:div>
                <w:div w:id="517502808">
                  <w:marLeft w:val="0"/>
                  <w:marRight w:val="0"/>
                  <w:marTop w:val="0"/>
                  <w:marBottom w:val="0"/>
                  <w:divBdr>
                    <w:top w:val="none" w:sz="0" w:space="0" w:color="auto"/>
                    <w:left w:val="none" w:sz="0" w:space="0" w:color="auto"/>
                    <w:bottom w:val="none" w:sz="0" w:space="0" w:color="auto"/>
                    <w:right w:val="none" w:sz="0" w:space="0" w:color="auto"/>
                  </w:divBdr>
                </w:div>
                <w:div w:id="69736003">
                  <w:marLeft w:val="0"/>
                  <w:marRight w:val="0"/>
                  <w:marTop w:val="0"/>
                  <w:marBottom w:val="0"/>
                  <w:divBdr>
                    <w:top w:val="none" w:sz="0" w:space="0" w:color="auto"/>
                    <w:left w:val="none" w:sz="0" w:space="0" w:color="auto"/>
                    <w:bottom w:val="none" w:sz="0" w:space="0" w:color="auto"/>
                    <w:right w:val="none" w:sz="0" w:space="0" w:color="auto"/>
                  </w:divBdr>
                </w:div>
                <w:div w:id="608196129">
                  <w:marLeft w:val="0"/>
                  <w:marRight w:val="0"/>
                  <w:marTop w:val="0"/>
                  <w:marBottom w:val="0"/>
                  <w:divBdr>
                    <w:top w:val="none" w:sz="0" w:space="0" w:color="auto"/>
                    <w:left w:val="none" w:sz="0" w:space="0" w:color="auto"/>
                    <w:bottom w:val="none" w:sz="0" w:space="0" w:color="auto"/>
                    <w:right w:val="none" w:sz="0" w:space="0" w:color="auto"/>
                  </w:divBdr>
                </w:div>
                <w:div w:id="1134563618">
                  <w:marLeft w:val="0"/>
                  <w:marRight w:val="0"/>
                  <w:marTop w:val="0"/>
                  <w:marBottom w:val="0"/>
                  <w:divBdr>
                    <w:top w:val="none" w:sz="0" w:space="0" w:color="auto"/>
                    <w:left w:val="none" w:sz="0" w:space="0" w:color="auto"/>
                    <w:bottom w:val="none" w:sz="0" w:space="0" w:color="auto"/>
                    <w:right w:val="none" w:sz="0" w:space="0" w:color="auto"/>
                  </w:divBdr>
                </w:div>
                <w:div w:id="1143885871">
                  <w:marLeft w:val="0"/>
                  <w:marRight w:val="0"/>
                  <w:marTop w:val="0"/>
                  <w:marBottom w:val="0"/>
                  <w:divBdr>
                    <w:top w:val="none" w:sz="0" w:space="0" w:color="auto"/>
                    <w:left w:val="none" w:sz="0" w:space="0" w:color="auto"/>
                    <w:bottom w:val="none" w:sz="0" w:space="0" w:color="auto"/>
                    <w:right w:val="none" w:sz="0" w:space="0" w:color="auto"/>
                  </w:divBdr>
                </w:div>
                <w:div w:id="763456454">
                  <w:marLeft w:val="0"/>
                  <w:marRight w:val="0"/>
                  <w:marTop w:val="0"/>
                  <w:marBottom w:val="0"/>
                  <w:divBdr>
                    <w:top w:val="none" w:sz="0" w:space="0" w:color="auto"/>
                    <w:left w:val="none" w:sz="0" w:space="0" w:color="auto"/>
                    <w:bottom w:val="none" w:sz="0" w:space="0" w:color="auto"/>
                    <w:right w:val="none" w:sz="0" w:space="0" w:color="auto"/>
                  </w:divBdr>
                </w:div>
                <w:div w:id="760218707">
                  <w:marLeft w:val="0"/>
                  <w:marRight w:val="0"/>
                  <w:marTop w:val="0"/>
                  <w:marBottom w:val="0"/>
                  <w:divBdr>
                    <w:top w:val="none" w:sz="0" w:space="0" w:color="auto"/>
                    <w:left w:val="none" w:sz="0" w:space="0" w:color="auto"/>
                    <w:bottom w:val="none" w:sz="0" w:space="0" w:color="auto"/>
                    <w:right w:val="none" w:sz="0" w:space="0" w:color="auto"/>
                  </w:divBdr>
                </w:div>
                <w:div w:id="1928728874">
                  <w:marLeft w:val="0"/>
                  <w:marRight w:val="0"/>
                  <w:marTop w:val="0"/>
                  <w:marBottom w:val="0"/>
                  <w:divBdr>
                    <w:top w:val="none" w:sz="0" w:space="0" w:color="auto"/>
                    <w:left w:val="none" w:sz="0" w:space="0" w:color="auto"/>
                    <w:bottom w:val="none" w:sz="0" w:space="0" w:color="auto"/>
                    <w:right w:val="none" w:sz="0" w:space="0" w:color="auto"/>
                  </w:divBdr>
                </w:div>
                <w:div w:id="262156334">
                  <w:marLeft w:val="0"/>
                  <w:marRight w:val="0"/>
                  <w:marTop w:val="0"/>
                  <w:marBottom w:val="0"/>
                  <w:divBdr>
                    <w:top w:val="none" w:sz="0" w:space="0" w:color="auto"/>
                    <w:left w:val="none" w:sz="0" w:space="0" w:color="auto"/>
                    <w:bottom w:val="none" w:sz="0" w:space="0" w:color="auto"/>
                    <w:right w:val="none" w:sz="0" w:space="0" w:color="auto"/>
                  </w:divBdr>
                </w:div>
                <w:div w:id="1988632107">
                  <w:marLeft w:val="0"/>
                  <w:marRight w:val="0"/>
                  <w:marTop w:val="0"/>
                  <w:marBottom w:val="0"/>
                  <w:divBdr>
                    <w:top w:val="none" w:sz="0" w:space="0" w:color="auto"/>
                    <w:left w:val="none" w:sz="0" w:space="0" w:color="auto"/>
                    <w:bottom w:val="none" w:sz="0" w:space="0" w:color="auto"/>
                    <w:right w:val="none" w:sz="0" w:space="0" w:color="auto"/>
                  </w:divBdr>
                </w:div>
                <w:div w:id="1870144104">
                  <w:marLeft w:val="0"/>
                  <w:marRight w:val="0"/>
                  <w:marTop w:val="0"/>
                  <w:marBottom w:val="0"/>
                  <w:divBdr>
                    <w:top w:val="none" w:sz="0" w:space="0" w:color="auto"/>
                    <w:left w:val="none" w:sz="0" w:space="0" w:color="auto"/>
                    <w:bottom w:val="none" w:sz="0" w:space="0" w:color="auto"/>
                    <w:right w:val="none" w:sz="0" w:space="0" w:color="auto"/>
                  </w:divBdr>
                </w:div>
                <w:div w:id="1927113575">
                  <w:marLeft w:val="0"/>
                  <w:marRight w:val="0"/>
                  <w:marTop w:val="0"/>
                  <w:marBottom w:val="0"/>
                  <w:divBdr>
                    <w:top w:val="none" w:sz="0" w:space="0" w:color="auto"/>
                    <w:left w:val="none" w:sz="0" w:space="0" w:color="auto"/>
                    <w:bottom w:val="none" w:sz="0" w:space="0" w:color="auto"/>
                    <w:right w:val="none" w:sz="0" w:space="0" w:color="auto"/>
                  </w:divBdr>
                </w:div>
                <w:div w:id="21412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46797">
          <w:marLeft w:val="0"/>
          <w:marRight w:val="0"/>
          <w:marTop w:val="0"/>
          <w:marBottom w:val="0"/>
          <w:divBdr>
            <w:top w:val="none" w:sz="0" w:space="0" w:color="auto"/>
            <w:left w:val="none" w:sz="0" w:space="0" w:color="auto"/>
            <w:bottom w:val="none" w:sz="0" w:space="0" w:color="auto"/>
            <w:right w:val="none" w:sz="0" w:space="0" w:color="auto"/>
          </w:divBdr>
          <w:divsChild>
            <w:div w:id="161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6840">
      <w:bodyDiv w:val="1"/>
      <w:marLeft w:val="0"/>
      <w:marRight w:val="0"/>
      <w:marTop w:val="0"/>
      <w:marBottom w:val="0"/>
      <w:divBdr>
        <w:top w:val="none" w:sz="0" w:space="0" w:color="auto"/>
        <w:left w:val="none" w:sz="0" w:space="0" w:color="auto"/>
        <w:bottom w:val="none" w:sz="0" w:space="0" w:color="auto"/>
        <w:right w:val="none" w:sz="0" w:space="0" w:color="auto"/>
      </w:divBdr>
      <w:divsChild>
        <w:div w:id="1638415569">
          <w:marLeft w:val="1247"/>
          <w:marRight w:val="1247"/>
          <w:marTop w:val="1247"/>
          <w:marBottom w:val="1247"/>
          <w:divBdr>
            <w:top w:val="none" w:sz="0" w:space="0" w:color="auto"/>
            <w:left w:val="none" w:sz="0" w:space="0" w:color="auto"/>
            <w:bottom w:val="none" w:sz="0" w:space="0" w:color="auto"/>
            <w:right w:val="none" w:sz="0" w:space="0" w:color="auto"/>
          </w:divBdr>
        </w:div>
      </w:divsChild>
    </w:div>
    <w:div w:id="1308123384">
      <w:bodyDiv w:val="1"/>
      <w:marLeft w:val="0"/>
      <w:marRight w:val="0"/>
      <w:marTop w:val="0"/>
      <w:marBottom w:val="0"/>
      <w:divBdr>
        <w:top w:val="none" w:sz="0" w:space="0" w:color="auto"/>
        <w:left w:val="none" w:sz="0" w:space="0" w:color="auto"/>
        <w:bottom w:val="none" w:sz="0" w:space="0" w:color="auto"/>
        <w:right w:val="none" w:sz="0" w:space="0" w:color="auto"/>
      </w:divBdr>
      <w:divsChild>
        <w:div w:id="648705049">
          <w:marLeft w:val="1134"/>
          <w:marRight w:val="1134"/>
          <w:marTop w:val="851"/>
          <w:marBottom w:val="567"/>
          <w:divBdr>
            <w:top w:val="none" w:sz="0" w:space="0" w:color="auto"/>
            <w:left w:val="none" w:sz="0" w:space="0" w:color="auto"/>
            <w:bottom w:val="none" w:sz="0" w:space="0" w:color="auto"/>
            <w:right w:val="none" w:sz="0" w:space="0" w:color="auto"/>
          </w:divBdr>
          <w:divsChild>
            <w:div w:id="1750032817">
              <w:marLeft w:val="0"/>
              <w:marRight w:val="0"/>
              <w:marTop w:val="0"/>
              <w:marBottom w:val="0"/>
              <w:divBdr>
                <w:top w:val="single" w:sz="8" w:space="1" w:color="auto"/>
                <w:left w:val="none" w:sz="0" w:space="0" w:color="auto"/>
                <w:bottom w:val="none" w:sz="0" w:space="0" w:color="auto"/>
                <w:right w:val="none" w:sz="0" w:space="0" w:color="auto"/>
              </w:divBdr>
            </w:div>
            <w:div w:id="2106922096">
              <w:marLeft w:val="0"/>
              <w:marRight w:val="0"/>
              <w:marTop w:val="0"/>
              <w:marBottom w:val="0"/>
              <w:divBdr>
                <w:top w:val="single" w:sz="8" w:space="1" w:color="auto"/>
                <w:left w:val="none" w:sz="0" w:space="0" w:color="auto"/>
                <w:bottom w:val="none" w:sz="0" w:space="0" w:color="auto"/>
                <w:right w:val="none" w:sz="0" w:space="0" w:color="auto"/>
              </w:divBdr>
            </w:div>
            <w:div w:id="903099286">
              <w:marLeft w:val="0"/>
              <w:marRight w:val="0"/>
              <w:marTop w:val="0"/>
              <w:marBottom w:val="0"/>
              <w:divBdr>
                <w:top w:val="single" w:sz="8" w:space="1" w:color="auto"/>
                <w:left w:val="none" w:sz="0" w:space="0" w:color="auto"/>
                <w:bottom w:val="none" w:sz="0" w:space="0" w:color="auto"/>
                <w:right w:val="none" w:sz="0" w:space="0" w:color="auto"/>
              </w:divBdr>
            </w:div>
            <w:div w:id="1550648513">
              <w:marLeft w:val="0"/>
              <w:marRight w:val="0"/>
              <w:marTop w:val="0"/>
              <w:marBottom w:val="0"/>
              <w:divBdr>
                <w:top w:val="single" w:sz="8" w:space="1" w:color="auto"/>
                <w:left w:val="none" w:sz="0" w:space="0" w:color="auto"/>
                <w:bottom w:val="none" w:sz="0" w:space="0" w:color="auto"/>
                <w:right w:val="none" w:sz="0" w:space="0" w:color="auto"/>
              </w:divBdr>
            </w:div>
            <w:div w:id="2022194485">
              <w:marLeft w:val="0"/>
              <w:marRight w:val="0"/>
              <w:marTop w:val="0"/>
              <w:marBottom w:val="0"/>
              <w:divBdr>
                <w:top w:val="single" w:sz="8" w:space="1" w:color="969696"/>
                <w:left w:val="single" w:sz="8" w:space="1" w:color="969696"/>
                <w:bottom w:val="single" w:sz="8" w:space="13" w:color="969696"/>
                <w:right w:val="single" w:sz="8" w:space="1" w:color="969696"/>
              </w:divBdr>
            </w:div>
          </w:divsChild>
        </w:div>
        <w:div w:id="2133935187">
          <w:marLeft w:val="1134"/>
          <w:marRight w:val="1134"/>
          <w:marTop w:val="851"/>
          <w:marBottom w:val="567"/>
          <w:divBdr>
            <w:top w:val="none" w:sz="0" w:space="0" w:color="auto"/>
            <w:left w:val="none" w:sz="0" w:space="0" w:color="auto"/>
            <w:bottom w:val="none" w:sz="0" w:space="0" w:color="auto"/>
            <w:right w:val="none" w:sz="0" w:space="0" w:color="auto"/>
          </w:divBdr>
        </w:div>
      </w:divsChild>
    </w:div>
    <w:div w:id="1853909043">
      <w:bodyDiv w:val="1"/>
      <w:marLeft w:val="0"/>
      <w:marRight w:val="0"/>
      <w:marTop w:val="0"/>
      <w:marBottom w:val="0"/>
      <w:divBdr>
        <w:top w:val="none" w:sz="0" w:space="0" w:color="auto"/>
        <w:left w:val="none" w:sz="0" w:space="0" w:color="auto"/>
        <w:bottom w:val="none" w:sz="0" w:space="0" w:color="auto"/>
        <w:right w:val="none" w:sz="0" w:space="0" w:color="auto"/>
      </w:divBdr>
      <w:divsChild>
        <w:div w:id="368341003">
          <w:marLeft w:val="1247"/>
          <w:marRight w:val="1247"/>
          <w:marTop w:val="1247"/>
          <w:marBottom w:val="124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rclays.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arclays.com/investorrelations" TargetMode="External"/><Relationship Id="rId5" Type="http://schemas.openxmlformats.org/officeDocument/2006/relationships/hyperlink" Target="http://www.barclays.com/investorrel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LSE</Company>
  <LinksUpToDate>false</LinksUpToDate>
  <CharactersWithSpaces>10045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Richard Heyn</dc:creator>
  <cp:lastModifiedBy>Marcus Richard Heyn</cp:lastModifiedBy>
  <cp:revision>1</cp:revision>
  <cp:lastPrinted>2013-02-12T17:48:00Z</cp:lastPrinted>
  <dcterms:created xsi:type="dcterms:W3CDTF">2013-02-12T12:27:00Z</dcterms:created>
  <dcterms:modified xsi:type="dcterms:W3CDTF">2013-02-12T18:12:00Z</dcterms:modified>
</cp:coreProperties>
</file>