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2E" w:rsidRPr="00741B2E" w:rsidRDefault="00741B2E" w:rsidP="00741B2E">
      <w:pPr>
        <w:spacing w:before="100" w:beforeAutospacing="1" w:after="100" w:afterAutospacing="1"/>
        <w:rPr>
          <w:rFonts w:ascii="Times New Roman" w:eastAsia="Times New Roman" w:hAnsi="Times New Roman" w:cs="Times New Roman"/>
          <w:sz w:val="24"/>
          <w:szCs w:val="24"/>
          <w:lang w:eastAsia="en-GB"/>
        </w:rPr>
      </w:pPr>
      <w:r w:rsidRPr="00741B2E">
        <w:rPr>
          <w:rFonts w:ascii="Times New Roman" w:eastAsia="Times New Roman" w:hAnsi="Times New Roman" w:cs="Times New Roman"/>
          <w:sz w:val="24"/>
          <w:szCs w:val="24"/>
          <w:lang w:eastAsia="en-GB"/>
        </w:rPr>
        <w:t>﻿</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sz w:val="24"/>
          <w:szCs w:val="24"/>
          <w:lang w:eastAsia="en-GB"/>
        </w:rPr>
        <w: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sz w:val="24"/>
          <w:szCs w:val="24"/>
          <w:lang w:eastAsia="en-GB"/>
        </w:rPr>
        <w: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sz w:val="24"/>
          <w:szCs w:val="24"/>
          <w:lang w:eastAsia="en-GB"/>
        </w:rPr>
        <w:t> </w:t>
      </w:r>
    </w:p>
    <w:p w:rsidR="00741B2E" w:rsidRPr="00741B2E" w:rsidRDefault="00741B2E" w:rsidP="00741B2E">
      <w:pPr>
        <w:jc w:val="right"/>
        <w:rPr>
          <w:rFonts w:ascii="Times New Roman" w:eastAsia="Times New Roman" w:hAnsi="Times New Roman" w:cs="Times New Roman"/>
          <w:sz w:val="24"/>
          <w:szCs w:val="24"/>
          <w:lang w:eastAsia="en-GB"/>
        </w:rPr>
      </w:pPr>
      <w:r w:rsidRPr="00741B2E">
        <w:rPr>
          <w:rFonts w:ascii="Arial" w:eastAsia="Times New Roman" w:hAnsi="Arial" w:cs="Arial"/>
          <w:lang w:eastAsia="en-GB"/>
        </w:rPr>
        <w:t>5 February 2013</w:t>
      </w:r>
    </w:p>
    <w:p w:rsidR="00741B2E" w:rsidRPr="00741B2E" w:rsidRDefault="00741B2E" w:rsidP="00741B2E">
      <w:pPr>
        <w:jc w:val="right"/>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jc w:val="center"/>
        <w:rPr>
          <w:rFonts w:ascii="Times New Roman" w:eastAsia="Times New Roman" w:hAnsi="Times New Roman" w:cs="Times New Roman"/>
          <w:b/>
          <w:bCs/>
          <w:sz w:val="24"/>
          <w:szCs w:val="24"/>
          <w:lang w:eastAsia="en-GB"/>
        </w:rPr>
      </w:pPr>
      <w:r w:rsidRPr="00741B2E">
        <w:rPr>
          <w:rFonts w:ascii="Arial" w:eastAsia="Times New Roman" w:hAnsi="Arial" w:cs="Arial"/>
          <w:b/>
          <w:bCs/>
          <w:lang w:eastAsia="en-GB"/>
        </w:rPr>
        <w:t>Barclays PLC</w:t>
      </w:r>
    </w:p>
    <w:p w:rsidR="00741B2E" w:rsidRPr="00741B2E" w:rsidRDefault="00741B2E" w:rsidP="00741B2E">
      <w:pPr>
        <w:jc w:val="center"/>
        <w:rPr>
          <w:rFonts w:ascii="Times New Roman" w:eastAsia="Times New Roman" w:hAnsi="Times New Roman" w:cs="Times New Roman"/>
          <w:b/>
          <w:bCs/>
          <w:sz w:val="24"/>
          <w:szCs w:val="24"/>
          <w:lang w:eastAsia="en-GB"/>
        </w:rPr>
      </w:pPr>
      <w:r w:rsidRPr="00741B2E">
        <w:rPr>
          <w:rFonts w:ascii="Arial" w:eastAsia="Times New Roman" w:hAnsi="Arial" w:cs="Arial"/>
          <w:b/>
          <w:bCs/>
          <w:lang w:eastAsia="en-GB"/>
        </w:rPr>
        <w:t> </w:t>
      </w:r>
    </w:p>
    <w:p w:rsidR="00741B2E" w:rsidRPr="00741B2E" w:rsidRDefault="00741B2E" w:rsidP="00741B2E">
      <w:pPr>
        <w:jc w:val="center"/>
        <w:rPr>
          <w:rFonts w:ascii="Times New Roman" w:eastAsia="Times New Roman" w:hAnsi="Times New Roman" w:cs="Times New Roman"/>
          <w:b/>
          <w:bCs/>
          <w:sz w:val="24"/>
          <w:szCs w:val="24"/>
          <w:lang w:eastAsia="en-GB"/>
        </w:rPr>
      </w:pPr>
      <w:r w:rsidRPr="00741B2E">
        <w:rPr>
          <w:rFonts w:ascii="Arial" w:eastAsia="Times New Roman" w:hAnsi="Arial" w:cs="Arial"/>
          <w:b/>
          <w:bCs/>
          <w:lang w:eastAsia="en-GB"/>
        </w:rPr>
        <w:t xml:space="preserve">Diane de Saint Victor appointed as non-executive Director </w:t>
      </w:r>
    </w:p>
    <w:p w:rsidR="00741B2E" w:rsidRPr="00741B2E" w:rsidRDefault="00741B2E" w:rsidP="00741B2E">
      <w:pPr>
        <w:jc w:val="center"/>
        <w:rPr>
          <w:rFonts w:ascii="Times New Roman" w:eastAsia="Times New Roman" w:hAnsi="Times New Roman" w:cs="Times New Roman"/>
          <w:b/>
          <w:bCs/>
          <w:sz w:val="24"/>
          <w:szCs w:val="24"/>
          <w:lang w:eastAsia="en-GB"/>
        </w:rPr>
      </w:pPr>
      <w:r w:rsidRPr="00741B2E">
        <w:rPr>
          <w:rFonts w:ascii="Arial" w:eastAsia="Times New Roman" w:hAnsi="Arial" w:cs="Arial"/>
          <w:b/>
          <w:bCs/>
          <w:lang w:eastAsia="en-GB"/>
        </w:rPr>
        <w: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jc w:val="both"/>
        <w:rPr>
          <w:rFonts w:ascii="Times New Roman" w:eastAsia="Times New Roman" w:hAnsi="Times New Roman" w:cs="Times New Roman"/>
          <w:sz w:val="24"/>
          <w:szCs w:val="24"/>
          <w:lang w:eastAsia="en-GB"/>
        </w:rPr>
      </w:pPr>
      <w:r w:rsidRPr="00741B2E">
        <w:rPr>
          <w:rFonts w:ascii="Arial" w:eastAsia="Times New Roman" w:hAnsi="Arial" w:cs="Arial"/>
          <w:lang w:eastAsia="en-GB"/>
        </w:rPr>
        <w:t>Barclays PLC and Barclays Bank PLC ("Barclays") announce that Diane de Saint Victor has been appointed as a non-executive Director of Barclays with effect from 1 March 2013.</w:t>
      </w:r>
    </w:p>
    <w:p w:rsidR="00741B2E" w:rsidRPr="00741B2E" w:rsidRDefault="00741B2E" w:rsidP="00741B2E">
      <w:pPr>
        <w:jc w:val="both"/>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jc w:val="both"/>
        <w:rPr>
          <w:rFonts w:ascii="Times New Roman" w:eastAsia="Times New Roman" w:hAnsi="Times New Roman" w:cs="Times New Roman"/>
          <w:sz w:val="24"/>
          <w:szCs w:val="24"/>
          <w:lang w:eastAsia="en-GB"/>
        </w:rPr>
      </w:pPr>
      <w:r w:rsidRPr="00741B2E">
        <w:rPr>
          <w:rFonts w:ascii="Arial" w:eastAsia="Times New Roman" w:hAnsi="Arial" w:cs="Arial"/>
          <w:lang w:eastAsia="en-GB"/>
        </w:rPr>
        <w:t>Diane is currently General Counsel and Company Secretary and a member of the Group Executive Committee of ABB Limited ("ABB"), the publicly listed international power and automation technologies company based in Switzerland, where her responsibilities include Head of Legal and Integrity Group.  She was formerly Senior Vice President and General Counsel of EADS, the European aerospace and defence company.</w:t>
      </w:r>
    </w:p>
    <w:p w:rsidR="00741B2E" w:rsidRPr="00741B2E" w:rsidRDefault="00741B2E" w:rsidP="00741B2E">
      <w:pPr>
        <w:jc w:val="both"/>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jc w:val="both"/>
        <w:rPr>
          <w:rFonts w:ascii="Times New Roman" w:eastAsia="Times New Roman" w:hAnsi="Times New Roman" w:cs="Times New Roman"/>
          <w:sz w:val="24"/>
          <w:szCs w:val="24"/>
          <w:lang w:eastAsia="en-GB"/>
        </w:rPr>
      </w:pPr>
      <w:r w:rsidRPr="00741B2E">
        <w:rPr>
          <w:rFonts w:ascii="Arial" w:eastAsia="Times New Roman" w:hAnsi="Arial" w:cs="Arial"/>
          <w:lang w:eastAsia="en-GB"/>
        </w:rPr>
        <w:t>Commenting, Sir David Walker, Group Chairman, said, "I am pleased to announce Diane's appointment to the Barclays Board.  Her background in legal and regulatory matters and in leading cultural change at ABB will bring a valuable perspective to the Board as we implement the TRANSFORM programme and embed Barclays new Purpose and Values."</w:t>
      </w:r>
    </w:p>
    <w:p w:rsidR="00741B2E" w:rsidRPr="00741B2E" w:rsidRDefault="00741B2E" w:rsidP="00741B2E">
      <w:pPr>
        <w:jc w:val="both"/>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jc w:val="both"/>
        <w:rPr>
          <w:rFonts w:ascii="Times New Roman" w:eastAsia="Times New Roman" w:hAnsi="Times New Roman" w:cs="Times New Roman"/>
          <w:sz w:val="24"/>
          <w:szCs w:val="24"/>
          <w:lang w:eastAsia="en-GB"/>
        </w:rPr>
      </w:pPr>
      <w:r w:rsidRPr="00741B2E">
        <w:rPr>
          <w:rFonts w:ascii="Arial" w:eastAsia="Times New Roman" w:hAnsi="Arial" w:cs="Arial"/>
          <w:lang w:eastAsia="en-GB"/>
        </w:rPr>
        <w:t xml:space="preserve">There is no additional information required to be disclosed pursuant to paragraph LR9.6.13R of the Listing Rules of the Financial Services Authority.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jc w:val="center"/>
        <w:rPr>
          <w:rFonts w:ascii="Times New Roman" w:eastAsia="Times New Roman" w:hAnsi="Times New Roman" w:cs="Times New Roman"/>
          <w:sz w:val="24"/>
          <w:szCs w:val="24"/>
          <w:lang w:eastAsia="en-GB"/>
        </w:rPr>
      </w:pPr>
      <w:r w:rsidRPr="00741B2E">
        <w:rPr>
          <w:rFonts w:ascii="Arial" w:eastAsia="Times New Roman" w:hAnsi="Arial" w:cs="Arial"/>
          <w:lang w:eastAsia="en-GB"/>
        </w:rPr>
        <w:t>-ENDS-</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xml:space="preserve">For further information please contact: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tbl>
      <w:tblPr>
        <w:tblW w:w="0" w:type="auto"/>
        <w:tblInd w:w="-108" w:type="dxa"/>
        <w:tblCellMar>
          <w:left w:w="0" w:type="dxa"/>
          <w:right w:w="0" w:type="dxa"/>
        </w:tblCellMar>
        <w:tblLook w:val="04A0" w:firstRow="1" w:lastRow="0" w:firstColumn="1" w:lastColumn="0" w:noHBand="0" w:noVBand="1"/>
      </w:tblPr>
      <w:tblGrid>
        <w:gridCol w:w="4050"/>
        <w:gridCol w:w="4050"/>
      </w:tblGrid>
      <w:tr w:rsidR="00741B2E" w:rsidRPr="00741B2E" w:rsidTr="00741B2E">
        <w:tc>
          <w:tcPr>
            <w:tcW w:w="4050" w:type="dxa"/>
            <w:tcMar>
              <w:top w:w="0" w:type="dxa"/>
              <w:left w:w="108" w:type="dxa"/>
              <w:bottom w:w="0" w:type="dxa"/>
              <w:right w:w="108" w:type="dxa"/>
            </w:tcMar>
            <w:hideMark/>
          </w:tcPr>
          <w:p w:rsidR="00741B2E" w:rsidRPr="00741B2E" w:rsidRDefault="00741B2E" w:rsidP="00741B2E">
            <w:pPr>
              <w:rPr>
                <w:rFonts w:ascii="Times New Roman" w:eastAsia="Times New Roman" w:hAnsi="Times New Roman" w:cs="Times New Roman"/>
                <w:b/>
                <w:bCs/>
                <w:sz w:val="24"/>
                <w:szCs w:val="24"/>
                <w:lang w:eastAsia="en-GB"/>
              </w:rPr>
            </w:pPr>
            <w:r w:rsidRPr="00741B2E">
              <w:rPr>
                <w:rFonts w:ascii="Arial" w:eastAsia="Times New Roman" w:hAnsi="Arial" w:cs="Arial"/>
                <w:b/>
                <w:bCs/>
                <w:lang w:eastAsia="en-GB"/>
              </w:rPr>
              <w:t xml:space="preserve">Investor Relations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xml:space="preserve">Charlie </w:t>
            </w:r>
            <w:proofErr w:type="spellStart"/>
            <w:r w:rsidRPr="00741B2E">
              <w:rPr>
                <w:rFonts w:ascii="Arial" w:eastAsia="Times New Roman" w:hAnsi="Arial" w:cs="Arial"/>
                <w:lang w:eastAsia="en-GB"/>
              </w:rPr>
              <w:t>Rozes</w:t>
            </w:r>
            <w:proofErr w:type="spellEnd"/>
            <w:r w:rsidRPr="00741B2E">
              <w:rPr>
                <w:rFonts w:ascii="Arial" w:eastAsia="Times New Roman" w:hAnsi="Arial" w:cs="Arial"/>
                <w:lang w:eastAsia="en-GB"/>
              </w:rPr>
              <w:t xml:space="preserve">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+44 (0) 20 7116 5752</w:t>
            </w:r>
          </w:p>
        </w:tc>
        <w:tc>
          <w:tcPr>
            <w:tcW w:w="4050" w:type="dxa"/>
            <w:tcMar>
              <w:top w:w="0" w:type="dxa"/>
              <w:left w:w="108" w:type="dxa"/>
              <w:bottom w:w="0" w:type="dxa"/>
              <w:right w:w="108" w:type="dxa"/>
            </w:tcMar>
            <w:hideMark/>
          </w:tcPr>
          <w:p w:rsidR="00741B2E" w:rsidRPr="00741B2E" w:rsidRDefault="00741B2E" w:rsidP="00741B2E">
            <w:pPr>
              <w:rPr>
                <w:rFonts w:ascii="Times New Roman" w:eastAsia="Times New Roman" w:hAnsi="Times New Roman" w:cs="Times New Roman"/>
                <w:b/>
                <w:bCs/>
                <w:sz w:val="24"/>
                <w:szCs w:val="24"/>
                <w:lang w:eastAsia="en-GB"/>
              </w:rPr>
            </w:pPr>
            <w:r w:rsidRPr="00741B2E">
              <w:rPr>
                <w:rFonts w:ascii="Arial" w:eastAsia="Times New Roman" w:hAnsi="Arial" w:cs="Arial"/>
                <w:b/>
                <w:bCs/>
                <w:lang w:eastAsia="en-GB"/>
              </w:rPr>
              <w:t>Media Relations</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xml:space="preserve">Giles </w:t>
            </w:r>
            <w:proofErr w:type="spellStart"/>
            <w:r w:rsidRPr="00741B2E">
              <w:rPr>
                <w:rFonts w:ascii="Arial" w:eastAsia="Times New Roman" w:hAnsi="Arial" w:cs="Arial"/>
                <w:lang w:eastAsia="en-GB"/>
              </w:rPr>
              <w:t>Croot</w:t>
            </w:r>
            <w:proofErr w:type="spellEnd"/>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+44 (0) 20 7116 6132</w:t>
            </w:r>
          </w:p>
        </w:tc>
      </w:tr>
    </w:tbl>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rPr>
          <w:rFonts w:ascii="Times New Roman" w:eastAsia="Times New Roman" w:hAnsi="Times New Roman" w:cs="Times New Roman"/>
          <w:b/>
          <w:bCs/>
          <w:sz w:val="24"/>
          <w:szCs w:val="24"/>
          <w:lang w:eastAsia="en-GB"/>
        </w:rPr>
      </w:pPr>
      <w:r w:rsidRPr="00741B2E">
        <w:rPr>
          <w:rFonts w:ascii="Arial" w:eastAsia="Times New Roman" w:hAnsi="Arial" w:cs="Arial"/>
          <w:b/>
          <w:bCs/>
          <w:lang w:eastAsia="en-GB"/>
        </w:rPr>
        <w:t>About Barclays PLC</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Barclays moves, lends, invests and protects money for customers and clients worldwide.</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w:t>
      </w:r>
    </w:p>
    <w:p w:rsidR="00741B2E" w:rsidRPr="00741B2E" w:rsidRDefault="00741B2E" w:rsidP="00741B2E">
      <w:pPr>
        <w:rPr>
          <w:rFonts w:ascii="Times New Roman" w:eastAsia="Times New Roman" w:hAnsi="Times New Roman" w:cs="Times New Roman"/>
          <w:sz w:val="24"/>
          <w:szCs w:val="24"/>
          <w:lang w:eastAsia="en-GB"/>
        </w:rPr>
      </w:pPr>
      <w:r w:rsidRPr="00741B2E">
        <w:rPr>
          <w:rFonts w:ascii="Arial" w:eastAsia="Times New Roman" w:hAnsi="Arial" w:cs="Arial"/>
          <w:lang w:eastAsia="en-GB"/>
        </w:rPr>
        <w:t xml:space="preserve">For further information about Barclays, please visit our website </w:t>
      </w:r>
      <w:hyperlink r:id="rId5" w:tooltip="http://www.barclays.com/" w:history="1">
        <w:r w:rsidRPr="00741B2E">
          <w:rPr>
            <w:rFonts w:ascii="Arial" w:eastAsia="Times New Roman" w:hAnsi="Arial" w:cs="Arial"/>
            <w:color w:val="0000FF"/>
            <w:u w:val="single"/>
            <w:lang w:eastAsia="en-GB"/>
          </w:rPr>
          <w:t>www.barclays.com</w:t>
        </w:r>
      </w:hyperlink>
    </w:p>
    <w:p w:rsidR="00A234D8" w:rsidRDefault="00A234D8">
      <w:bookmarkStart w:id="0" w:name="_GoBack"/>
      <w:bookmarkEnd w:id="0"/>
    </w:p>
    <w:sectPr w:rsidR="00A23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2E"/>
    <w:rsid w:val="00471A9B"/>
    <w:rsid w:val="00741B2E"/>
    <w:rsid w:val="00A2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customStyle="1" w:styleId="a0">
    <w:name w:val="a"/>
    <w:basedOn w:val="Normal"/>
    <w:rsid w:val="00741B2E"/>
    <w:rPr>
      <w:rFonts w:ascii="Times New Roman" w:eastAsia="Times New Roman" w:hAnsi="Times New Roman" w:cs="Times New Roman"/>
      <w:sz w:val="24"/>
      <w:szCs w:val="24"/>
      <w:lang w:eastAsia="en-GB"/>
    </w:rPr>
  </w:style>
  <w:style w:type="paragraph" w:customStyle="1" w:styleId="al">
    <w:name w:val="al"/>
    <w:basedOn w:val="Normal"/>
    <w:rsid w:val="00741B2E"/>
    <w:pPr>
      <w:jc w:val="right"/>
    </w:pPr>
    <w:rPr>
      <w:rFonts w:ascii="Times New Roman" w:eastAsia="Times New Roman" w:hAnsi="Times New Roman" w:cs="Times New Roman"/>
      <w:sz w:val="24"/>
      <w:szCs w:val="24"/>
      <w:lang w:eastAsia="en-GB"/>
    </w:rPr>
  </w:style>
  <w:style w:type="paragraph" w:customStyle="1" w:styleId="am">
    <w:name w:val="am"/>
    <w:basedOn w:val="Normal"/>
    <w:rsid w:val="00741B2E"/>
    <w:pPr>
      <w:jc w:val="center"/>
    </w:pPr>
    <w:rPr>
      <w:rFonts w:ascii="Times New Roman" w:eastAsia="Times New Roman" w:hAnsi="Times New Roman" w:cs="Times New Roman"/>
      <w:b/>
      <w:bCs/>
      <w:sz w:val="24"/>
      <w:szCs w:val="24"/>
      <w:lang w:eastAsia="en-GB"/>
    </w:rPr>
  </w:style>
  <w:style w:type="paragraph" w:customStyle="1" w:styleId="an">
    <w:name w:val="an"/>
    <w:basedOn w:val="Normal"/>
    <w:rsid w:val="00741B2E"/>
    <w:pPr>
      <w:jc w:val="both"/>
    </w:pPr>
    <w:rPr>
      <w:rFonts w:ascii="Times New Roman" w:eastAsia="Times New Roman" w:hAnsi="Times New Roman" w:cs="Times New Roman"/>
      <w:sz w:val="24"/>
      <w:szCs w:val="24"/>
      <w:lang w:eastAsia="en-GB"/>
    </w:rPr>
  </w:style>
  <w:style w:type="paragraph" w:customStyle="1" w:styleId="ap">
    <w:name w:val="ap"/>
    <w:basedOn w:val="Normal"/>
    <w:rsid w:val="00741B2E"/>
    <w:pPr>
      <w:jc w:val="center"/>
    </w:pPr>
    <w:rPr>
      <w:rFonts w:ascii="Times New Roman" w:eastAsia="Times New Roman" w:hAnsi="Times New Roman" w:cs="Times New Roman"/>
      <w:sz w:val="24"/>
      <w:szCs w:val="24"/>
      <w:lang w:eastAsia="en-GB"/>
    </w:rPr>
  </w:style>
  <w:style w:type="paragraph" w:customStyle="1" w:styleId="ar">
    <w:name w:val="ar"/>
    <w:basedOn w:val="Normal"/>
    <w:rsid w:val="00741B2E"/>
    <w:rPr>
      <w:rFonts w:ascii="Times New Roman" w:eastAsia="Times New Roman" w:hAnsi="Times New Roman" w:cs="Times New Roman"/>
      <w:b/>
      <w:bCs/>
      <w:sz w:val="24"/>
      <w:szCs w:val="24"/>
      <w:lang w:eastAsia="en-GB"/>
    </w:rPr>
  </w:style>
  <w:style w:type="character" w:customStyle="1" w:styleId="aj">
    <w:name w:val="aj"/>
    <w:basedOn w:val="DefaultParagraphFont"/>
    <w:rsid w:val="00741B2E"/>
    <w:rPr>
      <w:rFonts w:ascii="Arial" w:hAnsi="Arial" w:cs="Arial" w:hint="default"/>
    </w:rPr>
  </w:style>
  <w:style w:type="character" w:customStyle="1" w:styleId="ai">
    <w:name w:val="ai"/>
    <w:basedOn w:val="DefaultParagraphFont"/>
    <w:rsid w:val="00741B2E"/>
    <w:rPr>
      <w:rFonts w:ascii="Arial" w:hAnsi="Arial" w:cs="Arial" w:hint="default"/>
      <w:sz w:val="20"/>
      <w:szCs w:val="20"/>
    </w:rPr>
  </w:style>
  <w:style w:type="character" w:customStyle="1" w:styleId="ag">
    <w:name w:val="ag"/>
    <w:basedOn w:val="DefaultParagraphFont"/>
    <w:rsid w:val="00741B2E"/>
    <w:rPr>
      <w:rFonts w:ascii="Arial" w:hAnsi="Arial" w:cs="Arial" w:hint="default"/>
      <w:sz w:val="20"/>
      <w:szCs w:val="20"/>
    </w:rPr>
  </w:style>
  <w:style w:type="character" w:customStyle="1" w:styleId="ae">
    <w:name w:val="ae"/>
    <w:basedOn w:val="DefaultParagraphFont"/>
    <w:rsid w:val="00741B2E"/>
    <w:rPr>
      <w:rFonts w:ascii="Arial" w:hAnsi="Arial" w:cs="Arial" w:hint="default"/>
      <w:sz w:val="20"/>
      <w:szCs w:val="20"/>
    </w:rPr>
  </w:style>
  <w:style w:type="character" w:customStyle="1" w:styleId="ad">
    <w:name w:val="ad"/>
    <w:basedOn w:val="DefaultParagraphFont"/>
    <w:rsid w:val="00741B2E"/>
    <w:rPr>
      <w:rFonts w:ascii="Arial" w:hAnsi="Arial" w:cs="Arial" w:hint="default"/>
      <w:sz w:val="20"/>
      <w:szCs w:val="20"/>
    </w:rPr>
  </w:style>
  <w:style w:type="character" w:customStyle="1" w:styleId="ao">
    <w:name w:val="ao"/>
    <w:basedOn w:val="DefaultParagraphFont"/>
    <w:rsid w:val="00741B2E"/>
    <w:rPr>
      <w:rFonts w:ascii="Arial" w:hAnsi="Arial" w:cs="Arial" w:hint="default"/>
      <w:sz w:val="20"/>
      <w:szCs w:val="20"/>
    </w:rPr>
  </w:style>
  <w:style w:type="paragraph" w:styleId="NormalWeb">
    <w:name w:val="Normal (Web)"/>
    <w:basedOn w:val="Normal"/>
    <w:uiPriority w:val="99"/>
    <w:semiHidden/>
    <w:unhideWhenUsed/>
    <w:rsid w:val="00741B2E"/>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41B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customStyle="1" w:styleId="a0">
    <w:name w:val="a"/>
    <w:basedOn w:val="Normal"/>
    <w:rsid w:val="00741B2E"/>
    <w:rPr>
      <w:rFonts w:ascii="Times New Roman" w:eastAsia="Times New Roman" w:hAnsi="Times New Roman" w:cs="Times New Roman"/>
      <w:sz w:val="24"/>
      <w:szCs w:val="24"/>
      <w:lang w:eastAsia="en-GB"/>
    </w:rPr>
  </w:style>
  <w:style w:type="paragraph" w:customStyle="1" w:styleId="al">
    <w:name w:val="al"/>
    <w:basedOn w:val="Normal"/>
    <w:rsid w:val="00741B2E"/>
    <w:pPr>
      <w:jc w:val="right"/>
    </w:pPr>
    <w:rPr>
      <w:rFonts w:ascii="Times New Roman" w:eastAsia="Times New Roman" w:hAnsi="Times New Roman" w:cs="Times New Roman"/>
      <w:sz w:val="24"/>
      <w:szCs w:val="24"/>
      <w:lang w:eastAsia="en-GB"/>
    </w:rPr>
  </w:style>
  <w:style w:type="paragraph" w:customStyle="1" w:styleId="am">
    <w:name w:val="am"/>
    <w:basedOn w:val="Normal"/>
    <w:rsid w:val="00741B2E"/>
    <w:pPr>
      <w:jc w:val="center"/>
    </w:pPr>
    <w:rPr>
      <w:rFonts w:ascii="Times New Roman" w:eastAsia="Times New Roman" w:hAnsi="Times New Roman" w:cs="Times New Roman"/>
      <w:b/>
      <w:bCs/>
      <w:sz w:val="24"/>
      <w:szCs w:val="24"/>
      <w:lang w:eastAsia="en-GB"/>
    </w:rPr>
  </w:style>
  <w:style w:type="paragraph" w:customStyle="1" w:styleId="an">
    <w:name w:val="an"/>
    <w:basedOn w:val="Normal"/>
    <w:rsid w:val="00741B2E"/>
    <w:pPr>
      <w:jc w:val="both"/>
    </w:pPr>
    <w:rPr>
      <w:rFonts w:ascii="Times New Roman" w:eastAsia="Times New Roman" w:hAnsi="Times New Roman" w:cs="Times New Roman"/>
      <w:sz w:val="24"/>
      <w:szCs w:val="24"/>
      <w:lang w:eastAsia="en-GB"/>
    </w:rPr>
  </w:style>
  <w:style w:type="paragraph" w:customStyle="1" w:styleId="ap">
    <w:name w:val="ap"/>
    <w:basedOn w:val="Normal"/>
    <w:rsid w:val="00741B2E"/>
    <w:pPr>
      <w:jc w:val="center"/>
    </w:pPr>
    <w:rPr>
      <w:rFonts w:ascii="Times New Roman" w:eastAsia="Times New Roman" w:hAnsi="Times New Roman" w:cs="Times New Roman"/>
      <w:sz w:val="24"/>
      <w:szCs w:val="24"/>
      <w:lang w:eastAsia="en-GB"/>
    </w:rPr>
  </w:style>
  <w:style w:type="paragraph" w:customStyle="1" w:styleId="ar">
    <w:name w:val="ar"/>
    <w:basedOn w:val="Normal"/>
    <w:rsid w:val="00741B2E"/>
    <w:rPr>
      <w:rFonts w:ascii="Times New Roman" w:eastAsia="Times New Roman" w:hAnsi="Times New Roman" w:cs="Times New Roman"/>
      <w:b/>
      <w:bCs/>
      <w:sz w:val="24"/>
      <w:szCs w:val="24"/>
      <w:lang w:eastAsia="en-GB"/>
    </w:rPr>
  </w:style>
  <w:style w:type="character" w:customStyle="1" w:styleId="aj">
    <w:name w:val="aj"/>
    <w:basedOn w:val="DefaultParagraphFont"/>
    <w:rsid w:val="00741B2E"/>
    <w:rPr>
      <w:rFonts w:ascii="Arial" w:hAnsi="Arial" w:cs="Arial" w:hint="default"/>
    </w:rPr>
  </w:style>
  <w:style w:type="character" w:customStyle="1" w:styleId="ai">
    <w:name w:val="ai"/>
    <w:basedOn w:val="DefaultParagraphFont"/>
    <w:rsid w:val="00741B2E"/>
    <w:rPr>
      <w:rFonts w:ascii="Arial" w:hAnsi="Arial" w:cs="Arial" w:hint="default"/>
      <w:sz w:val="20"/>
      <w:szCs w:val="20"/>
    </w:rPr>
  </w:style>
  <w:style w:type="character" w:customStyle="1" w:styleId="ag">
    <w:name w:val="ag"/>
    <w:basedOn w:val="DefaultParagraphFont"/>
    <w:rsid w:val="00741B2E"/>
    <w:rPr>
      <w:rFonts w:ascii="Arial" w:hAnsi="Arial" w:cs="Arial" w:hint="default"/>
      <w:sz w:val="20"/>
      <w:szCs w:val="20"/>
    </w:rPr>
  </w:style>
  <w:style w:type="character" w:customStyle="1" w:styleId="ae">
    <w:name w:val="ae"/>
    <w:basedOn w:val="DefaultParagraphFont"/>
    <w:rsid w:val="00741B2E"/>
    <w:rPr>
      <w:rFonts w:ascii="Arial" w:hAnsi="Arial" w:cs="Arial" w:hint="default"/>
      <w:sz w:val="20"/>
      <w:szCs w:val="20"/>
    </w:rPr>
  </w:style>
  <w:style w:type="character" w:customStyle="1" w:styleId="ad">
    <w:name w:val="ad"/>
    <w:basedOn w:val="DefaultParagraphFont"/>
    <w:rsid w:val="00741B2E"/>
    <w:rPr>
      <w:rFonts w:ascii="Arial" w:hAnsi="Arial" w:cs="Arial" w:hint="default"/>
      <w:sz w:val="20"/>
      <w:szCs w:val="20"/>
    </w:rPr>
  </w:style>
  <w:style w:type="character" w:customStyle="1" w:styleId="ao">
    <w:name w:val="ao"/>
    <w:basedOn w:val="DefaultParagraphFont"/>
    <w:rsid w:val="00741B2E"/>
    <w:rPr>
      <w:rFonts w:ascii="Arial" w:hAnsi="Arial" w:cs="Arial" w:hint="default"/>
      <w:sz w:val="20"/>
      <w:szCs w:val="20"/>
    </w:rPr>
  </w:style>
  <w:style w:type="paragraph" w:styleId="NormalWeb">
    <w:name w:val="Normal (Web)"/>
    <w:basedOn w:val="Normal"/>
    <w:uiPriority w:val="99"/>
    <w:semiHidden/>
    <w:unhideWhenUsed/>
    <w:rsid w:val="00741B2E"/>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41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34046">
      <w:bodyDiv w:val="1"/>
      <w:marLeft w:val="0"/>
      <w:marRight w:val="0"/>
      <w:marTop w:val="0"/>
      <w:marBottom w:val="0"/>
      <w:divBdr>
        <w:top w:val="none" w:sz="0" w:space="0" w:color="auto"/>
        <w:left w:val="none" w:sz="0" w:space="0" w:color="auto"/>
        <w:bottom w:val="none" w:sz="0" w:space="0" w:color="auto"/>
        <w:right w:val="none" w:sz="0" w:space="0" w:color="auto"/>
      </w:divBdr>
      <w:divsChild>
        <w:div w:id="1317496858">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Company>LSE</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2013-02-05T07:58:00Z</dcterms:created>
  <dcterms:modified xsi:type="dcterms:W3CDTF">2013-02-05T07:59:00Z</dcterms:modified>
</cp:coreProperties>
</file>