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615" w:rsidRDefault="00910615" w:rsidP="00910615">
      <w:pPr>
        <w:rPr>
          <w:rFonts w:ascii="Expert Sans Regular" w:hAnsi="Expert Sans Regular"/>
          <w:b/>
          <w:bCs/>
          <w:sz w:val="22"/>
          <w:szCs w:val="22"/>
        </w:rPr>
      </w:pPr>
      <w:bookmarkStart w:id="0" w:name="_GoBack"/>
      <w:bookmarkEnd w:id="0"/>
      <w:r w:rsidRPr="00910615">
        <w:rPr>
          <w:rFonts w:ascii="Expert Sans Regular" w:hAnsi="Expert Sans Regular"/>
          <w:b/>
          <w:bCs/>
          <w:noProof/>
          <w:color w:val="FF0000"/>
          <w:sz w:val="36"/>
          <w:szCs w:val="36"/>
        </w:rPr>
        <w:drawing>
          <wp:anchor distT="0" distB="0" distL="114300" distR="114300" simplePos="0" relativeHeight="251659264" behindDoc="1" locked="0" layoutInCell="1" allowOverlap="1">
            <wp:simplePos x="0" y="0"/>
            <wp:positionH relativeFrom="column">
              <wp:posOffset>-391795</wp:posOffset>
            </wp:positionH>
            <wp:positionV relativeFrom="paragraph">
              <wp:posOffset>-456565</wp:posOffset>
            </wp:positionV>
            <wp:extent cx="2175510" cy="373380"/>
            <wp:effectExtent l="19050" t="0" r="0" b="0"/>
            <wp:wrapThrough wrapText="bothSides">
              <wp:wrapPolygon edited="0">
                <wp:start x="758" y="0"/>
                <wp:lineTo x="-189" y="2215"/>
                <wp:lineTo x="-189" y="12185"/>
                <wp:lineTo x="758" y="21046"/>
                <wp:lineTo x="947" y="21046"/>
                <wp:lineTo x="2653" y="21046"/>
                <wp:lineTo x="12316" y="21046"/>
                <wp:lineTo x="21600" y="19938"/>
                <wp:lineTo x="21600" y="0"/>
                <wp:lineTo x="2463" y="0"/>
                <wp:lineTo x="758" y="0"/>
              </wp:wrapPolygon>
            </wp:wrapThrough>
            <wp:docPr id="1" name="Picture 2" descr="BARCLAYS_GLO_COL_N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CLAYS_GLO_COL_NEG"/>
                    <pic:cNvPicPr>
                      <a:picLocks noChangeAspect="1" noChangeArrowheads="1"/>
                    </pic:cNvPicPr>
                  </pic:nvPicPr>
                  <pic:blipFill>
                    <a:blip r:embed="rId9" cstate="print"/>
                    <a:srcRect/>
                    <a:stretch>
                      <a:fillRect/>
                    </a:stretch>
                  </pic:blipFill>
                  <pic:spPr bwMode="auto">
                    <a:xfrm>
                      <a:off x="0" y="0"/>
                      <a:ext cx="2171700" cy="371475"/>
                    </a:xfrm>
                    <a:prstGeom prst="rect">
                      <a:avLst/>
                    </a:prstGeom>
                    <a:noFill/>
                    <a:ln w="9525">
                      <a:noFill/>
                      <a:miter lim="800000"/>
                      <a:headEnd/>
                      <a:tailEnd/>
                    </a:ln>
                  </pic:spPr>
                </pic:pic>
              </a:graphicData>
            </a:graphic>
          </wp:anchor>
        </w:drawing>
      </w:r>
    </w:p>
    <w:p w:rsidR="00910615" w:rsidRDefault="00910615" w:rsidP="00CF2155">
      <w:pPr>
        <w:jc w:val="right"/>
        <w:rPr>
          <w:rFonts w:ascii="Expert Sans Regular" w:hAnsi="Expert Sans Regular"/>
          <w:b/>
          <w:bCs/>
          <w:sz w:val="22"/>
          <w:szCs w:val="22"/>
        </w:rPr>
      </w:pPr>
    </w:p>
    <w:p w:rsidR="00325BB5" w:rsidRPr="00F2121E" w:rsidRDefault="00325BB5" w:rsidP="00CF2155">
      <w:pPr>
        <w:jc w:val="right"/>
        <w:rPr>
          <w:rFonts w:ascii="Expert Sans Regular" w:hAnsi="Expert Sans Regular"/>
          <w:b/>
          <w:bCs/>
          <w:sz w:val="22"/>
          <w:szCs w:val="22"/>
        </w:rPr>
      </w:pPr>
      <w:r>
        <w:rPr>
          <w:rFonts w:ascii="Expert Sans Regular" w:hAnsi="Expert Sans Regular"/>
          <w:b/>
          <w:bCs/>
          <w:sz w:val="22"/>
          <w:szCs w:val="22"/>
        </w:rPr>
        <w:t>6 December</w:t>
      </w:r>
      <w:r w:rsidRPr="00F2121E">
        <w:rPr>
          <w:rFonts w:ascii="Expert Sans Regular" w:hAnsi="Expert Sans Regular"/>
          <w:b/>
          <w:bCs/>
          <w:sz w:val="22"/>
          <w:szCs w:val="22"/>
        </w:rPr>
        <w:t xml:space="preserve"> 2012</w:t>
      </w:r>
    </w:p>
    <w:p w:rsidR="00325BB5" w:rsidRDefault="00325BB5" w:rsidP="00F2121E">
      <w:pPr>
        <w:tabs>
          <w:tab w:val="left" w:pos="8010"/>
        </w:tabs>
        <w:rPr>
          <w:rFonts w:ascii="Expert Sans Regular" w:hAnsi="Expert Sans Regular"/>
          <w:b/>
          <w:bCs/>
          <w:sz w:val="20"/>
          <w:szCs w:val="20"/>
        </w:rPr>
      </w:pPr>
    </w:p>
    <w:p w:rsidR="00325BB5" w:rsidRPr="00076647" w:rsidRDefault="00325BB5" w:rsidP="00CF2155">
      <w:pPr>
        <w:jc w:val="center"/>
        <w:outlineLvl w:val="0"/>
        <w:rPr>
          <w:rFonts w:ascii="Expert Sans Regular" w:hAnsi="Expert Sans Regular"/>
          <w:b/>
          <w:bCs/>
          <w:sz w:val="22"/>
          <w:szCs w:val="22"/>
          <w:u w:val="single"/>
        </w:rPr>
      </w:pPr>
      <w:r w:rsidRPr="00076647">
        <w:rPr>
          <w:rFonts w:ascii="Expert Sans Regular" w:hAnsi="Expert Sans Regular"/>
          <w:b/>
          <w:bCs/>
          <w:sz w:val="22"/>
          <w:szCs w:val="22"/>
          <w:u w:val="single"/>
        </w:rPr>
        <w:t>Barclays PLC</w:t>
      </w:r>
    </w:p>
    <w:p w:rsidR="00325BB5" w:rsidRPr="00076647" w:rsidRDefault="00325BB5" w:rsidP="00CF2155">
      <w:pPr>
        <w:jc w:val="center"/>
        <w:rPr>
          <w:rFonts w:ascii="Expert Sans Regular" w:hAnsi="Expert Sans Regular"/>
          <w:b/>
          <w:bCs/>
          <w:sz w:val="22"/>
          <w:szCs w:val="22"/>
          <w:u w:val="single"/>
        </w:rPr>
      </w:pPr>
    </w:p>
    <w:p w:rsidR="00325BB5" w:rsidRPr="00076647" w:rsidRDefault="00325BB5" w:rsidP="00CF2155">
      <w:pPr>
        <w:jc w:val="center"/>
        <w:outlineLvl w:val="0"/>
        <w:rPr>
          <w:rFonts w:ascii="Expert Sans Regular" w:hAnsi="Expert Sans Regular"/>
          <w:b/>
          <w:bCs/>
          <w:sz w:val="22"/>
          <w:szCs w:val="22"/>
          <w:u w:val="single"/>
        </w:rPr>
      </w:pPr>
      <w:r w:rsidRPr="00076647">
        <w:rPr>
          <w:rFonts w:ascii="Expert Sans Regular" w:hAnsi="Expert Sans Regular"/>
          <w:b/>
          <w:bCs/>
          <w:sz w:val="22"/>
          <w:szCs w:val="22"/>
          <w:u w:val="single"/>
        </w:rPr>
        <w:t xml:space="preserve">Barclays and Absa agree strategic combination of Barclays </w:t>
      </w:r>
      <w:smartTag w:uri="urn:schemas-microsoft-com:office:smarttags" w:element="country-region">
        <w:r w:rsidRPr="00076647">
          <w:rPr>
            <w:rFonts w:ascii="Expert Sans Regular" w:hAnsi="Expert Sans Regular"/>
            <w:b/>
            <w:bCs/>
            <w:sz w:val="22"/>
            <w:szCs w:val="22"/>
            <w:u w:val="single"/>
          </w:rPr>
          <w:t>Africa</w:t>
        </w:r>
      </w:smartTag>
      <w:r w:rsidRPr="00076647">
        <w:rPr>
          <w:rFonts w:ascii="Expert Sans Regular" w:hAnsi="Expert Sans Regular"/>
          <w:b/>
          <w:bCs/>
          <w:sz w:val="22"/>
          <w:szCs w:val="22"/>
          <w:u w:val="single"/>
        </w:rPr>
        <w:t xml:space="preserve"> operations with Absa</w:t>
      </w:r>
    </w:p>
    <w:p w:rsidR="00325BB5" w:rsidRPr="00076647" w:rsidRDefault="00325BB5" w:rsidP="00B84286">
      <w:pPr>
        <w:rPr>
          <w:rFonts w:ascii="Expert Sans Regular" w:hAnsi="Expert Sans Regular"/>
          <w:bCs/>
          <w:sz w:val="22"/>
          <w:szCs w:val="22"/>
        </w:rPr>
      </w:pPr>
    </w:p>
    <w:p w:rsidR="00325BB5" w:rsidRPr="00076647" w:rsidRDefault="00325BB5" w:rsidP="00EF66DE">
      <w:pPr>
        <w:jc w:val="both"/>
        <w:rPr>
          <w:rFonts w:ascii="Expert Sans Regular" w:hAnsi="Expert Sans Regular"/>
          <w:bCs/>
          <w:sz w:val="22"/>
          <w:szCs w:val="22"/>
        </w:rPr>
      </w:pPr>
      <w:r w:rsidRPr="00076647">
        <w:rPr>
          <w:rFonts w:ascii="Expert Sans Regular" w:hAnsi="Expert Sans Regular"/>
          <w:bCs/>
          <w:sz w:val="22"/>
          <w:szCs w:val="22"/>
        </w:rPr>
        <w:t xml:space="preserve">Further to the announcement on 21 August 2012, Barclays Bank PLC (“Barclays”) and its subsidiary Absa Group Limited (“Absa”) are pleased to announce </w:t>
      </w:r>
      <w:r w:rsidR="002F5315">
        <w:rPr>
          <w:rFonts w:ascii="Expert Sans Regular" w:hAnsi="Expert Sans Regular"/>
          <w:bCs/>
          <w:sz w:val="22"/>
          <w:szCs w:val="22"/>
        </w:rPr>
        <w:t>their</w:t>
      </w:r>
      <w:r w:rsidR="002F5315" w:rsidRPr="00076647">
        <w:rPr>
          <w:rFonts w:ascii="Expert Sans Regular" w:hAnsi="Expert Sans Regular"/>
          <w:bCs/>
          <w:sz w:val="22"/>
          <w:szCs w:val="22"/>
        </w:rPr>
        <w:t xml:space="preserve"> </w:t>
      </w:r>
      <w:r w:rsidRPr="00076647">
        <w:rPr>
          <w:rFonts w:ascii="Expert Sans Regular" w:hAnsi="Expert Sans Regular"/>
          <w:bCs/>
          <w:sz w:val="22"/>
          <w:szCs w:val="22"/>
        </w:rPr>
        <w:t xml:space="preserve">agreement </w:t>
      </w:r>
      <w:r w:rsidR="002F5315">
        <w:rPr>
          <w:rFonts w:ascii="Expert Sans Regular" w:hAnsi="Expert Sans Regular"/>
          <w:bCs/>
          <w:sz w:val="22"/>
          <w:szCs w:val="22"/>
        </w:rPr>
        <w:t>to combine</w:t>
      </w:r>
      <w:r w:rsidRPr="00076647">
        <w:rPr>
          <w:rFonts w:ascii="Expert Sans Regular" w:hAnsi="Expert Sans Regular"/>
          <w:bCs/>
          <w:sz w:val="22"/>
          <w:szCs w:val="22"/>
        </w:rPr>
        <w:t xml:space="preserve"> the majority of Barclays Africa operations (the “Portfolio”) with Absa. </w:t>
      </w:r>
    </w:p>
    <w:p w:rsidR="00325BB5" w:rsidRPr="00076647" w:rsidRDefault="00325BB5" w:rsidP="00EF66DE">
      <w:pPr>
        <w:jc w:val="both"/>
        <w:rPr>
          <w:rFonts w:ascii="Expert Sans Regular" w:hAnsi="Expert Sans Regular"/>
          <w:bCs/>
          <w:sz w:val="22"/>
          <w:szCs w:val="22"/>
        </w:rPr>
      </w:pPr>
    </w:p>
    <w:p w:rsidR="00325BB5" w:rsidRPr="00076647" w:rsidRDefault="00325BB5" w:rsidP="00EF66DE">
      <w:pPr>
        <w:jc w:val="both"/>
        <w:rPr>
          <w:rFonts w:ascii="Expert Sans Regular" w:hAnsi="Expert Sans Regular"/>
          <w:bCs/>
          <w:sz w:val="22"/>
          <w:szCs w:val="22"/>
        </w:rPr>
      </w:pPr>
      <w:r w:rsidRPr="00076647">
        <w:rPr>
          <w:rFonts w:ascii="Expert Sans Regular" w:hAnsi="Expert Sans Regular"/>
          <w:bCs/>
          <w:sz w:val="22"/>
          <w:szCs w:val="22"/>
        </w:rPr>
        <w:t xml:space="preserve">The proposed combination accelerates Barclays ‘One Bank in </w:t>
      </w:r>
      <w:smartTag w:uri="urn:schemas-microsoft-com:office:smarttags" w:element="country-region">
        <w:r w:rsidRPr="00076647">
          <w:rPr>
            <w:rFonts w:ascii="Expert Sans Regular" w:hAnsi="Expert Sans Regular"/>
            <w:bCs/>
            <w:sz w:val="22"/>
            <w:szCs w:val="22"/>
          </w:rPr>
          <w:t>Africa</w:t>
        </w:r>
      </w:smartTag>
      <w:r w:rsidRPr="00076647">
        <w:rPr>
          <w:rFonts w:ascii="Expert Sans Regular" w:hAnsi="Expert Sans Regular"/>
          <w:bCs/>
          <w:sz w:val="22"/>
          <w:szCs w:val="22"/>
        </w:rPr>
        <w:t xml:space="preserve">’ strategy and its goal to become the ‘Go-To’ bank on the continent. The combined business will create a leading pan-African financial services business and a platform for further growth. The combined, JSE-listed </w:t>
      </w:r>
      <w:r w:rsidR="00FA6E16" w:rsidRPr="00076647">
        <w:rPr>
          <w:rFonts w:ascii="Expert Sans Regular" w:hAnsi="Expert Sans Regular"/>
          <w:bCs/>
          <w:sz w:val="22"/>
          <w:szCs w:val="22"/>
        </w:rPr>
        <w:t>business will</w:t>
      </w:r>
      <w:r w:rsidRPr="00076647">
        <w:rPr>
          <w:rFonts w:ascii="Expert Sans Regular" w:hAnsi="Expert Sans Regular"/>
          <w:bCs/>
          <w:sz w:val="22"/>
          <w:szCs w:val="22"/>
        </w:rPr>
        <w:t xml:space="preserve"> serve </w:t>
      </w:r>
      <w:r w:rsidR="00185275">
        <w:rPr>
          <w:rFonts w:ascii="Expert Sans Regular" w:hAnsi="Expert Sans Regular"/>
          <w:bCs/>
          <w:sz w:val="22"/>
          <w:szCs w:val="22"/>
        </w:rPr>
        <w:t xml:space="preserve">approximately </w:t>
      </w:r>
      <w:r w:rsidR="00BA34A6">
        <w:rPr>
          <w:rFonts w:ascii="Expert Sans Regular" w:hAnsi="Expert Sans Regular"/>
          <w:bCs/>
          <w:sz w:val="22"/>
          <w:szCs w:val="22"/>
        </w:rPr>
        <w:t>14.</w:t>
      </w:r>
      <w:r w:rsidR="00185275">
        <w:rPr>
          <w:rFonts w:ascii="Expert Sans Regular" w:hAnsi="Expert Sans Regular"/>
          <w:bCs/>
          <w:sz w:val="22"/>
          <w:szCs w:val="22"/>
        </w:rPr>
        <w:t>4</w:t>
      </w:r>
      <w:r w:rsidRPr="00076647">
        <w:rPr>
          <w:rFonts w:ascii="Expert Sans Regular" w:hAnsi="Expert Sans Regular"/>
          <w:bCs/>
          <w:sz w:val="22"/>
          <w:szCs w:val="22"/>
        </w:rPr>
        <w:t xml:space="preserve"> million customers through a network of more than </w:t>
      </w:r>
      <w:r w:rsidR="00BA34A6">
        <w:rPr>
          <w:rFonts w:ascii="Expert Sans Regular" w:hAnsi="Expert Sans Regular"/>
          <w:bCs/>
          <w:sz w:val="22"/>
          <w:szCs w:val="22"/>
        </w:rPr>
        <w:t>1,300</w:t>
      </w:r>
      <w:r w:rsidRPr="00076647">
        <w:rPr>
          <w:rFonts w:ascii="Expert Sans Regular" w:hAnsi="Expert Sans Regular"/>
          <w:bCs/>
          <w:sz w:val="22"/>
          <w:szCs w:val="22"/>
        </w:rPr>
        <w:t xml:space="preserve"> outlets and over </w:t>
      </w:r>
      <w:r w:rsidR="00BA34A6">
        <w:rPr>
          <w:rFonts w:ascii="Expert Sans Regular" w:hAnsi="Expert Sans Regular"/>
          <w:bCs/>
          <w:sz w:val="22"/>
          <w:szCs w:val="22"/>
        </w:rPr>
        <w:t>10,400</w:t>
      </w:r>
      <w:r w:rsidRPr="00076647">
        <w:rPr>
          <w:rFonts w:ascii="Expert Sans Regular" w:hAnsi="Expert Sans Regular"/>
          <w:bCs/>
          <w:sz w:val="22"/>
          <w:szCs w:val="22"/>
        </w:rPr>
        <w:t xml:space="preserve"> ATMs, employing </w:t>
      </w:r>
      <w:r w:rsidR="00185275">
        <w:rPr>
          <w:rFonts w:ascii="Expert Sans Regular" w:hAnsi="Expert Sans Regular"/>
          <w:bCs/>
          <w:sz w:val="22"/>
          <w:szCs w:val="22"/>
        </w:rPr>
        <w:t xml:space="preserve">more than </w:t>
      </w:r>
      <w:r w:rsidR="00BA34A6">
        <w:rPr>
          <w:rFonts w:ascii="Expert Sans Regular" w:hAnsi="Expert Sans Regular"/>
          <w:bCs/>
          <w:sz w:val="22"/>
          <w:szCs w:val="22"/>
        </w:rPr>
        <w:t>43,000</w:t>
      </w:r>
      <w:r w:rsidRPr="00076647">
        <w:rPr>
          <w:rFonts w:ascii="Expert Sans Regular" w:hAnsi="Expert Sans Regular"/>
          <w:bCs/>
          <w:sz w:val="22"/>
          <w:szCs w:val="22"/>
        </w:rPr>
        <w:t xml:space="preserve"> people across ten</w:t>
      </w:r>
      <w:r w:rsidRPr="00076647">
        <w:rPr>
          <w:rFonts w:ascii="Expert Sans Regular" w:hAnsi="Expert Sans Regular" w:cs="Arial"/>
          <w:bCs/>
          <w:sz w:val="22"/>
          <w:szCs w:val="22"/>
        </w:rPr>
        <w:t>²</w:t>
      </w:r>
      <w:r w:rsidRPr="00076647">
        <w:rPr>
          <w:rFonts w:ascii="Expert Sans Regular" w:hAnsi="Expert Sans Regular"/>
          <w:bCs/>
          <w:sz w:val="22"/>
          <w:szCs w:val="22"/>
        </w:rPr>
        <w:t xml:space="preserve"> countries which represent approximately </w:t>
      </w:r>
      <w:r w:rsidR="00F72A03" w:rsidRPr="00F72A03">
        <w:rPr>
          <w:rFonts w:ascii="Expert Sans Regular" w:hAnsi="Expert Sans Regular"/>
          <w:bCs/>
          <w:sz w:val="22"/>
          <w:szCs w:val="22"/>
          <w:lang w:val="en-US"/>
        </w:rPr>
        <w:t>22.5</w:t>
      </w:r>
      <w:r w:rsidRPr="00076647">
        <w:rPr>
          <w:rFonts w:ascii="Expert Sans Regular" w:hAnsi="Expert Sans Regular"/>
          <w:bCs/>
          <w:sz w:val="22"/>
          <w:szCs w:val="22"/>
        </w:rPr>
        <w:t xml:space="preserve">% and </w:t>
      </w:r>
      <w:r w:rsidR="00F72A03" w:rsidRPr="00F72A03">
        <w:rPr>
          <w:rFonts w:ascii="Expert Sans Regular" w:hAnsi="Expert Sans Regular"/>
          <w:bCs/>
          <w:sz w:val="22"/>
          <w:szCs w:val="22"/>
          <w:lang w:val="en-US"/>
        </w:rPr>
        <w:t>30.5</w:t>
      </w:r>
      <w:r w:rsidRPr="00076647">
        <w:rPr>
          <w:rFonts w:ascii="Expert Sans Regular" w:hAnsi="Expert Sans Regular"/>
          <w:bCs/>
          <w:sz w:val="22"/>
          <w:szCs w:val="22"/>
        </w:rPr>
        <w:t xml:space="preserve">% of Africa’s population and GDP respectively. </w:t>
      </w:r>
    </w:p>
    <w:p w:rsidR="00325BB5" w:rsidRPr="00076647" w:rsidRDefault="00325BB5" w:rsidP="00EF66DE">
      <w:pPr>
        <w:jc w:val="both"/>
        <w:rPr>
          <w:rFonts w:ascii="Expert Sans Regular" w:hAnsi="Expert Sans Regular"/>
          <w:bCs/>
          <w:sz w:val="22"/>
          <w:szCs w:val="22"/>
        </w:rPr>
      </w:pPr>
    </w:p>
    <w:p w:rsidR="00325BB5" w:rsidRPr="00076647" w:rsidRDefault="00325BB5" w:rsidP="00EF66DE">
      <w:pPr>
        <w:jc w:val="both"/>
        <w:rPr>
          <w:rFonts w:ascii="Expert Sans Regular" w:hAnsi="Expert Sans Regular"/>
          <w:b/>
          <w:bCs/>
          <w:sz w:val="22"/>
          <w:szCs w:val="22"/>
        </w:rPr>
      </w:pPr>
      <w:r w:rsidRPr="00076647">
        <w:rPr>
          <w:rFonts w:ascii="Expert Sans Regular" w:hAnsi="Expert Sans Regular"/>
          <w:b/>
          <w:bCs/>
          <w:sz w:val="22"/>
          <w:szCs w:val="22"/>
        </w:rPr>
        <w:t>Key features of the proposed combination:</w:t>
      </w:r>
    </w:p>
    <w:p w:rsidR="00325BB5" w:rsidRPr="00076647" w:rsidRDefault="00325BB5" w:rsidP="00EF66DE">
      <w:pPr>
        <w:jc w:val="both"/>
        <w:rPr>
          <w:rFonts w:ascii="Expert Sans Regular" w:hAnsi="Expert Sans Regular"/>
          <w:bCs/>
          <w:sz w:val="22"/>
          <w:szCs w:val="22"/>
        </w:rPr>
      </w:pPr>
    </w:p>
    <w:p w:rsidR="00325BB5" w:rsidRPr="00076647" w:rsidRDefault="00325BB5" w:rsidP="00EF66DE">
      <w:pPr>
        <w:pStyle w:val="ListParagraph"/>
        <w:numPr>
          <w:ilvl w:val="0"/>
          <w:numId w:val="2"/>
        </w:numPr>
        <w:jc w:val="both"/>
        <w:rPr>
          <w:rFonts w:ascii="Expert Sans Regular" w:hAnsi="Expert Sans Regular"/>
          <w:bCs/>
          <w:sz w:val="22"/>
          <w:szCs w:val="22"/>
        </w:rPr>
      </w:pPr>
      <w:r w:rsidRPr="00076647">
        <w:rPr>
          <w:rFonts w:ascii="Expert Sans Regular" w:hAnsi="Expert Sans Regular"/>
          <w:bCs/>
          <w:sz w:val="22"/>
          <w:szCs w:val="22"/>
        </w:rPr>
        <w:t xml:space="preserve">The proposed strategic combination will be effected by way of an acquisition by Absa </w:t>
      </w:r>
      <w:r w:rsidR="00CE64B4">
        <w:rPr>
          <w:rFonts w:ascii="Expert Sans Regular" w:hAnsi="Expert Sans Regular"/>
          <w:bCs/>
          <w:sz w:val="22"/>
          <w:szCs w:val="22"/>
        </w:rPr>
        <w:t xml:space="preserve">Group Limited </w:t>
      </w:r>
      <w:r w:rsidRPr="00076647">
        <w:rPr>
          <w:rFonts w:ascii="Expert Sans Regular" w:hAnsi="Expert Sans Regular"/>
          <w:bCs/>
          <w:sz w:val="22"/>
          <w:szCs w:val="22"/>
        </w:rPr>
        <w:t xml:space="preserve">of Barclays Africa Limited, the proposed holding company of the Portfolio, for a consideration of </w:t>
      </w:r>
      <w:r w:rsidR="00537951">
        <w:rPr>
          <w:rFonts w:ascii="Expert Sans Regular" w:hAnsi="Expert Sans Regular"/>
          <w:bCs/>
          <w:sz w:val="22"/>
          <w:szCs w:val="22"/>
        </w:rPr>
        <w:t>129,540,636</w:t>
      </w:r>
      <w:r w:rsidRPr="00076647">
        <w:rPr>
          <w:rFonts w:ascii="Expert Sans Regular" w:hAnsi="Expert Sans Regular"/>
          <w:bCs/>
          <w:sz w:val="22"/>
          <w:szCs w:val="22"/>
        </w:rPr>
        <w:t xml:space="preserve"> Absa ordinary shares, representing a value of R</w:t>
      </w:r>
      <w:r w:rsidR="00537951">
        <w:rPr>
          <w:rFonts w:ascii="Expert Sans Regular" w:hAnsi="Expert Sans Regular"/>
          <w:bCs/>
          <w:sz w:val="22"/>
          <w:szCs w:val="22"/>
        </w:rPr>
        <w:t>18,33</w:t>
      </w:r>
      <w:r w:rsidRPr="00076647">
        <w:rPr>
          <w:rFonts w:ascii="Expert Sans Regular" w:hAnsi="Expert Sans Regular"/>
          <w:bCs/>
          <w:sz w:val="22"/>
          <w:szCs w:val="22"/>
        </w:rPr>
        <w:t>bn</w:t>
      </w:r>
      <w:r w:rsidRPr="00076647">
        <w:rPr>
          <w:rFonts w:ascii="Expert Sans Regular" w:hAnsi="Expert Sans Regular" w:cs="Arial"/>
          <w:bCs/>
          <w:sz w:val="22"/>
          <w:szCs w:val="22"/>
        </w:rPr>
        <w:t>³</w:t>
      </w:r>
      <w:r w:rsidR="00FA6E16">
        <w:rPr>
          <w:rFonts w:ascii="Expert Sans Regular" w:hAnsi="Expert Sans Regular"/>
          <w:bCs/>
          <w:sz w:val="22"/>
          <w:szCs w:val="22"/>
        </w:rPr>
        <w:t xml:space="preserve"> (</w:t>
      </w:r>
      <w:r w:rsidR="00537951">
        <w:rPr>
          <w:rFonts w:ascii="Expert Sans Regular" w:hAnsi="Expert Sans Regular"/>
          <w:bCs/>
          <w:sz w:val="22"/>
          <w:szCs w:val="22"/>
        </w:rPr>
        <w:t>£1.3bn</w:t>
      </w:r>
      <w:r w:rsidRPr="00076647">
        <w:rPr>
          <w:rFonts w:ascii="Expert Sans Regular" w:hAnsi="Expert Sans Regular" w:cs="Arial"/>
          <w:bCs/>
          <w:sz w:val="22"/>
          <w:szCs w:val="22"/>
        </w:rPr>
        <w:t>¹</w:t>
      </w:r>
      <w:r w:rsidRPr="00076647">
        <w:rPr>
          <w:rFonts w:ascii="Expert Sans Regular" w:hAnsi="Expert Sans Regular"/>
          <w:bCs/>
          <w:sz w:val="22"/>
          <w:szCs w:val="22"/>
        </w:rPr>
        <w:t xml:space="preserve">) for Barclays Africa Limited. </w:t>
      </w:r>
    </w:p>
    <w:p w:rsidR="00325BB5" w:rsidRPr="00076647" w:rsidRDefault="00325BB5" w:rsidP="00EF66DE">
      <w:pPr>
        <w:pStyle w:val="ListParagraph"/>
        <w:jc w:val="both"/>
        <w:rPr>
          <w:rFonts w:ascii="Expert Sans Regular" w:hAnsi="Expert Sans Regular"/>
          <w:bCs/>
          <w:sz w:val="22"/>
          <w:szCs w:val="22"/>
        </w:rPr>
      </w:pPr>
    </w:p>
    <w:p w:rsidR="00325BB5" w:rsidRPr="00076647" w:rsidRDefault="00325BB5" w:rsidP="00EF66DE">
      <w:pPr>
        <w:pStyle w:val="ListParagraph"/>
        <w:numPr>
          <w:ilvl w:val="1"/>
          <w:numId w:val="2"/>
        </w:numPr>
        <w:jc w:val="both"/>
        <w:rPr>
          <w:rFonts w:ascii="Expert Sans Regular" w:hAnsi="Expert Sans Regular"/>
          <w:bCs/>
          <w:sz w:val="22"/>
          <w:szCs w:val="22"/>
        </w:rPr>
      </w:pPr>
      <w:r w:rsidRPr="00076647">
        <w:rPr>
          <w:rFonts w:ascii="Expert Sans Regular" w:hAnsi="Expert Sans Regular"/>
          <w:bCs/>
          <w:sz w:val="22"/>
          <w:szCs w:val="22"/>
        </w:rPr>
        <w:t xml:space="preserve">As a result of the transaction, Barclays stake in Absa will increase from 55.5% to </w:t>
      </w:r>
      <w:r w:rsidR="00393615">
        <w:rPr>
          <w:rFonts w:ascii="Expert Sans Regular" w:hAnsi="Expert Sans Regular"/>
          <w:bCs/>
          <w:sz w:val="22"/>
          <w:szCs w:val="22"/>
        </w:rPr>
        <w:t>62.3%</w:t>
      </w:r>
    </w:p>
    <w:p w:rsidR="00325BB5" w:rsidRPr="00076647" w:rsidRDefault="00325BB5" w:rsidP="00EF66DE">
      <w:pPr>
        <w:pStyle w:val="ListParagraph"/>
        <w:ind w:left="1440"/>
        <w:jc w:val="both"/>
        <w:rPr>
          <w:rFonts w:ascii="Expert Sans Regular" w:hAnsi="Expert Sans Regular"/>
          <w:bCs/>
          <w:sz w:val="22"/>
          <w:szCs w:val="22"/>
        </w:rPr>
      </w:pPr>
    </w:p>
    <w:p w:rsidR="00325BB5" w:rsidRPr="00076647" w:rsidRDefault="00325BB5" w:rsidP="00EF66DE">
      <w:pPr>
        <w:pStyle w:val="ListParagraph"/>
        <w:numPr>
          <w:ilvl w:val="1"/>
          <w:numId w:val="2"/>
        </w:numPr>
        <w:jc w:val="both"/>
        <w:rPr>
          <w:rFonts w:ascii="Expert Sans Regular" w:hAnsi="Expert Sans Regular"/>
          <w:bCs/>
          <w:sz w:val="22"/>
          <w:szCs w:val="22"/>
        </w:rPr>
      </w:pPr>
      <w:r>
        <w:rPr>
          <w:rFonts w:ascii="Expert Sans Regular" w:hAnsi="Expert Sans Regular"/>
          <w:bCs/>
          <w:sz w:val="22"/>
          <w:szCs w:val="22"/>
        </w:rPr>
        <w:t xml:space="preserve">It is expected that </w:t>
      </w:r>
      <w:r w:rsidRPr="00076647">
        <w:rPr>
          <w:rFonts w:ascii="Expert Sans Regular" w:hAnsi="Expert Sans Regular"/>
          <w:bCs/>
          <w:sz w:val="22"/>
          <w:szCs w:val="22"/>
        </w:rPr>
        <w:t>Barclays Africa Limited will hold</w:t>
      </w:r>
      <w:r>
        <w:rPr>
          <w:rFonts w:ascii="Expert Sans Regular" w:hAnsi="Expert Sans Regular"/>
          <w:bCs/>
          <w:sz w:val="22"/>
          <w:szCs w:val="22"/>
        </w:rPr>
        <w:t>,</w:t>
      </w:r>
      <w:r w:rsidRPr="00076647">
        <w:rPr>
          <w:rFonts w:ascii="Expert Sans Regular" w:hAnsi="Expert Sans Regular"/>
          <w:bCs/>
          <w:sz w:val="22"/>
          <w:szCs w:val="22"/>
        </w:rPr>
        <w:t xml:space="preserve"> at the effective date of the proposed combination</w:t>
      </w:r>
      <w:r>
        <w:rPr>
          <w:rFonts w:ascii="Expert Sans Regular" w:hAnsi="Expert Sans Regular"/>
          <w:bCs/>
          <w:sz w:val="22"/>
          <w:szCs w:val="22"/>
        </w:rPr>
        <w:t>,</w:t>
      </w:r>
      <w:r w:rsidRPr="00076647">
        <w:rPr>
          <w:rFonts w:ascii="Expert Sans Regular" w:hAnsi="Expert Sans Regular"/>
          <w:bCs/>
          <w:sz w:val="22"/>
          <w:szCs w:val="22"/>
        </w:rPr>
        <w:t xml:space="preserve"> all or a significant majority of the Portfolio, comprising Barclays </w:t>
      </w:r>
      <w:r w:rsidR="002F5315">
        <w:rPr>
          <w:rFonts w:ascii="Expert Sans Regular" w:hAnsi="Expert Sans Regular"/>
          <w:bCs/>
          <w:sz w:val="22"/>
          <w:szCs w:val="22"/>
        </w:rPr>
        <w:t>ownership interests</w:t>
      </w:r>
      <w:r w:rsidR="002F5315" w:rsidRPr="00076647">
        <w:rPr>
          <w:rFonts w:ascii="Expert Sans Regular" w:hAnsi="Expert Sans Regular"/>
          <w:bCs/>
          <w:sz w:val="22"/>
          <w:szCs w:val="22"/>
        </w:rPr>
        <w:t xml:space="preserve"> </w:t>
      </w:r>
      <w:r w:rsidRPr="00076647">
        <w:rPr>
          <w:rFonts w:ascii="Expert Sans Regular" w:hAnsi="Expert Sans Regular"/>
          <w:bCs/>
          <w:sz w:val="22"/>
          <w:szCs w:val="22"/>
        </w:rPr>
        <w:t xml:space="preserve">in banking operations in Botswana (67.8%), Ghana (100%), Kenya (68.5%), </w:t>
      </w:r>
      <w:r w:rsidR="002F5315" w:rsidRPr="00076647">
        <w:rPr>
          <w:rFonts w:ascii="Expert Sans Regular" w:hAnsi="Expert Sans Regular"/>
          <w:bCs/>
          <w:sz w:val="22"/>
          <w:szCs w:val="22"/>
        </w:rPr>
        <w:t>Mauritius (100%)</w:t>
      </w:r>
      <w:r w:rsidR="002F5315">
        <w:rPr>
          <w:rFonts w:ascii="Expert Sans Regular" w:hAnsi="Expert Sans Regular"/>
          <w:bCs/>
          <w:sz w:val="22"/>
          <w:szCs w:val="22"/>
        </w:rPr>
        <w:t xml:space="preserve">, </w:t>
      </w:r>
      <w:r w:rsidR="002F5315" w:rsidRPr="00076647">
        <w:rPr>
          <w:rFonts w:ascii="Expert Sans Regular" w:hAnsi="Expert Sans Regular"/>
          <w:bCs/>
          <w:sz w:val="22"/>
          <w:szCs w:val="22"/>
        </w:rPr>
        <w:t>Seychelles (99.8%)</w:t>
      </w:r>
      <w:r w:rsidR="002F5315">
        <w:rPr>
          <w:rFonts w:ascii="Expert Sans Regular" w:hAnsi="Expert Sans Regular"/>
          <w:bCs/>
          <w:sz w:val="22"/>
          <w:szCs w:val="22"/>
        </w:rPr>
        <w:t xml:space="preserve">, </w:t>
      </w:r>
      <w:r w:rsidRPr="00076647">
        <w:rPr>
          <w:rFonts w:ascii="Expert Sans Regular" w:hAnsi="Expert Sans Regular"/>
          <w:bCs/>
          <w:sz w:val="22"/>
          <w:szCs w:val="22"/>
        </w:rPr>
        <w:t>Tanzania (100%), Uganda (100%)</w:t>
      </w:r>
      <w:r w:rsidR="002F5315">
        <w:rPr>
          <w:rFonts w:ascii="Expert Sans Regular" w:hAnsi="Expert Sans Regular"/>
          <w:bCs/>
          <w:sz w:val="22"/>
          <w:szCs w:val="22"/>
        </w:rPr>
        <w:t xml:space="preserve"> and Zambia (100%)</w:t>
      </w:r>
      <w:r w:rsidRPr="00076647">
        <w:rPr>
          <w:rFonts w:ascii="Expert Sans Regular" w:hAnsi="Expert Sans Regular"/>
          <w:bCs/>
          <w:sz w:val="22"/>
          <w:szCs w:val="22"/>
        </w:rPr>
        <w:t xml:space="preserve">, as well as the Barclays Africa Regional Office in Johannesburg (100%). </w:t>
      </w:r>
    </w:p>
    <w:p w:rsidR="00325BB5" w:rsidRPr="00076647" w:rsidRDefault="00325BB5" w:rsidP="00EF66DE">
      <w:pPr>
        <w:pStyle w:val="ListParagraph"/>
        <w:jc w:val="both"/>
        <w:rPr>
          <w:rFonts w:ascii="Expert Sans Regular" w:hAnsi="Expert Sans Regular"/>
          <w:bCs/>
          <w:sz w:val="22"/>
          <w:szCs w:val="22"/>
        </w:rPr>
      </w:pPr>
    </w:p>
    <w:p w:rsidR="00325BB5" w:rsidRPr="00F7110B" w:rsidRDefault="00325BB5" w:rsidP="00EF66DE">
      <w:pPr>
        <w:pStyle w:val="ListParagraph"/>
        <w:numPr>
          <w:ilvl w:val="1"/>
          <w:numId w:val="2"/>
        </w:numPr>
        <w:jc w:val="both"/>
        <w:rPr>
          <w:rFonts w:ascii="Expert Sans Regular" w:hAnsi="Expert Sans Regular"/>
          <w:bCs/>
          <w:sz w:val="22"/>
          <w:szCs w:val="22"/>
        </w:rPr>
      </w:pPr>
      <w:r w:rsidRPr="00F7110B">
        <w:rPr>
          <w:rFonts w:ascii="Expert Sans Regular" w:hAnsi="Expert Sans Regular"/>
          <w:bCs/>
          <w:sz w:val="22"/>
          <w:szCs w:val="22"/>
        </w:rPr>
        <w:lastRenderedPageBreak/>
        <w:t xml:space="preserve">The listings of Barclays Bank Kenya Limited (on the Nairobi Securities Exchange) and Barclays Bank Botswana Limited (on the Botswana Stock Exchange) will continue to be maintained as only </w:t>
      </w:r>
      <w:r w:rsidR="00B25BD4" w:rsidRPr="00F7110B">
        <w:rPr>
          <w:rFonts w:ascii="Expert Sans Regular" w:hAnsi="Expert Sans Regular"/>
          <w:bCs/>
          <w:sz w:val="22"/>
          <w:szCs w:val="22"/>
        </w:rPr>
        <w:t xml:space="preserve">the shares held by </w:t>
      </w:r>
      <w:r w:rsidRPr="00F7110B">
        <w:rPr>
          <w:rFonts w:ascii="Expert Sans Regular" w:hAnsi="Expert Sans Regular"/>
          <w:bCs/>
          <w:sz w:val="22"/>
          <w:szCs w:val="22"/>
        </w:rPr>
        <w:t xml:space="preserve">Barclays </w:t>
      </w:r>
      <w:r w:rsidR="00B25BD4" w:rsidRPr="00F7110B">
        <w:rPr>
          <w:rFonts w:ascii="Expert Sans Regular" w:hAnsi="Expert Sans Regular"/>
          <w:bCs/>
          <w:sz w:val="22"/>
          <w:szCs w:val="22"/>
        </w:rPr>
        <w:t xml:space="preserve">in those entities will </w:t>
      </w:r>
      <w:r w:rsidRPr="00F7110B">
        <w:rPr>
          <w:rFonts w:ascii="Expert Sans Regular" w:hAnsi="Expert Sans Regular"/>
          <w:bCs/>
          <w:sz w:val="22"/>
          <w:szCs w:val="22"/>
        </w:rPr>
        <w:t>be transferred in the proposed combination. The proposed combination will not impact the number of shares held by the minorities in Barclays Bank Kenya Limited and Barclays Bank Botswana Limited.</w:t>
      </w:r>
    </w:p>
    <w:p w:rsidR="00325BB5" w:rsidRDefault="00325BB5" w:rsidP="00EF66DE">
      <w:pPr>
        <w:pStyle w:val="ListParagraph"/>
        <w:jc w:val="both"/>
        <w:rPr>
          <w:rFonts w:ascii="Expert Sans Regular" w:hAnsi="Expert Sans Regular"/>
          <w:bCs/>
          <w:sz w:val="22"/>
          <w:szCs w:val="22"/>
        </w:rPr>
      </w:pPr>
    </w:p>
    <w:p w:rsidR="00325BB5" w:rsidRPr="004E6606" w:rsidRDefault="00325BB5" w:rsidP="00EF66DE">
      <w:pPr>
        <w:pStyle w:val="ListParagraph"/>
        <w:numPr>
          <w:ilvl w:val="1"/>
          <w:numId w:val="2"/>
        </w:numPr>
        <w:jc w:val="both"/>
        <w:rPr>
          <w:rFonts w:ascii="Expert Sans Regular" w:hAnsi="Expert Sans Regular"/>
          <w:bCs/>
          <w:sz w:val="22"/>
          <w:szCs w:val="22"/>
        </w:rPr>
      </w:pPr>
      <w:r w:rsidRPr="004E6606">
        <w:rPr>
          <w:rFonts w:ascii="Expert Sans Regular" w:hAnsi="Expert Sans Regular"/>
          <w:bCs/>
          <w:sz w:val="22"/>
          <w:szCs w:val="22"/>
        </w:rPr>
        <w:t xml:space="preserve">Absa will continue to own 100% of Absa Bank Limited, 95.8% of Barclays Bank of </w:t>
      </w:r>
      <w:smartTag w:uri="urn:schemas-microsoft-com:office:smarttags" w:element="country-region">
        <w:r w:rsidRPr="004E6606">
          <w:rPr>
            <w:rFonts w:ascii="Expert Sans Regular" w:hAnsi="Expert Sans Regular"/>
            <w:bCs/>
            <w:sz w:val="22"/>
            <w:szCs w:val="22"/>
          </w:rPr>
          <w:t>Mozambique</w:t>
        </w:r>
      </w:smartTag>
      <w:r w:rsidRPr="004E6606">
        <w:rPr>
          <w:rFonts w:ascii="Expert Sans Regular" w:hAnsi="Expert Sans Regular"/>
          <w:bCs/>
          <w:sz w:val="22"/>
          <w:szCs w:val="22"/>
        </w:rPr>
        <w:t xml:space="preserve"> and 55% of the National Bank of Commerce in </w:t>
      </w:r>
      <w:smartTag w:uri="urn:schemas-microsoft-com:office:smarttags" w:element="country-region">
        <w:r w:rsidRPr="004E6606">
          <w:rPr>
            <w:rFonts w:ascii="Expert Sans Regular" w:hAnsi="Expert Sans Regular"/>
            <w:bCs/>
            <w:sz w:val="22"/>
            <w:szCs w:val="22"/>
          </w:rPr>
          <w:t>Tanzania</w:t>
        </w:r>
      </w:smartTag>
      <w:r w:rsidRPr="004E6606">
        <w:rPr>
          <w:rFonts w:ascii="Expert Sans Regular" w:hAnsi="Expert Sans Regular"/>
          <w:bCs/>
          <w:sz w:val="22"/>
          <w:szCs w:val="22"/>
        </w:rPr>
        <w:t xml:space="preserve">. </w:t>
      </w:r>
    </w:p>
    <w:p w:rsidR="00325BB5" w:rsidRPr="004E6606" w:rsidRDefault="00325BB5" w:rsidP="00EF66DE">
      <w:pPr>
        <w:pStyle w:val="ListParagraph"/>
        <w:jc w:val="both"/>
        <w:rPr>
          <w:rFonts w:ascii="Expert Sans Regular" w:hAnsi="Expert Sans Regular"/>
          <w:bCs/>
          <w:sz w:val="22"/>
          <w:szCs w:val="22"/>
        </w:rPr>
      </w:pPr>
    </w:p>
    <w:p w:rsidR="00325BB5" w:rsidRPr="004E6606" w:rsidRDefault="00325BB5" w:rsidP="00EF66DE">
      <w:pPr>
        <w:pStyle w:val="ListParagraph"/>
        <w:numPr>
          <w:ilvl w:val="1"/>
          <w:numId w:val="2"/>
        </w:numPr>
        <w:jc w:val="both"/>
        <w:rPr>
          <w:rFonts w:ascii="Expert Sans Regular" w:hAnsi="Expert Sans Regular"/>
          <w:bCs/>
          <w:sz w:val="22"/>
          <w:szCs w:val="22"/>
        </w:rPr>
      </w:pPr>
      <w:r w:rsidRPr="004E6606">
        <w:rPr>
          <w:rFonts w:ascii="Expert Sans Regular" w:hAnsi="Expert Sans Regular"/>
          <w:bCs/>
          <w:sz w:val="22"/>
          <w:szCs w:val="22"/>
        </w:rPr>
        <w:t xml:space="preserve">The scope of the proposed transaction excludes Barclays operations in </w:t>
      </w:r>
      <w:smartTag w:uri="urn:schemas-microsoft-com:office:smarttags" w:element="country-region">
        <w:r w:rsidRPr="004E6606">
          <w:rPr>
            <w:rFonts w:ascii="Expert Sans Regular" w:hAnsi="Expert Sans Regular"/>
            <w:bCs/>
            <w:sz w:val="22"/>
            <w:szCs w:val="22"/>
          </w:rPr>
          <w:t>Egypt</w:t>
        </w:r>
      </w:smartTag>
      <w:r w:rsidRPr="004E6606">
        <w:rPr>
          <w:rFonts w:ascii="Expert Sans Regular" w:hAnsi="Expert Sans Regular"/>
          <w:bCs/>
          <w:sz w:val="22"/>
          <w:szCs w:val="22"/>
        </w:rPr>
        <w:t xml:space="preserve"> and </w:t>
      </w:r>
      <w:smartTag w:uri="urn:schemas-microsoft-com:office:smarttags" w:element="country-region">
        <w:r w:rsidRPr="004E6606">
          <w:rPr>
            <w:rFonts w:ascii="Expert Sans Regular" w:hAnsi="Expert Sans Regular"/>
            <w:bCs/>
            <w:sz w:val="22"/>
            <w:szCs w:val="22"/>
          </w:rPr>
          <w:t>Zimbabwe</w:t>
        </w:r>
      </w:smartTag>
      <w:r w:rsidRPr="004E6606">
        <w:rPr>
          <w:rFonts w:ascii="Expert Sans Regular" w:hAnsi="Expert Sans Regular"/>
          <w:bCs/>
          <w:sz w:val="22"/>
          <w:szCs w:val="22"/>
        </w:rPr>
        <w:t>.</w:t>
      </w:r>
    </w:p>
    <w:p w:rsidR="00325BB5" w:rsidRPr="00076647" w:rsidRDefault="00325BB5" w:rsidP="00EF66DE">
      <w:pPr>
        <w:pStyle w:val="ListParagraph"/>
        <w:jc w:val="both"/>
        <w:rPr>
          <w:rFonts w:ascii="Expert Sans Regular" w:hAnsi="Expert Sans Regular"/>
          <w:bCs/>
          <w:sz w:val="22"/>
          <w:szCs w:val="22"/>
        </w:rPr>
      </w:pPr>
    </w:p>
    <w:p w:rsidR="00325BB5" w:rsidRDefault="00CE64B4" w:rsidP="00441A27">
      <w:pPr>
        <w:pStyle w:val="ListParagraph"/>
        <w:numPr>
          <w:ilvl w:val="0"/>
          <w:numId w:val="2"/>
        </w:numPr>
        <w:jc w:val="both"/>
        <w:rPr>
          <w:rFonts w:ascii="Expert Sans Regular" w:hAnsi="Expert Sans Regular"/>
          <w:bCs/>
          <w:sz w:val="22"/>
          <w:szCs w:val="22"/>
        </w:rPr>
      </w:pPr>
      <w:r>
        <w:rPr>
          <w:rFonts w:ascii="Expert Sans Regular" w:hAnsi="Expert Sans Regular"/>
          <w:bCs/>
          <w:sz w:val="22"/>
          <w:szCs w:val="22"/>
        </w:rPr>
        <w:t>T</w:t>
      </w:r>
      <w:r w:rsidRPr="00076647">
        <w:rPr>
          <w:rFonts w:ascii="Expert Sans Regular" w:hAnsi="Expert Sans Regular"/>
          <w:bCs/>
          <w:sz w:val="22"/>
          <w:szCs w:val="22"/>
        </w:rPr>
        <w:t>o reflect the enlarged portfolio and the pan-African focus of the business</w:t>
      </w:r>
      <w:r>
        <w:rPr>
          <w:rFonts w:ascii="Expert Sans Regular" w:hAnsi="Expert Sans Regular"/>
          <w:bCs/>
          <w:sz w:val="22"/>
          <w:szCs w:val="22"/>
        </w:rPr>
        <w:t xml:space="preserve">, </w:t>
      </w:r>
      <w:r w:rsidR="00325BB5" w:rsidRPr="00076647">
        <w:rPr>
          <w:rFonts w:ascii="Expert Sans Regular" w:hAnsi="Expert Sans Regular"/>
          <w:bCs/>
          <w:sz w:val="22"/>
          <w:szCs w:val="22"/>
        </w:rPr>
        <w:t xml:space="preserve">Absa Group Limited will be renamed “Barclays Africa Group Limited” </w:t>
      </w:r>
      <w:r>
        <w:rPr>
          <w:rFonts w:ascii="Expert Sans Regular" w:hAnsi="Expert Sans Regular"/>
          <w:bCs/>
          <w:sz w:val="22"/>
          <w:szCs w:val="22"/>
        </w:rPr>
        <w:t>and t</w:t>
      </w:r>
      <w:r w:rsidRPr="00076647">
        <w:rPr>
          <w:rFonts w:ascii="Expert Sans Regular" w:hAnsi="Expert Sans Regular"/>
          <w:bCs/>
          <w:sz w:val="22"/>
          <w:szCs w:val="22"/>
        </w:rPr>
        <w:t>he composition of the Board of Absa</w:t>
      </w:r>
      <w:r>
        <w:rPr>
          <w:rFonts w:ascii="Expert Sans Regular" w:hAnsi="Expert Sans Regular"/>
          <w:bCs/>
          <w:sz w:val="22"/>
          <w:szCs w:val="22"/>
        </w:rPr>
        <w:t xml:space="preserve"> Group</w:t>
      </w:r>
      <w:r w:rsidRPr="00076647">
        <w:rPr>
          <w:rFonts w:ascii="Expert Sans Regular" w:hAnsi="Expert Sans Regular"/>
          <w:bCs/>
          <w:sz w:val="22"/>
          <w:szCs w:val="22"/>
        </w:rPr>
        <w:t xml:space="preserve"> will be </w:t>
      </w:r>
      <w:r>
        <w:rPr>
          <w:rFonts w:ascii="Expert Sans Regular" w:hAnsi="Expert Sans Regular"/>
          <w:bCs/>
          <w:sz w:val="22"/>
          <w:szCs w:val="22"/>
        </w:rPr>
        <w:t>reconstituted accordingly.</w:t>
      </w:r>
      <w:r w:rsidRPr="00076647" w:rsidDel="00CE64B4">
        <w:rPr>
          <w:rFonts w:ascii="Expert Sans Regular" w:hAnsi="Expert Sans Regular"/>
          <w:bCs/>
          <w:sz w:val="22"/>
          <w:szCs w:val="22"/>
        </w:rPr>
        <w:t xml:space="preserve"> </w:t>
      </w:r>
    </w:p>
    <w:p w:rsidR="00EF66DE" w:rsidRPr="00076647" w:rsidRDefault="00EF66DE" w:rsidP="00EF66DE">
      <w:pPr>
        <w:pStyle w:val="ListParagraph"/>
        <w:jc w:val="both"/>
        <w:rPr>
          <w:rFonts w:ascii="Expert Sans Regular" w:hAnsi="Expert Sans Regular"/>
          <w:bCs/>
          <w:sz w:val="22"/>
          <w:szCs w:val="22"/>
        </w:rPr>
      </w:pPr>
    </w:p>
    <w:p w:rsidR="00325BB5" w:rsidRPr="00CE64B4" w:rsidRDefault="00325BB5" w:rsidP="00EF66DE">
      <w:pPr>
        <w:pStyle w:val="ListParagraph"/>
        <w:numPr>
          <w:ilvl w:val="0"/>
          <w:numId w:val="10"/>
        </w:numPr>
        <w:jc w:val="both"/>
        <w:rPr>
          <w:rFonts w:ascii="Expert Sans Regular" w:hAnsi="Expert Sans Regular"/>
          <w:bCs/>
          <w:sz w:val="22"/>
          <w:szCs w:val="22"/>
        </w:rPr>
      </w:pPr>
      <w:r w:rsidRPr="00CE64B4">
        <w:rPr>
          <w:rFonts w:ascii="Expert Sans Regular" w:hAnsi="Expert Sans Regular"/>
          <w:bCs/>
          <w:sz w:val="22"/>
          <w:szCs w:val="22"/>
        </w:rPr>
        <w:t>It is currently intended that the Absa brand will continue to be used for retail banking and card businesses in South Africa.</w:t>
      </w:r>
    </w:p>
    <w:p w:rsidR="00325BB5" w:rsidRPr="00CE64B4" w:rsidRDefault="00325BB5" w:rsidP="00EF66DE">
      <w:pPr>
        <w:pStyle w:val="ListParagraph"/>
        <w:jc w:val="both"/>
        <w:rPr>
          <w:rFonts w:ascii="Expert Sans Regular" w:hAnsi="Expert Sans Regular"/>
          <w:bCs/>
          <w:sz w:val="22"/>
          <w:szCs w:val="22"/>
        </w:rPr>
      </w:pPr>
    </w:p>
    <w:p w:rsidR="00325BB5" w:rsidRPr="00076647" w:rsidRDefault="00690388" w:rsidP="00EF66DE">
      <w:pPr>
        <w:pStyle w:val="ListParagraph"/>
        <w:numPr>
          <w:ilvl w:val="0"/>
          <w:numId w:val="3"/>
        </w:numPr>
        <w:jc w:val="both"/>
        <w:rPr>
          <w:rFonts w:ascii="Expert Sans Regular" w:hAnsi="Expert Sans Regular"/>
          <w:sz w:val="22"/>
          <w:szCs w:val="22"/>
          <w:lang w:eastAsia="en-US"/>
        </w:rPr>
      </w:pPr>
      <w:r w:rsidRPr="00690388">
        <w:rPr>
          <w:rFonts w:ascii="Expert Sans Regular" w:hAnsi="Expert Sans Regular"/>
          <w:bCs/>
          <w:sz w:val="22"/>
          <w:szCs w:val="22"/>
          <w:lang w:eastAsia="en-US"/>
        </w:rPr>
        <w:t xml:space="preserve">Each business within the Portfolio is </w:t>
      </w:r>
      <w:r w:rsidR="00325BB5" w:rsidRPr="00CE64B4">
        <w:rPr>
          <w:rFonts w:ascii="Expert Sans Regular" w:hAnsi="Expert Sans Regular"/>
          <w:bCs/>
          <w:sz w:val="22"/>
          <w:szCs w:val="22"/>
          <w:lang w:eastAsia="en-US"/>
        </w:rPr>
        <w:t>le</w:t>
      </w:r>
      <w:r w:rsidR="00325BB5" w:rsidRPr="00076647">
        <w:rPr>
          <w:rFonts w:ascii="Expert Sans Regular" w:hAnsi="Expert Sans Regular"/>
          <w:sz w:val="22"/>
          <w:szCs w:val="22"/>
          <w:lang w:eastAsia="en-US"/>
        </w:rPr>
        <w:t>d by an experienced management team and Board of Directors in country.</w:t>
      </w:r>
    </w:p>
    <w:p w:rsidR="00325BB5" w:rsidRPr="00076647" w:rsidRDefault="00325BB5" w:rsidP="00EF66DE">
      <w:pPr>
        <w:pStyle w:val="ListParagraph"/>
        <w:jc w:val="both"/>
        <w:rPr>
          <w:rFonts w:ascii="Expert Sans Regular" w:hAnsi="Expert Sans Regular"/>
          <w:sz w:val="22"/>
          <w:szCs w:val="22"/>
          <w:lang w:eastAsia="en-US"/>
        </w:rPr>
      </w:pPr>
    </w:p>
    <w:p w:rsidR="00325BB5" w:rsidRDefault="00325BB5" w:rsidP="00EF66DE">
      <w:pPr>
        <w:pStyle w:val="ListParagraph"/>
        <w:numPr>
          <w:ilvl w:val="0"/>
          <w:numId w:val="3"/>
        </w:numPr>
        <w:jc w:val="both"/>
        <w:rPr>
          <w:rFonts w:ascii="Expert Sans Regular" w:hAnsi="Expert Sans Regular"/>
          <w:sz w:val="22"/>
          <w:szCs w:val="22"/>
          <w:lang w:eastAsia="en-US"/>
        </w:rPr>
      </w:pPr>
      <w:r w:rsidRPr="00076647">
        <w:rPr>
          <w:rFonts w:ascii="Expert Sans Regular" w:hAnsi="Expert Sans Regular"/>
          <w:sz w:val="22"/>
          <w:szCs w:val="22"/>
          <w:lang w:eastAsia="en-US"/>
        </w:rPr>
        <w:t xml:space="preserve">The proposed combination is expected to complete in </w:t>
      </w:r>
      <w:r w:rsidR="005F2FB3">
        <w:rPr>
          <w:rFonts w:ascii="Expert Sans Regular" w:hAnsi="Expert Sans Regular"/>
          <w:sz w:val="22"/>
          <w:szCs w:val="22"/>
          <w:lang w:eastAsia="en-US"/>
        </w:rPr>
        <w:t>the first half of</w:t>
      </w:r>
      <w:r w:rsidR="005F2FB3" w:rsidRPr="00076647">
        <w:rPr>
          <w:rFonts w:ascii="Expert Sans Regular" w:hAnsi="Expert Sans Regular"/>
          <w:sz w:val="22"/>
          <w:szCs w:val="22"/>
          <w:lang w:eastAsia="en-US"/>
        </w:rPr>
        <w:t xml:space="preserve"> </w:t>
      </w:r>
      <w:r w:rsidRPr="00076647">
        <w:rPr>
          <w:rFonts w:ascii="Expert Sans Regular" w:hAnsi="Expert Sans Regular"/>
          <w:sz w:val="22"/>
          <w:szCs w:val="22"/>
          <w:lang w:eastAsia="en-US"/>
        </w:rPr>
        <w:t>2013, subject to fulfilment of the conditions precedent</w:t>
      </w:r>
      <w:r w:rsidR="00803280">
        <w:rPr>
          <w:rFonts w:ascii="Expert Sans Regular" w:hAnsi="Expert Sans Regular"/>
          <w:sz w:val="22"/>
          <w:szCs w:val="22"/>
          <w:lang w:eastAsia="en-US"/>
        </w:rPr>
        <w:t>, including regulatory approvals</w:t>
      </w:r>
      <w:r w:rsidR="007151CA">
        <w:rPr>
          <w:rFonts w:ascii="Expert Sans Regular" w:hAnsi="Expert Sans Regular"/>
          <w:sz w:val="22"/>
          <w:szCs w:val="22"/>
          <w:lang w:eastAsia="en-US"/>
        </w:rPr>
        <w:t xml:space="preserve"> </w:t>
      </w:r>
      <w:r w:rsidR="00634418">
        <w:rPr>
          <w:rFonts w:ascii="Expert Sans Regular" w:hAnsi="Expert Sans Regular"/>
          <w:sz w:val="22"/>
          <w:szCs w:val="22"/>
          <w:lang w:eastAsia="en-US"/>
        </w:rPr>
        <w:t>across</w:t>
      </w:r>
      <w:r w:rsidR="007151CA">
        <w:rPr>
          <w:rFonts w:ascii="Expert Sans Regular" w:hAnsi="Expert Sans Regular"/>
          <w:sz w:val="22"/>
          <w:szCs w:val="22"/>
          <w:lang w:eastAsia="en-US"/>
        </w:rPr>
        <w:t xml:space="preserve"> the affected jurisdictions</w:t>
      </w:r>
      <w:r w:rsidRPr="00076647">
        <w:rPr>
          <w:rFonts w:ascii="Expert Sans Regular" w:hAnsi="Expert Sans Regular"/>
          <w:sz w:val="22"/>
          <w:szCs w:val="22"/>
          <w:lang w:eastAsia="en-US"/>
        </w:rPr>
        <w:t>.</w:t>
      </w:r>
    </w:p>
    <w:p w:rsidR="00325BB5" w:rsidRDefault="00325BB5" w:rsidP="00EF66DE">
      <w:pPr>
        <w:pStyle w:val="ListParagraph"/>
        <w:ind w:left="0"/>
        <w:jc w:val="both"/>
        <w:rPr>
          <w:rFonts w:ascii="Expert Sans Regular" w:hAnsi="Expert Sans Regular"/>
          <w:sz w:val="22"/>
          <w:szCs w:val="22"/>
          <w:lang w:eastAsia="en-US"/>
        </w:rPr>
      </w:pPr>
    </w:p>
    <w:p w:rsidR="00C12859" w:rsidRPr="00C12859" w:rsidRDefault="0069463A" w:rsidP="00C12859">
      <w:pPr>
        <w:pStyle w:val="ListParagraph"/>
        <w:numPr>
          <w:ilvl w:val="0"/>
          <w:numId w:val="3"/>
        </w:numPr>
        <w:rPr>
          <w:rFonts w:ascii="Expert Sans Regular" w:hAnsi="Expert Sans Regular"/>
          <w:sz w:val="22"/>
          <w:szCs w:val="22"/>
          <w:lang w:eastAsia="en-US"/>
        </w:rPr>
      </w:pPr>
      <w:r w:rsidRPr="0069463A">
        <w:rPr>
          <w:rFonts w:ascii="Expert Sans Regular" w:hAnsi="Expert Sans Regular"/>
          <w:sz w:val="22"/>
          <w:szCs w:val="22"/>
          <w:lang w:eastAsia="en-US"/>
        </w:rPr>
        <w:t>The approval of the transaction by Absa shareholders, excluding B</w:t>
      </w:r>
      <w:r w:rsidR="00C12859">
        <w:rPr>
          <w:rFonts w:ascii="Expert Sans Regular" w:hAnsi="Expert Sans Regular"/>
          <w:sz w:val="22"/>
          <w:szCs w:val="22"/>
          <w:lang w:eastAsia="en-US"/>
        </w:rPr>
        <w:t>arclays, will also be required.</w:t>
      </w:r>
    </w:p>
    <w:p w:rsidR="00325BB5" w:rsidRPr="00076647" w:rsidRDefault="00325BB5" w:rsidP="00EF66DE">
      <w:pPr>
        <w:pStyle w:val="ListParagraph"/>
        <w:jc w:val="both"/>
        <w:rPr>
          <w:rFonts w:ascii="Expert Sans Regular" w:hAnsi="Expert Sans Regular"/>
          <w:bCs/>
          <w:sz w:val="22"/>
          <w:szCs w:val="22"/>
        </w:rPr>
      </w:pPr>
    </w:p>
    <w:p w:rsidR="00325BB5" w:rsidRPr="00076647" w:rsidRDefault="00325BB5" w:rsidP="00EF66DE">
      <w:pPr>
        <w:pStyle w:val="ListParagraph"/>
        <w:numPr>
          <w:ilvl w:val="0"/>
          <w:numId w:val="3"/>
        </w:numPr>
        <w:jc w:val="both"/>
        <w:rPr>
          <w:rFonts w:ascii="Expert Sans Regular" w:hAnsi="Expert Sans Regular"/>
          <w:bCs/>
          <w:sz w:val="22"/>
          <w:szCs w:val="22"/>
        </w:rPr>
      </w:pPr>
      <w:r w:rsidRPr="00076647">
        <w:rPr>
          <w:rFonts w:ascii="Expert Sans Regular" w:hAnsi="Expert Sans Regular"/>
          <w:bCs/>
          <w:sz w:val="22"/>
          <w:szCs w:val="22"/>
        </w:rPr>
        <w:t xml:space="preserve">The </w:t>
      </w:r>
      <w:r w:rsidR="004D6E9A">
        <w:rPr>
          <w:rFonts w:ascii="Expert Sans Regular" w:hAnsi="Expert Sans Regular"/>
          <w:bCs/>
          <w:sz w:val="22"/>
          <w:szCs w:val="22"/>
        </w:rPr>
        <w:t>i</w:t>
      </w:r>
      <w:r w:rsidR="004D6E9A" w:rsidRPr="00076647">
        <w:rPr>
          <w:rFonts w:ascii="Expert Sans Regular" w:hAnsi="Expert Sans Regular"/>
          <w:bCs/>
          <w:sz w:val="22"/>
          <w:szCs w:val="22"/>
        </w:rPr>
        <w:t xml:space="preserve">ndependent </w:t>
      </w:r>
      <w:r w:rsidR="004D6E9A">
        <w:rPr>
          <w:rFonts w:ascii="Expert Sans Regular" w:hAnsi="Expert Sans Regular"/>
          <w:bCs/>
          <w:sz w:val="22"/>
          <w:szCs w:val="22"/>
        </w:rPr>
        <w:t>d</w:t>
      </w:r>
      <w:r w:rsidR="004D6E9A" w:rsidRPr="00076647">
        <w:rPr>
          <w:rFonts w:ascii="Expert Sans Regular" w:hAnsi="Expert Sans Regular"/>
          <w:bCs/>
          <w:sz w:val="22"/>
          <w:szCs w:val="22"/>
        </w:rPr>
        <w:t xml:space="preserve">irectors </w:t>
      </w:r>
      <w:r w:rsidRPr="00076647">
        <w:rPr>
          <w:rFonts w:ascii="Expert Sans Regular" w:hAnsi="Expert Sans Regular"/>
          <w:bCs/>
          <w:sz w:val="22"/>
          <w:szCs w:val="22"/>
        </w:rPr>
        <w:t>of the Absa Board have unanimously approved the proposed transaction and a fairness opinion</w:t>
      </w:r>
      <w:r w:rsidR="00FD3FAD">
        <w:rPr>
          <w:rFonts w:ascii="Expert Sans Regular" w:hAnsi="Expert Sans Regular"/>
          <w:bCs/>
          <w:sz w:val="22"/>
          <w:szCs w:val="22"/>
        </w:rPr>
        <w:t xml:space="preserve"> has been provided</w:t>
      </w:r>
      <w:r w:rsidRPr="00076647">
        <w:rPr>
          <w:rFonts w:ascii="Expert Sans Regular" w:hAnsi="Expert Sans Regular"/>
          <w:bCs/>
          <w:sz w:val="22"/>
          <w:szCs w:val="22"/>
        </w:rPr>
        <w:t>.</w:t>
      </w:r>
    </w:p>
    <w:p w:rsidR="00325BB5" w:rsidRPr="00076647" w:rsidRDefault="00325BB5" w:rsidP="00EF66DE">
      <w:pPr>
        <w:pStyle w:val="ListParagraph"/>
        <w:jc w:val="both"/>
        <w:rPr>
          <w:rFonts w:ascii="Expert Sans Regular" w:hAnsi="Expert Sans Regular"/>
          <w:bCs/>
          <w:sz w:val="22"/>
          <w:szCs w:val="22"/>
        </w:rPr>
      </w:pPr>
    </w:p>
    <w:p w:rsidR="00325BB5" w:rsidRPr="00076647" w:rsidRDefault="00325BB5" w:rsidP="00EF66DE">
      <w:pPr>
        <w:pStyle w:val="ListParagraph"/>
        <w:numPr>
          <w:ilvl w:val="0"/>
          <w:numId w:val="3"/>
        </w:numPr>
        <w:jc w:val="both"/>
        <w:rPr>
          <w:rFonts w:ascii="Expert Sans Regular" w:hAnsi="Expert Sans Regular"/>
          <w:bCs/>
          <w:sz w:val="22"/>
          <w:szCs w:val="22"/>
        </w:rPr>
      </w:pPr>
      <w:r w:rsidRPr="00076647">
        <w:rPr>
          <w:rFonts w:ascii="Expert Sans Regular" w:hAnsi="Expert Sans Regular"/>
          <w:bCs/>
          <w:sz w:val="22"/>
          <w:szCs w:val="22"/>
        </w:rPr>
        <w:t>It is a condition precedent to the proposed combination that</w:t>
      </w:r>
      <w:r w:rsidR="00634418">
        <w:rPr>
          <w:rFonts w:ascii="Expert Sans Regular" w:hAnsi="Expert Sans Regular"/>
          <w:bCs/>
          <w:sz w:val="22"/>
          <w:szCs w:val="22"/>
        </w:rPr>
        <w:t>, subject to the applicable regulatory approvals,</w:t>
      </w:r>
      <w:r w:rsidRPr="00076647">
        <w:rPr>
          <w:rFonts w:ascii="Expert Sans Regular" w:hAnsi="Expert Sans Regular"/>
          <w:bCs/>
          <w:sz w:val="22"/>
          <w:szCs w:val="22"/>
        </w:rPr>
        <w:t xml:space="preserve"> at least the operations in Botswana, Ghana, Kenya and Mauritius, as well as </w:t>
      </w:r>
      <w:r w:rsidR="00AD4347">
        <w:rPr>
          <w:rFonts w:ascii="Expert Sans Regular" w:hAnsi="Expert Sans Regular"/>
          <w:bCs/>
          <w:sz w:val="22"/>
          <w:szCs w:val="22"/>
        </w:rPr>
        <w:t>the Barclays Africa Regional Office</w:t>
      </w:r>
      <w:r w:rsidRPr="00076647">
        <w:rPr>
          <w:rFonts w:ascii="Expert Sans Regular" w:hAnsi="Expert Sans Regular"/>
          <w:bCs/>
          <w:sz w:val="22"/>
          <w:szCs w:val="22"/>
        </w:rPr>
        <w:t xml:space="preserve">, are transferred to Barclays Africa Limited </w:t>
      </w:r>
      <w:r w:rsidR="00AD4347">
        <w:rPr>
          <w:rFonts w:ascii="Expert Sans Regular" w:hAnsi="Expert Sans Regular"/>
          <w:bCs/>
          <w:sz w:val="22"/>
          <w:szCs w:val="22"/>
        </w:rPr>
        <w:t>by</w:t>
      </w:r>
      <w:r w:rsidR="00AD4347" w:rsidRPr="00076647">
        <w:rPr>
          <w:rFonts w:ascii="Expert Sans Regular" w:hAnsi="Expert Sans Regular"/>
          <w:bCs/>
          <w:sz w:val="22"/>
          <w:szCs w:val="22"/>
        </w:rPr>
        <w:t xml:space="preserve"> </w:t>
      </w:r>
      <w:r w:rsidRPr="00076647">
        <w:rPr>
          <w:rFonts w:ascii="Expert Sans Regular" w:hAnsi="Expert Sans Regular"/>
          <w:bCs/>
          <w:sz w:val="22"/>
          <w:szCs w:val="22"/>
        </w:rPr>
        <w:t xml:space="preserve">the first closing date. The remaining companies in the </w:t>
      </w:r>
      <w:r w:rsidRPr="00076647">
        <w:rPr>
          <w:rFonts w:ascii="Expert Sans Regular" w:hAnsi="Expert Sans Regular"/>
          <w:bCs/>
          <w:sz w:val="22"/>
          <w:szCs w:val="22"/>
        </w:rPr>
        <w:lastRenderedPageBreak/>
        <w:t>Portfolio that have not transferred to Barclays Africa Limited by such closing date will become the subject of subsequent closings.</w:t>
      </w:r>
    </w:p>
    <w:p w:rsidR="00325BB5" w:rsidRPr="00076647" w:rsidRDefault="00325BB5" w:rsidP="00EF66DE">
      <w:pPr>
        <w:pStyle w:val="ListParagraph"/>
        <w:jc w:val="both"/>
        <w:rPr>
          <w:rFonts w:ascii="Expert Sans Regular" w:hAnsi="Expert Sans Regular"/>
          <w:bCs/>
          <w:sz w:val="22"/>
          <w:szCs w:val="22"/>
        </w:rPr>
      </w:pPr>
    </w:p>
    <w:p w:rsidR="00325BB5" w:rsidRPr="00076647" w:rsidRDefault="00325BB5" w:rsidP="00EF66DE">
      <w:pPr>
        <w:pStyle w:val="ListParagraph"/>
        <w:ind w:left="0"/>
        <w:jc w:val="both"/>
        <w:rPr>
          <w:rFonts w:ascii="Expert Sans Regular" w:hAnsi="Expert Sans Regular"/>
          <w:b/>
          <w:bCs/>
          <w:sz w:val="22"/>
          <w:szCs w:val="22"/>
          <w:lang w:eastAsia="en-US"/>
        </w:rPr>
      </w:pPr>
      <w:r w:rsidRPr="00076647">
        <w:rPr>
          <w:rFonts w:ascii="Expert Sans Regular" w:hAnsi="Expert Sans Regular"/>
          <w:b/>
          <w:bCs/>
          <w:sz w:val="22"/>
          <w:szCs w:val="22"/>
          <w:lang w:eastAsia="en-US"/>
        </w:rPr>
        <w:t xml:space="preserve">Rationale for the proposed strategic combination: </w:t>
      </w:r>
    </w:p>
    <w:p w:rsidR="00325BB5" w:rsidRPr="00076647" w:rsidRDefault="00325BB5" w:rsidP="00EF66DE">
      <w:pPr>
        <w:pStyle w:val="ListParagraph"/>
        <w:ind w:left="0"/>
        <w:jc w:val="both"/>
        <w:rPr>
          <w:rFonts w:ascii="Expert Sans Regular" w:hAnsi="Expert Sans Regular"/>
          <w:b/>
          <w:bCs/>
          <w:sz w:val="22"/>
          <w:szCs w:val="22"/>
          <w:lang w:eastAsia="en-US"/>
        </w:rPr>
      </w:pPr>
    </w:p>
    <w:p w:rsidR="00325BB5" w:rsidRPr="00076647" w:rsidRDefault="00325BB5" w:rsidP="00EF66DE">
      <w:pPr>
        <w:pStyle w:val="ListParagraph"/>
        <w:ind w:left="0"/>
        <w:jc w:val="both"/>
        <w:rPr>
          <w:rFonts w:ascii="Expert Sans Regular" w:hAnsi="Expert Sans Regular"/>
          <w:sz w:val="22"/>
          <w:szCs w:val="22"/>
          <w:lang w:eastAsia="en-US"/>
        </w:rPr>
      </w:pPr>
      <w:r w:rsidRPr="00076647">
        <w:rPr>
          <w:rFonts w:ascii="Expert Sans Regular" w:hAnsi="Expert Sans Regular"/>
          <w:bCs/>
          <w:sz w:val="22"/>
          <w:szCs w:val="22"/>
          <w:lang w:eastAsia="en-US"/>
        </w:rPr>
        <w:t xml:space="preserve">The proposed combination follows on from the steps taken </w:t>
      </w:r>
      <w:r w:rsidRPr="00076647">
        <w:rPr>
          <w:rFonts w:ascii="Expert Sans Regular" w:hAnsi="Expert Sans Regular"/>
          <w:sz w:val="22"/>
          <w:szCs w:val="22"/>
          <w:lang w:eastAsia="en-US"/>
        </w:rPr>
        <w:t xml:space="preserve">by Absa and Barclays in 2011 to integrate their African businesses from an operational and management point of view. This initially involved </w:t>
      </w:r>
      <w:r w:rsidRPr="00076647">
        <w:rPr>
          <w:rFonts w:ascii="Expert Sans Regular" w:hAnsi="Expert Sans Regular"/>
          <w:sz w:val="22"/>
          <w:szCs w:val="22"/>
          <w:lang w:val="en-US" w:eastAsia="en-US"/>
        </w:rPr>
        <w:t xml:space="preserve">consolidating the regional offices for Absa Africa and Barclays Africa in </w:t>
      </w:r>
      <w:smartTag w:uri="urn:schemas-microsoft-com:office:smarttags" w:element="country-region">
        <w:r w:rsidRPr="00076647">
          <w:rPr>
            <w:rFonts w:ascii="Expert Sans Regular" w:hAnsi="Expert Sans Regular"/>
            <w:sz w:val="22"/>
            <w:szCs w:val="22"/>
            <w:lang w:val="en-US" w:eastAsia="en-US"/>
          </w:rPr>
          <w:t>Johannesburg</w:t>
        </w:r>
      </w:smartTag>
      <w:r w:rsidRPr="00076647">
        <w:rPr>
          <w:rFonts w:ascii="Expert Sans Regular" w:hAnsi="Expert Sans Regular"/>
          <w:sz w:val="22"/>
          <w:szCs w:val="22"/>
          <w:lang w:val="en-US" w:eastAsia="en-US"/>
        </w:rPr>
        <w:t xml:space="preserve"> and establishing a combined </w:t>
      </w:r>
      <w:smartTag w:uri="urn:schemas-microsoft-com:office:smarttags" w:element="country-region">
        <w:r w:rsidRPr="00076647">
          <w:rPr>
            <w:rFonts w:ascii="Expert Sans Regular" w:hAnsi="Expert Sans Regular"/>
            <w:sz w:val="22"/>
            <w:szCs w:val="22"/>
            <w:lang w:val="en-US" w:eastAsia="en-US"/>
          </w:rPr>
          <w:t>Africa</w:t>
        </w:r>
      </w:smartTag>
      <w:r w:rsidRPr="00076647">
        <w:rPr>
          <w:rFonts w:ascii="Expert Sans Regular" w:hAnsi="Expert Sans Regular"/>
          <w:sz w:val="22"/>
          <w:szCs w:val="22"/>
          <w:lang w:val="en-US" w:eastAsia="en-US"/>
        </w:rPr>
        <w:t xml:space="preserve"> management oversight team, as well as </w:t>
      </w:r>
      <w:r w:rsidRPr="00076647">
        <w:rPr>
          <w:rFonts w:ascii="Expert Sans Regular" w:hAnsi="Expert Sans Regular"/>
          <w:sz w:val="22"/>
          <w:szCs w:val="22"/>
          <w:lang w:eastAsia="en-US"/>
        </w:rPr>
        <w:t xml:space="preserve">introducing a global product strategy across the continent. </w:t>
      </w:r>
      <w:r w:rsidRPr="00076647">
        <w:rPr>
          <w:rFonts w:ascii="Expert Sans Regular" w:hAnsi="Expert Sans Regular" w:cs="Arial"/>
          <w:bCs/>
          <w:sz w:val="22"/>
          <w:szCs w:val="22"/>
          <w:lang w:eastAsia="en-US"/>
        </w:rPr>
        <w:t>The proposed combination:</w:t>
      </w:r>
    </w:p>
    <w:p w:rsidR="00325BB5" w:rsidRPr="00076647" w:rsidRDefault="00325BB5" w:rsidP="00EF66DE">
      <w:pPr>
        <w:pStyle w:val="ListParagraph"/>
        <w:ind w:left="0"/>
        <w:jc w:val="both"/>
        <w:rPr>
          <w:rFonts w:ascii="Expert Sans Regular" w:hAnsi="Expert Sans Regular"/>
          <w:sz w:val="22"/>
          <w:szCs w:val="22"/>
          <w:lang w:eastAsia="en-US"/>
        </w:rPr>
      </w:pPr>
    </w:p>
    <w:p w:rsidR="00325BB5" w:rsidRPr="00076647" w:rsidRDefault="00325BB5" w:rsidP="00EF66DE">
      <w:pPr>
        <w:pStyle w:val="ListParagraph"/>
        <w:numPr>
          <w:ilvl w:val="0"/>
          <w:numId w:val="4"/>
        </w:numPr>
        <w:jc w:val="both"/>
        <w:rPr>
          <w:rFonts w:ascii="Expert Sans Regular" w:hAnsi="Expert Sans Regular" w:cs="Arial"/>
          <w:b/>
          <w:bCs/>
          <w:sz w:val="22"/>
          <w:szCs w:val="22"/>
          <w:lang w:eastAsia="en-US"/>
        </w:rPr>
      </w:pPr>
      <w:r w:rsidRPr="00076647">
        <w:rPr>
          <w:rFonts w:ascii="Expert Sans Regular" w:hAnsi="Expert Sans Regular" w:cs="Arial"/>
          <w:bCs/>
          <w:sz w:val="22"/>
          <w:szCs w:val="22"/>
          <w:lang w:eastAsia="en-US"/>
        </w:rPr>
        <w:t xml:space="preserve">is an important step in realising the shared goal to become the ‘Go-To’ bank in Africa and is significant in aligning the integrated operating model across sub-Saharan </w:t>
      </w:r>
      <w:smartTag w:uri="urn:schemas-microsoft-com:office:smarttags" w:element="country-region">
        <w:r w:rsidRPr="00076647">
          <w:rPr>
            <w:rFonts w:ascii="Expert Sans Regular" w:hAnsi="Expert Sans Regular" w:cs="Arial"/>
            <w:bCs/>
            <w:sz w:val="22"/>
            <w:szCs w:val="22"/>
            <w:lang w:eastAsia="en-US"/>
          </w:rPr>
          <w:t>Africa</w:t>
        </w:r>
      </w:smartTag>
      <w:r w:rsidRPr="00076647">
        <w:rPr>
          <w:rFonts w:ascii="Expert Sans Regular" w:hAnsi="Expert Sans Regular" w:cs="Arial"/>
          <w:bCs/>
          <w:sz w:val="22"/>
          <w:szCs w:val="22"/>
          <w:lang w:eastAsia="en-US"/>
        </w:rPr>
        <w:t>;</w:t>
      </w:r>
    </w:p>
    <w:p w:rsidR="00EF66DE" w:rsidRPr="00EF66DE" w:rsidRDefault="00EF66DE" w:rsidP="00EF66DE">
      <w:pPr>
        <w:pStyle w:val="ListParagraph"/>
        <w:jc w:val="both"/>
        <w:rPr>
          <w:rFonts w:ascii="Expert Sans Regular" w:hAnsi="Expert Sans Regular" w:cs="Arial"/>
          <w:b/>
          <w:bCs/>
          <w:sz w:val="22"/>
          <w:szCs w:val="22"/>
          <w:lang w:eastAsia="en-US"/>
        </w:rPr>
      </w:pPr>
    </w:p>
    <w:p w:rsidR="00325BB5" w:rsidRPr="00076647" w:rsidRDefault="00325BB5" w:rsidP="00EF66DE">
      <w:pPr>
        <w:pStyle w:val="ListParagraph"/>
        <w:numPr>
          <w:ilvl w:val="0"/>
          <w:numId w:val="4"/>
        </w:numPr>
        <w:jc w:val="both"/>
        <w:rPr>
          <w:rFonts w:ascii="Expert Sans Regular" w:hAnsi="Expert Sans Regular" w:cs="Arial"/>
          <w:b/>
          <w:bCs/>
          <w:sz w:val="22"/>
          <w:szCs w:val="22"/>
          <w:lang w:eastAsia="en-US"/>
        </w:rPr>
      </w:pPr>
      <w:r w:rsidRPr="00076647">
        <w:rPr>
          <w:rFonts w:ascii="Expert Sans Regular" w:hAnsi="Expert Sans Regular" w:cs="Arial"/>
          <w:bCs/>
          <w:sz w:val="22"/>
          <w:szCs w:val="22"/>
          <w:lang w:eastAsia="en-US"/>
        </w:rPr>
        <w:t>will accelerate plans to expand corporate banking, market activities and bancassurance in Africa;</w:t>
      </w:r>
    </w:p>
    <w:p w:rsidR="00EF66DE" w:rsidRPr="00EF66DE" w:rsidRDefault="00EF66DE" w:rsidP="00EF66DE">
      <w:pPr>
        <w:pStyle w:val="ListParagraph"/>
        <w:jc w:val="both"/>
        <w:rPr>
          <w:rFonts w:ascii="Expert Sans Regular" w:hAnsi="Expert Sans Regular" w:cs="Arial"/>
          <w:b/>
          <w:bCs/>
          <w:sz w:val="22"/>
          <w:szCs w:val="22"/>
          <w:lang w:eastAsia="en-US"/>
        </w:rPr>
      </w:pPr>
    </w:p>
    <w:p w:rsidR="00325BB5" w:rsidRPr="00076647" w:rsidRDefault="00325BB5" w:rsidP="00EF66DE">
      <w:pPr>
        <w:pStyle w:val="ListParagraph"/>
        <w:numPr>
          <w:ilvl w:val="0"/>
          <w:numId w:val="4"/>
        </w:numPr>
        <w:jc w:val="both"/>
        <w:rPr>
          <w:rFonts w:ascii="Expert Sans Regular" w:hAnsi="Expert Sans Regular" w:cs="Arial"/>
          <w:b/>
          <w:bCs/>
          <w:sz w:val="22"/>
          <w:szCs w:val="22"/>
          <w:lang w:eastAsia="en-US"/>
        </w:rPr>
      </w:pPr>
      <w:r w:rsidRPr="00076647">
        <w:rPr>
          <w:rFonts w:ascii="Expert Sans Regular" w:hAnsi="Expert Sans Regular" w:cs="Arial"/>
          <w:bCs/>
          <w:sz w:val="22"/>
          <w:szCs w:val="22"/>
          <w:lang w:eastAsia="en-US"/>
        </w:rPr>
        <w:t xml:space="preserve">will create the largest bank in Africa by number of branches, with a network of </w:t>
      </w:r>
      <w:r w:rsidR="00265977">
        <w:rPr>
          <w:rFonts w:ascii="Expert Sans Regular" w:hAnsi="Expert Sans Regular" w:cs="Arial"/>
          <w:bCs/>
          <w:sz w:val="22"/>
          <w:szCs w:val="22"/>
          <w:lang w:eastAsia="en-US"/>
        </w:rPr>
        <w:t>more than 1,300 outlets</w:t>
      </w:r>
      <w:r w:rsidRPr="00076647">
        <w:rPr>
          <w:rFonts w:ascii="Expert Sans Regular" w:hAnsi="Expert Sans Regular" w:cs="Arial"/>
          <w:bCs/>
          <w:sz w:val="22"/>
          <w:szCs w:val="22"/>
          <w:lang w:eastAsia="en-US"/>
        </w:rPr>
        <w:t xml:space="preserve"> across ten countries;</w:t>
      </w:r>
    </w:p>
    <w:p w:rsidR="00EF66DE" w:rsidRPr="00EF66DE" w:rsidRDefault="00EF66DE" w:rsidP="00EF66DE">
      <w:pPr>
        <w:pStyle w:val="ListParagraph"/>
        <w:jc w:val="both"/>
        <w:rPr>
          <w:rFonts w:ascii="Expert Sans Regular" w:hAnsi="Expert Sans Regular" w:cs="Arial"/>
          <w:b/>
          <w:bCs/>
          <w:sz w:val="22"/>
          <w:szCs w:val="22"/>
          <w:lang w:eastAsia="en-US"/>
        </w:rPr>
      </w:pPr>
    </w:p>
    <w:p w:rsidR="00325BB5" w:rsidRPr="00076647" w:rsidRDefault="00325BB5" w:rsidP="00EF66DE">
      <w:pPr>
        <w:pStyle w:val="ListParagraph"/>
        <w:numPr>
          <w:ilvl w:val="0"/>
          <w:numId w:val="4"/>
        </w:numPr>
        <w:jc w:val="both"/>
        <w:rPr>
          <w:rFonts w:ascii="Expert Sans Regular" w:hAnsi="Expert Sans Regular" w:cs="Arial"/>
          <w:b/>
          <w:bCs/>
          <w:sz w:val="22"/>
          <w:szCs w:val="22"/>
          <w:lang w:eastAsia="en-US"/>
        </w:rPr>
      </w:pPr>
      <w:r w:rsidRPr="00076647">
        <w:rPr>
          <w:rFonts w:ascii="Expert Sans Regular" w:hAnsi="Expert Sans Regular" w:cs="Arial"/>
          <w:bCs/>
          <w:sz w:val="22"/>
          <w:szCs w:val="22"/>
          <w:lang w:eastAsia="en-US"/>
        </w:rPr>
        <w:t>unlocks access to pan-African growth for Absa shareholders through exposure to a sub-Saharan African financial services group across eight countries;</w:t>
      </w:r>
    </w:p>
    <w:p w:rsidR="00EF66DE" w:rsidRDefault="00EF66DE" w:rsidP="00EF66DE">
      <w:pPr>
        <w:pStyle w:val="ListParagraph"/>
        <w:jc w:val="both"/>
        <w:rPr>
          <w:rFonts w:ascii="Expert Sans Regular" w:hAnsi="Expert Sans Regular" w:cs="Arial"/>
          <w:bCs/>
          <w:sz w:val="22"/>
          <w:szCs w:val="22"/>
          <w:lang w:eastAsia="en-US"/>
        </w:rPr>
      </w:pPr>
    </w:p>
    <w:p w:rsidR="00325BB5" w:rsidRPr="00076647" w:rsidRDefault="00325BB5" w:rsidP="00EF66DE">
      <w:pPr>
        <w:pStyle w:val="ListParagraph"/>
        <w:numPr>
          <w:ilvl w:val="0"/>
          <w:numId w:val="4"/>
        </w:numPr>
        <w:jc w:val="both"/>
        <w:rPr>
          <w:rFonts w:ascii="Expert Sans Regular" w:hAnsi="Expert Sans Regular" w:cs="Arial"/>
          <w:bCs/>
          <w:sz w:val="22"/>
          <w:szCs w:val="22"/>
          <w:lang w:eastAsia="en-US"/>
        </w:rPr>
      </w:pPr>
      <w:r w:rsidRPr="00076647">
        <w:rPr>
          <w:rFonts w:ascii="Expert Sans Regular" w:hAnsi="Expert Sans Regular" w:cs="Arial"/>
          <w:bCs/>
          <w:sz w:val="22"/>
          <w:szCs w:val="22"/>
          <w:lang w:eastAsia="en-US"/>
        </w:rPr>
        <w:t>will also provide benefits to the individual African operations through leveraging strong product capabilities across the expanded group, as well as facilitating the sharing of expertise and development of skills across the businesses;</w:t>
      </w:r>
    </w:p>
    <w:p w:rsidR="00EF66DE" w:rsidRPr="00EF66DE" w:rsidRDefault="00EF66DE" w:rsidP="00EF66DE">
      <w:pPr>
        <w:pStyle w:val="ListParagraph"/>
        <w:jc w:val="both"/>
        <w:rPr>
          <w:rFonts w:ascii="Expert Sans Regular" w:hAnsi="Expert Sans Regular" w:cs="Arial"/>
          <w:b/>
          <w:bCs/>
          <w:sz w:val="22"/>
          <w:szCs w:val="22"/>
          <w:lang w:eastAsia="en-US"/>
        </w:rPr>
      </w:pPr>
    </w:p>
    <w:p w:rsidR="00325BB5" w:rsidRPr="00076647" w:rsidRDefault="00325BB5" w:rsidP="00EF66DE">
      <w:pPr>
        <w:pStyle w:val="ListParagraph"/>
        <w:numPr>
          <w:ilvl w:val="0"/>
          <w:numId w:val="4"/>
        </w:numPr>
        <w:jc w:val="both"/>
        <w:rPr>
          <w:rFonts w:ascii="Expert Sans Regular" w:hAnsi="Expert Sans Regular" w:cs="Arial"/>
          <w:b/>
          <w:bCs/>
          <w:sz w:val="22"/>
          <w:szCs w:val="22"/>
          <w:lang w:eastAsia="en-US"/>
        </w:rPr>
      </w:pPr>
      <w:r w:rsidRPr="00076647">
        <w:rPr>
          <w:rFonts w:ascii="Expert Sans Regular" w:hAnsi="Expert Sans Regular" w:cs="Arial"/>
          <w:bCs/>
          <w:sz w:val="22"/>
          <w:szCs w:val="22"/>
          <w:lang w:eastAsia="en-US"/>
        </w:rPr>
        <w:t>will diversify Absa’s earnings on a geographic basis;</w:t>
      </w:r>
    </w:p>
    <w:p w:rsidR="00EF66DE" w:rsidRPr="00EF66DE" w:rsidRDefault="00EF66DE" w:rsidP="00EF66DE">
      <w:pPr>
        <w:pStyle w:val="ListParagraph"/>
        <w:jc w:val="both"/>
        <w:rPr>
          <w:rFonts w:ascii="Expert Sans Regular" w:hAnsi="Expert Sans Regular" w:cs="Arial"/>
          <w:b/>
          <w:bCs/>
          <w:sz w:val="22"/>
          <w:szCs w:val="22"/>
          <w:lang w:eastAsia="en-US"/>
        </w:rPr>
      </w:pPr>
    </w:p>
    <w:p w:rsidR="00325BB5" w:rsidRPr="00076647" w:rsidRDefault="00325BB5" w:rsidP="00EF66DE">
      <w:pPr>
        <w:pStyle w:val="ListParagraph"/>
        <w:numPr>
          <w:ilvl w:val="0"/>
          <w:numId w:val="4"/>
        </w:numPr>
        <w:jc w:val="both"/>
        <w:rPr>
          <w:rFonts w:ascii="Expert Sans Regular" w:hAnsi="Expert Sans Regular" w:cs="Arial"/>
          <w:b/>
          <w:bCs/>
          <w:sz w:val="22"/>
          <w:szCs w:val="22"/>
          <w:lang w:eastAsia="en-US"/>
        </w:rPr>
      </w:pPr>
      <w:r w:rsidRPr="00076647">
        <w:rPr>
          <w:rFonts w:ascii="Expert Sans Regular" w:hAnsi="Expert Sans Regular" w:cs="Arial"/>
          <w:bCs/>
          <w:sz w:val="22"/>
          <w:szCs w:val="22"/>
          <w:lang w:eastAsia="en-US"/>
        </w:rPr>
        <w:t>will lead to enhanced business opportunities, improved offerings to customers, exciting career opportunities for employees and long-term value for stakeholders.</w:t>
      </w:r>
    </w:p>
    <w:p w:rsidR="00325BB5" w:rsidRPr="00076647" w:rsidRDefault="00325BB5" w:rsidP="00EF66DE">
      <w:pPr>
        <w:pStyle w:val="ListParagraph"/>
        <w:jc w:val="both"/>
        <w:rPr>
          <w:rFonts w:ascii="Expert Sans Regular" w:hAnsi="Expert Sans Regular"/>
          <w:sz w:val="22"/>
          <w:szCs w:val="22"/>
          <w:lang w:eastAsia="en-US"/>
        </w:rPr>
      </w:pPr>
    </w:p>
    <w:p w:rsidR="00325BB5" w:rsidRPr="00076647" w:rsidRDefault="00325BB5" w:rsidP="00EF66DE">
      <w:pPr>
        <w:jc w:val="both"/>
        <w:rPr>
          <w:rFonts w:ascii="Expert Sans Regular" w:hAnsi="Expert Sans Regular"/>
          <w:bCs/>
          <w:sz w:val="22"/>
          <w:szCs w:val="22"/>
        </w:rPr>
      </w:pPr>
      <w:r w:rsidRPr="00076647">
        <w:rPr>
          <w:rFonts w:ascii="Expert Sans Regular" w:hAnsi="Expert Sans Regular"/>
          <w:bCs/>
          <w:sz w:val="22"/>
          <w:szCs w:val="22"/>
        </w:rPr>
        <w:t xml:space="preserve">Commenting on the rationale and benefits of the transaction, Antony Jenkins, Barclays Chief Executive, said: </w:t>
      </w:r>
      <w:r w:rsidRPr="004E6606">
        <w:rPr>
          <w:rFonts w:ascii="Expert Sans Regular" w:hAnsi="Expert Sans Regular"/>
          <w:bCs/>
          <w:sz w:val="22"/>
          <w:szCs w:val="22"/>
        </w:rPr>
        <w:t xml:space="preserve">“Bringing together Barclays Africa with Absa is an important step in furthering our ‘One Bank in </w:t>
      </w:r>
      <w:smartTag w:uri="urn:schemas-microsoft-com:office:smarttags" w:element="country-region">
        <w:r w:rsidRPr="004E6606">
          <w:rPr>
            <w:rFonts w:ascii="Expert Sans Regular" w:hAnsi="Expert Sans Regular"/>
            <w:bCs/>
            <w:sz w:val="22"/>
            <w:szCs w:val="22"/>
          </w:rPr>
          <w:t>Africa</w:t>
        </w:r>
      </w:smartTag>
      <w:r w:rsidRPr="004E6606">
        <w:rPr>
          <w:rFonts w:ascii="Expert Sans Regular" w:hAnsi="Expert Sans Regular"/>
          <w:bCs/>
          <w:sz w:val="22"/>
          <w:szCs w:val="22"/>
        </w:rPr>
        <w:t xml:space="preserve">’ strategy and the goal to become the ‘Go-To’ bank across the continent. This transaction will give us a platform from which we can further grow our </w:t>
      </w:r>
      <w:smartTag w:uri="urn:schemas-microsoft-com:office:smarttags" w:element="country-region">
        <w:r w:rsidRPr="004E6606">
          <w:rPr>
            <w:rFonts w:ascii="Expert Sans Regular" w:hAnsi="Expert Sans Regular"/>
            <w:bCs/>
            <w:sz w:val="22"/>
            <w:szCs w:val="22"/>
          </w:rPr>
          <w:lastRenderedPageBreak/>
          <w:t>Africa</w:t>
        </w:r>
      </w:smartTag>
      <w:r w:rsidRPr="004E6606">
        <w:rPr>
          <w:rFonts w:ascii="Expert Sans Regular" w:hAnsi="Expert Sans Regular"/>
          <w:bCs/>
          <w:sz w:val="22"/>
          <w:szCs w:val="22"/>
        </w:rPr>
        <w:t xml:space="preserve"> business to the benefit of customers, colleagues, shareholders and the communities in which we operate.”</w:t>
      </w:r>
    </w:p>
    <w:p w:rsidR="00325BB5" w:rsidRPr="00076647" w:rsidRDefault="00325BB5" w:rsidP="00EF66DE">
      <w:pPr>
        <w:jc w:val="both"/>
        <w:rPr>
          <w:rFonts w:ascii="Expert Sans Regular" w:hAnsi="Expert Sans Regular"/>
          <w:bCs/>
          <w:sz w:val="22"/>
          <w:szCs w:val="22"/>
        </w:rPr>
      </w:pPr>
    </w:p>
    <w:p w:rsidR="00325BB5" w:rsidRPr="00076647" w:rsidRDefault="00325BB5" w:rsidP="00EF66DE">
      <w:pPr>
        <w:jc w:val="both"/>
        <w:rPr>
          <w:rFonts w:ascii="Expert Sans Regular" w:hAnsi="Expert Sans Regular"/>
          <w:bCs/>
          <w:sz w:val="22"/>
          <w:szCs w:val="22"/>
        </w:rPr>
      </w:pPr>
      <w:r w:rsidRPr="00076647">
        <w:rPr>
          <w:rFonts w:ascii="Expert Sans Regular" w:hAnsi="Expert Sans Regular"/>
          <w:bCs/>
          <w:sz w:val="22"/>
          <w:szCs w:val="22"/>
        </w:rPr>
        <w:t xml:space="preserve">Maria Ramos, Chief Executive of Absa Group and Barclays Africa, said: “This is a compelling and unique opportunity for us to further our ‘One Bank in </w:t>
      </w:r>
      <w:smartTag w:uri="urn:schemas-microsoft-com:office:smarttags" w:element="country-region">
        <w:r w:rsidRPr="00076647">
          <w:rPr>
            <w:rFonts w:ascii="Expert Sans Regular" w:hAnsi="Expert Sans Regular"/>
            <w:bCs/>
            <w:sz w:val="22"/>
            <w:szCs w:val="22"/>
          </w:rPr>
          <w:t>Africa</w:t>
        </w:r>
      </w:smartTag>
      <w:r w:rsidRPr="00076647">
        <w:rPr>
          <w:rFonts w:ascii="Expert Sans Regular" w:hAnsi="Expert Sans Regular"/>
          <w:bCs/>
          <w:sz w:val="22"/>
          <w:szCs w:val="22"/>
        </w:rPr>
        <w:t>’ ambitions by combining with a leading sub-Saharan African banking franchise. We are tremendously excited by the opportunities for growth across the continent and the geographically diversified earnings potential that a combined business would deliver.”</w:t>
      </w:r>
    </w:p>
    <w:p w:rsidR="00325BB5" w:rsidRPr="00076647" w:rsidRDefault="00325BB5" w:rsidP="00EF66DE">
      <w:pPr>
        <w:jc w:val="both"/>
        <w:rPr>
          <w:rFonts w:ascii="Expert Sans Regular" w:hAnsi="Expert Sans Regular"/>
          <w:bCs/>
          <w:sz w:val="22"/>
          <w:szCs w:val="22"/>
        </w:rPr>
      </w:pPr>
    </w:p>
    <w:p w:rsidR="00325BB5" w:rsidRDefault="00325BB5" w:rsidP="00EF66DE">
      <w:pPr>
        <w:jc w:val="both"/>
        <w:rPr>
          <w:rFonts w:ascii="Expert Sans Regular" w:hAnsi="Expert Sans Regular"/>
          <w:sz w:val="22"/>
          <w:szCs w:val="22"/>
        </w:rPr>
      </w:pPr>
      <w:r w:rsidRPr="00076647">
        <w:rPr>
          <w:rFonts w:ascii="Expert Sans Regular" w:hAnsi="Expert Sans Regular"/>
          <w:sz w:val="22"/>
          <w:szCs w:val="22"/>
        </w:rPr>
        <w:t>For details on the terms of the proposed combination, the conditions precedent, the financial effects, and important dates and time</w:t>
      </w:r>
      <w:r w:rsidR="00A35B9D">
        <w:rPr>
          <w:rFonts w:ascii="Expert Sans Regular" w:hAnsi="Expert Sans Regular"/>
          <w:sz w:val="22"/>
          <w:szCs w:val="22"/>
        </w:rPr>
        <w:t xml:space="preserve">s, please refer to the </w:t>
      </w:r>
      <w:r w:rsidRPr="00076647">
        <w:rPr>
          <w:rFonts w:ascii="Expert Sans Regular" w:hAnsi="Expert Sans Regular"/>
          <w:sz w:val="22"/>
          <w:szCs w:val="22"/>
        </w:rPr>
        <w:t>SENS announcement issued by Absa</w:t>
      </w:r>
      <w:r w:rsidR="00265977">
        <w:rPr>
          <w:rFonts w:ascii="Expert Sans Regular" w:hAnsi="Expert Sans Regular"/>
          <w:sz w:val="22"/>
          <w:szCs w:val="22"/>
        </w:rPr>
        <w:t xml:space="preserve"> </w:t>
      </w:r>
      <w:r w:rsidR="00A7003F">
        <w:rPr>
          <w:rFonts w:ascii="Expert Sans Regular" w:hAnsi="Expert Sans Regular"/>
          <w:sz w:val="22"/>
          <w:szCs w:val="22"/>
        </w:rPr>
        <w:t xml:space="preserve">which is available at </w:t>
      </w:r>
      <w:hyperlink r:id="rId10" w:history="1">
        <w:r w:rsidR="00A35B9D" w:rsidRPr="002B352A">
          <w:rPr>
            <w:rStyle w:val="Hyperlink"/>
            <w:rFonts w:ascii="Expert Sans Regular" w:hAnsi="Expert Sans Regular"/>
            <w:sz w:val="22"/>
            <w:szCs w:val="22"/>
          </w:rPr>
          <w:t>www.barclays.com/investorrelations</w:t>
        </w:r>
      </w:hyperlink>
    </w:p>
    <w:p w:rsidR="00A35B9D" w:rsidRPr="00076647" w:rsidRDefault="00A35B9D" w:rsidP="00EF66DE">
      <w:pPr>
        <w:jc w:val="both"/>
        <w:rPr>
          <w:rFonts w:ascii="Expert Sans Regular" w:hAnsi="Expert Sans Regular"/>
          <w:sz w:val="22"/>
          <w:szCs w:val="22"/>
        </w:rPr>
      </w:pPr>
    </w:p>
    <w:p w:rsidR="00325BB5" w:rsidRPr="00076647" w:rsidRDefault="00325BB5" w:rsidP="00EF66DE">
      <w:pPr>
        <w:jc w:val="both"/>
        <w:rPr>
          <w:rFonts w:ascii="Expert Sans Regular" w:hAnsi="Expert Sans Regular"/>
          <w:sz w:val="22"/>
          <w:szCs w:val="22"/>
        </w:rPr>
      </w:pPr>
    </w:p>
    <w:p w:rsidR="00325BB5" w:rsidRPr="00076647" w:rsidRDefault="00325BB5" w:rsidP="00EF66DE">
      <w:pPr>
        <w:autoSpaceDE w:val="0"/>
        <w:autoSpaceDN w:val="0"/>
        <w:adjustRightInd w:val="0"/>
        <w:jc w:val="both"/>
        <w:rPr>
          <w:rFonts w:ascii="Expert Sans Regular" w:hAnsi="Expert Sans Regular"/>
          <w:b/>
          <w:bCs/>
          <w:sz w:val="22"/>
          <w:szCs w:val="22"/>
        </w:rPr>
      </w:pPr>
      <w:r w:rsidRPr="00076647">
        <w:rPr>
          <w:rFonts w:ascii="Expert Sans Regular" w:hAnsi="Expert Sans Regular"/>
          <w:b/>
          <w:bCs/>
          <w:sz w:val="22"/>
          <w:szCs w:val="22"/>
        </w:rPr>
        <w:t>- Ends -</w:t>
      </w:r>
    </w:p>
    <w:p w:rsidR="00325BB5" w:rsidRDefault="00325BB5" w:rsidP="00EF66DE">
      <w:pPr>
        <w:autoSpaceDE w:val="0"/>
        <w:autoSpaceDN w:val="0"/>
        <w:adjustRightInd w:val="0"/>
        <w:jc w:val="both"/>
        <w:rPr>
          <w:rFonts w:ascii="Expert Sans Regular" w:hAnsi="Expert Sans Regular"/>
          <w:b/>
          <w:bCs/>
          <w:sz w:val="22"/>
          <w:szCs w:val="22"/>
        </w:rPr>
      </w:pPr>
    </w:p>
    <w:p w:rsidR="00325BB5" w:rsidRDefault="00325BB5" w:rsidP="00EF66DE">
      <w:pPr>
        <w:autoSpaceDE w:val="0"/>
        <w:autoSpaceDN w:val="0"/>
        <w:adjustRightInd w:val="0"/>
        <w:jc w:val="both"/>
        <w:rPr>
          <w:rFonts w:ascii="Expert Sans Regular" w:hAnsi="Expert Sans Regular" w:cs="Arial"/>
          <w:b/>
          <w:bCs/>
          <w:color w:val="000000"/>
          <w:sz w:val="22"/>
          <w:szCs w:val="22"/>
          <w:lang w:val="en-US"/>
        </w:rPr>
      </w:pPr>
      <w:r>
        <w:rPr>
          <w:rFonts w:ascii="Expert Sans Regular" w:hAnsi="Expert Sans Regular" w:cs="Arial"/>
          <w:b/>
          <w:bCs/>
          <w:color w:val="000000"/>
          <w:sz w:val="22"/>
          <w:szCs w:val="22"/>
          <w:lang w:val="en-US"/>
        </w:rPr>
        <w:t>Notes:</w:t>
      </w:r>
    </w:p>
    <w:p w:rsidR="00325BB5" w:rsidRPr="00AC584F" w:rsidRDefault="00325BB5" w:rsidP="00EF66DE">
      <w:pPr>
        <w:pStyle w:val="ListParagraph"/>
        <w:numPr>
          <w:ilvl w:val="0"/>
          <w:numId w:val="9"/>
        </w:numPr>
        <w:autoSpaceDE w:val="0"/>
        <w:autoSpaceDN w:val="0"/>
        <w:adjustRightInd w:val="0"/>
        <w:ind w:left="284" w:hanging="284"/>
        <w:jc w:val="both"/>
        <w:rPr>
          <w:rFonts w:ascii="Expert Sans Regular" w:hAnsi="Expert Sans Regular" w:cs="Arial"/>
          <w:bCs/>
          <w:color w:val="000000"/>
          <w:sz w:val="18"/>
          <w:szCs w:val="18"/>
          <w:lang w:val="en-US"/>
        </w:rPr>
      </w:pPr>
      <w:r w:rsidRPr="00AC584F">
        <w:rPr>
          <w:rFonts w:ascii="Expert Sans Regular" w:hAnsi="Expert Sans Regular" w:cs="Arial"/>
          <w:bCs/>
          <w:color w:val="000000"/>
          <w:sz w:val="18"/>
          <w:szCs w:val="18"/>
        </w:rPr>
        <w:t xml:space="preserve">Based on a ZAR/GBP exchange rate of </w:t>
      </w:r>
      <w:r w:rsidR="00537951">
        <w:rPr>
          <w:rFonts w:ascii="Expert Sans Regular" w:hAnsi="Expert Sans Regular" w:cs="Arial"/>
          <w:bCs/>
          <w:color w:val="000000"/>
          <w:sz w:val="18"/>
          <w:szCs w:val="18"/>
        </w:rPr>
        <w:t>14.10</w:t>
      </w:r>
    </w:p>
    <w:p w:rsidR="00325BB5" w:rsidRPr="00AC584F" w:rsidRDefault="00325BB5" w:rsidP="00EF66DE">
      <w:pPr>
        <w:pStyle w:val="ListParagraph"/>
        <w:numPr>
          <w:ilvl w:val="0"/>
          <w:numId w:val="9"/>
        </w:numPr>
        <w:autoSpaceDE w:val="0"/>
        <w:autoSpaceDN w:val="0"/>
        <w:adjustRightInd w:val="0"/>
        <w:ind w:left="284" w:hanging="284"/>
        <w:jc w:val="both"/>
        <w:rPr>
          <w:rFonts w:ascii="Expert Sans Regular" w:hAnsi="Expert Sans Regular" w:cs="Arial"/>
          <w:bCs/>
          <w:color w:val="000000"/>
          <w:sz w:val="18"/>
          <w:szCs w:val="18"/>
        </w:rPr>
      </w:pPr>
      <w:r w:rsidRPr="00AC584F">
        <w:rPr>
          <w:rFonts w:ascii="Expert Sans Regular" w:hAnsi="Expert Sans Regular" w:cs="Arial"/>
          <w:bCs/>
          <w:color w:val="000000"/>
          <w:sz w:val="18"/>
          <w:szCs w:val="18"/>
        </w:rPr>
        <w:t xml:space="preserve">Includes the Barclays Africa businesses in </w:t>
      </w:r>
      <w:smartTag w:uri="urn:schemas-microsoft-com:office:smarttags" w:element="country-region">
        <w:r w:rsidRPr="00AC584F">
          <w:rPr>
            <w:rFonts w:ascii="Expert Sans Regular" w:hAnsi="Expert Sans Regular" w:cs="Arial"/>
            <w:bCs/>
            <w:color w:val="000000"/>
            <w:sz w:val="18"/>
            <w:szCs w:val="18"/>
          </w:rPr>
          <w:t>Botswana</w:t>
        </w:r>
      </w:smartTag>
      <w:r w:rsidRPr="00AC584F">
        <w:rPr>
          <w:rFonts w:ascii="Expert Sans Regular" w:hAnsi="Expert Sans Regular" w:cs="Arial"/>
          <w:bCs/>
          <w:color w:val="000000"/>
          <w:sz w:val="18"/>
          <w:szCs w:val="18"/>
        </w:rPr>
        <w:t xml:space="preserve">, </w:t>
      </w:r>
      <w:smartTag w:uri="urn:schemas-microsoft-com:office:smarttags" w:element="country-region">
        <w:r w:rsidRPr="00AC584F">
          <w:rPr>
            <w:rFonts w:ascii="Expert Sans Regular" w:hAnsi="Expert Sans Regular" w:cs="Arial"/>
            <w:bCs/>
            <w:color w:val="000000"/>
            <w:sz w:val="18"/>
            <w:szCs w:val="18"/>
          </w:rPr>
          <w:t>Ghana</w:t>
        </w:r>
      </w:smartTag>
      <w:r w:rsidRPr="00AC584F">
        <w:rPr>
          <w:rFonts w:ascii="Expert Sans Regular" w:hAnsi="Expert Sans Regular" w:cs="Arial"/>
          <w:bCs/>
          <w:color w:val="000000"/>
          <w:sz w:val="18"/>
          <w:szCs w:val="18"/>
        </w:rPr>
        <w:t xml:space="preserve">, </w:t>
      </w:r>
      <w:smartTag w:uri="urn:schemas-microsoft-com:office:smarttags" w:element="country-region">
        <w:r w:rsidRPr="00AC584F">
          <w:rPr>
            <w:rFonts w:ascii="Expert Sans Regular" w:hAnsi="Expert Sans Regular" w:cs="Arial"/>
            <w:bCs/>
            <w:color w:val="000000"/>
            <w:sz w:val="18"/>
            <w:szCs w:val="18"/>
          </w:rPr>
          <w:t>Kenya</w:t>
        </w:r>
      </w:smartTag>
      <w:r w:rsidRPr="00AC584F">
        <w:rPr>
          <w:rFonts w:ascii="Expert Sans Regular" w:hAnsi="Expert Sans Regular" w:cs="Arial"/>
          <w:bCs/>
          <w:color w:val="000000"/>
          <w:sz w:val="18"/>
          <w:szCs w:val="18"/>
        </w:rPr>
        <w:t xml:space="preserve">, </w:t>
      </w:r>
      <w:smartTag w:uri="urn:schemas-microsoft-com:office:smarttags" w:element="country-region">
        <w:r w:rsidRPr="00AC584F">
          <w:rPr>
            <w:rFonts w:ascii="Expert Sans Regular" w:hAnsi="Expert Sans Regular" w:cs="Arial"/>
            <w:bCs/>
            <w:color w:val="000000"/>
            <w:sz w:val="18"/>
            <w:szCs w:val="18"/>
          </w:rPr>
          <w:t>Mauritius</w:t>
        </w:r>
      </w:smartTag>
      <w:r w:rsidRPr="00AC584F">
        <w:rPr>
          <w:rFonts w:ascii="Expert Sans Regular" w:hAnsi="Expert Sans Regular" w:cs="Arial"/>
          <w:bCs/>
          <w:color w:val="000000"/>
          <w:sz w:val="18"/>
          <w:szCs w:val="18"/>
        </w:rPr>
        <w:t xml:space="preserve">, </w:t>
      </w:r>
      <w:smartTag w:uri="urn:schemas-microsoft-com:office:smarttags" w:element="country-region">
        <w:r w:rsidRPr="00AC584F">
          <w:rPr>
            <w:rFonts w:ascii="Expert Sans Regular" w:hAnsi="Expert Sans Regular" w:cs="Arial"/>
            <w:bCs/>
            <w:color w:val="000000"/>
            <w:sz w:val="18"/>
            <w:szCs w:val="18"/>
          </w:rPr>
          <w:t>Seychelles</w:t>
        </w:r>
      </w:smartTag>
      <w:r w:rsidRPr="00AC584F">
        <w:rPr>
          <w:rFonts w:ascii="Expert Sans Regular" w:hAnsi="Expert Sans Regular" w:cs="Arial"/>
          <w:bCs/>
          <w:color w:val="000000"/>
          <w:sz w:val="18"/>
          <w:szCs w:val="18"/>
        </w:rPr>
        <w:t xml:space="preserve">, </w:t>
      </w:r>
      <w:smartTag w:uri="urn:schemas-microsoft-com:office:smarttags" w:element="country-region">
        <w:r w:rsidRPr="00AC584F">
          <w:rPr>
            <w:rFonts w:ascii="Expert Sans Regular" w:hAnsi="Expert Sans Regular" w:cs="Arial"/>
            <w:bCs/>
            <w:color w:val="000000"/>
            <w:sz w:val="18"/>
            <w:szCs w:val="18"/>
          </w:rPr>
          <w:t>Tanzania</w:t>
        </w:r>
      </w:smartTag>
      <w:r w:rsidRPr="00AC584F">
        <w:rPr>
          <w:rFonts w:ascii="Expert Sans Regular" w:hAnsi="Expert Sans Regular" w:cs="Arial"/>
          <w:bCs/>
          <w:color w:val="000000"/>
          <w:sz w:val="18"/>
          <w:szCs w:val="18"/>
        </w:rPr>
        <w:t xml:space="preserve">, </w:t>
      </w:r>
      <w:smartTag w:uri="urn:schemas-microsoft-com:office:smarttags" w:element="country-region">
        <w:r w:rsidRPr="00AC584F">
          <w:rPr>
            <w:rFonts w:ascii="Expert Sans Regular" w:hAnsi="Expert Sans Regular" w:cs="Arial"/>
            <w:bCs/>
            <w:color w:val="000000"/>
            <w:sz w:val="18"/>
            <w:szCs w:val="18"/>
          </w:rPr>
          <w:t>Uganda</w:t>
        </w:r>
      </w:smartTag>
      <w:r w:rsidRPr="00AC584F">
        <w:rPr>
          <w:rFonts w:ascii="Expert Sans Regular" w:hAnsi="Expert Sans Regular" w:cs="Arial"/>
          <w:bCs/>
          <w:color w:val="000000"/>
          <w:sz w:val="18"/>
          <w:szCs w:val="18"/>
        </w:rPr>
        <w:t xml:space="preserve"> and </w:t>
      </w:r>
      <w:smartTag w:uri="urn:schemas-microsoft-com:office:smarttags" w:element="country-region">
        <w:r w:rsidRPr="00AC584F">
          <w:rPr>
            <w:rFonts w:ascii="Expert Sans Regular" w:hAnsi="Expert Sans Regular" w:cs="Arial"/>
            <w:bCs/>
            <w:color w:val="000000"/>
            <w:sz w:val="18"/>
            <w:szCs w:val="18"/>
          </w:rPr>
          <w:t>Zambia</w:t>
        </w:r>
      </w:smartTag>
      <w:r w:rsidRPr="00AC584F">
        <w:rPr>
          <w:rFonts w:ascii="Expert Sans Regular" w:hAnsi="Expert Sans Regular" w:cs="Arial"/>
          <w:bCs/>
          <w:color w:val="000000"/>
          <w:sz w:val="18"/>
          <w:szCs w:val="18"/>
        </w:rPr>
        <w:t xml:space="preserve">, and the Absa Group Limited businesses in </w:t>
      </w:r>
      <w:smartTag w:uri="urn:schemas-microsoft-com:office:smarttags" w:element="country-region">
        <w:r w:rsidRPr="00AC584F">
          <w:rPr>
            <w:rFonts w:ascii="Expert Sans Regular" w:hAnsi="Expert Sans Regular" w:cs="Arial"/>
            <w:bCs/>
            <w:color w:val="000000"/>
            <w:sz w:val="18"/>
            <w:szCs w:val="18"/>
          </w:rPr>
          <w:t>South Africa</w:t>
        </w:r>
      </w:smartTag>
      <w:r w:rsidRPr="00AC584F">
        <w:rPr>
          <w:rFonts w:ascii="Expert Sans Regular" w:hAnsi="Expert Sans Regular" w:cs="Arial"/>
          <w:bCs/>
          <w:color w:val="000000"/>
          <w:sz w:val="18"/>
          <w:szCs w:val="18"/>
        </w:rPr>
        <w:t xml:space="preserve">, </w:t>
      </w:r>
      <w:smartTag w:uri="urn:schemas-microsoft-com:office:smarttags" w:element="country-region">
        <w:r w:rsidRPr="00AC584F">
          <w:rPr>
            <w:rFonts w:ascii="Expert Sans Regular" w:hAnsi="Expert Sans Regular" w:cs="Arial"/>
            <w:bCs/>
            <w:color w:val="000000"/>
            <w:sz w:val="18"/>
            <w:szCs w:val="18"/>
          </w:rPr>
          <w:t>Mozambique</w:t>
        </w:r>
      </w:smartTag>
      <w:r w:rsidRPr="00AC584F">
        <w:rPr>
          <w:rFonts w:ascii="Expert Sans Regular" w:hAnsi="Expert Sans Regular" w:cs="Arial"/>
          <w:bCs/>
          <w:color w:val="000000"/>
          <w:sz w:val="18"/>
          <w:szCs w:val="18"/>
        </w:rPr>
        <w:t xml:space="preserve"> and </w:t>
      </w:r>
      <w:smartTag w:uri="urn:schemas-microsoft-com:office:smarttags" w:element="country-region">
        <w:r w:rsidRPr="00AC584F">
          <w:rPr>
            <w:rFonts w:ascii="Expert Sans Regular" w:hAnsi="Expert Sans Regular" w:cs="Arial"/>
            <w:bCs/>
            <w:color w:val="000000"/>
            <w:sz w:val="18"/>
            <w:szCs w:val="18"/>
          </w:rPr>
          <w:t>Tanzania</w:t>
        </w:r>
      </w:smartTag>
      <w:r w:rsidRPr="00AC584F">
        <w:rPr>
          <w:rFonts w:ascii="Expert Sans Regular" w:hAnsi="Expert Sans Regular" w:cs="Arial"/>
          <w:bCs/>
          <w:color w:val="000000"/>
          <w:sz w:val="18"/>
          <w:szCs w:val="18"/>
        </w:rPr>
        <w:t>.</w:t>
      </w:r>
    </w:p>
    <w:p w:rsidR="00325BB5" w:rsidRPr="00AC584F" w:rsidRDefault="00325BB5" w:rsidP="00EF66DE">
      <w:pPr>
        <w:pStyle w:val="ListParagraph"/>
        <w:numPr>
          <w:ilvl w:val="0"/>
          <w:numId w:val="9"/>
        </w:numPr>
        <w:autoSpaceDE w:val="0"/>
        <w:autoSpaceDN w:val="0"/>
        <w:adjustRightInd w:val="0"/>
        <w:ind w:left="284" w:hanging="284"/>
        <w:jc w:val="both"/>
        <w:rPr>
          <w:rFonts w:ascii="Expert Sans Regular" w:hAnsi="Expert Sans Regular" w:cs="Arial"/>
          <w:bCs/>
          <w:color w:val="000000"/>
          <w:sz w:val="18"/>
          <w:szCs w:val="18"/>
        </w:rPr>
      </w:pPr>
      <w:r w:rsidRPr="00AC584F">
        <w:rPr>
          <w:rFonts w:ascii="Expert Sans Regular" w:hAnsi="Expert Sans Regular" w:cs="Arial"/>
          <w:bCs/>
          <w:color w:val="000000"/>
          <w:sz w:val="18"/>
          <w:szCs w:val="18"/>
        </w:rPr>
        <w:t>Based on a price of R</w:t>
      </w:r>
      <w:r w:rsidR="00537951">
        <w:rPr>
          <w:rFonts w:ascii="Expert Sans Regular" w:hAnsi="Expert Sans Regular" w:cs="Arial"/>
          <w:bCs/>
          <w:color w:val="000000"/>
          <w:sz w:val="18"/>
          <w:szCs w:val="18"/>
        </w:rPr>
        <w:t>141.50</w:t>
      </w:r>
      <w:r w:rsidRPr="00AC584F">
        <w:rPr>
          <w:rFonts w:ascii="Expert Sans Regular" w:hAnsi="Expert Sans Regular" w:cs="Arial"/>
          <w:bCs/>
          <w:color w:val="000000"/>
          <w:sz w:val="18"/>
          <w:szCs w:val="18"/>
        </w:rPr>
        <w:t xml:space="preserve"> per Absa share and the current issued share capital of Absa</w:t>
      </w:r>
    </w:p>
    <w:p w:rsidR="00325BB5" w:rsidRPr="00AC584F" w:rsidRDefault="00325BB5" w:rsidP="00EF66DE">
      <w:pPr>
        <w:autoSpaceDE w:val="0"/>
        <w:autoSpaceDN w:val="0"/>
        <w:adjustRightInd w:val="0"/>
        <w:jc w:val="both"/>
        <w:rPr>
          <w:rFonts w:ascii="Expert Sans Regular" w:hAnsi="Expert Sans Regular" w:cs="Arial"/>
          <w:bCs/>
          <w:color w:val="000000"/>
          <w:sz w:val="18"/>
          <w:szCs w:val="18"/>
          <w:lang w:val="en-US"/>
        </w:rPr>
      </w:pPr>
      <w:r w:rsidRPr="00AC584F">
        <w:rPr>
          <w:rFonts w:ascii="Expert Sans Regular" w:hAnsi="Expert Sans Regular" w:cs="Arial"/>
          <w:bCs/>
          <w:color w:val="000000"/>
          <w:sz w:val="18"/>
          <w:szCs w:val="18"/>
        </w:rPr>
        <w:t xml:space="preserve">References to the number of Absa consideration shares, customers and outlet network, and the population and GDP coverage in this announcement, are based on the transfer of the entire Portfolio to Barclays Africa Limited, and transfer of Barclays Africa Limited to Absa. In the event that operations in one or more countries do not transfer on a subsequent closing, such figures should be read as amended accordingly. </w:t>
      </w:r>
    </w:p>
    <w:p w:rsidR="00325BB5" w:rsidRDefault="00325BB5" w:rsidP="00EF66DE">
      <w:pPr>
        <w:autoSpaceDE w:val="0"/>
        <w:autoSpaceDN w:val="0"/>
        <w:adjustRightInd w:val="0"/>
        <w:jc w:val="both"/>
        <w:rPr>
          <w:rFonts w:ascii="Expert Sans Regular" w:hAnsi="Expert Sans Regular" w:cs="Arial"/>
          <w:b/>
          <w:bCs/>
          <w:color w:val="000000"/>
          <w:sz w:val="22"/>
          <w:szCs w:val="22"/>
          <w:lang w:val="en-US"/>
        </w:rPr>
      </w:pPr>
    </w:p>
    <w:p w:rsidR="001E5362" w:rsidRPr="001E5362" w:rsidRDefault="001E5362" w:rsidP="00EF66DE">
      <w:pPr>
        <w:autoSpaceDE w:val="0"/>
        <w:autoSpaceDN w:val="0"/>
        <w:adjustRightInd w:val="0"/>
        <w:jc w:val="both"/>
        <w:rPr>
          <w:rFonts w:ascii="Expert Sans Regular" w:hAnsi="Expert Sans Regular" w:cs="Arial"/>
          <w:b/>
          <w:bCs/>
          <w:color w:val="000000"/>
          <w:sz w:val="22"/>
          <w:szCs w:val="22"/>
          <w:lang w:val="en-US"/>
        </w:rPr>
      </w:pPr>
      <w:r w:rsidRPr="001E5362">
        <w:rPr>
          <w:rFonts w:ascii="Expert Sans Regular" w:hAnsi="Expert Sans Regular" w:cs="Arial"/>
          <w:b/>
          <w:bCs/>
          <w:color w:val="000000"/>
          <w:sz w:val="22"/>
          <w:szCs w:val="22"/>
          <w:lang w:val="en-US"/>
        </w:rPr>
        <w:t>Advisors:</w:t>
      </w:r>
    </w:p>
    <w:p w:rsidR="001E5362" w:rsidRPr="001E5362" w:rsidRDefault="001E5362" w:rsidP="00EF66DE">
      <w:pPr>
        <w:autoSpaceDE w:val="0"/>
        <w:autoSpaceDN w:val="0"/>
        <w:adjustRightInd w:val="0"/>
        <w:jc w:val="both"/>
        <w:rPr>
          <w:rFonts w:ascii="Expert Sans Regular" w:hAnsi="Expert Sans Regular" w:cs="Arial"/>
          <w:bCs/>
          <w:color w:val="000000"/>
          <w:sz w:val="22"/>
          <w:szCs w:val="22"/>
          <w:lang w:val="en-US"/>
        </w:rPr>
      </w:pPr>
      <w:r w:rsidRPr="001E5362">
        <w:rPr>
          <w:rFonts w:ascii="Expert Sans Regular" w:hAnsi="Expert Sans Regular" w:cs="Arial"/>
          <w:bCs/>
          <w:color w:val="000000"/>
          <w:sz w:val="22"/>
          <w:szCs w:val="22"/>
          <w:lang w:val="en-US"/>
        </w:rPr>
        <w:t xml:space="preserve">Goldman Sachs International is acting as financial adviser to Barclays. In that capacity, Goldman Sachs International has performed financial analyses and has assisted the </w:t>
      </w:r>
      <w:r w:rsidR="002C5ACF">
        <w:rPr>
          <w:rFonts w:ascii="Expert Sans Regular" w:hAnsi="Expert Sans Regular" w:cs="Arial"/>
          <w:bCs/>
          <w:color w:val="000000"/>
          <w:sz w:val="22"/>
          <w:szCs w:val="22"/>
          <w:lang w:val="en-US"/>
        </w:rPr>
        <w:t xml:space="preserve">Barclays </w:t>
      </w:r>
      <w:r w:rsidRPr="001E5362">
        <w:rPr>
          <w:rFonts w:ascii="Expert Sans Regular" w:hAnsi="Expert Sans Regular" w:cs="Arial"/>
          <w:bCs/>
          <w:color w:val="000000"/>
          <w:sz w:val="22"/>
          <w:szCs w:val="22"/>
          <w:lang w:val="en-US"/>
        </w:rPr>
        <w:t>Board in its consideration of the financial terms of the transaction and, in doing so, has relied on the Board’s commercial assessment of the Transaction.</w:t>
      </w:r>
    </w:p>
    <w:p w:rsidR="001E5362" w:rsidRDefault="001E5362" w:rsidP="00CF2155">
      <w:pPr>
        <w:autoSpaceDE w:val="0"/>
        <w:autoSpaceDN w:val="0"/>
        <w:adjustRightInd w:val="0"/>
        <w:rPr>
          <w:rFonts w:ascii="Expert Sans Regular" w:hAnsi="Expert Sans Regular" w:cs="Arial"/>
          <w:b/>
          <w:bCs/>
          <w:color w:val="000000"/>
          <w:sz w:val="22"/>
          <w:szCs w:val="22"/>
          <w:lang w:val="en-US"/>
        </w:rPr>
      </w:pPr>
    </w:p>
    <w:p w:rsidR="00325BB5" w:rsidRPr="00F2121E" w:rsidRDefault="00325BB5" w:rsidP="00CF2155">
      <w:pPr>
        <w:autoSpaceDE w:val="0"/>
        <w:autoSpaceDN w:val="0"/>
        <w:adjustRightInd w:val="0"/>
        <w:rPr>
          <w:rFonts w:ascii="Expert Sans Regular" w:hAnsi="Expert Sans Regular" w:cs="Arial"/>
          <w:b/>
          <w:bCs/>
          <w:color w:val="000000"/>
          <w:sz w:val="22"/>
          <w:szCs w:val="22"/>
          <w:lang w:val="en-US"/>
        </w:rPr>
      </w:pPr>
      <w:r w:rsidRPr="00F2121E">
        <w:rPr>
          <w:rFonts w:ascii="Expert Sans Regular" w:hAnsi="Expert Sans Regular" w:cs="Arial"/>
          <w:b/>
          <w:bCs/>
          <w:color w:val="000000"/>
          <w:sz w:val="22"/>
          <w:szCs w:val="22"/>
          <w:lang w:val="en-US"/>
        </w:rPr>
        <w:t>For further information, please contact:</w:t>
      </w:r>
    </w:p>
    <w:p w:rsidR="00325BB5" w:rsidRPr="00F2121E" w:rsidRDefault="00325BB5" w:rsidP="00CF2155">
      <w:pPr>
        <w:autoSpaceDE w:val="0"/>
        <w:autoSpaceDN w:val="0"/>
        <w:adjustRightInd w:val="0"/>
        <w:rPr>
          <w:rFonts w:ascii="Expert Sans Regular" w:hAnsi="Expert Sans Regular" w:cs="Arial"/>
          <w:color w:val="000000"/>
          <w:sz w:val="20"/>
          <w:szCs w:val="20"/>
          <w:lang w:val="en-US"/>
        </w:rPr>
      </w:pPr>
    </w:p>
    <w:p w:rsidR="00325BB5" w:rsidRPr="00F2121E" w:rsidRDefault="00325BB5" w:rsidP="00CF2155">
      <w:pPr>
        <w:autoSpaceDE w:val="0"/>
        <w:autoSpaceDN w:val="0"/>
        <w:adjustRightInd w:val="0"/>
        <w:rPr>
          <w:rFonts w:ascii="Expert Sans Regular" w:hAnsi="Expert Sans Regular" w:cs="Arial"/>
          <w:b/>
          <w:color w:val="000000"/>
          <w:sz w:val="22"/>
          <w:szCs w:val="22"/>
          <w:lang w:val="en-US"/>
        </w:rPr>
      </w:pPr>
      <w:r w:rsidRPr="00F2121E">
        <w:rPr>
          <w:rFonts w:ascii="Expert Sans Regular" w:hAnsi="Expert Sans Regular" w:cs="Arial"/>
          <w:b/>
          <w:color w:val="000000"/>
          <w:sz w:val="22"/>
          <w:szCs w:val="22"/>
          <w:lang w:val="en-US"/>
        </w:rPr>
        <w:t>Barclays</w:t>
      </w:r>
    </w:p>
    <w:p w:rsidR="00325BB5" w:rsidRPr="00F2121E" w:rsidRDefault="00325BB5" w:rsidP="00CF2155">
      <w:pPr>
        <w:autoSpaceDE w:val="0"/>
        <w:autoSpaceDN w:val="0"/>
        <w:adjustRightInd w:val="0"/>
        <w:rPr>
          <w:rFonts w:ascii="Expert Sans Regular" w:hAnsi="Expert Sans Regular" w:cs="Arial"/>
          <w:color w:val="000000"/>
          <w:sz w:val="22"/>
          <w:szCs w:val="22"/>
          <w:lang w:val="en-US"/>
        </w:rPr>
      </w:pPr>
      <w:r w:rsidRPr="00F2121E">
        <w:rPr>
          <w:rFonts w:ascii="Expert Sans Regular" w:hAnsi="Expert Sans Regular" w:cs="Arial"/>
          <w:color w:val="000000"/>
          <w:sz w:val="22"/>
          <w:szCs w:val="22"/>
          <w:u w:val="single"/>
          <w:lang w:val="en-US"/>
        </w:rPr>
        <w:t>Investor Relations</w:t>
      </w:r>
      <w:r w:rsidRPr="00F2121E">
        <w:rPr>
          <w:rFonts w:ascii="Expert Sans Regular" w:hAnsi="Expert Sans Regular" w:cs="Arial"/>
          <w:color w:val="000000"/>
          <w:sz w:val="22"/>
          <w:szCs w:val="22"/>
          <w:lang w:val="en-US"/>
        </w:rPr>
        <w:t xml:space="preserve"> </w:t>
      </w:r>
      <w:r w:rsidRPr="00F2121E">
        <w:rPr>
          <w:rFonts w:ascii="Expert Sans Regular" w:hAnsi="Expert Sans Regular" w:cs="Arial"/>
          <w:color w:val="000000"/>
          <w:sz w:val="22"/>
          <w:szCs w:val="22"/>
          <w:lang w:val="en-US"/>
        </w:rPr>
        <w:tab/>
      </w:r>
      <w:r w:rsidRPr="00F2121E">
        <w:rPr>
          <w:rFonts w:ascii="Expert Sans Regular" w:hAnsi="Expert Sans Regular" w:cs="Arial"/>
          <w:color w:val="000000"/>
          <w:sz w:val="22"/>
          <w:szCs w:val="22"/>
          <w:lang w:val="en-US"/>
        </w:rPr>
        <w:tab/>
      </w:r>
      <w:r w:rsidRPr="00F2121E">
        <w:rPr>
          <w:rFonts w:ascii="Expert Sans Regular" w:hAnsi="Expert Sans Regular" w:cs="Arial"/>
          <w:color w:val="000000"/>
          <w:sz w:val="22"/>
          <w:szCs w:val="22"/>
          <w:lang w:val="en-US"/>
        </w:rPr>
        <w:tab/>
      </w:r>
      <w:r w:rsidRPr="00F2121E">
        <w:rPr>
          <w:rFonts w:ascii="Expert Sans Regular" w:hAnsi="Expert Sans Regular" w:cs="Arial"/>
          <w:color w:val="000000"/>
          <w:sz w:val="22"/>
          <w:szCs w:val="22"/>
          <w:lang w:val="en-US"/>
        </w:rPr>
        <w:tab/>
      </w:r>
      <w:r w:rsidRPr="00F2121E">
        <w:rPr>
          <w:rFonts w:ascii="Expert Sans Regular" w:hAnsi="Expert Sans Regular" w:cs="Arial"/>
          <w:color w:val="000000"/>
          <w:sz w:val="22"/>
          <w:szCs w:val="22"/>
          <w:u w:val="single"/>
          <w:lang w:val="en-US"/>
        </w:rPr>
        <w:t>Media Relations</w:t>
      </w:r>
      <w:r w:rsidRPr="00F2121E">
        <w:rPr>
          <w:rFonts w:ascii="Expert Sans Regular" w:hAnsi="Expert Sans Regular" w:cs="Arial"/>
          <w:color w:val="000000"/>
          <w:sz w:val="22"/>
          <w:szCs w:val="22"/>
          <w:lang w:val="en-US"/>
        </w:rPr>
        <w:tab/>
      </w:r>
    </w:p>
    <w:p w:rsidR="00325BB5" w:rsidRPr="00F2121E" w:rsidRDefault="00325BB5" w:rsidP="00CF2155">
      <w:pPr>
        <w:autoSpaceDE w:val="0"/>
        <w:autoSpaceDN w:val="0"/>
        <w:adjustRightInd w:val="0"/>
        <w:rPr>
          <w:rFonts w:ascii="Expert Sans Regular" w:hAnsi="Expert Sans Regular" w:cs="Arial"/>
          <w:color w:val="000000"/>
          <w:sz w:val="22"/>
          <w:szCs w:val="22"/>
          <w:lang w:val="fr-FR"/>
        </w:rPr>
      </w:pPr>
      <w:r w:rsidRPr="00F2121E">
        <w:rPr>
          <w:rFonts w:ascii="Expert Sans Regular" w:hAnsi="Expert Sans Regular" w:cs="Arial"/>
          <w:color w:val="000000"/>
          <w:sz w:val="22"/>
          <w:szCs w:val="22"/>
          <w:lang w:val="fr-FR"/>
        </w:rPr>
        <w:t>Charlie Rozes</w:t>
      </w:r>
      <w:r w:rsidRPr="00F2121E">
        <w:rPr>
          <w:rFonts w:ascii="Expert Sans Regular" w:hAnsi="Expert Sans Regular" w:cs="Arial"/>
          <w:color w:val="000000"/>
          <w:sz w:val="22"/>
          <w:szCs w:val="22"/>
          <w:lang w:val="fr-FR"/>
        </w:rPr>
        <w:tab/>
      </w:r>
      <w:r w:rsidRPr="00F2121E">
        <w:rPr>
          <w:rFonts w:ascii="Expert Sans Regular" w:hAnsi="Expert Sans Regular" w:cs="Arial"/>
          <w:color w:val="000000"/>
          <w:sz w:val="22"/>
          <w:szCs w:val="22"/>
          <w:lang w:val="fr-FR"/>
        </w:rPr>
        <w:tab/>
      </w:r>
      <w:r w:rsidRPr="00F2121E">
        <w:rPr>
          <w:rFonts w:ascii="Expert Sans Regular" w:hAnsi="Expert Sans Regular" w:cs="Arial"/>
          <w:color w:val="000000"/>
          <w:sz w:val="22"/>
          <w:szCs w:val="22"/>
          <w:lang w:val="fr-FR"/>
        </w:rPr>
        <w:tab/>
      </w:r>
      <w:r w:rsidRPr="00F2121E">
        <w:rPr>
          <w:rFonts w:ascii="Expert Sans Regular" w:hAnsi="Expert Sans Regular" w:cs="Arial"/>
          <w:color w:val="000000"/>
          <w:sz w:val="22"/>
          <w:szCs w:val="22"/>
          <w:lang w:val="fr-FR"/>
        </w:rPr>
        <w:tab/>
      </w:r>
      <w:r w:rsidRPr="00F2121E">
        <w:rPr>
          <w:rFonts w:ascii="Expert Sans Regular" w:hAnsi="Expert Sans Regular" w:cs="Arial"/>
          <w:color w:val="000000"/>
          <w:sz w:val="22"/>
          <w:szCs w:val="22"/>
          <w:lang w:val="fr-FR"/>
        </w:rPr>
        <w:tab/>
        <w:t>Giles Croot</w:t>
      </w:r>
    </w:p>
    <w:p w:rsidR="00325BB5" w:rsidRPr="00F2121E" w:rsidRDefault="00325BB5" w:rsidP="00CF2155">
      <w:pPr>
        <w:autoSpaceDE w:val="0"/>
        <w:autoSpaceDN w:val="0"/>
        <w:adjustRightInd w:val="0"/>
        <w:rPr>
          <w:rFonts w:ascii="Expert Sans Regular" w:hAnsi="Expert Sans Regular" w:cs="Arial"/>
          <w:color w:val="000000"/>
          <w:sz w:val="22"/>
          <w:szCs w:val="22"/>
          <w:lang w:val="fr-FR"/>
        </w:rPr>
      </w:pPr>
      <w:r w:rsidRPr="00F2121E">
        <w:rPr>
          <w:rFonts w:ascii="Expert Sans Regular" w:hAnsi="Expert Sans Regular" w:cs="Arial"/>
          <w:color w:val="000000"/>
          <w:sz w:val="22"/>
          <w:szCs w:val="22"/>
          <w:lang w:val="fr-FR"/>
        </w:rPr>
        <w:t>+44 (0) 20 7116 5752</w:t>
      </w:r>
      <w:r w:rsidRPr="00F2121E">
        <w:rPr>
          <w:rFonts w:ascii="Expert Sans Regular" w:hAnsi="Expert Sans Regular" w:cs="Arial"/>
          <w:color w:val="000000"/>
          <w:sz w:val="22"/>
          <w:szCs w:val="22"/>
          <w:lang w:val="fr-FR"/>
        </w:rPr>
        <w:tab/>
      </w:r>
      <w:r w:rsidRPr="00F2121E">
        <w:rPr>
          <w:rFonts w:ascii="Expert Sans Regular" w:hAnsi="Expert Sans Regular" w:cs="Arial"/>
          <w:color w:val="000000"/>
          <w:sz w:val="22"/>
          <w:szCs w:val="22"/>
          <w:lang w:val="fr-FR"/>
        </w:rPr>
        <w:tab/>
      </w:r>
      <w:r w:rsidRPr="00F2121E">
        <w:rPr>
          <w:rFonts w:ascii="Expert Sans Regular" w:hAnsi="Expert Sans Regular" w:cs="Arial"/>
          <w:color w:val="000000"/>
          <w:sz w:val="22"/>
          <w:szCs w:val="22"/>
          <w:lang w:val="fr-FR"/>
        </w:rPr>
        <w:tab/>
      </w:r>
      <w:r w:rsidRPr="00F2121E">
        <w:rPr>
          <w:rFonts w:ascii="Expert Sans Regular" w:hAnsi="Expert Sans Regular" w:cs="Arial"/>
          <w:color w:val="000000"/>
          <w:sz w:val="22"/>
          <w:szCs w:val="22"/>
          <w:lang w:val="fr-FR"/>
        </w:rPr>
        <w:tab/>
        <w:t xml:space="preserve">+44 (0) 20 7116 </w:t>
      </w:r>
      <w:r>
        <w:rPr>
          <w:rFonts w:ascii="Expert Sans Regular" w:hAnsi="Expert Sans Regular" w:cs="Arial"/>
          <w:color w:val="000000"/>
          <w:sz w:val="22"/>
          <w:szCs w:val="22"/>
          <w:lang w:val="fr-FR"/>
        </w:rPr>
        <w:t>4755</w:t>
      </w:r>
    </w:p>
    <w:p w:rsidR="00325BB5" w:rsidRPr="00F2121E" w:rsidRDefault="00325BB5" w:rsidP="00CF2155">
      <w:pPr>
        <w:autoSpaceDE w:val="0"/>
        <w:autoSpaceDN w:val="0"/>
        <w:adjustRightInd w:val="0"/>
        <w:rPr>
          <w:rFonts w:ascii="Expert Sans Regular" w:hAnsi="Expert Sans Regular" w:cs="Arial"/>
          <w:color w:val="000000"/>
          <w:sz w:val="20"/>
          <w:szCs w:val="20"/>
          <w:lang w:val="fr-FR"/>
        </w:rPr>
      </w:pPr>
    </w:p>
    <w:p w:rsidR="00325BB5" w:rsidRPr="00F2121E" w:rsidRDefault="00325BB5" w:rsidP="00CF2155">
      <w:pPr>
        <w:autoSpaceDE w:val="0"/>
        <w:autoSpaceDN w:val="0"/>
        <w:adjustRightInd w:val="0"/>
        <w:rPr>
          <w:rFonts w:ascii="Expert Sans Regular" w:hAnsi="Expert Sans Regular" w:cs="Arial"/>
          <w:b/>
          <w:color w:val="000000"/>
          <w:sz w:val="22"/>
          <w:szCs w:val="22"/>
        </w:rPr>
      </w:pPr>
      <w:r w:rsidRPr="00F2121E">
        <w:rPr>
          <w:rFonts w:ascii="Expert Sans Regular" w:hAnsi="Expert Sans Regular" w:cs="Arial"/>
          <w:b/>
          <w:color w:val="000000"/>
          <w:sz w:val="22"/>
          <w:szCs w:val="22"/>
        </w:rPr>
        <w:lastRenderedPageBreak/>
        <w:t>Absa</w:t>
      </w:r>
    </w:p>
    <w:p w:rsidR="00325BB5" w:rsidRPr="00F2121E" w:rsidRDefault="00325BB5" w:rsidP="00CF2155">
      <w:pPr>
        <w:autoSpaceDE w:val="0"/>
        <w:autoSpaceDN w:val="0"/>
        <w:adjustRightInd w:val="0"/>
        <w:rPr>
          <w:rFonts w:ascii="Expert Sans Regular" w:hAnsi="Expert Sans Regular" w:cs="Arial"/>
          <w:color w:val="000000"/>
          <w:sz w:val="22"/>
          <w:szCs w:val="22"/>
          <w:u w:val="single"/>
        </w:rPr>
      </w:pPr>
      <w:r w:rsidRPr="00F2121E">
        <w:rPr>
          <w:rFonts w:ascii="Expert Sans Regular" w:hAnsi="Expert Sans Regular" w:cs="Arial"/>
          <w:color w:val="000000"/>
          <w:sz w:val="22"/>
          <w:szCs w:val="22"/>
          <w:u w:val="single"/>
        </w:rPr>
        <w:t>Investor Relations</w:t>
      </w:r>
      <w:r w:rsidRPr="00F2121E">
        <w:rPr>
          <w:rFonts w:ascii="Expert Sans Regular" w:hAnsi="Expert Sans Regular" w:cs="Arial"/>
          <w:color w:val="000000"/>
          <w:sz w:val="22"/>
          <w:szCs w:val="22"/>
        </w:rPr>
        <w:tab/>
      </w:r>
      <w:r w:rsidRPr="00F2121E">
        <w:rPr>
          <w:rFonts w:ascii="Expert Sans Regular" w:hAnsi="Expert Sans Regular" w:cs="Arial"/>
          <w:color w:val="000000"/>
          <w:sz w:val="22"/>
          <w:szCs w:val="22"/>
        </w:rPr>
        <w:tab/>
      </w:r>
      <w:r w:rsidRPr="00F2121E">
        <w:rPr>
          <w:rFonts w:ascii="Expert Sans Regular" w:hAnsi="Expert Sans Regular" w:cs="Arial"/>
          <w:color w:val="000000"/>
          <w:sz w:val="22"/>
          <w:szCs w:val="22"/>
        </w:rPr>
        <w:tab/>
      </w:r>
      <w:r w:rsidRPr="00F2121E">
        <w:rPr>
          <w:rFonts w:ascii="Expert Sans Regular" w:hAnsi="Expert Sans Regular" w:cs="Arial"/>
          <w:color w:val="000000"/>
          <w:sz w:val="22"/>
          <w:szCs w:val="22"/>
        </w:rPr>
        <w:tab/>
      </w:r>
      <w:r w:rsidRPr="00F2121E">
        <w:rPr>
          <w:rFonts w:ascii="Expert Sans Regular" w:hAnsi="Expert Sans Regular" w:cs="Arial"/>
          <w:color w:val="000000"/>
          <w:sz w:val="22"/>
          <w:szCs w:val="22"/>
          <w:u w:val="single"/>
        </w:rPr>
        <w:t>Media Relations</w:t>
      </w:r>
    </w:p>
    <w:p w:rsidR="00325BB5" w:rsidRPr="00F2121E" w:rsidRDefault="00325BB5" w:rsidP="00CF2155">
      <w:pPr>
        <w:jc w:val="both"/>
        <w:rPr>
          <w:rFonts w:ascii="Expert Sans Regular" w:hAnsi="Expert Sans Regular" w:cs="Arial"/>
          <w:color w:val="000000"/>
          <w:sz w:val="22"/>
          <w:szCs w:val="22"/>
          <w:lang w:val="en-ZA" w:eastAsia="en-ZA"/>
        </w:rPr>
      </w:pPr>
      <w:r w:rsidRPr="00F2121E">
        <w:rPr>
          <w:rFonts w:ascii="Expert Sans Regular" w:hAnsi="Expert Sans Regular" w:cs="Arial"/>
          <w:color w:val="000000"/>
          <w:sz w:val="22"/>
          <w:szCs w:val="22"/>
          <w:lang w:val="en-ZA" w:eastAsia="en-ZA"/>
        </w:rPr>
        <w:t xml:space="preserve">Alan Hartdegen </w:t>
      </w:r>
      <w:r w:rsidRPr="00F2121E">
        <w:rPr>
          <w:rFonts w:ascii="Expert Sans Regular" w:hAnsi="Expert Sans Regular" w:cs="Arial"/>
          <w:color w:val="000000"/>
          <w:sz w:val="22"/>
          <w:szCs w:val="22"/>
          <w:lang w:val="en-ZA" w:eastAsia="en-ZA"/>
        </w:rPr>
        <w:tab/>
      </w:r>
      <w:r w:rsidRPr="00F2121E">
        <w:rPr>
          <w:rFonts w:ascii="Expert Sans Regular" w:hAnsi="Expert Sans Regular" w:cs="Arial"/>
          <w:color w:val="000000"/>
          <w:sz w:val="22"/>
          <w:szCs w:val="22"/>
          <w:lang w:val="en-ZA" w:eastAsia="en-ZA"/>
        </w:rPr>
        <w:tab/>
      </w:r>
      <w:r w:rsidRPr="00F2121E">
        <w:rPr>
          <w:rFonts w:ascii="Expert Sans Regular" w:hAnsi="Expert Sans Regular" w:cs="Arial"/>
          <w:color w:val="000000"/>
          <w:sz w:val="22"/>
          <w:szCs w:val="22"/>
          <w:lang w:val="en-ZA" w:eastAsia="en-ZA"/>
        </w:rPr>
        <w:tab/>
      </w:r>
      <w:r w:rsidRPr="00F2121E">
        <w:rPr>
          <w:rFonts w:ascii="Expert Sans Regular" w:hAnsi="Expert Sans Regular" w:cs="Arial"/>
          <w:color w:val="000000"/>
          <w:sz w:val="22"/>
          <w:szCs w:val="22"/>
          <w:lang w:val="en-ZA" w:eastAsia="en-ZA"/>
        </w:rPr>
        <w:tab/>
        <w:t>Maxwell Pirikisi</w:t>
      </w:r>
    </w:p>
    <w:p w:rsidR="00325BB5" w:rsidRPr="00F2121E" w:rsidRDefault="00325BB5" w:rsidP="00CF2155">
      <w:pPr>
        <w:jc w:val="both"/>
        <w:rPr>
          <w:rFonts w:ascii="Expert Sans Regular" w:hAnsi="Expert Sans Regular" w:cs="Arial"/>
          <w:color w:val="000000"/>
          <w:sz w:val="22"/>
          <w:szCs w:val="22"/>
          <w:lang w:val="fr-FR"/>
        </w:rPr>
      </w:pPr>
      <w:r w:rsidRPr="00F2121E">
        <w:rPr>
          <w:rFonts w:ascii="Expert Sans Regular" w:hAnsi="Expert Sans Regular" w:cs="Arial"/>
          <w:color w:val="000000"/>
          <w:sz w:val="22"/>
          <w:szCs w:val="22"/>
          <w:lang w:val="en-ZA" w:eastAsia="en-ZA"/>
        </w:rPr>
        <w:t xml:space="preserve">+27 (0) 11 350 2598 </w:t>
      </w:r>
      <w:r w:rsidRPr="00F2121E">
        <w:rPr>
          <w:rFonts w:ascii="Expert Sans Regular" w:hAnsi="Expert Sans Regular" w:cs="Arial"/>
          <w:color w:val="000000"/>
          <w:sz w:val="22"/>
          <w:szCs w:val="22"/>
          <w:lang w:val="en-ZA" w:eastAsia="en-ZA"/>
        </w:rPr>
        <w:tab/>
      </w:r>
      <w:r w:rsidRPr="00F2121E">
        <w:rPr>
          <w:rFonts w:ascii="Expert Sans Regular" w:hAnsi="Expert Sans Regular" w:cs="Arial"/>
          <w:color w:val="000000"/>
          <w:sz w:val="22"/>
          <w:szCs w:val="22"/>
          <w:lang w:val="en-ZA" w:eastAsia="en-ZA"/>
        </w:rPr>
        <w:tab/>
      </w:r>
      <w:r w:rsidRPr="00F2121E">
        <w:rPr>
          <w:rFonts w:ascii="Expert Sans Regular" w:hAnsi="Expert Sans Regular" w:cs="Arial"/>
          <w:color w:val="000000"/>
          <w:sz w:val="22"/>
          <w:szCs w:val="22"/>
          <w:lang w:val="en-ZA" w:eastAsia="en-ZA"/>
        </w:rPr>
        <w:tab/>
      </w:r>
      <w:r w:rsidRPr="00F2121E">
        <w:rPr>
          <w:rFonts w:ascii="Expert Sans Regular" w:hAnsi="Expert Sans Regular" w:cs="Arial"/>
          <w:color w:val="000000"/>
          <w:sz w:val="22"/>
          <w:szCs w:val="22"/>
          <w:lang w:val="en-ZA" w:eastAsia="en-ZA"/>
        </w:rPr>
        <w:tab/>
      </w:r>
      <w:r w:rsidRPr="00F2121E">
        <w:rPr>
          <w:rFonts w:ascii="Expert Sans Regular" w:hAnsi="Expert Sans Regular" w:cs="Arial"/>
          <w:color w:val="000000"/>
          <w:sz w:val="22"/>
          <w:szCs w:val="22"/>
          <w:lang w:val="fr-FR"/>
        </w:rPr>
        <w:t xml:space="preserve">+27 (0) 11 350 </w:t>
      </w:r>
      <w:r w:rsidRPr="00F2121E">
        <w:rPr>
          <w:rFonts w:ascii="Expert Sans Regular" w:hAnsi="Expert Sans Regular"/>
          <w:bCs/>
          <w:color w:val="000000"/>
          <w:sz w:val="22"/>
          <w:szCs w:val="22"/>
          <w:lang w:val="fr-FR"/>
        </w:rPr>
        <w:t>4787</w:t>
      </w:r>
    </w:p>
    <w:p w:rsidR="00325BB5" w:rsidRDefault="00325BB5" w:rsidP="00CF2155">
      <w:pPr>
        <w:rPr>
          <w:rFonts w:ascii="Expert Sans Regular" w:hAnsi="Expert Sans Regular"/>
          <w:b/>
          <w:sz w:val="22"/>
          <w:szCs w:val="22"/>
        </w:rPr>
      </w:pPr>
    </w:p>
    <w:p w:rsidR="00325BB5" w:rsidRPr="00F2121E" w:rsidRDefault="00325BB5" w:rsidP="00EF66DE">
      <w:pPr>
        <w:jc w:val="both"/>
        <w:rPr>
          <w:rFonts w:ascii="Expert Sans Regular" w:hAnsi="Expert Sans Regular"/>
          <w:b/>
          <w:sz w:val="22"/>
          <w:szCs w:val="22"/>
        </w:rPr>
      </w:pPr>
      <w:r w:rsidRPr="00F2121E">
        <w:rPr>
          <w:rFonts w:ascii="Expert Sans Regular" w:hAnsi="Expert Sans Regular"/>
          <w:b/>
          <w:sz w:val="22"/>
          <w:szCs w:val="22"/>
        </w:rPr>
        <w:t>About Barclays</w:t>
      </w:r>
    </w:p>
    <w:p w:rsidR="00325BB5" w:rsidRPr="00F07A9D" w:rsidRDefault="00325BB5" w:rsidP="00EF66DE">
      <w:pPr>
        <w:jc w:val="both"/>
        <w:rPr>
          <w:rFonts w:ascii="Expert Sans Regular" w:hAnsi="Expert Sans Regular"/>
          <w:sz w:val="22"/>
          <w:szCs w:val="22"/>
        </w:rPr>
      </w:pPr>
      <w:r w:rsidRPr="00F07A9D">
        <w:rPr>
          <w:rFonts w:ascii="Expert Sans Regular" w:hAnsi="Expert Sans Regular"/>
          <w:sz w:val="22"/>
          <w:szCs w:val="22"/>
        </w:rPr>
        <w:t>Barclays is a major global financial services provider engaged in personal banking, credit cards, corporate and investment banking</w:t>
      </w:r>
      <w:r>
        <w:rPr>
          <w:rFonts w:ascii="Expert Sans Regular" w:hAnsi="Expert Sans Regular"/>
          <w:sz w:val="22"/>
          <w:szCs w:val="22"/>
        </w:rPr>
        <w:t>,</w:t>
      </w:r>
      <w:r w:rsidRPr="00F07A9D">
        <w:rPr>
          <w:rFonts w:ascii="Expert Sans Regular" w:hAnsi="Expert Sans Regular"/>
          <w:sz w:val="22"/>
          <w:szCs w:val="22"/>
        </w:rPr>
        <w:t xml:space="preserve"> and wealth and investment management with an extensive international presence in Europe, the Americas, Africa and Asia. With over 300 years of history and expertise in banking, Barclays operates in over 50 countries and employs approximately 140,000 people. Barclays moves, lends, invests and protects money for customers and clients worldwide. </w:t>
      </w:r>
      <w:r w:rsidRPr="00F07A9D">
        <w:rPr>
          <w:rFonts w:ascii="Expert Sans Regular" w:hAnsi="Expert Sans Regular"/>
          <w:sz w:val="22"/>
          <w:szCs w:val="22"/>
          <w:lang w:val="en-ZA"/>
        </w:rPr>
        <w:t xml:space="preserve">For more information, please visit the Barclays website: </w:t>
      </w:r>
      <w:hyperlink r:id="rId11" w:history="1">
        <w:r w:rsidRPr="00F07A9D">
          <w:rPr>
            <w:rStyle w:val="Hyperlink"/>
            <w:rFonts w:ascii="Expert Sans Regular" w:hAnsi="Expert Sans Regular"/>
            <w:color w:val="auto"/>
            <w:sz w:val="22"/>
            <w:szCs w:val="22"/>
            <w:lang w:val="en-ZA"/>
          </w:rPr>
          <w:t>www.barclays.com</w:t>
        </w:r>
      </w:hyperlink>
      <w:r w:rsidRPr="00F07A9D">
        <w:rPr>
          <w:rFonts w:ascii="Expert Sans Regular" w:hAnsi="Expert Sans Regular"/>
          <w:sz w:val="22"/>
          <w:szCs w:val="22"/>
          <w:lang w:val="en-ZA"/>
        </w:rPr>
        <w:t>.</w:t>
      </w:r>
    </w:p>
    <w:p w:rsidR="00325BB5" w:rsidRPr="00F2121E" w:rsidRDefault="00325BB5" w:rsidP="00EF66DE">
      <w:pPr>
        <w:jc w:val="both"/>
        <w:rPr>
          <w:rFonts w:ascii="Expert Sans Regular" w:hAnsi="Expert Sans Regular"/>
          <w:b/>
          <w:sz w:val="22"/>
          <w:szCs w:val="22"/>
          <w:lang w:val="en-ZA"/>
        </w:rPr>
      </w:pPr>
    </w:p>
    <w:p w:rsidR="00325BB5" w:rsidRPr="00F2121E" w:rsidRDefault="00325BB5" w:rsidP="00EF66DE">
      <w:pPr>
        <w:jc w:val="both"/>
        <w:rPr>
          <w:rFonts w:ascii="Expert Sans Regular" w:hAnsi="Expert Sans Regular"/>
          <w:b/>
          <w:sz w:val="22"/>
          <w:szCs w:val="22"/>
        </w:rPr>
      </w:pPr>
      <w:r w:rsidRPr="00F2121E">
        <w:rPr>
          <w:rFonts w:ascii="Expert Sans Regular" w:hAnsi="Expert Sans Regular"/>
          <w:b/>
          <w:sz w:val="22"/>
          <w:szCs w:val="22"/>
          <w:lang w:val="en-ZA"/>
        </w:rPr>
        <w:t>About Barclays in Africa</w:t>
      </w:r>
    </w:p>
    <w:p w:rsidR="00325BB5" w:rsidRPr="00F2121E" w:rsidRDefault="00325BB5" w:rsidP="00EF66DE">
      <w:pPr>
        <w:jc w:val="both"/>
        <w:rPr>
          <w:rFonts w:ascii="Expert Sans Regular" w:hAnsi="Expert Sans Regular"/>
          <w:sz w:val="22"/>
          <w:szCs w:val="22"/>
        </w:rPr>
      </w:pPr>
      <w:r w:rsidRPr="00F2121E">
        <w:rPr>
          <w:rFonts w:ascii="Expert Sans Regular" w:hAnsi="Expert Sans Regular"/>
          <w:sz w:val="22"/>
          <w:szCs w:val="22"/>
        </w:rPr>
        <w:t xml:space="preserve">The businesses in scope for the proposed combination employ more than </w:t>
      </w:r>
      <w:r w:rsidR="00F43AC8" w:rsidRPr="00F43AC8">
        <w:rPr>
          <w:rFonts w:ascii="Expert Sans Regular" w:hAnsi="Expert Sans Regular"/>
          <w:sz w:val="22"/>
          <w:szCs w:val="22"/>
        </w:rPr>
        <w:t>9,100</w:t>
      </w:r>
      <w:r w:rsidRPr="00F2121E">
        <w:rPr>
          <w:rFonts w:ascii="Expert Sans Regular" w:hAnsi="Expert Sans Regular"/>
          <w:sz w:val="22"/>
          <w:szCs w:val="22"/>
        </w:rPr>
        <w:t xml:space="preserve"> people and have a network of more than </w:t>
      </w:r>
      <w:r w:rsidR="00F43AC8" w:rsidRPr="00F43AC8">
        <w:rPr>
          <w:rFonts w:ascii="Expert Sans Regular" w:hAnsi="Expert Sans Regular"/>
          <w:sz w:val="22"/>
          <w:szCs w:val="22"/>
        </w:rPr>
        <w:t>400</w:t>
      </w:r>
      <w:r w:rsidRPr="00F2121E">
        <w:rPr>
          <w:rFonts w:ascii="Expert Sans Regular" w:hAnsi="Expert Sans Regular"/>
          <w:sz w:val="22"/>
          <w:szCs w:val="22"/>
        </w:rPr>
        <w:t xml:space="preserve"> branches and </w:t>
      </w:r>
      <w:r w:rsidR="00F43AC8" w:rsidRPr="00F43AC8">
        <w:rPr>
          <w:rFonts w:ascii="Expert Sans Regular" w:hAnsi="Expert Sans Regular"/>
          <w:sz w:val="22"/>
          <w:szCs w:val="22"/>
        </w:rPr>
        <w:t>840</w:t>
      </w:r>
      <w:r w:rsidR="00E25886">
        <w:rPr>
          <w:rFonts w:ascii="Expert Sans Regular" w:hAnsi="Expert Sans Regular"/>
          <w:sz w:val="22"/>
          <w:szCs w:val="22"/>
        </w:rPr>
        <w:t xml:space="preserve"> </w:t>
      </w:r>
      <w:r w:rsidRPr="00F2121E">
        <w:rPr>
          <w:rFonts w:ascii="Expert Sans Regular" w:hAnsi="Expert Sans Regular"/>
          <w:sz w:val="22"/>
          <w:szCs w:val="22"/>
        </w:rPr>
        <w:t xml:space="preserve">ATMs serving approximately </w:t>
      </w:r>
      <w:r w:rsidR="00F43AC8" w:rsidRPr="00F43AC8">
        <w:rPr>
          <w:rFonts w:ascii="Expert Sans Regular" w:hAnsi="Expert Sans Regular"/>
          <w:sz w:val="22"/>
          <w:szCs w:val="22"/>
        </w:rPr>
        <w:t>2.2</w:t>
      </w:r>
      <w:r w:rsidRPr="00CD2143">
        <w:rPr>
          <w:rFonts w:ascii="Expert Sans Regular" w:hAnsi="Expert Sans Regular"/>
          <w:sz w:val="22"/>
          <w:szCs w:val="22"/>
        </w:rPr>
        <w:t xml:space="preserve"> m</w:t>
      </w:r>
      <w:r w:rsidRPr="00F2121E">
        <w:rPr>
          <w:rFonts w:ascii="Expert Sans Regular" w:hAnsi="Expert Sans Regular"/>
          <w:sz w:val="22"/>
          <w:szCs w:val="22"/>
        </w:rPr>
        <w:t xml:space="preserve">illion customers.  As at </w:t>
      </w:r>
      <w:r w:rsidR="00EF16DB">
        <w:rPr>
          <w:rFonts w:ascii="Expert Sans Regular" w:hAnsi="Expert Sans Regular"/>
          <w:sz w:val="22"/>
          <w:szCs w:val="22"/>
        </w:rPr>
        <w:t>H1 2012</w:t>
      </w:r>
      <w:r w:rsidRPr="00F2121E">
        <w:rPr>
          <w:rFonts w:ascii="Expert Sans Regular" w:hAnsi="Expert Sans Regular"/>
          <w:sz w:val="22"/>
          <w:szCs w:val="22"/>
        </w:rPr>
        <w:t xml:space="preserve"> the Barclays Africa businesses in scope for the proposed combination had total assets of approximately </w:t>
      </w:r>
      <w:r w:rsidR="00EF16DB">
        <w:rPr>
          <w:rFonts w:ascii="Expert Sans Regular" w:hAnsi="Expert Sans Regular"/>
          <w:sz w:val="22"/>
          <w:szCs w:val="22"/>
        </w:rPr>
        <w:t>R81.6bn</w:t>
      </w:r>
      <w:r w:rsidRPr="00CD2143">
        <w:rPr>
          <w:rFonts w:ascii="Expert Sans Regular" w:hAnsi="Expert Sans Regular"/>
          <w:sz w:val="22"/>
          <w:szCs w:val="22"/>
        </w:rPr>
        <w:t xml:space="preserve"> billion</w:t>
      </w:r>
      <w:r w:rsidRPr="00F2121E">
        <w:rPr>
          <w:rFonts w:ascii="Expert Sans Regular" w:hAnsi="Expert Sans Regular"/>
          <w:sz w:val="22"/>
          <w:szCs w:val="22"/>
        </w:rPr>
        <w:t>.</w:t>
      </w:r>
    </w:p>
    <w:p w:rsidR="00325BB5" w:rsidRPr="00F2121E" w:rsidRDefault="00325BB5" w:rsidP="00EF66DE">
      <w:pPr>
        <w:jc w:val="both"/>
        <w:rPr>
          <w:rFonts w:ascii="Expert Sans Regular" w:hAnsi="Expert Sans Regular"/>
          <w:sz w:val="22"/>
          <w:szCs w:val="22"/>
        </w:rPr>
      </w:pPr>
    </w:p>
    <w:p w:rsidR="00325BB5" w:rsidRPr="00F2121E" w:rsidRDefault="00325BB5" w:rsidP="00EF66DE">
      <w:pPr>
        <w:jc w:val="both"/>
        <w:rPr>
          <w:rFonts w:ascii="Expert Sans Regular" w:hAnsi="Expert Sans Regular"/>
          <w:b/>
          <w:sz w:val="22"/>
          <w:szCs w:val="22"/>
          <w:lang w:val="en-ZA"/>
        </w:rPr>
      </w:pPr>
      <w:r w:rsidRPr="00F2121E">
        <w:rPr>
          <w:rFonts w:ascii="Expert Sans Regular" w:hAnsi="Expert Sans Regular"/>
          <w:b/>
          <w:sz w:val="22"/>
          <w:szCs w:val="22"/>
          <w:lang w:val="en-ZA"/>
        </w:rPr>
        <w:t>About Absa</w:t>
      </w:r>
    </w:p>
    <w:p w:rsidR="00325BB5" w:rsidRPr="00F07A9D" w:rsidRDefault="00325BB5" w:rsidP="00EF66DE">
      <w:pPr>
        <w:jc w:val="both"/>
        <w:rPr>
          <w:rFonts w:ascii="Expert Sans Regular" w:hAnsi="Expert Sans Regular"/>
          <w:sz w:val="22"/>
          <w:szCs w:val="22"/>
          <w:lang w:val="en-ZA"/>
        </w:rPr>
      </w:pPr>
      <w:r w:rsidRPr="00F07A9D">
        <w:rPr>
          <w:rFonts w:ascii="Expert Sans Regular" w:hAnsi="Expert Sans Regular"/>
          <w:sz w:val="22"/>
          <w:szCs w:val="22"/>
          <w:lang w:val="en-ZA"/>
        </w:rPr>
        <w:t xml:space="preserve">Absa Group Limited (“Absa Group”), the holding company of Absa Bank, is listed on the JSE Limited and is one of South Africa’s largest financial services groups offering a complete range of banking, insurance and wealth management products and services. Absa Group’s business is conducted primarily in South Africa. It also has equity holdings in banks in Mozambique and Tanzania, representative offices in Namibia and Nigeria and bancassurance operations in Botswana, Mozambique and Zambia. Absa Group is a subsidiary of Barclays PLC, which currently holds a stake of 55.5%. For more information, please visit the Absa website: </w:t>
      </w:r>
      <w:hyperlink r:id="rId12" w:history="1">
        <w:r w:rsidRPr="00F07A9D">
          <w:rPr>
            <w:rFonts w:ascii="Expert Sans Regular" w:hAnsi="Expert Sans Regular"/>
            <w:sz w:val="22"/>
            <w:szCs w:val="22"/>
            <w:u w:val="single"/>
            <w:lang w:val="en-ZA"/>
          </w:rPr>
          <w:t>www.absa.co.za</w:t>
        </w:r>
      </w:hyperlink>
      <w:r w:rsidRPr="00F07A9D">
        <w:t>.</w:t>
      </w:r>
    </w:p>
    <w:p w:rsidR="00325BB5" w:rsidRDefault="00325BB5" w:rsidP="00EF66DE">
      <w:pPr>
        <w:jc w:val="both"/>
        <w:rPr>
          <w:rFonts w:ascii="Expert Sans Regular" w:hAnsi="Expert Sans Regular" w:cs="Barclays Serif"/>
          <w:b/>
          <w:sz w:val="22"/>
          <w:szCs w:val="22"/>
        </w:rPr>
      </w:pPr>
    </w:p>
    <w:p w:rsidR="00325BB5" w:rsidRPr="005B3336" w:rsidRDefault="00325BB5" w:rsidP="00EF66DE">
      <w:pPr>
        <w:jc w:val="both"/>
        <w:rPr>
          <w:rFonts w:ascii="Expert Sans Regular" w:hAnsi="Expert Sans Regular" w:cs="Barclays Serif"/>
          <w:b/>
          <w:sz w:val="22"/>
          <w:szCs w:val="22"/>
        </w:rPr>
      </w:pPr>
      <w:r w:rsidRPr="005B3336">
        <w:rPr>
          <w:rFonts w:ascii="Expert Sans Regular" w:hAnsi="Expert Sans Regular" w:cs="Barclays Serif"/>
          <w:b/>
          <w:sz w:val="22"/>
          <w:szCs w:val="22"/>
        </w:rPr>
        <w:t>INFORMATION REGARDING FORWARD-LOOKING STATEMENTS</w:t>
      </w:r>
    </w:p>
    <w:p w:rsidR="00325BB5" w:rsidRPr="005B3336" w:rsidRDefault="00325BB5" w:rsidP="00EF66DE">
      <w:pPr>
        <w:jc w:val="both"/>
        <w:rPr>
          <w:rFonts w:ascii="Expert Sans Regular" w:hAnsi="Expert Sans Regular" w:cs="Barclays Serif"/>
          <w:b/>
          <w:sz w:val="22"/>
          <w:szCs w:val="22"/>
        </w:rPr>
      </w:pPr>
    </w:p>
    <w:p w:rsidR="00325BB5" w:rsidRPr="00CE6B3B" w:rsidRDefault="00325BB5" w:rsidP="00EF66DE">
      <w:pPr>
        <w:jc w:val="both"/>
        <w:rPr>
          <w:rFonts w:ascii="Expert Sans Regular" w:hAnsi="Expert Sans Regular" w:cs="Barclays Serif"/>
          <w:sz w:val="18"/>
          <w:szCs w:val="18"/>
        </w:rPr>
      </w:pPr>
      <w:r w:rsidRPr="00CE6B3B">
        <w:rPr>
          <w:rFonts w:ascii="Expert Sans Regular" w:hAnsi="Expert Sans Regular" w:cs="Barclays Serif"/>
          <w:sz w:val="18"/>
          <w:szCs w:val="18"/>
        </w:rPr>
        <w:t xml:space="preserve">This document may contain forward-looking statements that are based on current expectations or beliefs, as well as assumptions about future events. Generally, the words ‘‘will’’, ‘‘may’’, ‘‘should’’, ‘‘continue’’, ‘‘believes’’, ‘‘expects’’, ‘‘intends’’, ‘‘anticipates’’, “plans” or similar expressions that are predictive or indicative of future events identify forward-looking statements. These statements are based on the current expectations of management and are naturally subject to risks, uncertainties and changes in circumstances. Undue reliance should not be placed on any such statements because, by their very nature, they are subject to known and unknown risks and </w:t>
      </w:r>
      <w:r w:rsidRPr="00CE6B3B">
        <w:rPr>
          <w:rFonts w:ascii="Expert Sans Regular" w:hAnsi="Expert Sans Regular" w:cs="Barclays Serif"/>
          <w:sz w:val="18"/>
          <w:szCs w:val="18"/>
        </w:rPr>
        <w:lastRenderedPageBreak/>
        <w:t>uncertainties and can be affected by other factors, many of which are outside the control of Barclays and its Directors, that could cause actual results, and management’s plans and objectives, to differ materially from those expressed or implied in the forward-looking statements. As such, forward-looking statements are no guarantee of future performance.</w:t>
      </w:r>
    </w:p>
    <w:p w:rsidR="00325BB5" w:rsidRPr="00CE6B3B" w:rsidRDefault="00325BB5" w:rsidP="00EF66DE">
      <w:pPr>
        <w:jc w:val="both"/>
        <w:rPr>
          <w:rFonts w:ascii="Expert Sans Regular" w:hAnsi="Expert Sans Regular" w:cs="Barclays Serif"/>
          <w:sz w:val="18"/>
          <w:szCs w:val="18"/>
        </w:rPr>
      </w:pPr>
    </w:p>
    <w:p w:rsidR="00325BB5" w:rsidRPr="00CE6B3B" w:rsidRDefault="00325BB5" w:rsidP="00EF66DE">
      <w:pPr>
        <w:jc w:val="both"/>
        <w:rPr>
          <w:rFonts w:ascii="Expert Sans Regular" w:hAnsi="Expert Sans Regular" w:cs="Barclays Serif"/>
          <w:sz w:val="18"/>
          <w:szCs w:val="18"/>
        </w:rPr>
      </w:pPr>
      <w:r w:rsidRPr="00CE6B3B">
        <w:rPr>
          <w:rFonts w:ascii="Expert Sans Regular" w:hAnsi="Expert Sans Regular" w:cs="Barclays Serif"/>
          <w:sz w:val="18"/>
          <w:szCs w:val="18"/>
        </w:rPr>
        <w:t>There are several factors which could cause actual results to differ materially from those expressed or implied in forward-looking statements. Among the factors that could cause actual results to differ materially from those described in the forward-looking statements are changes in the global, political, economic, business, competitive, market and regulatory environment, future exchange and interest rates, changes in tax rates and future business combinations or dispositions.</w:t>
      </w:r>
    </w:p>
    <w:p w:rsidR="00325BB5" w:rsidRPr="00CE6B3B" w:rsidRDefault="00325BB5" w:rsidP="00EF66DE">
      <w:pPr>
        <w:jc w:val="both"/>
        <w:rPr>
          <w:rFonts w:ascii="Expert Sans Regular" w:hAnsi="Expert Sans Regular" w:cs="Barclays Serif"/>
          <w:sz w:val="18"/>
          <w:szCs w:val="18"/>
        </w:rPr>
      </w:pPr>
    </w:p>
    <w:p w:rsidR="00325BB5" w:rsidRPr="00CE6B3B" w:rsidRDefault="00325BB5" w:rsidP="00EF66DE">
      <w:pPr>
        <w:jc w:val="both"/>
        <w:rPr>
          <w:rFonts w:ascii="Expert Sans Regular" w:hAnsi="Expert Sans Regular" w:cs="Barclays Serif"/>
          <w:sz w:val="18"/>
          <w:szCs w:val="18"/>
        </w:rPr>
      </w:pPr>
      <w:r w:rsidRPr="00CE6B3B">
        <w:rPr>
          <w:rFonts w:ascii="Expert Sans Regular" w:hAnsi="Expert Sans Regular" w:cs="Barclays Serif"/>
          <w:sz w:val="18"/>
          <w:szCs w:val="18"/>
        </w:rPr>
        <w:t xml:space="preserve">Readers are cautioned not to place undue reliance on these forward-looking statements which speak only as at the date of this document. Barclays does not undertake any obligation (except as required by requirements of the UK Listing Authority or any other legal or regulatory requirement) to revise or update any forward-looking statement contained in this document, regardless of whether that statement is affected as a result of new information, future events or otherwise. </w:t>
      </w:r>
    </w:p>
    <w:p w:rsidR="00325BB5" w:rsidRPr="00CE6B3B" w:rsidRDefault="00325BB5" w:rsidP="00EF66DE">
      <w:pPr>
        <w:jc w:val="both"/>
        <w:rPr>
          <w:rFonts w:ascii="Expert Sans Regular" w:hAnsi="Expert Sans Regular" w:cs="Barclays Serif"/>
          <w:sz w:val="18"/>
          <w:szCs w:val="18"/>
        </w:rPr>
      </w:pPr>
    </w:p>
    <w:p w:rsidR="00325BB5" w:rsidRPr="00F2121E" w:rsidRDefault="00325BB5" w:rsidP="00EF66DE">
      <w:pPr>
        <w:jc w:val="both"/>
        <w:rPr>
          <w:rFonts w:ascii="Expert Sans Regular" w:hAnsi="Expert Sans Regular" w:cs="Barclays Serif"/>
          <w:b/>
          <w:sz w:val="22"/>
          <w:szCs w:val="22"/>
        </w:rPr>
      </w:pPr>
      <w:r w:rsidRPr="00CE6B3B">
        <w:rPr>
          <w:rFonts w:ascii="Expert Sans Regular" w:hAnsi="Expert Sans Regular" w:cs="Barclays Serif"/>
          <w:sz w:val="18"/>
          <w:szCs w:val="18"/>
        </w:rPr>
        <w:t>No statement in this document is intended as a profit forecast and no statement in this document should be interpreted to mean that the earnings per Share for the current or future years would necessarily match or exceed the historical published earnings per Share.</w:t>
      </w:r>
    </w:p>
    <w:sectPr w:rsidR="00325BB5" w:rsidRPr="00F2121E" w:rsidSect="00C259A4">
      <w:footerReference w:type="default" r:id="rId13"/>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F1C" w:rsidRDefault="00A66F1C">
      <w:r>
        <w:separator/>
      </w:r>
    </w:p>
  </w:endnote>
  <w:endnote w:type="continuationSeparator" w:id="0">
    <w:p w:rsidR="00A66F1C" w:rsidRDefault="00A66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aavi">
    <w:panose1 w:val="020B0502040204020203"/>
    <w:charset w:val="00"/>
    <w:family w:val="swiss"/>
    <w:pitch w:val="variable"/>
    <w:sig w:usb0="00020003" w:usb1="00000000" w:usb2="00000000" w:usb3="00000000" w:csb0="00000001" w:csb1="00000000"/>
  </w:font>
  <w:font w:name="Expert Sans Regular">
    <w:altName w:val="Malgun Gothic"/>
    <w:charset w:val="00"/>
    <w:family w:val="swiss"/>
    <w:pitch w:val="variable"/>
    <w:sig w:usb0="00000003" w:usb1="00000000" w:usb2="00000000" w:usb3="00000000" w:csb0="00000001" w:csb1="00000000"/>
  </w:font>
  <w:font w:name="Barclays Serif">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F1C" w:rsidRPr="00E13546" w:rsidRDefault="002D189E">
    <w:pPr>
      <w:pStyle w:val="Footer"/>
      <w:jc w:val="center"/>
      <w:rPr>
        <w:rFonts w:ascii="Arial" w:hAnsi="Arial" w:cs="Arial"/>
        <w:sz w:val="18"/>
        <w:szCs w:val="18"/>
      </w:rPr>
    </w:pPr>
    <w:r w:rsidRPr="00E13546">
      <w:rPr>
        <w:rFonts w:ascii="Arial" w:hAnsi="Arial" w:cs="Arial"/>
        <w:sz w:val="18"/>
        <w:szCs w:val="18"/>
      </w:rPr>
      <w:fldChar w:fldCharType="begin"/>
    </w:r>
    <w:r w:rsidR="00A66F1C" w:rsidRPr="00E13546">
      <w:rPr>
        <w:rFonts w:ascii="Arial" w:hAnsi="Arial" w:cs="Arial"/>
        <w:sz w:val="18"/>
        <w:szCs w:val="18"/>
      </w:rPr>
      <w:instrText xml:space="preserve"> PAGE   \* MERGEFORMAT </w:instrText>
    </w:r>
    <w:r w:rsidRPr="00E13546">
      <w:rPr>
        <w:rFonts w:ascii="Arial" w:hAnsi="Arial" w:cs="Arial"/>
        <w:sz w:val="18"/>
        <w:szCs w:val="18"/>
      </w:rPr>
      <w:fldChar w:fldCharType="separate"/>
    </w:r>
    <w:r w:rsidR="00641EBA">
      <w:rPr>
        <w:rFonts w:ascii="Arial" w:hAnsi="Arial" w:cs="Arial"/>
        <w:noProof/>
        <w:sz w:val="18"/>
        <w:szCs w:val="18"/>
      </w:rPr>
      <w:t>1</w:t>
    </w:r>
    <w:r w:rsidRPr="00E13546">
      <w:rPr>
        <w:rFonts w:ascii="Arial" w:hAnsi="Arial" w:cs="Arial"/>
        <w:sz w:val="18"/>
        <w:szCs w:val="18"/>
      </w:rPr>
      <w:fldChar w:fldCharType="end"/>
    </w:r>
  </w:p>
  <w:p w:rsidR="00A66F1C" w:rsidRDefault="00A66F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F1C" w:rsidRDefault="00A66F1C">
      <w:r>
        <w:separator/>
      </w:r>
    </w:p>
  </w:footnote>
  <w:footnote w:type="continuationSeparator" w:id="0">
    <w:p w:rsidR="00A66F1C" w:rsidRDefault="00A66F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80CFF"/>
    <w:multiLevelType w:val="hybridMultilevel"/>
    <w:tmpl w:val="A2FE5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DA2B43"/>
    <w:multiLevelType w:val="hybridMultilevel"/>
    <w:tmpl w:val="E3E8B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5911F5"/>
    <w:multiLevelType w:val="hybridMultilevel"/>
    <w:tmpl w:val="34AAC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991213"/>
    <w:multiLevelType w:val="hybridMultilevel"/>
    <w:tmpl w:val="B6EE5B86"/>
    <w:lvl w:ilvl="0" w:tplc="B81A56EC">
      <w:start w:val="254"/>
      <w:numFmt w:val="bullet"/>
      <w:lvlText w:val="-"/>
      <w:lvlJc w:val="left"/>
      <w:pPr>
        <w:ind w:left="720" w:hanging="360"/>
      </w:pPr>
      <w:rPr>
        <w:rFonts w:ascii="Calibri" w:eastAsia="Times New Roman" w:hAnsi="Calibri"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nsid w:val="41C84CC0"/>
    <w:multiLevelType w:val="hybridMultilevel"/>
    <w:tmpl w:val="62CCC7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0F47F0"/>
    <w:multiLevelType w:val="hybridMultilevel"/>
    <w:tmpl w:val="112E677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48C44173"/>
    <w:multiLevelType w:val="hybridMultilevel"/>
    <w:tmpl w:val="2EAAB00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4A9734B9"/>
    <w:multiLevelType w:val="hybridMultilevel"/>
    <w:tmpl w:val="C49062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525007DF"/>
    <w:multiLevelType w:val="hybridMultilevel"/>
    <w:tmpl w:val="BADAB9AC"/>
    <w:lvl w:ilvl="0" w:tplc="C584EAF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7727708B"/>
    <w:multiLevelType w:val="hybridMultilevel"/>
    <w:tmpl w:val="6F1C11E8"/>
    <w:lvl w:ilvl="0" w:tplc="416A053E">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0"/>
  </w:num>
  <w:num w:numId="3">
    <w:abstractNumId w:val="4"/>
  </w:num>
  <w:num w:numId="4">
    <w:abstractNumId w:val="1"/>
  </w:num>
  <w:num w:numId="5">
    <w:abstractNumId w:val="7"/>
  </w:num>
  <w:num w:numId="6">
    <w:abstractNumId w:val="8"/>
  </w:num>
  <w:num w:numId="7">
    <w:abstractNumId w:val="2"/>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APWAFVersion" w:val="5.0"/>
  </w:docVars>
  <w:rsids>
    <w:rsidRoot w:val="000950E7"/>
    <w:rsid w:val="000006AA"/>
    <w:rsid w:val="00004005"/>
    <w:rsid w:val="000063AE"/>
    <w:rsid w:val="00007216"/>
    <w:rsid w:val="000078ED"/>
    <w:rsid w:val="0002530D"/>
    <w:rsid w:val="00026F93"/>
    <w:rsid w:val="00035124"/>
    <w:rsid w:val="000375CE"/>
    <w:rsid w:val="000375E9"/>
    <w:rsid w:val="00037B15"/>
    <w:rsid w:val="000449B3"/>
    <w:rsid w:val="00054067"/>
    <w:rsid w:val="00062EC5"/>
    <w:rsid w:val="00063367"/>
    <w:rsid w:val="000633AE"/>
    <w:rsid w:val="00067DFE"/>
    <w:rsid w:val="00076647"/>
    <w:rsid w:val="00076F3A"/>
    <w:rsid w:val="00085869"/>
    <w:rsid w:val="000871F0"/>
    <w:rsid w:val="00094E23"/>
    <w:rsid w:val="000950E7"/>
    <w:rsid w:val="000B4B33"/>
    <w:rsid w:val="000B5C6D"/>
    <w:rsid w:val="000C2678"/>
    <w:rsid w:val="000C2E8D"/>
    <w:rsid w:val="000C3670"/>
    <w:rsid w:val="000C5A08"/>
    <w:rsid w:val="000D1CC9"/>
    <w:rsid w:val="000D7911"/>
    <w:rsid w:val="000E0A27"/>
    <w:rsid w:val="000F3E86"/>
    <w:rsid w:val="00100F21"/>
    <w:rsid w:val="0010123C"/>
    <w:rsid w:val="00103B78"/>
    <w:rsid w:val="001043E3"/>
    <w:rsid w:val="00124940"/>
    <w:rsid w:val="00130CF5"/>
    <w:rsid w:val="001328E4"/>
    <w:rsid w:val="001413B5"/>
    <w:rsid w:val="00143EE5"/>
    <w:rsid w:val="00166CE2"/>
    <w:rsid w:val="00177E37"/>
    <w:rsid w:val="00185275"/>
    <w:rsid w:val="001957C2"/>
    <w:rsid w:val="001A2A5B"/>
    <w:rsid w:val="001A6061"/>
    <w:rsid w:val="001A6DE9"/>
    <w:rsid w:val="001B0BA6"/>
    <w:rsid w:val="001B4AB2"/>
    <w:rsid w:val="001C053F"/>
    <w:rsid w:val="001E14E6"/>
    <w:rsid w:val="001E342B"/>
    <w:rsid w:val="001E5362"/>
    <w:rsid w:val="001E6678"/>
    <w:rsid w:val="001F510D"/>
    <w:rsid w:val="00201230"/>
    <w:rsid w:val="0020554A"/>
    <w:rsid w:val="00211C92"/>
    <w:rsid w:val="00223056"/>
    <w:rsid w:val="0024201B"/>
    <w:rsid w:val="00242815"/>
    <w:rsid w:val="00252A36"/>
    <w:rsid w:val="00253AEA"/>
    <w:rsid w:val="00262574"/>
    <w:rsid w:val="0026372B"/>
    <w:rsid w:val="0026564D"/>
    <w:rsid w:val="00265977"/>
    <w:rsid w:val="0027196D"/>
    <w:rsid w:val="00277E7D"/>
    <w:rsid w:val="00280902"/>
    <w:rsid w:val="002856AE"/>
    <w:rsid w:val="00286F90"/>
    <w:rsid w:val="00291A92"/>
    <w:rsid w:val="00295C66"/>
    <w:rsid w:val="00296471"/>
    <w:rsid w:val="002A170B"/>
    <w:rsid w:val="002A1C64"/>
    <w:rsid w:val="002A4C15"/>
    <w:rsid w:val="002B1900"/>
    <w:rsid w:val="002B2E09"/>
    <w:rsid w:val="002C5ACF"/>
    <w:rsid w:val="002D189E"/>
    <w:rsid w:val="002D52EB"/>
    <w:rsid w:val="002E4395"/>
    <w:rsid w:val="002E69ED"/>
    <w:rsid w:val="002F5315"/>
    <w:rsid w:val="002F7589"/>
    <w:rsid w:val="002F75C0"/>
    <w:rsid w:val="00300050"/>
    <w:rsid w:val="00302DA9"/>
    <w:rsid w:val="00305869"/>
    <w:rsid w:val="00306ED8"/>
    <w:rsid w:val="00314B33"/>
    <w:rsid w:val="00325BB5"/>
    <w:rsid w:val="00331DC3"/>
    <w:rsid w:val="00332EA8"/>
    <w:rsid w:val="00337CFF"/>
    <w:rsid w:val="00354A1B"/>
    <w:rsid w:val="00363CB3"/>
    <w:rsid w:val="00364425"/>
    <w:rsid w:val="0037723B"/>
    <w:rsid w:val="00377A2D"/>
    <w:rsid w:val="00393615"/>
    <w:rsid w:val="00394D46"/>
    <w:rsid w:val="003A5064"/>
    <w:rsid w:val="003A609A"/>
    <w:rsid w:val="003B3590"/>
    <w:rsid w:val="003B583A"/>
    <w:rsid w:val="003C4C09"/>
    <w:rsid w:val="003D046E"/>
    <w:rsid w:val="003D136D"/>
    <w:rsid w:val="003E520B"/>
    <w:rsid w:val="003E6995"/>
    <w:rsid w:val="003E6C20"/>
    <w:rsid w:val="003E74B1"/>
    <w:rsid w:val="003F275A"/>
    <w:rsid w:val="003F4FF5"/>
    <w:rsid w:val="003F5C2E"/>
    <w:rsid w:val="00400B32"/>
    <w:rsid w:val="00404C37"/>
    <w:rsid w:val="004065AD"/>
    <w:rsid w:val="00414663"/>
    <w:rsid w:val="004177CB"/>
    <w:rsid w:val="00421BC3"/>
    <w:rsid w:val="004221FE"/>
    <w:rsid w:val="00422B06"/>
    <w:rsid w:val="00422F16"/>
    <w:rsid w:val="004244F7"/>
    <w:rsid w:val="00427205"/>
    <w:rsid w:val="0042750E"/>
    <w:rsid w:val="0043110E"/>
    <w:rsid w:val="00434CF2"/>
    <w:rsid w:val="004376F8"/>
    <w:rsid w:val="00437D42"/>
    <w:rsid w:val="00441A27"/>
    <w:rsid w:val="004425AA"/>
    <w:rsid w:val="00451C98"/>
    <w:rsid w:val="00455278"/>
    <w:rsid w:val="004754AF"/>
    <w:rsid w:val="00476853"/>
    <w:rsid w:val="00477ED9"/>
    <w:rsid w:val="00482A89"/>
    <w:rsid w:val="00482E88"/>
    <w:rsid w:val="004913A1"/>
    <w:rsid w:val="00493A20"/>
    <w:rsid w:val="00494E4B"/>
    <w:rsid w:val="004A0F56"/>
    <w:rsid w:val="004A3FE3"/>
    <w:rsid w:val="004A5F88"/>
    <w:rsid w:val="004B0F2A"/>
    <w:rsid w:val="004B460A"/>
    <w:rsid w:val="004B5CFB"/>
    <w:rsid w:val="004C597A"/>
    <w:rsid w:val="004D147B"/>
    <w:rsid w:val="004D1AC3"/>
    <w:rsid w:val="004D2894"/>
    <w:rsid w:val="004D6E9A"/>
    <w:rsid w:val="004E2BDD"/>
    <w:rsid w:val="004E6606"/>
    <w:rsid w:val="004F0C64"/>
    <w:rsid w:val="004F5783"/>
    <w:rsid w:val="004F6070"/>
    <w:rsid w:val="0050069D"/>
    <w:rsid w:val="00501EE8"/>
    <w:rsid w:val="00502BEB"/>
    <w:rsid w:val="00504F66"/>
    <w:rsid w:val="00511711"/>
    <w:rsid w:val="00517C6B"/>
    <w:rsid w:val="00520022"/>
    <w:rsid w:val="00537951"/>
    <w:rsid w:val="005473F2"/>
    <w:rsid w:val="00554415"/>
    <w:rsid w:val="005600E0"/>
    <w:rsid w:val="0056279C"/>
    <w:rsid w:val="00565D26"/>
    <w:rsid w:val="005677A8"/>
    <w:rsid w:val="005717A0"/>
    <w:rsid w:val="0057712B"/>
    <w:rsid w:val="0059464B"/>
    <w:rsid w:val="005B2472"/>
    <w:rsid w:val="005B3336"/>
    <w:rsid w:val="005B62A8"/>
    <w:rsid w:val="005D0517"/>
    <w:rsid w:val="005D12E8"/>
    <w:rsid w:val="005E1381"/>
    <w:rsid w:val="005F2FB3"/>
    <w:rsid w:val="005F7E55"/>
    <w:rsid w:val="00601BEA"/>
    <w:rsid w:val="00612A43"/>
    <w:rsid w:val="0061491A"/>
    <w:rsid w:val="00621861"/>
    <w:rsid w:val="006222AD"/>
    <w:rsid w:val="00622553"/>
    <w:rsid w:val="006245A7"/>
    <w:rsid w:val="00632A3C"/>
    <w:rsid w:val="00634418"/>
    <w:rsid w:val="00641EBA"/>
    <w:rsid w:val="00643D61"/>
    <w:rsid w:val="00656D4F"/>
    <w:rsid w:val="0065768D"/>
    <w:rsid w:val="00661D24"/>
    <w:rsid w:val="0067274F"/>
    <w:rsid w:val="00676F32"/>
    <w:rsid w:val="0068058A"/>
    <w:rsid w:val="00681210"/>
    <w:rsid w:val="00690328"/>
    <w:rsid w:val="00690388"/>
    <w:rsid w:val="0069463A"/>
    <w:rsid w:val="006A0348"/>
    <w:rsid w:val="006A04E9"/>
    <w:rsid w:val="006A0AD8"/>
    <w:rsid w:val="006A4260"/>
    <w:rsid w:val="006B42E9"/>
    <w:rsid w:val="006B5E90"/>
    <w:rsid w:val="006C353B"/>
    <w:rsid w:val="006C5A9B"/>
    <w:rsid w:val="006D0ACB"/>
    <w:rsid w:val="006D19B3"/>
    <w:rsid w:val="006D1C49"/>
    <w:rsid w:val="006D2828"/>
    <w:rsid w:val="006D3B01"/>
    <w:rsid w:val="006F168D"/>
    <w:rsid w:val="006F25FD"/>
    <w:rsid w:val="00702504"/>
    <w:rsid w:val="007035C2"/>
    <w:rsid w:val="00704C96"/>
    <w:rsid w:val="00714202"/>
    <w:rsid w:val="007151CA"/>
    <w:rsid w:val="00720121"/>
    <w:rsid w:val="007249B1"/>
    <w:rsid w:val="00733628"/>
    <w:rsid w:val="00740AF6"/>
    <w:rsid w:val="007413AD"/>
    <w:rsid w:val="00742519"/>
    <w:rsid w:val="00750F1F"/>
    <w:rsid w:val="00753292"/>
    <w:rsid w:val="00760F9E"/>
    <w:rsid w:val="00762540"/>
    <w:rsid w:val="00764603"/>
    <w:rsid w:val="00765670"/>
    <w:rsid w:val="0076657D"/>
    <w:rsid w:val="00772D5D"/>
    <w:rsid w:val="00776B0A"/>
    <w:rsid w:val="007772EC"/>
    <w:rsid w:val="00793F70"/>
    <w:rsid w:val="007A3E3B"/>
    <w:rsid w:val="007A6383"/>
    <w:rsid w:val="007A7E74"/>
    <w:rsid w:val="007B74B7"/>
    <w:rsid w:val="007C4783"/>
    <w:rsid w:val="007C5F63"/>
    <w:rsid w:val="007D0269"/>
    <w:rsid w:val="007D5509"/>
    <w:rsid w:val="007D78CB"/>
    <w:rsid w:val="007E0008"/>
    <w:rsid w:val="007E0FD3"/>
    <w:rsid w:val="007E10B5"/>
    <w:rsid w:val="007E392B"/>
    <w:rsid w:val="007E426D"/>
    <w:rsid w:val="007E4599"/>
    <w:rsid w:val="007E46A0"/>
    <w:rsid w:val="007E57BF"/>
    <w:rsid w:val="007F13A5"/>
    <w:rsid w:val="007F33E7"/>
    <w:rsid w:val="007F4974"/>
    <w:rsid w:val="007F777B"/>
    <w:rsid w:val="0080042B"/>
    <w:rsid w:val="0080290D"/>
    <w:rsid w:val="00803280"/>
    <w:rsid w:val="008040EF"/>
    <w:rsid w:val="0080721E"/>
    <w:rsid w:val="0081118A"/>
    <w:rsid w:val="0081287B"/>
    <w:rsid w:val="00813FD1"/>
    <w:rsid w:val="008169A9"/>
    <w:rsid w:val="00826CFA"/>
    <w:rsid w:val="00830837"/>
    <w:rsid w:val="00832821"/>
    <w:rsid w:val="008539EF"/>
    <w:rsid w:val="00857149"/>
    <w:rsid w:val="0086192E"/>
    <w:rsid w:val="008712E8"/>
    <w:rsid w:val="00872501"/>
    <w:rsid w:val="00874B8A"/>
    <w:rsid w:val="00874BCE"/>
    <w:rsid w:val="00874C2D"/>
    <w:rsid w:val="00875DF4"/>
    <w:rsid w:val="008767E6"/>
    <w:rsid w:val="008778DF"/>
    <w:rsid w:val="00886F31"/>
    <w:rsid w:val="00893371"/>
    <w:rsid w:val="00896B1D"/>
    <w:rsid w:val="008B07CA"/>
    <w:rsid w:val="008C1E97"/>
    <w:rsid w:val="008C4B46"/>
    <w:rsid w:val="008C4B82"/>
    <w:rsid w:val="008D3DFE"/>
    <w:rsid w:val="008D66F0"/>
    <w:rsid w:val="008D6DB9"/>
    <w:rsid w:val="008E3059"/>
    <w:rsid w:val="008E464D"/>
    <w:rsid w:val="008F5251"/>
    <w:rsid w:val="008F725D"/>
    <w:rsid w:val="009026AC"/>
    <w:rsid w:val="009027F0"/>
    <w:rsid w:val="009051F5"/>
    <w:rsid w:val="0090572C"/>
    <w:rsid w:val="00910615"/>
    <w:rsid w:val="0091264D"/>
    <w:rsid w:val="00914E5B"/>
    <w:rsid w:val="00915031"/>
    <w:rsid w:val="009168A5"/>
    <w:rsid w:val="00922507"/>
    <w:rsid w:val="00932729"/>
    <w:rsid w:val="00943CAC"/>
    <w:rsid w:val="00946D50"/>
    <w:rsid w:val="00952420"/>
    <w:rsid w:val="00953ADA"/>
    <w:rsid w:val="009555CD"/>
    <w:rsid w:val="009606D2"/>
    <w:rsid w:val="00976C07"/>
    <w:rsid w:val="00981EED"/>
    <w:rsid w:val="00984BC1"/>
    <w:rsid w:val="00985335"/>
    <w:rsid w:val="00986CE6"/>
    <w:rsid w:val="009A44F0"/>
    <w:rsid w:val="009A6A6C"/>
    <w:rsid w:val="009B71BB"/>
    <w:rsid w:val="009C4A13"/>
    <w:rsid w:val="009D00ED"/>
    <w:rsid w:val="009D3361"/>
    <w:rsid w:val="009D6918"/>
    <w:rsid w:val="009E7E81"/>
    <w:rsid w:val="009F4533"/>
    <w:rsid w:val="009F524F"/>
    <w:rsid w:val="00A04DBA"/>
    <w:rsid w:val="00A05C47"/>
    <w:rsid w:val="00A23A99"/>
    <w:rsid w:val="00A26B73"/>
    <w:rsid w:val="00A348EA"/>
    <w:rsid w:val="00A35B9D"/>
    <w:rsid w:val="00A36FE8"/>
    <w:rsid w:val="00A37F88"/>
    <w:rsid w:val="00A55AA7"/>
    <w:rsid w:val="00A61B86"/>
    <w:rsid w:val="00A62ADE"/>
    <w:rsid w:val="00A65540"/>
    <w:rsid w:val="00A66F1C"/>
    <w:rsid w:val="00A7003F"/>
    <w:rsid w:val="00A80EAF"/>
    <w:rsid w:val="00A83352"/>
    <w:rsid w:val="00A8505D"/>
    <w:rsid w:val="00A86368"/>
    <w:rsid w:val="00A8648C"/>
    <w:rsid w:val="00A86E51"/>
    <w:rsid w:val="00A96FBF"/>
    <w:rsid w:val="00AA5971"/>
    <w:rsid w:val="00AA7E19"/>
    <w:rsid w:val="00AB3EDB"/>
    <w:rsid w:val="00AC584F"/>
    <w:rsid w:val="00AD1322"/>
    <w:rsid w:val="00AD4347"/>
    <w:rsid w:val="00AD66E4"/>
    <w:rsid w:val="00AD77F2"/>
    <w:rsid w:val="00AF7B86"/>
    <w:rsid w:val="00B067A4"/>
    <w:rsid w:val="00B1449D"/>
    <w:rsid w:val="00B23C0D"/>
    <w:rsid w:val="00B25BD4"/>
    <w:rsid w:val="00B26CB6"/>
    <w:rsid w:val="00B279F5"/>
    <w:rsid w:val="00B30DEA"/>
    <w:rsid w:val="00B31FBB"/>
    <w:rsid w:val="00B32FF2"/>
    <w:rsid w:val="00B355A4"/>
    <w:rsid w:val="00B450C6"/>
    <w:rsid w:val="00B56035"/>
    <w:rsid w:val="00B6054F"/>
    <w:rsid w:val="00B63CB8"/>
    <w:rsid w:val="00B66E1D"/>
    <w:rsid w:val="00B72477"/>
    <w:rsid w:val="00B72B03"/>
    <w:rsid w:val="00B84286"/>
    <w:rsid w:val="00B933F1"/>
    <w:rsid w:val="00B96805"/>
    <w:rsid w:val="00B97F9A"/>
    <w:rsid w:val="00BA34A6"/>
    <w:rsid w:val="00BA3895"/>
    <w:rsid w:val="00BA406A"/>
    <w:rsid w:val="00BA4EB1"/>
    <w:rsid w:val="00BA708C"/>
    <w:rsid w:val="00BB59DE"/>
    <w:rsid w:val="00BB77DD"/>
    <w:rsid w:val="00BC20D9"/>
    <w:rsid w:val="00BC3FF3"/>
    <w:rsid w:val="00BC4590"/>
    <w:rsid w:val="00BC7F53"/>
    <w:rsid w:val="00BD0C53"/>
    <w:rsid w:val="00BE3AC5"/>
    <w:rsid w:val="00BF1BF6"/>
    <w:rsid w:val="00BF51CF"/>
    <w:rsid w:val="00C12859"/>
    <w:rsid w:val="00C14D74"/>
    <w:rsid w:val="00C20DC2"/>
    <w:rsid w:val="00C22C14"/>
    <w:rsid w:val="00C24105"/>
    <w:rsid w:val="00C259A4"/>
    <w:rsid w:val="00C314D2"/>
    <w:rsid w:val="00C31C9C"/>
    <w:rsid w:val="00C44DAC"/>
    <w:rsid w:val="00C55C20"/>
    <w:rsid w:val="00C75995"/>
    <w:rsid w:val="00C75E6A"/>
    <w:rsid w:val="00C76556"/>
    <w:rsid w:val="00C801D0"/>
    <w:rsid w:val="00C87F3A"/>
    <w:rsid w:val="00C9662E"/>
    <w:rsid w:val="00CA035A"/>
    <w:rsid w:val="00CA6C97"/>
    <w:rsid w:val="00CA774F"/>
    <w:rsid w:val="00CB4028"/>
    <w:rsid w:val="00CB66B0"/>
    <w:rsid w:val="00CB6859"/>
    <w:rsid w:val="00CC5905"/>
    <w:rsid w:val="00CC7209"/>
    <w:rsid w:val="00CD1D42"/>
    <w:rsid w:val="00CD2143"/>
    <w:rsid w:val="00CD2159"/>
    <w:rsid w:val="00CD2CD1"/>
    <w:rsid w:val="00CE0B72"/>
    <w:rsid w:val="00CE32E4"/>
    <w:rsid w:val="00CE3B81"/>
    <w:rsid w:val="00CE64B4"/>
    <w:rsid w:val="00CE6B3B"/>
    <w:rsid w:val="00CF2155"/>
    <w:rsid w:val="00D00DF2"/>
    <w:rsid w:val="00D04AEF"/>
    <w:rsid w:val="00D04F62"/>
    <w:rsid w:val="00D069A9"/>
    <w:rsid w:val="00D12B8E"/>
    <w:rsid w:val="00D232AD"/>
    <w:rsid w:val="00D34B8F"/>
    <w:rsid w:val="00D35384"/>
    <w:rsid w:val="00D420B8"/>
    <w:rsid w:val="00D4585F"/>
    <w:rsid w:val="00D50AA7"/>
    <w:rsid w:val="00D511A1"/>
    <w:rsid w:val="00D64138"/>
    <w:rsid w:val="00D65DDC"/>
    <w:rsid w:val="00D666E0"/>
    <w:rsid w:val="00D833E5"/>
    <w:rsid w:val="00D90B51"/>
    <w:rsid w:val="00D93E25"/>
    <w:rsid w:val="00D94846"/>
    <w:rsid w:val="00DA3CED"/>
    <w:rsid w:val="00DA5D7B"/>
    <w:rsid w:val="00DA6B16"/>
    <w:rsid w:val="00DC204A"/>
    <w:rsid w:val="00DC7204"/>
    <w:rsid w:val="00DC7645"/>
    <w:rsid w:val="00DD3F0E"/>
    <w:rsid w:val="00DF1BDE"/>
    <w:rsid w:val="00DF6926"/>
    <w:rsid w:val="00E00494"/>
    <w:rsid w:val="00E0187D"/>
    <w:rsid w:val="00E04F96"/>
    <w:rsid w:val="00E05704"/>
    <w:rsid w:val="00E12B32"/>
    <w:rsid w:val="00E13546"/>
    <w:rsid w:val="00E13AE3"/>
    <w:rsid w:val="00E15D02"/>
    <w:rsid w:val="00E20687"/>
    <w:rsid w:val="00E25886"/>
    <w:rsid w:val="00E25A79"/>
    <w:rsid w:val="00E367F2"/>
    <w:rsid w:val="00E36974"/>
    <w:rsid w:val="00E46DF8"/>
    <w:rsid w:val="00E4757C"/>
    <w:rsid w:val="00E51112"/>
    <w:rsid w:val="00E559FB"/>
    <w:rsid w:val="00E6045D"/>
    <w:rsid w:val="00E77F0C"/>
    <w:rsid w:val="00E80E67"/>
    <w:rsid w:val="00E81C15"/>
    <w:rsid w:val="00E95486"/>
    <w:rsid w:val="00E9707F"/>
    <w:rsid w:val="00EA1818"/>
    <w:rsid w:val="00EA2523"/>
    <w:rsid w:val="00EA2FBE"/>
    <w:rsid w:val="00EA3EBA"/>
    <w:rsid w:val="00EA7A0A"/>
    <w:rsid w:val="00EB433C"/>
    <w:rsid w:val="00EB5228"/>
    <w:rsid w:val="00EB62B3"/>
    <w:rsid w:val="00EB6892"/>
    <w:rsid w:val="00EC4C15"/>
    <w:rsid w:val="00EC634E"/>
    <w:rsid w:val="00ED1B41"/>
    <w:rsid w:val="00EF16DB"/>
    <w:rsid w:val="00EF4894"/>
    <w:rsid w:val="00EF66DE"/>
    <w:rsid w:val="00EF6BF7"/>
    <w:rsid w:val="00F07A9D"/>
    <w:rsid w:val="00F11B8F"/>
    <w:rsid w:val="00F14770"/>
    <w:rsid w:val="00F2121E"/>
    <w:rsid w:val="00F2570D"/>
    <w:rsid w:val="00F41291"/>
    <w:rsid w:val="00F43AC8"/>
    <w:rsid w:val="00F473E8"/>
    <w:rsid w:val="00F54BF1"/>
    <w:rsid w:val="00F55D92"/>
    <w:rsid w:val="00F5771B"/>
    <w:rsid w:val="00F60322"/>
    <w:rsid w:val="00F609D5"/>
    <w:rsid w:val="00F6215A"/>
    <w:rsid w:val="00F64646"/>
    <w:rsid w:val="00F7110B"/>
    <w:rsid w:val="00F71B88"/>
    <w:rsid w:val="00F72A03"/>
    <w:rsid w:val="00F75313"/>
    <w:rsid w:val="00F8126E"/>
    <w:rsid w:val="00F82089"/>
    <w:rsid w:val="00F859DA"/>
    <w:rsid w:val="00F85E6C"/>
    <w:rsid w:val="00F93E74"/>
    <w:rsid w:val="00F964C9"/>
    <w:rsid w:val="00F97DB8"/>
    <w:rsid w:val="00FA3DFB"/>
    <w:rsid w:val="00FA49AB"/>
    <w:rsid w:val="00FA53DA"/>
    <w:rsid w:val="00FA6E16"/>
    <w:rsid w:val="00FB40E6"/>
    <w:rsid w:val="00FB48E6"/>
    <w:rsid w:val="00FB775B"/>
    <w:rsid w:val="00FD1314"/>
    <w:rsid w:val="00FD3FAD"/>
    <w:rsid w:val="00FD6F07"/>
    <w:rsid w:val="00FD73AE"/>
    <w:rsid w:val="00FF1BA5"/>
    <w:rsid w:val="00FF4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0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950E7"/>
    <w:pPr>
      <w:spacing w:before="100" w:beforeAutospacing="1" w:after="100" w:afterAutospacing="1"/>
    </w:pPr>
  </w:style>
  <w:style w:type="paragraph" w:customStyle="1" w:styleId="Char1CharCharCarattereCarattere">
    <w:name w:val="Char1 Char Char Carattere Carattere"/>
    <w:basedOn w:val="Normal"/>
    <w:uiPriority w:val="99"/>
    <w:rsid w:val="000950E7"/>
    <w:pPr>
      <w:spacing w:after="160" w:line="240" w:lineRule="exact"/>
    </w:pPr>
    <w:rPr>
      <w:rFonts w:ascii="Tahoma" w:hAnsi="Tahoma" w:cs="Tahoma"/>
      <w:sz w:val="20"/>
      <w:szCs w:val="20"/>
      <w:lang w:val="en-US" w:eastAsia="en-US"/>
    </w:rPr>
  </w:style>
  <w:style w:type="paragraph" w:styleId="BodyText3">
    <w:name w:val="Body Text 3"/>
    <w:basedOn w:val="Normal"/>
    <w:link w:val="BodyText3Char"/>
    <w:uiPriority w:val="99"/>
    <w:rsid w:val="003F275A"/>
    <w:pPr>
      <w:spacing w:after="120"/>
    </w:pPr>
    <w:rPr>
      <w:rFonts w:ascii="Arial" w:hAnsi="Arial" w:cs="Arial"/>
      <w:sz w:val="16"/>
      <w:szCs w:val="16"/>
      <w:lang w:eastAsia="en-US" w:bidi="pa-IN"/>
    </w:rPr>
  </w:style>
  <w:style w:type="character" w:customStyle="1" w:styleId="BodyText3Char">
    <w:name w:val="Body Text 3 Char"/>
    <w:basedOn w:val="DefaultParagraphFont"/>
    <w:link w:val="BodyText3"/>
    <w:uiPriority w:val="99"/>
    <w:semiHidden/>
    <w:rsid w:val="007B243B"/>
    <w:rPr>
      <w:sz w:val="16"/>
      <w:szCs w:val="16"/>
    </w:rPr>
  </w:style>
  <w:style w:type="paragraph" w:styleId="Header">
    <w:name w:val="header"/>
    <w:basedOn w:val="Normal"/>
    <w:link w:val="HeaderChar"/>
    <w:uiPriority w:val="99"/>
    <w:rsid w:val="003F275A"/>
    <w:pPr>
      <w:tabs>
        <w:tab w:val="center" w:pos="4153"/>
        <w:tab w:val="right" w:pos="8306"/>
      </w:tabs>
    </w:pPr>
    <w:rPr>
      <w:rFonts w:cs="Raavi"/>
      <w:lang w:bidi="pa-IN"/>
    </w:rPr>
  </w:style>
  <w:style w:type="character" w:customStyle="1" w:styleId="HeaderChar">
    <w:name w:val="Header Char"/>
    <w:basedOn w:val="DefaultParagraphFont"/>
    <w:link w:val="Header"/>
    <w:uiPriority w:val="99"/>
    <w:semiHidden/>
    <w:rsid w:val="007B243B"/>
    <w:rPr>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3F275A"/>
    <w:pPr>
      <w:spacing w:after="160" w:line="240" w:lineRule="exact"/>
    </w:pPr>
    <w:rPr>
      <w:rFonts w:ascii="Tahoma" w:hAnsi="Tahoma"/>
      <w:sz w:val="20"/>
      <w:szCs w:val="20"/>
      <w:lang w:val="en-US" w:eastAsia="en-US"/>
    </w:rPr>
  </w:style>
  <w:style w:type="paragraph" w:styleId="Footer">
    <w:name w:val="footer"/>
    <w:basedOn w:val="Normal"/>
    <w:link w:val="FooterChar"/>
    <w:uiPriority w:val="99"/>
    <w:rsid w:val="003F275A"/>
    <w:pPr>
      <w:tabs>
        <w:tab w:val="center" w:pos="4153"/>
        <w:tab w:val="right" w:pos="8306"/>
      </w:tabs>
    </w:pPr>
  </w:style>
  <w:style w:type="character" w:customStyle="1" w:styleId="FooterChar">
    <w:name w:val="Footer Char"/>
    <w:basedOn w:val="DefaultParagraphFont"/>
    <w:link w:val="Footer"/>
    <w:uiPriority w:val="99"/>
    <w:locked/>
    <w:rsid w:val="00E13546"/>
    <w:rPr>
      <w:rFonts w:cs="Times New Roman"/>
      <w:sz w:val="24"/>
      <w:szCs w:val="24"/>
    </w:rPr>
  </w:style>
  <w:style w:type="character" w:styleId="Hyperlink">
    <w:name w:val="Hyperlink"/>
    <w:basedOn w:val="DefaultParagraphFont"/>
    <w:uiPriority w:val="99"/>
    <w:rsid w:val="00C87F3A"/>
    <w:rPr>
      <w:rFonts w:cs="Times New Roman"/>
      <w:color w:val="0000FF"/>
      <w:u w:val="single"/>
    </w:rPr>
  </w:style>
  <w:style w:type="paragraph" w:styleId="DocumentMap">
    <w:name w:val="Document Map"/>
    <w:basedOn w:val="Normal"/>
    <w:link w:val="DocumentMapChar"/>
    <w:uiPriority w:val="99"/>
    <w:semiHidden/>
    <w:rsid w:val="00CC590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B243B"/>
    <w:rPr>
      <w:sz w:val="0"/>
      <w:szCs w:val="0"/>
    </w:rPr>
  </w:style>
  <w:style w:type="paragraph" w:styleId="BalloonText">
    <w:name w:val="Balloon Text"/>
    <w:basedOn w:val="Normal"/>
    <w:link w:val="BalloonTextChar"/>
    <w:uiPriority w:val="99"/>
    <w:semiHidden/>
    <w:rsid w:val="00E81C15"/>
    <w:rPr>
      <w:rFonts w:ascii="Tahoma" w:hAnsi="Tahoma" w:cs="Tahoma"/>
      <w:sz w:val="16"/>
      <w:szCs w:val="16"/>
    </w:rPr>
  </w:style>
  <w:style w:type="character" w:customStyle="1" w:styleId="BalloonTextChar">
    <w:name w:val="Balloon Text Char"/>
    <w:basedOn w:val="DefaultParagraphFont"/>
    <w:link w:val="BalloonText"/>
    <w:uiPriority w:val="99"/>
    <w:semiHidden/>
    <w:rsid w:val="007B243B"/>
    <w:rPr>
      <w:sz w:val="0"/>
      <w:szCs w:val="0"/>
    </w:rPr>
  </w:style>
  <w:style w:type="character" w:styleId="CommentReference">
    <w:name w:val="annotation reference"/>
    <w:basedOn w:val="DefaultParagraphFont"/>
    <w:uiPriority w:val="99"/>
    <w:rsid w:val="00F97DB8"/>
    <w:rPr>
      <w:rFonts w:cs="Times New Roman"/>
      <w:sz w:val="16"/>
      <w:szCs w:val="16"/>
    </w:rPr>
  </w:style>
  <w:style w:type="paragraph" w:styleId="CommentText">
    <w:name w:val="annotation text"/>
    <w:basedOn w:val="Normal"/>
    <w:link w:val="CommentTextChar"/>
    <w:uiPriority w:val="99"/>
    <w:rsid w:val="00F97DB8"/>
    <w:rPr>
      <w:sz w:val="20"/>
      <w:szCs w:val="20"/>
    </w:rPr>
  </w:style>
  <w:style w:type="character" w:customStyle="1" w:styleId="CommentTextChar">
    <w:name w:val="Comment Text Char"/>
    <w:basedOn w:val="DefaultParagraphFont"/>
    <w:link w:val="CommentText"/>
    <w:uiPriority w:val="99"/>
    <w:locked/>
    <w:rsid w:val="00F97DB8"/>
    <w:rPr>
      <w:rFonts w:cs="Times New Roman"/>
    </w:rPr>
  </w:style>
  <w:style w:type="paragraph" w:styleId="CommentSubject">
    <w:name w:val="annotation subject"/>
    <w:basedOn w:val="CommentText"/>
    <w:next w:val="CommentText"/>
    <w:link w:val="CommentSubjectChar"/>
    <w:uiPriority w:val="99"/>
    <w:rsid w:val="00F97DB8"/>
    <w:rPr>
      <w:b/>
      <w:bCs/>
    </w:rPr>
  </w:style>
  <w:style w:type="character" w:customStyle="1" w:styleId="CommentSubjectChar">
    <w:name w:val="Comment Subject Char"/>
    <w:basedOn w:val="CommentTextChar"/>
    <w:link w:val="CommentSubject"/>
    <w:uiPriority w:val="99"/>
    <w:locked/>
    <w:rsid w:val="00F97DB8"/>
    <w:rPr>
      <w:rFonts w:cs="Times New Roman"/>
      <w:b/>
      <w:bCs/>
    </w:rPr>
  </w:style>
  <w:style w:type="paragraph" w:customStyle="1" w:styleId="dg">
    <w:name w:val="dg"/>
    <w:basedOn w:val="Normal"/>
    <w:uiPriority w:val="99"/>
    <w:rsid w:val="00C20DC2"/>
    <w:pPr>
      <w:spacing w:before="100" w:beforeAutospacing="1" w:after="100" w:afterAutospacing="1"/>
    </w:pPr>
  </w:style>
  <w:style w:type="character" w:customStyle="1" w:styleId="ca">
    <w:name w:val="ca"/>
    <w:basedOn w:val="DefaultParagraphFont"/>
    <w:uiPriority w:val="99"/>
    <w:rsid w:val="00C20DC2"/>
    <w:rPr>
      <w:rFonts w:cs="Times New Roman"/>
    </w:rPr>
  </w:style>
  <w:style w:type="paragraph" w:customStyle="1" w:styleId="da">
    <w:name w:val="da"/>
    <w:basedOn w:val="Normal"/>
    <w:uiPriority w:val="99"/>
    <w:rsid w:val="00C20DC2"/>
    <w:pPr>
      <w:spacing w:before="100" w:beforeAutospacing="1" w:after="100" w:afterAutospacing="1"/>
    </w:pPr>
  </w:style>
  <w:style w:type="paragraph" w:customStyle="1" w:styleId="headlinknounder">
    <w:name w:val="headlinknounder"/>
    <w:basedOn w:val="Normal"/>
    <w:uiPriority w:val="99"/>
    <w:rsid w:val="0010123C"/>
    <w:rPr>
      <w:rFonts w:ascii="Arial" w:hAnsi="Arial" w:cs="Arial"/>
      <w:color w:val="3E3E3E"/>
      <w:sz w:val="17"/>
      <w:szCs w:val="17"/>
      <w:lang w:val="en-ZA" w:eastAsia="en-ZA"/>
    </w:rPr>
  </w:style>
  <w:style w:type="character" w:styleId="Strong">
    <w:name w:val="Strong"/>
    <w:basedOn w:val="DefaultParagraphFont"/>
    <w:uiPriority w:val="99"/>
    <w:qFormat/>
    <w:rsid w:val="00632A3C"/>
    <w:rPr>
      <w:rFonts w:cs="Times New Roman"/>
      <w:b/>
      <w:bCs/>
    </w:rPr>
  </w:style>
  <w:style w:type="paragraph" w:styleId="FootnoteText">
    <w:name w:val="footnote text"/>
    <w:basedOn w:val="Normal"/>
    <w:link w:val="FootnoteTextChar"/>
    <w:uiPriority w:val="99"/>
    <w:rsid w:val="002E69ED"/>
    <w:rPr>
      <w:sz w:val="20"/>
      <w:szCs w:val="20"/>
    </w:rPr>
  </w:style>
  <w:style w:type="character" w:customStyle="1" w:styleId="FootnoteTextChar">
    <w:name w:val="Footnote Text Char"/>
    <w:basedOn w:val="DefaultParagraphFont"/>
    <w:link w:val="FootnoteText"/>
    <w:uiPriority w:val="99"/>
    <w:locked/>
    <w:rsid w:val="002E69ED"/>
    <w:rPr>
      <w:rFonts w:cs="Times New Roman"/>
    </w:rPr>
  </w:style>
  <w:style w:type="character" w:styleId="FootnoteReference">
    <w:name w:val="footnote reference"/>
    <w:basedOn w:val="DefaultParagraphFont"/>
    <w:uiPriority w:val="99"/>
    <w:rsid w:val="002E69ED"/>
    <w:rPr>
      <w:rFonts w:cs="Times New Roman"/>
      <w:vertAlign w:val="superscript"/>
    </w:rPr>
  </w:style>
  <w:style w:type="paragraph" w:styleId="ListParagraph">
    <w:name w:val="List Paragraph"/>
    <w:basedOn w:val="Normal"/>
    <w:link w:val="ListParagraphChar"/>
    <w:uiPriority w:val="99"/>
    <w:qFormat/>
    <w:rsid w:val="00455278"/>
    <w:pPr>
      <w:ind w:left="720"/>
      <w:contextualSpacing/>
    </w:pPr>
  </w:style>
  <w:style w:type="character" w:customStyle="1" w:styleId="ListParagraphChar">
    <w:name w:val="List Paragraph Char"/>
    <w:basedOn w:val="DefaultParagraphFont"/>
    <w:link w:val="ListParagraph"/>
    <w:uiPriority w:val="99"/>
    <w:locked/>
    <w:rsid w:val="00952420"/>
    <w:rPr>
      <w:rFonts w:cs="Times New Roman"/>
      <w:sz w:val="24"/>
      <w:szCs w:val="24"/>
    </w:rPr>
  </w:style>
  <w:style w:type="character" w:styleId="FollowedHyperlink">
    <w:name w:val="FollowedHyperlink"/>
    <w:basedOn w:val="DefaultParagraphFont"/>
    <w:uiPriority w:val="99"/>
    <w:semiHidden/>
    <w:unhideWhenUsed/>
    <w:rsid w:val="00A700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92994">
      <w:bodyDiv w:val="1"/>
      <w:marLeft w:val="0"/>
      <w:marRight w:val="0"/>
      <w:marTop w:val="0"/>
      <w:marBottom w:val="0"/>
      <w:divBdr>
        <w:top w:val="none" w:sz="0" w:space="0" w:color="auto"/>
        <w:left w:val="none" w:sz="0" w:space="0" w:color="auto"/>
        <w:bottom w:val="none" w:sz="0" w:space="0" w:color="auto"/>
        <w:right w:val="none" w:sz="0" w:space="0" w:color="auto"/>
      </w:divBdr>
    </w:div>
    <w:div w:id="563638066">
      <w:marLeft w:val="0"/>
      <w:marRight w:val="0"/>
      <w:marTop w:val="0"/>
      <w:marBottom w:val="0"/>
      <w:divBdr>
        <w:top w:val="none" w:sz="0" w:space="0" w:color="auto"/>
        <w:left w:val="none" w:sz="0" w:space="0" w:color="auto"/>
        <w:bottom w:val="none" w:sz="0" w:space="0" w:color="auto"/>
        <w:right w:val="none" w:sz="0" w:space="0" w:color="auto"/>
      </w:divBdr>
    </w:div>
    <w:div w:id="563638067">
      <w:marLeft w:val="0"/>
      <w:marRight w:val="0"/>
      <w:marTop w:val="0"/>
      <w:marBottom w:val="0"/>
      <w:divBdr>
        <w:top w:val="none" w:sz="0" w:space="0" w:color="auto"/>
        <w:left w:val="none" w:sz="0" w:space="0" w:color="auto"/>
        <w:bottom w:val="none" w:sz="0" w:space="0" w:color="auto"/>
        <w:right w:val="none" w:sz="0" w:space="0" w:color="auto"/>
      </w:divBdr>
    </w:div>
    <w:div w:id="563638068">
      <w:marLeft w:val="0"/>
      <w:marRight w:val="0"/>
      <w:marTop w:val="0"/>
      <w:marBottom w:val="0"/>
      <w:divBdr>
        <w:top w:val="none" w:sz="0" w:space="0" w:color="auto"/>
        <w:left w:val="none" w:sz="0" w:space="0" w:color="auto"/>
        <w:bottom w:val="none" w:sz="0" w:space="0" w:color="auto"/>
        <w:right w:val="none" w:sz="0" w:space="0" w:color="auto"/>
      </w:divBdr>
    </w:div>
    <w:div w:id="563638069">
      <w:marLeft w:val="0"/>
      <w:marRight w:val="0"/>
      <w:marTop w:val="0"/>
      <w:marBottom w:val="0"/>
      <w:divBdr>
        <w:top w:val="none" w:sz="0" w:space="0" w:color="auto"/>
        <w:left w:val="none" w:sz="0" w:space="0" w:color="auto"/>
        <w:bottom w:val="none" w:sz="0" w:space="0" w:color="auto"/>
        <w:right w:val="none" w:sz="0" w:space="0" w:color="auto"/>
      </w:divBdr>
    </w:div>
    <w:div w:id="563638071">
      <w:marLeft w:val="0"/>
      <w:marRight w:val="0"/>
      <w:marTop w:val="0"/>
      <w:marBottom w:val="0"/>
      <w:divBdr>
        <w:top w:val="none" w:sz="0" w:space="0" w:color="auto"/>
        <w:left w:val="none" w:sz="0" w:space="0" w:color="auto"/>
        <w:bottom w:val="none" w:sz="0" w:space="0" w:color="auto"/>
        <w:right w:val="none" w:sz="0" w:space="0" w:color="auto"/>
      </w:divBdr>
    </w:div>
    <w:div w:id="563638072">
      <w:marLeft w:val="0"/>
      <w:marRight w:val="0"/>
      <w:marTop w:val="0"/>
      <w:marBottom w:val="0"/>
      <w:divBdr>
        <w:top w:val="none" w:sz="0" w:space="0" w:color="auto"/>
        <w:left w:val="none" w:sz="0" w:space="0" w:color="auto"/>
        <w:bottom w:val="none" w:sz="0" w:space="0" w:color="auto"/>
        <w:right w:val="none" w:sz="0" w:space="0" w:color="auto"/>
      </w:divBdr>
    </w:div>
    <w:div w:id="563638073">
      <w:marLeft w:val="0"/>
      <w:marRight w:val="0"/>
      <w:marTop w:val="0"/>
      <w:marBottom w:val="0"/>
      <w:divBdr>
        <w:top w:val="none" w:sz="0" w:space="0" w:color="auto"/>
        <w:left w:val="none" w:sz="0" w:space="0" w:color="auto"/>
        <w:bottom w:val="none" w:sz="0" w:space="0" w:color="auto"/>
        <w:right w:val="none" w:sz="0" w:space="0" w:color="auto"/>
      </w:divBdr>
    </w:div>
    <w:div w:id="563638074">
      <w:marLeft w:val="0"/>
      <w:marRight w:val="0"/>
      <w:marTop w:val="0"/>
      <w:marBottom w:val="0"/>
      <w:divBdr>
        <w:top w:val="none" w:sz="0" w:space="0" w:color="auto"/>
        <w:left w:val="none" w:sz="0" w:space="0" w:color="auto"/>
        <w:bottom w:val="none" w:sz="0" w:space="0" w:color="auto"/>
        <w:right w:val="none" w:sz="0" w:space="0" w:color="auto"/>
      </w:divBdr>
    </w:div>
    <w:div w:id="563638075">
      <w:marLeft w:val="0"/>
      <w:marRight w:val="0"/>
      <w:marTop w:val="0"/>
      <w:marBottom w:val="0"/>
      <w:divBdr>
        <w:top w:val="none" w:sz="0" w:space="0" w:color="auto"/>
        <w:left w:val="none" w:sz="0" w:space="0" w:color="auto"/>
        <w:bottom w:val="none" w:sz="0" w:space="0" w:color="auto"/>
        <w:right w:val="none" w:sz="0" w:space="0" w:color="auto"/>
      </w:divBdr>
      <w:divsChild>
        <w:div w:id="563638076">
          <w:marLeft w:val="0"/>
          <w:marRight w:val="0"/>
          <w:marTop w:val="0"/>
          <w:marBottom w:val="0"/>
          <w:divBdr>
            <w:top w:val="none" w:sz="0" w:space="0" w:color="auto"/>
            <w:left w:val="none" w:sz="0" w:space="0" w:color="auto"/>
            <w:bottom w:val="none" w:sz="0" w:space="0" w:color="auto"/>
            <w:right w:val="none" w:sz="0" w:space="0" w:color="auto"/>
          </w:divBdr>
          <w:divsChild>
            <w:div w:id="56363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38077">
      <w:marLeft w:val="0"/>
      <w:marRight w:val="0"/>
      <w:marTop w:val="0"/>
      <w:marBottom w:val="0"/>
      <w:divBdr>
        <w:top w:val="none" w:sz="0" w:space="0" w:color="auto"/>
        <w:left w:val="none" w:sz="0" w:space="0" w:color="auto"/>
        <w:bottom w:val="none" w:sz="0" w:space="0" w:color="auto"/>
        <w:right w:val="none" w:sz="0" w:space="0" w:color="auto"/>
      </w:divBdr>
    </w:div>
    <w:div w:id="563638078">
      <w:marLeft w:val="0"/>
      <w:marRight w:val="0"/>
      <w:marTop w:val="0"/>
      <w:marBottom w:val="0"/>
      <w:divBdr>
        <w:top w:val="none" w:sz="0" w:space="0" w:color="auto"/>
        <w:left w:val="none" w:sz="0" w:space="0" w:color="auto"/>
        <w:bottom w:val="none" w:sz="0" w:space="0" w:color="auto"/>
        <w:right w:val="none" w:sz="0" w:space="0" w:color="auto"/>
      </w:divBdr>
    </w:div>
    <w:div w:id="1036933435">
      <w:bodyDiv w:val="1"/>
      <w:marLeft w:val="0"/>
      <w:marRight w:val="0"/>
      <w:marTop w:val="0"/>
      <w:marBottom w:val="0"/>
      <w:divBdr>
        <w:top w:val="none" w:sz="0" w:space="0" w:color="auto"/>
        <w:left w:val="none" w:sz="0" w:space="0" w:color="auto"/>
        <w:bottom w:val="none" w:sz="0" w:space="0" w:color="auto"/>
        <w:right w:val="none" w:sz="0" w:space="0" w:color="auto"/>
      </w:divBdr>
    </w:div>
    <w:div w:id="178029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bsa.co.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rclay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arclays.com/investorrelation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64EA7-F00A-475E-B1FE-76AC52467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1750</Words>
  <Characters>10125</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DRAFT V6 as at 02/12/12 (incl</vt:lpstr>
    </vt:vector>
  </TitlesOfParts>
  <Company>Barclays Capital</Company>
  <LinksUpToDate>false</LinksUpToDate>
  <CharactersWithSpaces>11852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V6 as at 02/12/12 (incl</dc:title>
  <dc:subject>HORISON\Comms\RNS (Barclays)\121205 - Horizon RNS - v12 FINAL.docx</dc:subject>
  <dc:creator>Phillippa-Jane Vermoter</dc:creator>
  <cp:lastModifiedBy>Marcus Richard Heyn</cp:lastModifiedBy>
  <cp:revision>2</cp:revision>
  <cp:lastPrinted>2012-12-05T23:08:00Z</cp:lastPrinted>
  <dcterms:created xsi:type="dcterms:W3CDTF">2012-12-06T08:27:00Z</dcterms:created>
  <dcterms:modified xsi:type="dcterms:W3CDTF">2012-12-06T08:27:00Z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roject">
    <vt:lpwstr>HORISON</vt:lpwstr>
  </property>
  <property fmtid="{D5CDD505-2E9C-101B-9397-08002B2CF9AE}" pid="4" name="_AdHocReviewCycleID">
    <vt:i4>-322216924</vt:i4>
  </property>
  <property fmtid="{D5CDD505-2E9C-101B-9397-08002B2CF9AE}" pid="5" name="_EmailSubject">
    <vt:lpwstr>RNS FINAL - for approval and updating</vt:lpwstr>
  </property>
  <property fmtid="{D5CDD505-2E9C-101B-9397-08002B2CF9AE}" pid="6" name="_AuthorEmail">
    <vt:lpwstr>Chris.Semple@barclayscorp.com</vt:lpwstr>
  </property>
  <property fmtid="{D5CDD505-2E9C-101B-9397-08002B2CF9AE}" pid="7" name="_AuthorEmailDisplayName">
    <vt:lpwstr>Semple, Chris : Barclays Corporate Affairs</vt:lpwstr>
  </property>
  <property fmtid="{D5CDD505-2E9C-101B-9397-08002B2CF9AE}" pid="8" name="_ReviewingToolsShownOnce">
    <vt:lpwstr/>
  </property>
</Properties>
</file>